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FD1D6">
      <w:pPr>
        <w:keepNext w:val="0"/>
        <w:keepLines w:val="0"/>
        <w:pageBreakBefore w:val="0"/>
        <w:kinsoku/>
        <w:wordWrap/>
        <w:overflowPunct/>
        <w:topLinePunct w:val="0"/>
        <w:autoSpaceDE/>
        <w:autoSpaceDN/>
        <w:bidi w:val="0"/>
        <w:spacing w:line="520" w:lineRule="exact"/>
        <w:ind w:right="0" w:rightChars="0"/>
        <w:jc w:val="both"/>
        <w:textAlignment w:val="auto"/>
        <w:outlineLvl w:val="9"/>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附件一：</w:t>
      </w:r>
    </w:p>
    <w:p w14:paraId="07D314D4">
      <w:pPr>
        <w:keepNext w:val="0"/>
        <w:keepLines w:val="0"/>
        <w:pageBreakBefore w:val="0"/>
        <w:numPr>
          <w:ilvl w:val="0"/>
          <w:numId w:val="0"/>
        </w:numPr>
        <w:kinsoku/>
        <w:wordWrap/>
        <w:overflowPunct/>
        <w:topLinePunct w:val="0"/>
        <w:autoSpaceDE/>
        <w:autoSpaceDN/>
        <w:bidi w:val="0"/>
        <w:spacing w:line="520" w:lineRule="exact"/>
        <w:ind w:leftChars="200" w:right="0" w:rightChars="0" w:firstLine="640" w:firstLineChars="200"/>
        <w:jc w:val="center"/>
        <w:textAlignment w:val="auto"/>
        <w:outlineLvl w:val="9"/>
        <w:rPr>
          <w:rFonts w:hint="eastAsia" w:ascii="仿宋_GB2312" w:hAnsi="仿宋_GB2312" w:eastAsia="仿宋_GB2312" w:cs="仿宋_GB2312"/>
          <w:b w:val="0"/>
          <w:bCs w:val="0"/>
          <w:color w:val="000000"/>
          <w:sz w:val="32"/>
          <w:szCs w:val="32"/>
          <w:lang w:val="en-US" w:eastAsia="zh-CN"/>
        </w:rPr>
      </w:pPr>
    </w:p>
    <w:p w14:paraId="4ECA18B3">
      <w:pPr>
        <w:keepNext w:val="0"/>
        <w:keepLines w:val="0"/>
        <w:pageBreakBefore w:val="0"/>
        <w:numPr>
          <w:ilvl w:val="0"/>
          <w:numId w:val="0"/>
        </w:numPr>
        <w:kinsoku/>
        <w:wordWrap/>
        <w:overflowPunct/>
        <w:topLinePunct w:val="0"/>
        <w:autoSpaceDE/>
        <w:autoSpaceDN/>
        <w:bidi w:val="0"/>
        <w:spacing w:line="520" w:lineRule="exact"/>
        <w:ind w:leftChars="200" w:right="0" w:rightChars="0" w:firstLine="883" w:firstLineChars="200"/>
        <w:jc w:val="both"/>
        <w:textAlignment w:val="auto"/>
        <w:outlineLvl w:val="9"/>
        <w:rPr>
          <w:rFonts w:hint="eastAsia" w:ascii="方正小标宋简体" w:hAnsi="方正小标宋简体" w:eastAsia="方正小标宋简体" w:cs="方正小标宋简体"/>
          <w:b/>
          <w:bCs/>
          <w:color w:val="000000"/>
          <w:sz w:val="44"/>
          <w:szCs w:val="44"/>
          <w:lang w:eastAsia="zh-CN"/>
        </w:rPr>
      </w:pPr>
      <w:r>
        <w:rPr>
          <w:rFonts w:hint="eastAsia" w:ascii="方正小标宋简体" w:hAnsi="方正小标宋简体" w:eastAsia="方正小标宋简体" w:cs="方正小标宋简体"/>
          <w:b/>
          <w:bCs/>
          <w:color w:val="000000"/>
          <w:sz w:val="44"/>
          <w:szCs w:val="44"/>
          <w:lang w:val="en-US" w:eastAsia="zh-CN"/>
        </w:rPr>
        <w:t>江永县帮扶资金</w:t>
      </w:r>
      <w:r>
        <w:rPr>
          <w:rFonts w:hint="eastAsia" w:ascii="方正小标宋简体" w:hAnsi="方正小标宋简体" w:eastAsia="方正小标宋简体" w:cs="方正小标宋简体"/>
          <w:b/>
          <w:bCs/>
          <w:color w:val="000000"/>
          <w:sz w:val="44"/>
          <w:szCs w:val="44"/>
          <w:lang w:eastAsia="zh-CN"/>
        </w:rPr>
        <w:t>项目实施要求</w:t>
      </w:r>
    </w:p>
    <w:p w14:paraId="5FCBBD4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jc w:val="both"/>
        <w:textAlignment w:val="auto"/>
        <w:outlineLvl w:val="9"/>
        <w:rPr>
          <w:rFonts w:hint="eastAsia" w:ascii="仿宋_GB2312" w:hAnsi="仿宋_GB2312" w:eastAsia="仿宋_GB2312" w:cs="仿宋_GB2312"/>
          <w:b w:val="0"/>
          <w:bCs/>
          <w:color w:val="000000"/>
          <w:sz w:val="32"/>
          <w:szCs w:val="32"/>
        </w:rPr>
      </w:pPr>
    </w:p>
    <w:p w14:paraId="5DFEA01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lang w:val="en-US" w:eastAsia="zh-CN"/>
        </w:rPr>
        <w:t>一、</w:t>
      </w:r>
      <w:r>
        <w:rPr>
          <w:rFonts w:hint="eastAsia" w:ascii="黑体" w:hAnsi="黑体" w:eastAsia="黑体" w:cs="黑体"/>
          <w:b w:val="0"/>
          <w:bCs/>
          <w:color w:val="000000"/>
          <w:sz w:val="32"/>
          <w:szCs w:val="32"/>
        </w:rPr>
        <w:t>加快项目进度</w:t>
      </w:r>
    </w:p>
    <w:p w14:paraId="5019092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各乡镇政府和行业主管部门要督促建设单位在确保质量的前提下加快实施进度，及早完成项目建设任务。所有项目如无特殊情况应在</w:t>
      </w:r>
      <w:r>
        <w:rPr>
          <w:rFonts w:hint="eastAsia" w:ascii="仿宋_GB2312" w:hAnsi="仿宋_GB2312" w:eastAsia="仿宋_GB2312" w:cs="仿宋_GB2312"/>
          <w:color w:val="000000"/>
          <w:sz w:val="32"/>
          <w:szCs w:val="32"/>
          <w:shd w:val="clear" w:color="auto" w:fill="FFFFFF"/>
          <w:lang w:val="en-US" w:eastAsia="zh-CN"/>
        </w:rPr>
        <w:t>2026年9</w:t>
      </w:r>
      <w:r>
        <w:rPr>
          <w:rFonts w:hint="eastAsia" w:ascii="仿宋_GB2312" w:hAnsi="仿宋_GB2312" w:eastAsia="仿宋_GB2312" w:cs="仿宋_GB2312"/>
          <w:color w:val="000000"/>
          <w:sz w:val="32"/>
          <w:szCs w:val="32"/>
          <w:shd w:val="clear" w:color="auto" w:fill="FFFFFF"/>
        </w:rPr>
        <w:t>月</w:t>
      </w:r>
      <w:r>
        <w:rPr>
          <w:rFonts w:hint="eastAsia" w:ascii="仿宋_GB2312" w:hAnsi="仿宋_GB2312" w:eastAsia="仿宋_GB2312" w:cs="仿宋_GB2312"/>
          <w:color w:val="000000"/>
          <w:sz w:val="32"/>
          <w:szCs w:val="32"/>
          <w:shd w:val="clear" w:color="auto" w:fill="FFFFFF"/>
          <w:lang w:val="en-US" w:eastAsia="zh-CN"/>
        </w:rPr>
        <w:t>30</w:t>
      </w:r>
      <w:r>
        <w:rPr>
          <w:rFonts w:hint="eastAsia" w:ascii="仿宋_GB2312" w:hAnsi="仿宋_GB2312" w:eastAsia="仿宋_GB2312" w:cs="仿宋_GB2312"/>
          <w:color w:val="000000"/>
          <w:sz w:val="32"/>
          <w:szCs w:val="32"/>
          <w:shd w:val="clear" w:color="auto" w:fill="FFFFFF"/>
        </w:rPr>
        <w:t>日前开工建设，逾期未动工的，取消项目计划，并进行通报批评。</w:t>
      </w: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6</w:t>
      </w:r>
      <w:r>
        <w:rPr>
          <w:rFonts w:hint="eastAsia" w:ascii="仿宋_GB2312" w:hAnsi="仿宋_GB2312" w:eastAsia="仿宋_GB2312" w:cs="仿宋_GB2312"/>
          <w:color w:val="000000"/>
          <w:kern w:val="0"/>
          <w:sz w:val="32"/>
          <w:szCs w:val="32"/>
        </w:rPr>
        <w:t>年1</w:t>
      </w: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月</w:t>
      </w:r>
      <w:r>
        <w:rPr>
          <w:rFonts w:hint="eastAsia" w:ascii="仿宋_GB2312" w:hAnsi="仿宋_GB2312" w:eastAsia="仿宋_GB2312" w:cs="仿宋_GB2312"/>
          <w:color w:val="000000"/>
          <w:kern w:val="0"/>
          <w:sz w:val="32"/>
          <w:szCs w:val="32"/>
          <w:lang w:val="en-US" w:eastAsia="zh-CN"/>
        </w:rPr>
        <w:t>29</w:t>
      </w:r>
      <w:r>
        <w:rPr>
          <w:rFonts w:hint="eastAsia" w:ascii="仿宋_GB2312" w:hAnsi="仿宋_GB2312" w:eastAsia="仿宋_GB2312" w:cs="仿宋_GB2312"/>
          <w:color w:val="000000"/>
          <w:kern w:val="0"/>
          <w:sz w:val="32"/>
          <w:szCs w:val="32"/>
        </w:rPr>
        <w:t>日前全部完成年度项目建设任务，</w:t>
      </w:r>
      <w:r>
        <w:rPr>
          <w:rFonts w:hint="eastAsia" w:ascii="仿宋_GB2312" w:hAnsi="仿宋_GB2312" w:eastAsia="仿宋_GB2312" w:cs="仿宋_GB2312"/>
          <w:color w:val="000000"/>
          <w:sz w:val="32"/>
          <w:szCs w:val="32"/>
          <w:shd w:val="clear" w:color="auto" w:fill="FFFFFF"/>
        </w:rPr>
        <w:t>项目</w:t>
      </w:r>
      <w:r>
        <w:rPr>
          <w:rFonts w:hint="eastAsia" w:ascii="仿宋_GB2312" w:hAnsi="仿宋_GB2312" w:eastAsia="仿宋_GB2312" w:cs="仿宋_GB2312"/>
          <w:color w:val="000000"/>
          <w:kern w:val="0"/>
          <w:sz w:val="32"/>
          <w:szCs w:val="32"/>
        </w:rPr>
        <w:t>资金实际拨付进度达到100%。对虚报项目进度、项目实施和资金支付进度缓慢的，将追究项目实施责任人和相关行业部门的责任。</w:t>
      </w:r>
    </w:p>
    <w:p w14:paraId="75FE73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二、推进公开透明</w:t>
      </w:r>
    </w:p>
    <w:p w14:paraId="2A94F148">
      <w:pPr>
        <w:keepNext w:val="0"/>
        <w:keepLines w:val="0"/>
        <w:pageBreakBefore w:val="0"/>
        <w:widowControl/>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Cs/>
          <w:color w:val="000000"/>
          <w:kern w:val="0"/>
          <w:sz w:val="32"/>
          <w:szCs w:val="32"/>
        </w:rPr>
        <w:t>要</w:t>
      </w:r>
      <w:r>
        <w:rPr>
          <w:rFonts w:hint="eastAsia" w:ascii="仿宋_GB2312" w:hAnsi="仿宋_GB2312" w:eastAsia="仿宋_GB2312" w:cs="仿宋_GB2312"/>
          <w:color w:val="000000"/>
          <w:kern w:val="0"/>
          <w:sz w:val="32"/>
          <w:szCs w:val="32"/>
        </w:rPr>
        <w:t>认真落实《</w:t>
      </w:r>
      <w:r>
        <w:rPr>
          <w:rFonts w:hint="eastAsia" w:ascii="仿宋_GB2312" w:hAnsi="仿宋_GB2312" w:eastAsia="仿宋_GB2312" w:cs="仿宋_GB2312"/>
          <w:color w:val="000000"/>
          <w:kern w:val="0"/>
          <w:sz w:val="32"/>
          <w:szCs w:val="32"/>
          <w:lang w:eastAsia="zh-CN"/>
        </w:rPr>
        <w:t>中央</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val="en-US" w:eastAsia="zh-CN"/>
        </w:rPr>
        <w:t>常态化帮扶资金资金管理办法</w:t>
      </w:r>
      <w:r>
        <w:rPr>
          <w:rFonts w:hint="eastAsia" w:ascii="仿宋_GB2312" w:hAnsi="仿宋_GB2312" w:eastAsia="仿宋_GB2312" w:cs="仿宋_GB2312"/>
          <w:color w:val="000000"/>
          <w:kern w:val="0"/>
          <w:sz w:val="32"/>
          <w:szCs w:val="32"/>
        </w:rPr>
        <w:t>》的通知，做好项目资金公告公示，提高群众对项目资金的知晓度和满意度。项目计划下达后，乡镇、村（社区）应及时在政务（村务）公开栏进行公示。每个项目在实施前应进行项目实施方案公示。</w:t>
      </w:r>
      <w:r>
        <w:rPr>
          <w:rFonts w:hint="eastAsia" w:ascii="仿宋_GB2312" w:hAnsi="仿宋_GB2312" w:eastAsia="仿宋_GB2312" w:cs="仿宋_GB2312"/>
          <w:sz w:val="32"/>
          <w:szCs w:val="32"/>
          <w:lang w:val="en-US" w:eastAsia="zh-CN"/>
        </w:rPr>
        <w:t>在组织项目招标会期间严格审查参与招标单位相关资料,严禁用个人名义参与招标，在签订项目合同时予以有资质的公司签订。</w:t>
      </w:r>
      <w:r>
        <w:rPr>
          <w:rFonts w:hint="eastAsia" w:ascii="仿宋_GB2312" w:hAnsi="仿宋_GB2312" w:eastAsia="仿宋_GB2312" w:cs="仿宋_GB2312"/>
          <w:color w:val="000000"/>
          <w:kern w:val="0"/>
          <w:sz w:val="32"/>
          <w:szCs w:val="32"/>
        </w:rPr>
        <w:t>项目竣工验收后，要进行完工公示。乡镇及村（社区）年底时应对本区域的所有衔接项目实施完成情况予以公示。公示时间不低于10天，公示时要明确举报电话、受理单位及公示期限等。乡镇及村（社区）在公示时，应对公示内容拍摄远、近照片并</w:t>
      </w:r>
      <w:r>
        <w:rPr>
          <w:rFonts w:hint="eastAsia" w:ascii="仿宋_GB2312" w:hAnsi="仿宋_GB2312" w:eastAsia="仿宋_GB2312" w:cs="仿宋_GB2312"/>
          <w:color w:val="000000"/>
          <w:sz w:val="32"/>
          <w:szCs w:val="32"/>
        </w:rPr>
        <w:t>存档。要扩大公示的范围，要在行政村（社区）及具体实施地的自然村（组）公示</w:t>
      </w:r>
      <w:r>
        <w:rPr>
          <w:rFonts w:hint="eastAsia" w:ascii="仿宋_GB2312" w:hAnsi="仿宋_GB2312" w:eastAsia="仿宋_GB2312" w:cs="仿宋_GB2312"/>
          <w:color w:val="000000"/>
          <w:kern w:val="0"/>
          <w:sz w:val="32"/>
          <w:szCs w:val="32"/>
        </w:rPr>
        <w:t>。</w:t>
      </w:r>
    </w:p>
    <w:p w14:paraId="75CB8AF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三、做好指导监管</w:t>
      </w:r>
    </w:p>
    <w:p w14:paraId="4AAB68A0">
      <w:pPr>
        <w:keepNext w:val="0"/>
        <w:keepLines w:val="0"/>
        <w:pageBreakBefore w:val="0"/>
        <w:widowControl/>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color w:val="000000"/>
          <w:kern w:val="0"/>
          <w:sz w:val="32"/>
          <w:szCs w:val="32"/>
        </w:rPr>
        <w:t>严格执行财政专项衔接资金管理的有关规定，任何单位和个人不得套取、私分、截留、挤占、挪用和超范围使用财政专项衔接</w:t>
      </w:r>
      <w:r>
        <w:rPr>
          <w:rFonts w:hint="eastAsia" w:ascii="仿宋_GB2312" w:hAnsi="仿宋_GB2312" w:eastAsia="仿宋_GB2312" w:cs="仿宋_GB2312"/>
          <w:color w:val="000000"/>
          <w:sz w:val="32"/>
          <w:szCs w:val="32"/>
        </w:rPr>
        <w:t>资金。纪检、审计、</w:t>
      </w:r>
      <w:r>
        <w:rPr>
          <w:rFonts w:hint="eastAsia" w:ascii="仿宋_GB2312" w:hAnsi="仿宋_GB2312" w:eastAsia="仿宋_GB2312" w:cs="仿宋_GB2312"/>
          <w:color w:val="000000"/>
          <w:kern w:val="0"/>
          <w:sz w:val="32"/>
          <w:szCs w:val="32"/>
        </w:rPr>
        <w:t>财政等部门要加强对项目招投标、项目资金公告公示、工程质量和资金使用管理等方面情况的</w:t>
      </w:r>
      <w:r>
        <w:rPr>
          <w:rFonts w:hint="eastAsia" w:ascii="仿宋_GB2312" w:hAnsi="仿宋_GB2312" w:eastAsia="仿宋_GB2312" w:cs="仿宋_GB2312"/>
          <w:color w:val="000000"/>
          <w:kern w:val="0"/>
          <w:sz w:val="32"/>
          <w:szCs w:val="32"/>
          <w:lang w:val="en-US" w:eastAsia="zh-CN"/>
        </w:rPr>
        <w:t>监管</w:t>
      </w:r>
      <w:r>
        <w:rPr>
          <w:rFonts w:hint="eastAsia" w:ascii="仿宋_GB2312" w:hAnsi="仿宋_GB2312" w:eastAsia="仿宋_GB2312" w:cs="仿宋_GB2312"/>
          <w:color w:val="000000"/>
          <w:kern w:val="0"/>
          <w:sz w:val="32"/>
          <w:szCs w:val="32"/>
        </w:rPr>
        <w:t>，坚决查处衔接资金领域的违规违纪行为。</w:t>
      </w:r>
    </w:p>
    <w:p w14:paraId="2EFA21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四、项目建设标准</w:t>
      </w:r>
    </w:p>
    <w:p w14:paraId="12985B8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（一）机耕道：</w:t>
      </w:r>
      <w:r>
        <w:rPr>
          <w:rFonts w:hint="eastAsia" w:ascii="仿宋_GB2312" w:hAnsi="仿宋_GB2312" w:eastAsia="仿宋_GB2312" w:cs="仿宋_GB2312"/>
          <w:sz w:val="32"/>
          <w:szCs w:val="32"/>
          <w:lang w:val="en-US" w:eastAsia="zh-CN"/>
        </w:rPr>
        <w:t>路肩高在60公分左右，如使用浆砌石砌筑，上下底宽均40公分；使用毛石混凝土，宽度0.35米；高在60公分至80公分，使用浆砌石砌筑，基础底宽0.5米，上顶宽不超过0.5米。超过80公分高不得用毛石混凝土砌筑。机耕道碎石面层要掺合凝结粉。</w:t>
      </w:r>
    </w:p>
    <w:p w14:paraId="1590B451">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（二）挡土墙：</w:t>
      </w:r>
      <w:r>
        <w:rPr>
          <w:rFonts w:hint="eastAsia" w:ascii="仿宋_GB2312" w:hAnsi="仿宋_GB2312" w:eastAsia="仿宋_GB2312" w:cs="仿宋_GB2312"/>
          <w:sz w:val="32"/>
          <w:szCs w:val="32"/>
          <w:lang w:val="en-US" w:eastAsia="zh-CN"/>
        </w:rPr>
        <w:t>在80公分至1.2米，基础底宽不得超过0.7米，厚度不得超过0.3米，上顶宽不超过0.6米。挡土墙在1.2米至1.5米，基础宽度不超过0.8米，厚度不得超过0.5米，上顶宽不超过0.6米。挡土墙在1.5米至2米，基础宽度不超过1.2米，厚度不能超过0.6米，上顶宽不超过0.6米。</w:t>
      </w:r>
    </w:p>
    <w:p w14:paraId="494F60E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b/>
          <w:bCs/>
          <w:sz w:val="32"/>
          <w:szCs w:val="32"/>
          <w:lang w:val="en-US" w:eastAsia="zh-CN"/>
        </w:rPr>
        <w:t>混凝土：</w:t>
      </w:r>
      <w:r>
        <w:rPr>
          <w:rFonts w:hint="eastAsia" w:ascii="仿宋_GB2312" w:hAnsi="仿宋_GB2312" w:eastAsia="仿宋_GB2312" w:cs="仿宋_GB2312"/>
          <w:sz w:val="32"/>
          <w:szCs w:val="32"/>
          <w:lang w:val="en-US" w:eastAsia="zh-CN"/>
        </w:rPr>
        <w:t>渠道40*40至60*60渠，壁厚15公分；80*80以上渠，渠壁厚20公分至25公分；60*60渠（含60*60渠）以上，渠道内需要增加20米一处的撑杆。混凝土渠道、坝、水泥硬化道路、桥梁等（除浆砌石砌筑可用325#水泥以外），水泥均采用425#水泥,未按标准实施的项目不予以验收。</w:t>
      </w:r>
    </w:p>
    <w:p w14:paraId="796C07A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五、安全生产责任</w:t>
      </w:r>
    </w:p>
    <w:p w14:paraId="5EB696C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严格落实建设实施主体安全生产责任及属地管理原则，认真开展建设期间的安全生产宣传及培训，在项目施工中要求施工方配齐施工警示标志、施工人员佩戴安全帽、购买人身安全保险，确保群众生命财产安全。</w:t>
      </w:r>
    </w:p>
    <w:p w14:paraId="3882817D">
      <w:bookmarkStart w:id="0" w:name="_GoBack"/>
      <w:bookmarkEnd w:id="0"/>
    </w:p>
    <w:sectPr>
      <w:headerReference r:id="rId3" w:type="default"/>
      <w:footerReference r:id="rId4" w:type="default"/>
      <w:footerReference r:id="rId5" w:type="even"/>
      <w:pgSz w:w="11906" w:h="16838"/>
      <w:pgMar w:top="1417" w:right="1417" w:bottom="1417"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21568">
    <w:pPr>
      <w:pStyle w:val="2"/>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BD61113">
                          <w:pPr>
                            <w:pStyle w:val="2"/>
                            <w:rPr>
                              <w:rStyle w:val="6"/>
                            </w:rPr>
                          </w:pPr>
                          <w:r>
                            <w:rPr>
                              <w:rStyle w:val="6"/>
                            </w:rPr>
                            <w:t xml:space="preserve">— </w:t>
                          </w:r>
                          <w:r>
                            <w:rPr>
                              <w:rStyle w:val="6"/>
                            </w:rPr>
                            <w:fldChar w:fldCharType="begin"/>
                          </w:r>
                          <w:r>
                            <w:rPr>
                              <w:rStyle w:val="6"/>
                            </w:rPr>
                            <w:instrText xml:space="preserve"> PAGE  \* MERGEFORMAT </w:instrText>
                          </w:r>
                          <w:r>
                            <w:rPr>
                              <w:rStyle w:val="6"/>
                            </w:rPr>
                            <w:fldChar w:fldCharType="separate"/>
                          </w:r>
                          <w:r>
                            <w:rPr>
                              <w:rStyle w:val="6"/>
                            </w:rPr>
                            <w:t>- 1 -</w:t>
                          </w:r>
                          <w:r>
                            <w:rPr>
                              <w:rStyle w:val="6"/>
                            </w:rPr>
                            <w:fldChar w:fldCharType="end"/>
                          </w:r>
                          <w:r>
                            <w:rPr>
                              <w:rStyle w:val="6"/>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0BD61113">
                    <w:pPr>
                      <w:pStyle w:val="2"/>
                      <w:rPr>
                        <w:rStyle w:val="6"/>
                      </w:rPr>
                    </w:pPr>
                    <w:r>
                      <w:rPr>
                        <w:rStyle w:val="6"/>
                      </w:rPr>
                      <w:t xml:space="preserve">— </w:t>
                    </w:r>
                    <w:r>
                      <w:rPr>
                        <w:rStyle w:val="6"/>
                      </w:rPr>
                      <w:fldChar w:fldCharType="begin"/>
                    </w:r>
                    <w:r>
                      <w:rPr>
                        <w:rStyle w:val="6"/>
                      </w:rPr>
                      <w:instrText xml:space="preserve"> PAGE  \* MERGEFORMAT </w:instrText>
                    </w:r>
                    <w:r>
                      <w:rPr>
                        <w:rStyle w:val="6"/>
                      </w:rPr>
                      <w:fldChar w:fldCharType="separate"/>
                    </w:r>
                    <w:r>
                      <w:rPr>
                        <w:rStyle w:val="6"/>
                      </w:rPr>
                      <w:t>- 1 -</w:t>
                    </w:r>
                    <w:r>
                      <w:rPr>
                        <w:rStyle w:val="6"/>
                      </w:rPr>
                      <w:fldChar w:fldCharType="end"/>
                    </w:r>
                    <w:r>
                      <w:rPr>
                        <w:rStyle w:val="6"/>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8AE8D">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2</w:t>
    </w:r>
    <w:r>
      <w:fldChar w:fldCharType="end"/>
    </w:r>
  </w:p>
  <w:p w14:paraId="4543756F">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92715">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50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2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99"/>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2026-09-16T03:25:45Z</dcterms:created>
  <dc:creator>Administrator</dc:creator>
  <cp:lastModifiedBy>田文</cp:lastModifiedBy>
  <cp:lastPrinted>2026-09-16T03:26:56Z</cp:lastPrinted>
  <dcterms:modified xsi:type="dcterms:W3CDTF">2026-09-16T03:27:58Z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eyJoZGlkIjoiMmNkYzA5NmY0ZGQ4OTYxZjJjMjYyM2U1MDliNmU0ZDEiLCJ1c2VySWQiOiIxMTIwNTUxNTA1In0=</vt:lpwstr>
  </property>
  <property fmtid="{D5CDD505-2E9C-101B-9397-08002B2CF9AE}" pid="4" name="ICV">
    <vt:lpwstr>0C7674B246CB442B874EB436BBBBE0B1_12</vt:lpwstr>
  </property>
</Properties>
</file>