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firstLine="0" w:firstLineChars="0"/>
        <w:jc w:val="center"/>
        <w:textAlignment w:val="auto"/>
        <w:rPr>
          <w:rFonts w:ascii="Arial" w:hAnsi="Arial" w:eastAsia="方正小标宋简体" w:cs="Arial"/>
          <w:b w:val="0"/>
          <w:bCs w:val="0"/>
          <w:color w:val="111516"/>
          <w:kern w:val="0"/>
          <w:sz w:val="44"/>
          <w:szCs w:val="44"/>
        </w:rPr>
      </w:pPr>
      <w:r>
        <w:rPr>
          <w:rFonts w:hint="eastAsia" w:ascii="Arial" w:hAnsi="Arial" w:eastAsia="方正小标宋简体" w:cs="Arial"/>
          <w:b w:val="0"/>
          <w:bCs w:val="0"/>
          <w:color w:val="111516"/>
          <w:kern w:val="0"/>
          <w:sz w:val="44"/>
          <w:szCs w:val="44"/>
          <w:lang w:eastAsia="zh-CN"/>
        </w:rPr>
        <w:t>江永</w:t>
      </w:r>
      <w:r>
        <w:rPr>
          <w:rFonts w:hint="eastAsia" w:ascii="Arial" w:hAnsi="Arial" w:eastAsia="方正小标宋简体" w:cs="Arial"/>
          <w:b w:val="0"/>
          <w:bCs w:val="0"/>
          <w:color w:val="111516"/>
          <w:kern w:val="0"/>
          <w:sz w:val="44"/>
          <w:szCs w:val="44"/>
        </w:rPr>
        <w:t>县关于“林业部门对自然保护地保护</w:t>
      </w:r>
      <w:r>
        <w:rPr>
          <w:rFonts w:hint="eastAsia" w:ascii="Arial" w:hAnsi="Arial" w:eastAsia="方正小标宋简体" w:cs="Arial"/>
          <w:b w:val="0"/>
          <w:bCs w:val="0"/>
          <w:color w:val="111516"/>
          <w:kern w:val="0"/>
          <w:sz w:val="44"/>
          <w:szCs w:val="44"/>
          <w:lang w:eastAsia="zh-CN"/>
        </w:rPr>
        <w:t>监</w:t>
      </w:r>
      <w:r>
        <w:rPr>
          <w:rFonts w:hint="eastAsia" w:ascii="Arial" w:hAnsi="Arial" w:eastAsia="方正小标宋简体" w:cs="Arial"/>
          <w:b w:val="0"/>
          <w:bCs w:val="0"/>
          <w:color w:val="111516"/>
          <w:kern w:val="0"/>
          <w:sz w:val="44"/>
          <w:szCs w:val="44"/>
        </w:rPr>
        <w:t>管不到位”问题整改落实情况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firstLine="0" w:firstLineChars="0"/>
        <w:textAlignment w:val="auto"/>
        <w:rPr>
          <w:rFonts w:ascii="Arial" w:hAnsi="Arial" w:eastAsia="仿宋_GB2312" w:cs="Arial"/>
          <w:b w:val="0"/>
          <w:bCs w:val="0"/>
          <w:color w:val="111516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根据《湖南省生态环境保护督察和整改工作领导小组办公室关于贯彻落实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湖南省生态环境保护督察整改工作实施办法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有关事项的函》（湘环督办函〔2023〕70号）要求，现将第二轮省生态环境保护督察反馈的“林业部门对自然保护地保护监管不到位”共性问题整改落实情况报告如下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：</w:t>
      </w:r>
    </w:p>
    <w:p>
      <w:pPr>
        <w:pStyle w:val="15"/>
        <w:keepNext w:val="0"/>
        <w:keepLines w:val="0"/>
        <w:pageBreakBefore w:val="0"/>
        <w:widowControl w:val="0"/>
        <w:numPr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firstLine="692" w:firstLineChars="200"/>
        <w:textAlignment w:val="auto"/>
        <w:rPr>
          <w:rFonts w:ascii="宋体" w:hAnsi="Times New Roman" w:eastAsia="黑体" w:cs="宋体"/>
          <w:b w:val="0"/>
          <w:bCs w:val="0"/>
          <w:color w:val="auto"/>
          <w:spacing w:val="5"/>
          <w:w w:val="105"/>
          <w:kern w:val="0"/>
          <w:sz w:val="32"/>
          <w:szCs w:val="32"/>
        </w:rPr>
      </w:pPr>
      <w:r>
        <w:rPr>
          <w:rFonts w:hint="eastAsia" w:ascii="宋体" w:hAnsi="Times New Roman" w:eastAsia="黑体" w:cs="宋体"/>
          <w:b w:val="0"/>
          <w:bCs w:val="0"/>
          <w:color w:val="auto"/>
          <w:spacing w:val="5"/>
          <w:w w:val="105"/>
          <w:kern w:val="0"/>
          <w:sz w:val="32"/>
          <w:szCs w:val="32"/>
          <w:lang w:eastAsia="zh-CN"/>
        </w:rPr>
        <w:t>一、</w:t>
      </w:r>
      <w:r>
        <w:rPr>
          <w:rFonts w:hint="eastAsia" w:ascii="宋体" w:hAnsi="Times New Roman" w:eastAsia="黑体" w:cs="宋体"/>
          <w:b w:val="0"/>
          <w:bCs w:val="0"/>
          <w:color w:val="auto"/>
          <w:spacing w:val="5"/>
          <w:w w:val="105"/>
          <w:kern w:val="0"/>
          <w:sz w:val="32"/>
          <w:szCs w:val="32"/>
        </w:rPr>
        <w:t>反馈问题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firstLine="640" w:firstLineChars="200"/>
        <w:textAlignment w:val="auto"/>
        <w:rPr>
          <w:rFonts w:ascii="Arial" w:hAnsi="Arial" w:eastAsia="仿宋_GB2312" w:cs="Arial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林业部门对自然保护地保护监管不到位。</w:t>
      </w:r>
    </w:p>
    <w:p>
      <w:pPr>
        <w:pStyle w:val="15"/>
        <w:keepNext w:val="0"/>
        <w:keepLines w:val="0"/>
        <w:pageBreakBefore w:val="0"/>
        <w:widowControl w:val="0"/>
        <w:numPr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firstLine="692" w:firstLineChars="200"/>
        <w:textAlignment w:val="auto"/>
        <w:rPr>
          <w:rFonts w:hint="eastAsia" w:ascii="宋体" w:hAnsi="Times New Roman" w:eastAsia="黑体" w:cs="宋体"/>
          <w:b w:val="0"/>
          <w:bCs w:val="0"/>
          <w:color w:val="auto"/>
          <w:spacing w:val="5"/>
          <w:w w:val="105"/>
          <w:kern w:val="0"/>
          <w:sz w:val="32"/>
          <w:szCs w:val="32"/>
        </w:rPr>
      </w:pPr>
      <w:r>
        <w:rPr>
          <w:rFonts w:hint="eastAsia" w:ascii="宋体" w:hAnsi="Times New Roman" w:eastAsia="黑体" w:cs="宋体"/>
          <w:b w:val="0"/>
          <w:bCs w:val="0"/>
          <w:color w:val="auto"/>
          <w:spacing w:val="5"/>
          <w:w w:val="105"/>
          <w:kern w:val="0"/>
          <w:sz w:val="32"/>
          <w:szCs w:val="32"/>
          <w:lang w:eastAsia="zh-CN"/>
        </w:rPr>
        <w:t>二、</w:t>
      </w:r>
      <w:r>
        <w:rPr>
          <w:rFonts w:hint="eastAsia" w:ascii="宋体" w:hAnsi="Times New Roman" w:eastAsia="黑体" w:cs="宋体"/>
          <w:b w:val="0"/>
          <w:bCs w:val="0"/>
          <w:color w:val="auto"/>
          <w:spacing w:val="5"/>
          <w:w w:val="105"/>
          <w:kern w:val="0"/>
          <w:sz w:val="32"/>
          <w:szCs w:val="32"/>
        </w:rPr>
        <w:t>整改目标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楷体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深入贯彻落实习近平生态文明思想，全面加强自然保护地监管及生态破坏行为的查处，确保自然保护地得到有效监管和保护，优化健全自然保护地管理体系及管理水平，确保生物多样性和生态系统服务功能得到有效维护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firstLine="692" w:firstLineChars="200"/>
        <w:textAlignment w:val="auto"/>
        <w:rPr>
          <w:rFonts w:ascii="宋体" w:hAnsi="Times New Roman" w:eastAsia="黑体" w:cs="宋体"/>
          <w:b w:val="0"/>
          <w:bCs w:val="0"/>
          <w:color w:val="auto"/>
          <w:spacing w:val="5"/>
          <w:w w:val="105"/>
          <w:kern w:val="0"/>
          <w:sz w:val="32"/>
          <w:szCs w:val="32"/>
        </w:rPr>
      </w:pPr>
      <w:r>
        <w:rPr>
          <w:rFonts w:hint="eastAsia" w:ascii="宋体" w:hAnsi="Times New Roman" w:eastAsia="黑体" w:cs="宋体"/>
          <w:b w:val="0"/>
          <w:bCs w:val="0"/>
          <w:color w:val="auto"/>
          <w:spacing w:val="5"/>
          <w:w w:val="105"/>
          <w:kern w:val="0"/>
          <w:sz w:val="32"/>
          <w:szCs w:val="32"/>
        </w:rPr>
        <w:t xml:space="preserve">三、整改措施 </w:t>
      </w:r>
    </w:p>
    <w:p>
      <w:pPr>
        <w:pStyle w:val="17"/>
        <w:keepNext w:val="0"/>
        <w:keepLines w:val="0"/>
        <w:pageBreakBefore w:val="0"/>
        <w:widowControl w:val="0"/>
        <w:wordWrap/>
        <w:topLinePunct w:val="0"/>
        <w:bidi w:val="0"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Arial" w:hAnsi="Arial" w:eastAsia="楷体_GB2312" w:cs="Arial"/>
          <w:b w:val="0"/>
          <w:bCs w:val="0"/>
          <w:color w:val="auto"/>
          <w:kern w:val="0"/>
          <w:sz w:val="32"/>
          <w:szCs w:val="32"/>
        </w:rPr>
        <w:t>（一）开展宣传教育。</w:t>
      </w:r>
      <w:r>
        <w:rPr>
          <w:rFonts w:hint="eastAsia" w:ascii="Times New Roman" w:hAnsi="Times New Roman" w:eastAsia="仿宋_GB2312"/>
          <w:b w:val="0"/>
          <w:bCs w:val="0"/>
          <w:color w:val="auto"/>
          <w:kern w:val="0"/>
          <w:sz w:val="32"/>
          <w:szCs w:val="32"/>
        </w:rPr>
        <w:t>组织开展系列自然保护地宣传活动，利用媒体、网络、户外广告等多种渠道，广泛宣传自然保护地的重要性，倡导公众参与自然生态保护，提升社会关注度和参与度。</w:t>
      </w:r>
    </w:p>
    <w:p>
      <w:pPr>
        <w:pStyle w:val="17"/>
        <w:keepNext w:val="0"/>
        <w:keepLines w:val="0"/>
        <w:pageBreakBefore w:val="0"/>
        <w:widowControl w:val="0"/>
        <w:wordWrap/>
        <w:topLinePunct w:val="0"/>
        <w:bidi w:val="0"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Arial" w:hAnsi="Arial" w:eastAsia="楷体_GB2312" w:cs="Arial"/>
          <w:b w:val="0"/>
          <w:bCs w:val="0"/>
          <w:color w:val="auto"/>
          <w:kern w:val="0"/>
          <w:sz w:val="32"/>
          <w:szCs w:val="32"/>
        </w:rPr>
        <w:t>（二）加强日常监管。</w:t>
      </w:r>
      <w:r>
        <w:rPr>
          <w:rFonts w:hint="eastAsia" w:ascii="Times New Roman" w:hAnsi="Times New Roman" w:eastAsia="仿宋_GB2312"/>
          <w:b w:val="0"/>
          <w:bCs w:val="0"/>
          <w:color w:val="auto"/>
          <w:kern w:val="0"/>
          <w:sz w:val="32"/>
          <w:szCs w:val="32"/>
        </w:rPr>
        <w:t>结合林长制“一长四员”加强对自然保护地的巡查管护，完善管护台账，及时发现问题；理顺自然保护地生态环境问题执法体系，对自然保护地内发现的违法违规行为快速反应和联合执法，及时查处到位。</w:t>
      </w:r>
    </w:p>
    <w:p>
      <w:pPr>
        <w:pStyle w:val="17"/>
        <w:keepNext w:val="0"/>
        <w:keepLines w:val="0"/>
        <w:pageBreakBefore w:val="0"/>
        <w:widowControl w:val="0"/>
        <w:wordWrap/>
        <w:topLinePunct w:val="0"/>
        <w:bidi w:val="0"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Arial" w:hAnsi="Arial" w:eastAsia="楷体_GB2312" w:cs="Arial"/>
          <w:b w:val="0"/>
          <w:bCs w:val="0"/>
          <w:color w:val="auto"/>
          <w:kern w:val="0"/>
          <w:sz w:val="32"/>
          <w:szCs w:val="32"/>
        </w:rPr>
        <w:t>（三）强化问题整改。</w:t>
      </w:r>
      <w:r>
        <w:rPr>
          <w:rFonts w:hint="eastAsia" w:ascii="Times New Roman" w:hAnsi="Times New Roman" w:eastAsia="仿宋_GB2312"/>
          <w:b w:val="0"/>
          <w:bCs w:val="0"/>
          <w:color w:val="auto"/>
          <w:kern w:val="0"/>
          <w:sz w:val="32"/>
          <w:szCs w:val="32"/>
        </w:rPr>
        <w:t>继续按要求开展“绿盾”“自然保护地全面监督”等专项行动，做好自然保护地违法违规问题自查排查和线索核查，对发现的生态环境问题，逐一制定整改方案，并按照《湖南省自然保护区生态环境问题整改销号实施细则》（湘环发〔2023〕26号）、《湖南省自然保护地生态问题整改销号实施办法</w:t>
      </w:r>
      <w:r>
        <w:rPr>
          <w:rFonts w:hint="eastAsia" w:ascii="Times New Roman" w:hAnsi="Times New Roman" w:eastAsia="仿宋_GB2312"/>
          <w:b w:val="0"/>
          <w:bCs w:val="0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b w:val="0"/>
          <w:bCs w:val="0"/>
          <w:color w:val="auto"/>
          <w:kern w:val="0"/>
          <w:sz w:val="32"/>
          <w:szCs w:val="32"/>
        </w:rPr>
        <w:t>试行</w:t>
      </w:r>
      <w:r>
        <w:rPr>
          <w:rFonts w:hint="eastAsia" w:ascii="Times New Roman" w:hAnsi="Times New Roman" w:eastAsia="仿宋_GB2312"/>
          <w:b w:val="0"/>
          <w:bCs w:val="0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b w:val="0"/>
          <w:bCs w:val="0"/>
          <w:color w:val="auto"/>
          <w:kern w:val="0"/>
          <w:sz w:val="32"/>
          <w:szCs w:val="32"/>
        </w:rPr>
        <w:t>》（湘林保</w:t>
      </w:r>
      <w:r>
        <w:rPr>
          <w:rFonts w:hint="eastAsia" w:ascii="Times New Roman" w:hAnsi="Times New Roman" w:eastAsia="仿宋_GB2312"/>
          <w:b w:val="0"/>
          <w:bCs w:val="0"/>
          <w:color w:val="auto"/>
          <w:kern w:val="0"/>
          <w:sz w:val="32"/>
          <w:szCs w:val="32"/>
          <w:lang w:eastAsia="zh-CN"/>
        </w:rPr>
        <w:t>〔2023〕9号</w:t>
      </w:r>
      <w:r>
        <w:rPr>
          <w:rFonts w:hint="eastAsia" w:ascii="Times New Roman" w:hAnsi="Times New Roman" w:eastAsia="仿宋_GB2312"/>
          <w:b w:val="0"/>
          <w:bCs w:val="0"/>
          <w:color w:val="auto"/>
          <w:kern w:val="0"/>
          <w:sz w:val="32"/>
          <w:szCs w:val="32"/>
        </w:rPr>
        <w:t>）等规定整改销号。</w:t>
      </w:r>
    </w:p>
    <w:p>
      <w:pPr>
        <w:pStyle w:val="17"/>
        <w:keepNext w:val="0"/>
        <w:keepLines w:val="0"/>
        <w:pageBreakBefore w:val="0"/>
        <w:widowControl w:val="0"/>
        <w:wordWrap/>
        <w:topLinePunct w:val="0"/>
        <w:bidi w:val="0"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Arial" w:hAnsi="Arial" w:eastAsia="楷体_GB2312" w:cs="Arial"/>
          <w:b w:val="0"/>
          <w:bCs w:val="0"/>
          <w:color w:val="auto"/>
          <w:kern w:val="0"/>
          <w:sz w:val="32"/>
          <w:szCs w:val="32"/>
        </w:rPr>
        <w:t>（四）健全工作机制。</w:t>
      </w:r>
      <w:r>
        <w:rPr>
          <w:rFonts w:hint="eastAsia" w:ascii="Times New Roman" w:hAnsi="Times New Roman" w:eastAsia="仿宋_GB2312"/>
          <w:b w:val="0"/>
          <w:bCs w:val="0"/>
          <w:color w:val="auto"/>
          <w:kern w:val="0"/>
          <w:sz w:val="32"/>
          <w:szCs w:val="32"/>
        </w:rPr>
        <w:t>建立自然保护地监管工作协作机制，明确各部门的工作职责，加强林业与生态环境、自然资源等部门之间的信息共享和工作协同。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firstLine="692" w:firstLineChars="200"/>
        <w:textAlignment w:val="auto"/>
        <w:rPr>
          <w:rFonts w:ascii="宋体" w:hAnsi="Times New Roman" w:eastAsia="黑体" w:cs="宋体"/>
          <w:b w:val="0"/>
          <w:bCs w:val="0"/>
          <w:color w:val="auto"/>
          <w:spacing w:val="5"/>
          <w:w w:val="105"/>
          <w:kern w:val="0"/>
          <w:sz w:val="32"/>
          <w:szCs w:val="32"/>
        </w:rPr>
      </w:pPr>
      <w:r>
        <w:rPr>
          <w:rFonts w:hint="eastAsia" w:ascii="宋体" w:hAnsi="Times New Roman" w:eastAsia="黑体" w:cs="宋体"/>
          <w:b w:val="0"/>
          <w:bCs w:val="0"/>
          <w:color w:val="auto"/>
          <w:spacing w:val="5"/>
          <w:w w:val="105"/>
          <w:kern w:val="0"/>
          <w:sz w:val="32"/>
          <w:szCs w:val="32"/>
        </w:rPr>
        <w:t>四、整改落实情况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firstLine="640" w:firstLineChars="200"/>
        <w:textAlignment w:val="auto"/>
        <w:rPr>
          <w:rFonts w:hint="eastAsia" w:ascii="Arial" w:hAnsi="Arial" w:eastAsia="楷体_GB2312" w:cs="Arial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楷体_GB2312" w:cs="Arial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（一）开展宣传教育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广泛宣传。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今年，县林业局、都庞岭国家自然保护区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江永高泽源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分局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、永明河国家湿地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公园管理局、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千家峒森林公园管理局、源口省级自然保护区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等单位充分利用“世界湿地日”“世界野生动植物日”“国际生物多样性日”等宣传节日，采取悬挂横幅、摆放展板、发放资料、设置展台等方式，广泛宣传自然保护地法规和保护常识。我市首届“走进都庞岭、关注保护地”摄影、短视频、演讲比赛系列宣传活动启动仪式在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举行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，我县积极响应，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充分展示了我市自然保护地风光，推动生态保护建设。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2.改造了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野生动植物宣教馆。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2024年改造了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都庞岭国家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级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自然保护区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/>
        </w:rPr>
        <w:t>高泽源管理分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局宣教中心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，整体面积约：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380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余m²共有两个展馆（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植物及自然资源标本馆动物资源标本馆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）下设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10个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展区，标本1000余件，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预计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年正式对外开放，年接待人数1000人以上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3.建立了候鸟观测站。2024年我县加强了对候鸟的监测工作，设置了两个监测点（源口省级自然保护区、高泽源盘山分场），配备监测设备和专业人员，及时掌握候鸟的迁徙动态和栖息情况。建立候鸟救助机制，设立救助热线，对受伤、生病的候鸟及时进行救助和治疗。今年已救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助候鸟等野生动物18只。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在网络等媒体上积极发表自然保护地工作新闻，让群众知晓保护地工作管理动态。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firstLine="640" w:firstLineChars="200"/>
        <w:textAlignment w:val="auto"/>
        <w:rPr>
          <w:rFonts w:hint="eastAsia" w:ascii="Arial" w:hAnsi="Arial" w:eastAsia="楷体_GB2312" w:cs="Arial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楷体_GB2312" w:cs="Arial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（二）加强巡护监管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我县制定了《关于加强全县自然保护地常态化监督管理工作的通知》，要求各管理机构要提高政治站位，增强监管意识；压实责任担当，细化监管任务；明确监管事权，厘清职能职责；做好执法衔接，强化执法效能；严格履职监管，强化责任追究等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各管理机构结合林长制 “一长四员”切实加强对自然保护地的巡查巡护，建立台账。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 xml:space="preserve">根据《国家林草局办公室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关于做好林草行政执法与生态环境保护综合行政执法衔接的通知》（办法字〔2020〕26号）等精神，加强与生态环境部门沟通协调配合，及时将保护地生态环境问题线索移交生态环境部门。管理机构、林业、环保、自然资源等各相关职能部门密切配合，依法依规及时查处到位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（三）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</w:rPr>
        <w:t>加强问题整改。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今年，我县组织自然保护地管理机构对保护地开展了“突出生态环境问题大排查大整治大执法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‘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利剑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’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行动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”“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2023年长江经济带生态环境警示片披露问题和2024年省生态环境保护督察交办转办问题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‘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举一反三、以改促治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’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排查整治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”“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自然保护地全面监督”等专项行动。通过专项行动，共核查省局交办问题线索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个已整改到位。</w:t>
      </w:r>
    </w:p>
    <w:p>
      <w:pPr>
        <w:keepNext w:val="0"/>
        <w:keepLines w:val="0"/>
        <w:pageBreakBefore w:val="0"/>
        <w:widowControl w:val="0"/>
        <w:wordWrap/>
        <w:topLinePunct w:val="0"/>
        <w:autoSpaceDE w:val="0"/>
        <w:bidi w:val="0"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（四）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</w:rPr>
        <w:t>完善协调机制。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为进一步加强全县自然保护地和湿地保护管理，今年县人民政府建立了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江永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县自然保护地（湿地）工作协调机制。切实加强组织领导，分管副县长为召集人，政府办副主任和县林业局主要负责人为副召集人，县发改局、县科工局、县司法局、县财政局、县自然资源局、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市生态环境局江永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分局、县交通局、县水利局、县农业农村局和县文旅广体局等单位分管领导为成员。制定了《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江永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县自然保护地（湿地）工作协调机制工作规则》，规则明确了协调机制的主要职责、成员单位的任务分工和工作制度，以及工作要求。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firstLine="640" w:firstLineChars="200"/>
        <w:textAlignment w:val="auto"/>
        <w:rPr>
          <w:rFonts w:hint="eastAsia" w:ascii="Arial" w:hAnsi="Arial" w:eastAsia="楷体_GB2312" w:cs="Arial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楷体_GB2312" w:cs="Arial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（五）下一步工作</w:t>
      </w:r>
    </w:p>
    <w:p>
      <w:pPr>
        <w:keepNext w:val="0"/>
        <w:keepLines w:val="0"/>
        <w:pageBreakBefore w:val="0"/>
        <w:widowControl w:val="0"/>
        <w:wordWrap/>
        <w:topLinePunct w:val="0"/>
        <w:autoSpaceDE w:val="0"/>
        <w:bidi w:val="0"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1. 持续加强对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自然保护地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的监管，不断完善监管方式和手段，提高监管效能。</w:t>
      </w:r>
    </w:p>
    <w:p>
      <w:pPr>
        <w:keepNext w:val="0"/>
        <w:keepLines w:val="0"/>
        <w:pageBreakBefore w:val="0"/>
        <w:widowControl w:val="0"/>
        <w:wordWrap/>
        <w:topLinePunct w:val="0"/>
        <w:autoSpaceDE w:val="0"/>
        <w:bidi w:val="0"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2. 进一步强化综合协调职能，加强部门间的协作配合，形成长效工作机制。</w:t>
      </w:r>
    </w:p>
    <w:p>
      <w:pPr>
        <w:keepNext w:val="0"/>
        <w:keepLines w:val="0"/>
        <w:pageBreakBefore w:val="0"/>
        <w:widowControl w:val="0"/>
        <w:wordWrap/>
        <w:topLinePunct w:val="0"/>
        <w:autoSpaceDE w:val="0"/>
        <w:bidi w:val="0"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3. 加强生态环境保护宣传教育，提高企业和公众的环保意识，营造全社会共同参与生态环境保护的良好氛围。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firstLine="692" w:firstLineChars="200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宋体" w:hAnsi="Times New Roman" w:eastAsia="黑体" w:cs="宋体"/>
          <w:b w:val="0"/>
          <w:bCs w:val="0"/>
          <w:color w:val="auto"/>
          <w:spacing w:val="5"/>
          <w:w w:val="105"/>
          <w:kern w:val="0"/>
          <w:sz w:val="32"/>
          <w:szCs w:val="32"/>
        </w:rPr>
        <w:t>五、整改结果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对照《中共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江永县委、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县人民政府贯彻落实第二轮省生态环境保护督察报告整改方案》要求，我县该项共性问题整改措施已经落实，整改目标已经达到，符合整改销号标准。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/>
        <w:spacing w:line="560" w:lineRule="exact"/>
        <w:ind w:left="0" w:firstLine="0" w:firstLineChars="0"/>
        <w:textAlignment w:val="auto"/>
        <w:rPr>
          <w:rFonts w:eastAsia="仿宋_GB2312"/>
          <w:b w:val="0"/>
          <w:bCs w:val="0"/>
          <w:sz w:val="32"/>
          <w:szCs w:val="32"/>
        </w:rPr>
      </w:pPr>
    </w:p>
    <w:sectPr>
      <w:footerReference r:id="rId3" w:type="default"/>
      <w:pgSz w:w="11910" w:h="16840"/>
      <w:pgMar w:top="1701" w:right="1701" w:bottom="1701" w:left="1701" w:header="720" w:footer="720" w:gutter="0"/>
      <w:pgNumType w:fmt="numberInDash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06978591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5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4 -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1N2FlMDlkZjgyMjdlOTZjNTE3NDJjMjEyZDMzMDkifQ=="/>
  </w:docVars>
  <w:rsids>
    <w:rsidRoot w:val="00D64B0B"/>
    <w:rsid w:val="000179DA"/>
    <w:rsid w:val="00037D81"/>
    <w:rsid w:val="00057F44"/>
    <w:rsid w:val="000853BC"/>
    <w:rsid w:val="00124DD3"/>
    <w:rsid w:val="00172E38"/>
    <w:rsid w:val="00191E67"/>
    <w:rsid w:val="001A699E"/>
    <w:rsid w:val="001A6B79"/>
    <w:rsid w:val="001B2E2A"/>
    <w:rsid w:val="001C4BD1"/>
    <w:rsid w:val="001C7A50"/>
    <w:rsid w:val="001D77D7"/>
    <w:rsid w:val="00204C34"/>
    <w:rsid w:val="002060D0"/>
    <w:rsid w:val="00260229"/>
    <w:rsid w:val="002A0B90"/>
    <w:rsid w:val="002A261C"/>
    <w:rsid w:val="002D16E1"/>
    <w:rsid w:val="002F3B56"/>
    <w:rsid w:val="00307606"/>
    <w:rsid w:val="003215E8"/>
    <w:rsid w:val="0032684E"/>
    <w:rsid w:val="00331F60"/>
    <w:rsid w:val="00342021"/>
    <w:rsid w:val="00361898"/>
    <w:rsid w:val="003778C8"/>
    <w:rsid w:val="003955B8"/>
    <w:rsid w:val="003D7652"/>
    <w:rsid w:val="003F26C0"/>
    <w:rsid w:val="00425986"/>
    <w:rsid w:val="00483F73"/>
    <w:rsid w:val="004D7D40"/>
    <w:rsid w:val="004D7F39"/>
    <w:rsid w:val="00527C0F"/>
    <w:rsid w:val="00534E47"/>
    <w:rsid w:val="005A1DF4"/>
    <w:rsid w:val="005A76C3"/>
    <w:rsid w:val="005B00AF"/>
    <w:rsid w:val="005C5039"/>
    <w:rsid w:val="005D2E6A"/>
    <w:rsid w:val="0061043C"/>
    <w:rsid w:val="00621DDB"/>
    <w:rsid w:val="00682764"/>
    <w:rsid w:val="006D51AE"/>
    <w:rsid w:val="006E1856"/>
    <w:rsid w:val="007107A9"/>
    <w:rsid w:val="007446A2"/>
    <w:rsid w:val="00756F75"/>
    <w:rsid w:val="00787F76"/>
    <w:rsid w:val="007E43A2"/>
    <w:rsid w:val="007F7651"/>
    <w:rsid w:val="008221B0"/>
    <w:rsid w:val="00842D62"/>
    <w:rsid w:val="008611C5"/>
    <w:rsid w:val="008702A8"/>
    <w:rsid w:val="00875690"/>
    <w:rsid w:val="00880053"/>
    <w:rsid w:val="008C14D8"/>
    <w:rsid w:val="008D718E"/>
    <w:rsid w:val="008E6577"/>
    <w:rsid w:val="008F0E5F"/>
    <w:rsid w:val="008F63CD"/>
    <w:rsid w:val="00921045"/>
    <w:rsid w:val="00926845"/>
    <w:rsid w:val="00933F5B"/>
    <w:rsid w:val="00962E98"/>
    <w:rsid w:val="009856E8"/>
    <w:rsid w:val="009A0159"/>
    <w:rsid w:val="009A1F72"/>
    <w:rsid w:val="009B4125"/>
    <w:rsid w:val="00A12B50"/>
    <w:rsid w:val="00A30849"/>
    <w:rsid w:val="00A44784"/>
    <w:rsid w:val="00AE0D89"/>
    <w:rsid w:val="00B422F4"/>
    <w:rsid w:val="00B42F71"/>
    <w:rsid w:val="00B83D56"/>
    <w:rsid w:val="00B846A1"/>
    <w:rsid w:val="00BB6A7B"/>
    <w:rsid w:val="00BC147D"/>
    <w:rsid w:val="00C131BA"/>
    <w:rsid w:val="00C31AB8"/>
    <w:rsid w:val="00C55B8A"/>
    <w:rsid w:val="00CA6521"/>
    <w:rsid w:val="00CA67C1"/>
    <w:rsid w:val="00CD2C17"/>
    <w:rsid w:val="00D113E4"/>
    <w:rsid w:val="00D409BA"/>
    <w:rsid w:val="00D448BC"/>
    <w:rsid w:val="00D56295"/>
    <w:rsid w:val="00D61ABA"/>
    <w:rsid w:val="00D64B0B"/>
    <w:rsid w:val="00DA7377"/>
    <w:rsid w:val="00DB482A"/>
    <w:rsid w:val="00E01111"/>
    <w:rsid w:val="00E763D1"/>
    <w:rsid w:val="00E86664"/>
    <w:rsid w:val="00ED41A0"/>
    <w:rsid w:val="00EF7E7E"/>
    <w:rsid w:val="00F1013D"/>
    <w:rsid w:val="00F3274E"/>
    <w:rsid w:val="00F67EE6"/>
    <w:rsid w:val="00F93993"/>
    <w:rsid w:val="00FF1696"/>
    <w:rsid w:val="02B6402F"/>
    <w:rsid w:val="09CE530B"/>
    <w:rsid w:val="117700E4"/>
    <w:rsid w:val="179947F3"/>
    <w:rsid w:val="19EB5B18"/>
    <w:rsid w:val="1E2108A1"/>
    <w:rsid w:val="21633E32"/>
    <w:rsid w:val="28CD7CC8"/>
    <w:rsid w:val="347831C8"/>
    <w:rsid w:val="37724D72"/>
    <w:rsid w:val="3EF86570"/>
    <w:rsid w:val="45835FBA"/>
    <w:rsid w:val="4612578A"/>
    <w:rsid w:val="475364D6"/>
    <w:rsid w:val="4BFF0DDB"/>
    <w:rsid w:val="53755060"/>
    <w:rsid w:val="579E1663"/>
    <w:rsid w:val="5C7424D0"/>
    <w:rsid w:val="5E005E6E"/>
    <w:rsid w:val="695248D2"/>
    <w:rsid w:val="70E91AA9"/>
    <w:rsid w:val="71F437A4"/>
    <w:rsid w:val="7DB22C8F"/>
    <w:rsid w:val="7E6A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unhideWhenUsed/>
    <w:qFormat/>
    <w:uiPriority w:val="99"/>
    <w:pPr>
      <w:spacing w:after="12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spacing w:line="560" w:lineRule="exact"/>
      <w:ind w:firstLine="640" w:firstLineChars="200"/>
    </w:pPr>
    <w:rPr>
      <w:rFonts w:ascii="Times New Roman" w:hAnsi="Times New Roman" w:eastAsia="楷体_GB2312" w:cs="Times New Roman"/>
      <w:sz w:val="32"/>
      <w:szCs w:val="32"/>
    </w:rPr>
  </w:style>
  <w:style w:type="paragraph" w:styleId="8">
    <w:name w:val="Subtitle"/>
    <w:basedOn w:val="1"/>
    <w:next w:val="1"/>
    <w:qFormat/>
    <w:uiPriority w:val="0"/>
    <w:pPr>
      <w:spacing w:before="240" w:beforeLines="0" w:after="60" w:afterLines="0" w:line="312" w:lineRule="auto"/>
      <w:jc w:val="center"/>
      <w:outlineLvl w:val="1"/>
    </w:pPr>
    <w:rPr>
      <w:rFonts w:ascii="Cambria" w:hAnsi="Cambria" w:cs="宋体"/>
      <w:b/>
      <w:kern w:val="28"/>
    </w:rPr>
  </w:style>
  <w:style w:type="paragraph" w:styleId="9">
    <w:name w:val="Body Text First Indent 2"/>
    <w:basedOn w:val="3"/>
    <w:unhideWhenUsed/>
    <w:qFormat/>
    <w:uiPriority w:val="99"/>
    <w:pPr>
      <w:ind w:firstLine="420" w:firstLineChars="200"/>
    </w:pPr>
  </w:style>
  <w:style w:type="character" w:customStyle="1" w:styleId="12">
    <w:name w:val="正文文本 Char"/>
    <w:basedOn w:val="11"/>
    <w:link w:val="2"/>
    <w:qFormat/>
    <w:uiPriority w:val="99"/>
  </w:style>
  <w:style w:type="character" w:customStyle="1" w:styleId="13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Normal Indent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2117</Words>
  <Characters>2163</Characters>
  <Lines>14</Lines>
  <Paragraphs>4</Paragraphs>
  <TotalTime>34</TotalTime>
  <ScaleCrop>false</ScaleCrop>
  <LinksUpToDate>false</LinksUpToDate>
  <CharactersWithSpaces>2171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2024-08-16T07:30:00Z</dcterms:created>
  <dc:creator>微软用户</dc:creator>
  <cp:lastModifiedBy>111</cp:lastModifiedBy>
  <cp:lastPrinted>2024-12-09T01:52:00Z</cp:lastPrinted>
  <dcterms:modified xsi:type="dcterms:W3CDTF">2025-02-21T02:13:46Z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B5BBB3F538AC48248B39FAA0B8384ABC</vt:lpwstr>
  </property>
</Properties>
</file>