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5DF7E">
      <w:pPr>
        <w:keepNext w:val="0"/>
        <w:keepLines w:val="0"/>
        <w:pageBreakBefore w:val="0"/>
        <w:widowControl w:val="0"/>
        <w:kinsoku/>
        <w:wordWrap/>
        <w:overflowPunct/>
        <w:topLinePunct w:val="0"/>
        <w:autoSpaceDE/>
        <w:autoSpaceDN/>
        <w:bidi w:val="0"/>
        <w:adjustRightInd/>
        <w:snapToGrid/>
        <w:spacing w:line="480" w:lineRule="exact"/>
        <w:textAlignment w:val="auto"/>
        <w:rPr>
          <w:color w:val="auto"/>
          <w:highlight w:val="none"/>
        </w:rPr>
      </w:pPr>
      <w:bookmarkStart w:id="0" w:name="_Toc300678060"/>
    </w:p>
    <w:p w14:paraId="061389B0">
      <w:pPr>
        <w:ind w:firstLine="435"/>
        <w:rPr>
          <w:color w:val="auto"/>
          <w:highlight w:val="none"/>
        </w:rPr>
      </w:pPr>
    </w:p>
    <w:p w14:paraId="0FC8BE20">
      <w:pPr>
        <w:ind w:firstLine="435"/>
        <w:rPr>
          <w:color w:val="auto"/>
          <w:highlight w:val="none"/>
        </w:rPr>
      </w:pPr>
    </w:p>
    <w:p w14:paraId="24348016">
      <w:pPr>
        <w:ind w:firstLine="435"/>
        <w:jc w:val="center"/>
        <w:rPr>
          <w:color w:val="auto"/>
          <w:szCs w:val="21"/>
          <w:highlight w:val="none"/>
        </w:rPr>
      </w:pPr>
      <w:r>
        <w:rPr>
          <w:rFonts w:hint="default" w:ascii="宋体" w:hAnsi="宋体" w:cs="宋体"/>
          <w:color w:val="auto"/>
          <w:sz w:val="44"/>
          <w:szCs w:val="44"/>
          <w:highlight w:val="none"/>
          <w:lang w:val="en-US" w:eastAsia="zh-CN"/>
        </w:rPr>
        <w:t>江永县供销联社烟花爆竹有限公司烟花爆竹仓库新建（搬迁）工程</w:t>
      </w:r>
      <w:bookmarkStart w:id="1154" w:name="_GoBack"/>
      <w:bookmarkEnd w:id="1154"/>
    </w:p>
    <w:p w14:paraId="7D741883">
      <w:pPr>
        <w:ind w:firstLine="435"/>
        <w:rPr>
          <w:color w:val="auto"/>
          <w:szCs w:val="21"/>
          <w:highlight w:val="none"/>
        </w:rPr>
      </w:pPr>
    </w:p>
    <w:p w14:paraId="15EE9596">
      <w:pPr>
        <w:ind w:firstLine="435"/>
        <w:rPr>
          <w:color w:val="auto"/>
          <w:szCs w:val="21"/>
          <w:highlight w:val="none"/>
        </w:rPr>
      </w:pPr>
    </w:p>
    <w:p w14:paraId="29B75786">
      <w:pPr>
        <w:ind w:firstLine="435"/>
        <w:rPr>
          <w:color w:val="auto"/>
          <w:szCs w:val="21"/>
          <w:highlight w:val="none"/>
        </w:rPr>
      </w:pPr>
    </w:p>
    <w:p w14:paraId="77A25665">
      <w:pPr>
        <w:ind w:firstLine="435"/>
        <w:rPr>
          <w:color w:val="auto"/>
          <w:szCs w:val="21"/>
          <w:highlight w:val="none"/>
        </w:rPr>
      </w:pPr>
    </w:p>
    <w:p w14:paraId="6DA84AFB">
      <w:pPr>
        <w:pStyle w:val="2"/>
        <w:rPr>
          <w:color w:val="auto"/>
          <w:szCs w:val="21"/>
          <w:highlight w:val="none"/>
        </w:rPr>
      </w:pPr>
    </w:p>
    <w:p w14:paraId="6F40990B">
      <w:pPr>
        <w:pStyle w:val="2"/>
        <w:rPr>
          <w:color w:val="auto"/>
          <w:szCs w:val="21"/>
          <w:highlight w:val="none"/>
        </w:rPr>
      </w:pPr>
    </w:p>
    <w:p w14:paraId="1627209C">
      <w:pPr>
        <w:ind w:firstLine="435"/>
        <w:rPr>
          <w:color w:val="auto"/>
          <w:szCs w:val="21"/>
          <w:highlight w:val="none"/>
        </w:rPr>
      </w:pPr>
    </w:p>
    <w:p w14:paraId="55D9BE3D">
      <w:pPr>
        <w:ind w:firstLine="435"/>
        <w:rPr>
          <w:color w:val="auto"/>
          <w:szCs w:val="21"/>
          <w:highlight w:val="none"/>
        </w:rPr>
      </w:pPr>
    </w:p>
    <w:p w14:paraId="159EA290">
      <w:pPr>
        <w:jc w:val="center"/>
        <w:rPr>
          <w:rFonts w:eastAsia="黑体"/>
          <w:color w:val="auto"/>
          <w:sz w:val="72"/>
          <w:szCs w:val="72"/>
          <w:highlight w:val="none"/>
        </w:rPr>
      </w:pPr>
      <w:r>
        <w:rPr>
          <w:rFonts w:eastAsia="黑体"/>
          <w:color w:val="auto"/>
          <w:sz w:val="72"/>
          <w:szCs w:val="72"/>
          <w:highlight w:val="none"/>
        </w:rPr>
        <w:t>招  标  文  件</w:t>
      </w:r>
    </w:p>
    <w:p w14:paraId="778FD1A1">
      <w:pPr>
        <w:ind w:firstLine="435"/>
        <w:rPr>
          <w:color w:val="auto"/>
          <w:highlight w:val="none"/>
        </w:rPr>
      </w:pPr>
    </w:p>
    <w:p w14:paraId="6D973A30">
      <w:pPr>
        <w:ind w:firstLine="435"/>
        <w:rPr>
          <w:color w:val="auto"/>
          <w:sz w:val="22"/>
          <w:szCs w:val="28"/>
          <w:highlight w:val="none"/>
        </w:rPr>
      </w:pPr>
    </w:p>
    <w:p w14:paraId="3E094298">
      <w:pPr>
        <w:jc w:val="center"/>
        <w:rPr>
          <w:rFonts w:hint="eastAsia" w:eastAsia="宋体"/>
          <w:color w:val="auto"/>
          <w:sz w:val="28"/>
          <w:szCs w:val="36"/>
          <w:highlight w:val="none"/>
          <w:lang w:eastAsia="zh-CN"/>
        </w:rPr>
      </w:pPr>
      <w:r>
        <w:rPr>
          <w:rFonts w:hint="eastAsia"/>
          <w:color w:val="auto"/>
          <w:sz w:val="28"/>
          <w:szCs w:val="36"/>
          <w:highlight w:val="none"/>
          <w:lang w:eastAsia="zh-CN"/>
        </w:rPr>
        <w:t>（</w:t>
      </w:r>
      <w:r>
        <w:rPr>
          <w:rFonts w:hint="eastAsia"/>
          <w:color w:val="auto"/>
          <w:sz w:val="28"/>
          <w:szCs w:val="36"/>
          <w:highlight w:val="none"/>
          <w:lang w:val="en-US" w:eastAsia="zh-CN"/>
        </w:rPr>
        <w:t>项目编号：</w:t>
      </w:r>
      <w:r>
        <w:rPr>
          <w:rFonts w:hint="default"/>
          <w:color w:val="auto"/>
          <w:sz w:val="28"/>
          <w:szCs w:val="36"/>
          <w:highlight w:val="none"/>
          <w:lang w:val="en-US" w:eastAsia="zh-CN"/>
        </w:rPr>
        <w:t>GF-JY2026-0601</w:t>
      </w:r>
      <w:r>
        <w:rPr>
          <w:rFonts w:hint="eastAsia"/>
          <w:color w:val="auto"/>
          <w:sz w:val="28"/>
          <w:szCs w:val="36"/>
          <w:highlight w:val="none"/>
          <w:lang w:eastAsia="zh-CN"/>
        </w:rPr>
        <w:t>）</w:t>
      </w:r>
    </w:p>
    <w:p w14:paraId="621D74E0">
      <w:pPr>
        <w:ind w:firstLine="435"/>
        <w:rPr>
          <w:color w:val="auto"/>
          <w:highlight w:val="none"/>
        </w:rPr>
      </w:pPr>
    </w:p>
    <w:p w14:paraId="3774BF38">
      <w:pPr>
        <w:ind w:firstLine="435"/>
        <w:rPr>
          <w:color w:val="auto"/>
          <w:highlight w:val="none"/>
        </w:rPr>
      </w:pPr>
    </w:p>
    <w:p w14:paraId="1AD3BFA7">
      <w:pPr>
        <w:ind w:firstLine="435"/>
        <w:rPr>
          <w:color w:val="auto"/>
          <w:highlight w:val="none"/>
        </w:rPr>
      </w:pPr>
    </w:p>
    <w:p w14:paraId="0A901790">
      <w:pPr>
        <w:ind w:firstLine="435"/>
        <w:rPr>
          <w:color w:val="auto"/>
          <w:highlight w:val="none"/>
        </w:rPr>
      </w:pPr>
    </w:p>
    <w:p w14:paraId="5E67B8F9">
      <w:pPr>
        <w:ind w:firstLine="435"/>
        <w:rPr>
          <w:color w:val="auto"/>
          <w:highlight w:val="none"/>
        </w:rPr>
      </w:pPr>
    </w:p>
    <w:p w14:paraId="59710866">
      <w:pPr>
        <w:ind w:firstLine="435"/>
        <w:rPr>
          <w:color w:val="auto"/>
          <w:highlight w:val="none"/>
        </w:rPr>
      </w:pPr>
    </w:p>
    <w:p w14:paraId="116A0BCC">
      <w:pPr>
        <w:ind w:firstLine="435"/>
        <w:rPr>
          <w:color w:val="auto"/>
          <w:highlight w:val="none"/>
        </w:rPr>
      </w:pPr>
    </w:p>
    <w:p w14:paraId="2C8FBCC1">
      <w:pPr>
        <w:ind w:firstLine="435"/>
        <w:rPr>
          <w:color w:val="auto"/>
          <w:highlight w:val="none"/>
        </w:rPr>
      </w:pPr>
    </w:p>
    <w:p w14:paraId="08D500A4">
      <w:pPr>
        <w:ind w:firstLine="435"/>
        <w:rPr>
          <w:color w:val="auto"/>
          <w:highlight w:val="none"/>
        </w:rPr>
      </w:pPr>
    </w:p>
    <w:p w14:paraId="520C4EBD">
      <w:pPr>
        <w:ind w:firstLine="435"/>
        <w:rPr>
          <w:color w:val="auto"/>
          <w:highlight w:val="none"/>
        </w:rPr>
      </w:pPr>
    </w:p>
    <w:p w14:paraId="796678B6">
      <w:pPr>
        <w:ind w:firstLine="435"/>
        <w:rPr>
          <w:color w:val="auto"/>
          <w:highlight w:val="none"/>
        </w:rPr>
      </w:pPr>
    </w:p>
    <w:p w14:paraId="19072CCC">
      <w:pPr>
        <w:ind w:firstLine="435"/>
        <w:rPr>
          <w:color w:val="auto"/>
          <w:highlight w:val="none"/>
        </w:rPr>
      </w:pPr>
    </w:p>
    <w:p w14:paraId="135DCFBE">
      <w:pPr>
        <w:ind w:firstLine="435"/>
        <w:rPr>
          <w:color w:val="auto"/>
          <w:highlight w:val="none"/>
        </w:rPr>
      </w:pPr>
    </w:p>
    <w:p w14:paraId="1C7EA829">
      <w:pPr>
        <w:ind w:firstLine="435"/>
        <w:rPr>
          <w:color w:val="auto"/>
          <w:highlight w:val="none"/>
        </w:rPr>
      </w:pPr>
    </w:p>
    <w:p w14:paraId="258E893F">
      <w:pPr>
        <w:ind w:firstLine="435"/>
        <w:rPr>
          <w:color w:val="auto"/>
          <w:highlight w:val="none"/>
        </w:rPr>
      </w:pPr>
    </w:p>
    <w:p w14:paraId="22F3B54C">
      <w:pPr>
        <w:ind w:firstLine="435"/>
        <w:rPr>
          <w:color w:val="auto"/>
          <w:highlight w:val="none"/>
        </w:rPr>
      </w:pPr>
    </w:p>
    <w:p w14:paraId="73268ABB">
      <w:pPr>
        <w:ind w:firstLine="435"/>
        <w:rPr>
          <w:color w:val="auto"/>
          <w:highlight w:val="none"/>
        </w:rPr>
      </w:pPr>
    </w:p>
    <w:p w14:paraId="40251801">
      <w:pPr>
        <w:ind w:firstLine="435"/>
        <w:rPr>
          <w:color w:val="auto"/>
          <w:highlight w:val="none"/>
        </w:rPr>
      </w:pPr>
    </w:p>
    <w:p w14:paraId="7BB23177">
      <w:pPr>
        <w:ind w:firstLine="435"/>
        <w:rPr>
          <w:color w:val="auto"/>
          <w:highlight w:val="none"/>
        </w:rPr>
      </w:pPr>
    </w:p>
    <w:p w14:paraId="65EB581C">
      <w:pPr>
        <w:ind w:firstLine="435"/>
        <w:rPr>
          <w:color w:val="auto"/>
          <w:highlight w:val="none"/>
        </w:rPr>
      </w:pPr>
    </w:p>
    <w:p w14:paraId="1DC360E0">
      <w:pPr>
        <w:ind w:firstLine="435"/>
        <w:rPr>
          <w:color w:val="auto"/>
          <w:highlight w:val="none"/>
        </w:rPr>
      </w:pPr>
    </w:p>
    <w:p w14:paraId="02774177">
      <w:pPr>
        <w:rPr>
          <w:color w:val="auto"/>
          <w:highlight w:val="none"/>
        </w:rPr>
      </w:pPr>
    </w:p>
    <w:p w14:paraId="1885F017">
      <w:pPr>
        <w:ind w:firstLine="435"/>
        <w:rPr>
          <w:color w:val="auto"/>
          <w:highlight w:val="none"/>
        </w:rPr>
      </w:pPr>
    </w:p>
    <w:p w14:paraId="698DEF6E">
      <w:pPr>
        <w:spacing w:line="480" w:lineRule="auto"/>
        <w:ind w:firstLine="560" w:firstLineChars="200"/>
        <w:jc w:val="both"/>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招 标 人</w:t>
      </w:r>
      <w:r>
        <w:rPr>
          <w:rFonts w:hint="eastAsia" w:ascii="宋体" w:hAnsi="宋体" w:eastAsia="宋体" w:cs="宋体"/>
          <w:color w:val="auto"/>
          <w:sz w:val="28"/>
          <w:szCs w:val="28"/>
          <w:highlight w:val="none"/>
          <w:lang w:eastAsia="zh-CN"/>
        </w:rPr>
        <w:t>：</w:t>
      </w:r>
      <w:r>
        <w:rPr>
          <w:rFonts w:hint="default" w:ascii="宋体" w:hAnsi="宋体" w:cs="宋体"/>
          <w:color w:val="auto"/>
          <w:sz w:val="28"/>
          <w:szCs w:val="28"/>
          <w:highlight w:val="none"/>
          <w:u w:val="single"/>
          <w:lang w:val="en-US" w:eastAsia="zh-CN"/>
        </w:rPr>
        <w:t>江永县供销社社有资产管理有限公司</w:t>
      </w:r>
      <w:r>
        <w:rPr>
          <w:rFonts w:hint="eastAsia" w:ascii="宋体" w:hAnsi="宋体" w:eastAsia="宋体" w:cs="宋体"/>
          <w:color w:val="auto"/>
          <w:sz w:val="28"/>
          <w:szCs w:val="28"/>
          <w:highlight w:val="none"/>
        </w:rPr>
        <w:t>（盖单位章）</w:t>
      </w:r>
    </w:p>
    <w:p w14:paraId="4AECC387">
      <w:pPr>
        <w:spacing w:line="480" w:lineRule="auto"/>
        <w:ind w:firstLine="560" w:firstLineChars="20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招标代理机构：</w:t>
      </w:r>
      <w:r>
        <w:rPr>
          <w:rFonts w:hint="default" w:ascii="宋体" w:hAnsi="宋体" w:cs="宋体"/>
          <w:color w:val="auto"/>
          <w:sz w:val="28"/>
          <w:szCs w:val="28"/>
          <w:highlight w:val="none"/>
          <w:u w:val="single"/>
          <w:lang w:val="en-US" w:eastAsia="zh-CN"/>
        </w:rPr>
        <w:t>湖南国方建筑工程有限公司</w:t>
      </w:r>
      <w:r>
        <w:rPr>
          <w:rFonts w:hint="eastAsia" w:ascii="宋体" w:hAnsi="宋体" w:eastAsia="宋体" w:cs="宋体"/>
          <w:color w:val="auto"/>
          <w:sz w:val="28"/>
          <w:szCs w:val="28"/>
          <w:highlight w:val="none"/>
        </w:rPr>
        <w:t>（盖单位章）</w:t>
      </w:r>
    </w:p>
    <w:p w14:paraId="2362C81C">
      <w:pPr>
        <w:spacing w:line="480" w:lineRule="auto"/>
        <w:ind w:firstLine="560" w:firstLineChars="20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lang w:val="en-US" w:eastAsia="zh-CN"/>
        </w:rPr>
        <w:t>202</w:t>
      </w:r>
      <w:r>
        <w:rPr>
          <w:rFonts w:hint="eastAsia" w:ascii="宋体" w:hAnsi="宋体" w:cs="宋体"/>
          <w:color w:val="auto"/>
          <w:sz w:val="28"/>
          <w:szCs w:val="28"/>
          <w:highlight w:val="none"/>
          <w:u w:val="single"/>
          <w:lang w:val="en-US" w:eastAsia="zh-CN"/>
        </w:rPr>
        <w:t>6</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lang w:val="en-US" w:eastAsia="zh-CN"/>
        </w:rPr>
        <w:t>0</w:t>
      </w:r>
      <w:r>
        <w:rPr>
          <w:rFonts w:hint="default" w:ascii="宋体" w:hAnsi="宋体" w:cs="宋体"/>
          <w:color w:val="auto"/>
          <w:sz w:val="28"/>
          <w:szCs w:val="28"/>
          <w:highlight w:val="none"/>
          <w:u w:val="single"/>
          <w:lang w:val="en-US" w:eastAsia="zh-CN"/>
        </w:rPr>
        <w:t>6</w:t>
      </w:r>
      <w:r>
        <w:rPr>
          <w:rFonts w:hint="eastAsia" w:ascii="宋体" w:hAnsi="宋体" w:eastAsia="宋体" w:cs="宋体"/>
          <w:color w:val="auto"/>
          <w:sz w:val="28"/>
          <w:szCs w:val="28"/>
          <w:highlight w:val="none"/>
        </w:rPr>
        <w:t>月</w:t>
      </w:r>
    </w:p>
    <w:p w14:paraId="59260233">
      <w:pPr>
        <w:ind w:firstLine="435"/>
        <w:rPr>
          <w:color w:val="auto"/>
          <w:highlight w:val="none"/>
        </w:rPr>
      </w:pPr>
    </w:p>
    <w:p w14:paraId="643C993D">
      <w:pPr>
        <w:spacing w:line="540" w:lineRule="exact"/>
        <w:jc w:val="center"/>
        <w:rPr>
          <w:rFonts w:eastAsia="黑体"/>
          <w:bCs/>
          <w:color w:val="auto"/>
          <w:sz w:val="36"/>
          <w:szCs w:val="36"/>
          <w:highlight w:val="none"/>
        </w:rPr>
        <w:sectPr>
          <w:headerReference r:id="rId4" w:type="first"/>
          <w:headerReference r:id="rId3" w:type="default"/>
          <w:footerReference r:id="rId5" w:type="even"/>
          <w:pgSz w:w="11907" w:h="16840"/>
          <w:pgMar w:top="1418" w:right="1418" w:bottom="1418" w:left="1418" w:header="851" w:footer="850" w:gutter="0"/>
          <w:pgNumType w:fmt="decimal"/>
          <w:cols w:space="720" w:num="1"/>
          <w:docGrid w:linePitch="312" w:charSpace="0"/>
        </w:sectPr>
      </w:pPr>
    </w:p>
    <w:p w14:paraId="6775F8B2">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b w:val="0"/>
          <w:bCs/>
          <w:color w:val="auto"/>
          <w:sz w:val="28"/>
          <w:szCs w:val="28"/>
          <w:highlight w:val="none"/>
        </w:rPr>
        <w:t>目  录</w:t>
      </w:r>
    </w:p>
    <w:p w14:paraId="39E7B0B2">
      <w:pPr>
        <w:pStyle w:val="29"/>
        <w:tabs>
          <w:tab w:val="right" w:leader="dot" w:pos="9070"/>
        </w:tabs>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TOC \o "1-3" \h \z \u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Cs w:val="24"/>
          <w:highlight w:val="none"/>
        </w:rPr>
        <w:fldChar w:fldCharType="begin"/>
      </w:r>
      <w:r>
        <w:rPr>
          <w:rFonts w:hint="eastAsia" w:ascii="宋体" w:hAnsi="宋体" w:eastAsia="宋体" w:cs="宋体"/>
          <w:szCs w:val="24"/>
          <w:highlight w:val="none"/>
        </w:rPr>
        <w:instrText xml:space="preserve"> HYPERLINK \l _Toc14100 </w:instrText>
      </w:r>
      <w:r>
        <w:rPr>
          <w:rFonts w:hint="eastAsia" w:ascii="宋体" w:hAnsi="宋体" w:eastAsia="宋体" w:cs="宋体"/>
          <w:szCs w:val="24"/>
          <w:highlight w:val="none"/>
        </w:rPr>
        <w:fldChar w:fldCharType="separate"/>
      </w:r>
      <w:r>
        <w:rPr>
          <w:rFonts w:ascii="Times New Roman" w:hAnsi="Times New Roman" w:eastAsia="黑体"/>
          <w:bCs w:val="0"/>
          <w:szCs w:val="44"/>
          <w:highlight w:val="none"/>
        </w:rPr>
        <w:t>第  一  卷</w:t>
      </w:r>
      <w:r>
        <w:tab/>
      </w:r>
      <w:r>
        <w:fldChar w:fldCharType="begin"/>
      </w:r>
      <w:r>
        <w:instrText xml:space="preserve"> PAGEREF _Toc14100 \h </w:instrText>
      </w:r>
      <w:r>
        <w:fldChar w:fldCharType="separate"/>
      </w:r>
      <w:r>
        <w:t>1</w:t>
      </w:r>
      <w:r>
        <w:fldChar w:fldCharType="end"/>
      </w:r>
      <w:r>
        <w:rPr>
          <w:rFonts w:hint="eastAsia" w:ascii="宋体" w:hAnsi="宋体" w:eastAsia="宋体" w:cs="宋体"/>
          <w:color w:val="auto"/>
          <w:szCs w:val="24"/>
          <w:highlight w:val="none"/>
        </w:rPr>
        <w:fldChar w:fldCharType="end"/>
      </w:r>
    </w:p>
    <w:p w14:paraId="22EA9112">
      <w:pPr>
        <w:pStyle w:val="29"/>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_Toc6037 </w:instrText>
      </w:r>
      <w:r>
        <w:rPr>
          <w:rFonts w:hint="eastAsia" w:ascii="宋体" w:hAnsi="宋体" w:eastAsia="宋体" w:cs="宋体"/>
          <w:bCs/>
          <w:szCs w:val="24"/>
          <w:highlight w:val="none"/>
          <w:lang w:val="zh-CN"/>
        </w:rPr>
        <w:fldChar w:fldCharType="separate"/>
      </w:r>
      <w:r>
        <w:rPr>
          <w:rFonts w:hint="eastAsia" w:ascii="Times New Roman" w:hAnsi="Times New Roman" w:eastAsia="黑体" w:cs="Times New Roman"/>
          <w:bCs w:val="0"/>
          <w:kern w:val="32"/>
          <w:szCs w:val="32"/>
          <w:highlight w:val="none"/>
          <w:lang w:val="en-US" w:eastAsia="zh-CN" w:bidi="ar-SA"/>
        </w:rPr>
        <w:t xml:space="preserve">第一章  </w:t>
      </w:r>
      <w:r>
        <w:rPr>
          <w:rFonts w:ascii="Times New Roman" w:hAnsi="Times New Roman" w:eastAsia="黑体" w:cs="Times New Roman"/>
          <w:bCs w:val="0"/>
          <w:kern w:val="32"/>
          <w:szCs w:val="32"/>
          <w:highlight w:val="none"/>
          <w:lang w:val="en-US" w:eastAsia="zh-CN" w:bidi="ar-SA"/>
        </w:rPr>
        <w:t>招标公告</w:t>
      </w:r>
      <w:r>
        <w:tab/>
      </w:r>
      <w:r>
        <w:fldChar w:fldCharType="begin"/>
      </w:r>
      <w:r>
        <w:instrText xml:space="preserve"> PAGEREF _Toc6037 \h </w:instrText>
      </w:r>
      <w:r>
        <w:fldChar w:fldCharType="separate"/>
      </w:r>
      <w:r>
        <w:t>2</w:t>
      </w:r>
      <w:r>
        <w:fldChar w:fldCharType="end"/>
      </w:r>
      <w:r>
        <w:rPr>
          <w:rFonts w:hint="eastAsia" w:ascii="宋体" w:hAnsi="宋体" w:eastAsia="宋体" w:cs="宋体"/>
          <w:bCs/>
          <w:color w:val="auto"/>
          <w:szCs w:val="24"/>
          <w:highlight w:val="none"/>
          <w:lang w:val="zh-CN"/>
        </w:rPr>
        <w:fldChar w:fldCharType="end"/>
      </w:r>
    </w:p>
    <w:p w14:paraId="284224E9">
      <w:pPr>
        <w:pStyle w:val="34"/>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_Toc31667 </w:instrText>
      </w:r>
      <w:r>
        <w:rPr>
          <w:rFonts w:hint="eastAsia" w:ascii="宋体" w:hAnsi="宋体" w:eastAsia="宋体" w:cs="宋体"/>
          <w:bCs/>
          <w:szCs w:val="24"/>
          <w:highlight w:val="none"/>
          <w:lang w:val="zh-CN"/>
        </w:rPr>
        <w:fldChar w:fldCharType="separate"/>
      </w:r>
      <w:r>
        <w:rPr>
          <w:rFonts w:ascii="Times New Roman" w:hAnsi="Times New Roman" w:eastAsia="黑体" w:cs="Times New Roman"/>
          <w:bCs w:val="0"/>
          <w:kern w:val="2"/>
          <w:szCs w:val="32"/>
          <w:highlight w:val="none"/>
          <w:lang w:val="en-US" w:eastAsia="zh-CN" w:bidi="ar-SA"/>
        </w:rPr>
        <w:t>1.项目概况</w:t>
      </w:r>
      <w:r>
        <w:tab/>
      </w:r>
      <w:r>
        <w:fldChar w:fldCharType="begin"/>
      </w:r>
      <w:r>
        <w:instrText xml:space="preserve"> PAGEREF _Toc31667 \h </w:instrText>
      </w:r>
      <w:r>
        <w:fldChar w:fldCharType="separate"/>
      </w:r>
      <w:r>
        <w:t>2</w:t>
      </w:r>
      <w:r>
        <w:fldChar w:fldCharType="end"/>
      </w:r>
      <w:r>
        <w:rPr>
          <w:rFonts w:hint="eastAsia" w:ascii="宋体" w:hAnsi="宋体" w:eastAsia="宋体" w:cs="宋体"/>
          <w:bCs/>
          <w:color w:val="auto"/>
          <w:szCs w:val="24"/>
          <w:highlight w:val="none"/>
          <w:lang w:val="zh-CN"/>
        </w:rPr>
        <w:fldChar w:fldCharType="end"/>
      </w:r>
    </w:p>
    <w:p w14:paraId="380E2001">
      <w:pPr>
        <w:pStyle w:val="34"/>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_Toc16680 </w:instrText>
      </w:r>
      <w:r>
        <w:rPr>
          <w:rFonts w:hint="eastAsia" w:ascii="宋体" w:hAnsi="宋体" w:eastAsia="宋体" w:cs="宋体"/>
          <w:bCs/>
          <w:szCs w:val="24"/>
          <w:highlight w:val="none"/>
          <w:lang w:val="zh-CN"/>
        </w:rPr>
        <w:fldChar w:fldCharType="separate"/>
      </w:r>
      <w:r>
        <w:rPr>
          <w:rFonts w:ascii="Times New Roman" w:hAnsi="Times New Roman" w:eastAsia="黑体" w:cs="Times New Roman"/>
          <w:bCs w:val="0"/>
          <w:kern w:val="2"/>
          <w:szCs w:val="32"/>
          <w:highlight w:val="none"/>
          <w:lang w:val="en-US" w:eastAsia="zh-CN" w:bidi="ar-SA"/>
        </w:rPr>
        <w:t>2.资格要求</w:t>
      </w:r>
      <w:r>
        <w:tab/>
      </w:r>
      <w:r>
        <w:fldChar w:fldCharType="begin"/>
      </w:r>
      <w:r>
        <w:instrText xml:space="preserve"> PAGEREF _Toc16680 \h </w:instrText>
      </w:r>
      <w:r>
        <w:fldChar w:fldCharType="separate"/>
      </w:r>
      <w:r>
        <w:t>2</w:t>
      </w:r>
      <w:r>
        <w:fldChar w:fldCharType="end"/>
      </w:r>
      <w:r>
        <w:rPr>
          <w:rFonts w:hint="eastAsia" w:ascii="宋体" w:hAnsi="宋体" w:eastAsia="宋体" w:cs="宋体"/>
          <w:bCs/>
          <w:color w:val="auto"/>
          <w:szCs w:val="24"/>
          <w:highlight w:val="none"/>
          <w:lang w:val="zh-CN"/>
        </w:rPr>
        <w:fldChar w:fldCharType="end"/>
      </w:r>
    </w:p>
    <w:p w14:paraId="58FED1CF">
      <w:pPr>
        <w:pStyle w:val="34"/>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_Toc21328 </w:instrText>
      </w:r>
      <w:r>
        <w:rPr>
          <w:rFonts w:hint="eastAsia" w:ascii="宋体" w:hAnsi="宋体" w:eastAsia="宋体" w:cs="宋体"/>
          <w:bCs/>
          <w:szCs w:val="24"/>
          <w:highlight w:val="none"/>
          <w:lang w:val="zh-CN"/>
        </w:rPr>
        <w:fldChar w:fldCharType="separate"/>
      </w:r>
      <w:r>
        <w:rPr>
          <w:rFonts w:hint="eastAsia" w:ascii="Times New Roman" w:hAnsi="Times New Roman" w:eastAsia="黑体" w:cs="Times New Roman"/>
          <w:bCs w:val="0"/>
          <w:kern w:val="2"/>
          <w:szCs w:val="32"/>
          <w:highlight w:val="none"/>
          <w:lang w:val="en-US" w:eastAsia="zh-CN" w:bidi="ar-SA"/>
        </w:rPr>
        <w:t>3</w:t>
      </w:r>
      <w:r>
        <w:rPr>
          <w:rFonts w:ascii="Times New Roman" w:hAnsi="Times New Roman" w:eastAsia="黑体" w:cs="Times New Roman"/>
          <w:bCs w:val="0"/>
          <w:kern w:val="2"/>
          <w:szCs w:val="32"/>
          <w:highlight w:val="none"/>
          <w:lang w:val="en-US" w:eastAsia="zh-CN" w:bidi="ar-SA"/>
        </w:rPr>
        <w:t>.资格审查</w:t>
      </w:r>
      <w:r>
        <w:tab/>
      </w:r>
      <w:r>
        <w:fldChar w:fldCharType="begin"/>
      </w:r>
      <w:r>
        <w:instrText xml:space="preserve"> PAGEREF _Toc21328 \h </w:instrText>
      </w:r>
      <w:r>
        <w:fldChar w:fldCharType="separate"/>
      </w:r>
      <w:r>
        <w:t>3</w:t>
      </w:r>
      <w:r>
        <w:fldChar w:fldCharType="end"/>
      </w:r>
      <w:r>
        <w:rPr>
          <w:rFonts w:hint="eastAsia" w:ascii="宋体" w:hAnsi="宋体" w:eastAsia="宋体" w:cs="宋体"/>
          <w:bCs/>
          <w:color w:val="auto"/>
          <w:szCs w:val="24"/>
          <w:highlight w:val="none"/>
          <w:lang w:val="zh-CN"/>
        </w:rPr>
        <w:fldChar w:fldCharType="end"/>
      </w:r>
    </w:p>
    <w:p w14:paraId="1E80D1FD">
      <w:pPr>
        <w:pStyle w:val="34"/>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_Toc3440 </w:instrText>
      </w:r>
      <w:r>
        <w:rPr>
          <w:rFonts w:hint="eastAsia" w:ascii="宋体" w:hAnsi="宋体" w:eastAsia="宋体" w:cs="宋体"/>
          <w:bCs/>
          <w:szCs w:val="24"/>
          <w:highlight w:val="none"/>
          <w:lang w:val="zh-CN"/>
        </w:rPr>
        <w:fldChar w:fldCharType="separate"/>
      </w:r>
      <w:r>
        <w:rPr>
          <w:rFonts w:ascii="Times New Roman" w:hAnsi="Times New Roman" w:eastAsia="黑体" w:cs="Times New Roman"/>
          <w:bCs w:val="0"/>
          <w:kern w:val="2"/>
          <w:szCs w:val="32"/>
          <w:highlight w:val="none"/>
          <w:lang w:val="en-US" w:eastAsia="zh-CN" w:bidi="ar-SA"/>
        </w:rPr>
        <w:t>4.评标办法</w:t>
      </w:r>
      <w:r>
        <w:tab/>
      </w:r>
      <w:r>
        <w:fldChar w:fldCharType="begin"/>
      </w:r>
      <w:r>
        <w:instrText xml:space="preserve"> PAGEREF _Toc3440 \h </w:instrText>
      </w:r>
      <w:r>
        <w:fldChar w:fldCharType="separate"/>
      </w:r>
      <w:r>
        <w:t>3</w:t>
      </w:r>
      <w:r>
        <w:fldChar w:fldCharType="end"/>
      </w:r>
      <w:r>
        <w:rPr>
          <w:rFonts w:hint="eastAsia" w:ascii="宋体" w:hAnsi="宋体" w:eastAsia="宋体" w:cs="宋体"/>
          <w:bCs/>
          <w:color w:val="auto"/>
          <w:szCs w:val="24"/>
          <w:highlight w:val="none"/>
          <w:lang w:val="zh-CN"/>
        </w:rPr>
        <w:fldChar w:fldCharType="end"/>
      </w:r>
    </w:p>
    <w:p w14:paraId="111AC9A3">
      <w:pPr>
        <w:pStyle w:val="34"/>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_Toc1210 </w:instrText>
      </w:r>
      <w:r>
        <w:rPr>
          <w:rFonts w:hint="eastAsia" w:ascii="宋体" w:hAnsi="宋体" w:eastAsia="宋体" w:cs="宋体"/>
          <w:bCs/>
          <w:szCs w:val="24"/>
          <w:highlight w:val="none"/>
          <w:lang w:val="zh-CN"/>
        </w:rPr>
        <w:fldChar w:fldCharType="separate"/>
      </w:r>
      <w:r>
        <w:rPr>
          <w:rFonts w:ascii="Times New Roman" w:hAnsi="Times New Roman" w:eastAsia="黑体" w:cs="Times New Roman"/>
          <w:bCs w:val="0"/>
          <w:kern w:val="2"/>
          <w:szCs w:val="32"/>
          <w:highlight w:val="none"/>
          <w:lang w:val="en-US" w:eastAsia="zh-CN" w:bidi="ar-SA"/>
        </w:rPr>
        <w:t>5.招标文件的获取</w:t>
      </w:r>
      <w:r>
        <w:tab/>
      </w:r>
      <w:r>
        <w:fldChar w:fldCharType="begin"/>
      </w:r>
      <w:r>
        <w:instrText xml:space="preserve"> PAGEREF _Toc1210 \h </w:instrText>
      </w:r>
      <w:r>
        <w:fldChar w:fldCharType="separate"/>
      </w:r>
      <w:r>
        <w:t>3</w:t>
      </w:r>
      <w:r>
        <w:fldChar w:fldCharType="end"/>
      </w:r>
      <w:r>
        <w:rPr>
          <w:rFonts w:hint="eastAsia" w:ascii="宋体" w:hAnsi="宋体" w:eastAsia="宋体" w:cs="宋体"/>
          <w:bCs/>
          <w:color w:val="auto"/>
          <w:szCs w:val="24"/>
          <w:highlight w:val="none"/>
          <w:lang w:val="zh-CN"/>
        </w:rPr>
        <w:fldChar w:fldCharType="end"/>
      </w:r>
    </w:p>
    <w:p w14:paraId="4AA465D0">
      <w:pPr>
        <w:pStyle w:val="34"/>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_Toc1932 </w:instrText>
      </w:r>
      <w:r>
        <w:rPr>
          <w:rFonts w:hint="eastAsia" w:ascii="宋体" w:hAnsi="宋体" w:eastAsia="宋体" w:cs="宋体"/>
          <w:bCs/>
          <w:szCs w:val="24"/>
          <w:highlight w:val="none"/>
          <w:lang w:val="zh-CN"/>
        </w:rPr>
        <w:fldChar w:fldCharType="separate"/>
      </w:r>
      <w:r>
        <w:rPr>
          <w:rFonts w:hint="eastAsia" w:ascii="Times New Roman" w:hAnsi="Times New Roman" w:eastAsia="黑体" w:cs="Times New Roman"/>
          <w:bCs w:val="0"/>
          <w:kern w:val="2"/>
          <w:szCs w:val="32"/>
          <w:highlight w:val="none"/>
          <w:lang w:val="en-US" w:eastAsia="zh-CN" w:bidi="ar-SA"/>
        </w:rPr>
        <w:t>6.投标文件的递交</w:t>
      </w:r>
      <w:r>
        <w:tab/>
      </w:r>
      <w:r>
        <w:fldChar w:fldCharType="begin"/>
      </w:r>
      <w:r>
        <w:instrText xml:space="preserve"> PAGEREF _Toc1932 \h </w:instrText>
      </w:r>
      <w:r>
        <w:fldChar w:fldCharType="separate"/>
      </w:r>
      <w:r>
        <w:t>3</w:t>
      </w:r>
      <w:r>
        <w:fldChar w:fldCharType="end"/>
      </w:r>
      <w:r>
        <w:rPr>
          <w:rFonts w:hint="eastAsia" w:ascii="宋体" w:hAnsi="宋体" w:eastAsia="宋体" w:cs="宋体"/>
          <w:bCs/>
          <w:color w:val="auto"/>
          <w:szCs w:val="24"/>
          <w:highlight w:val="none"/>
          <w:lang w:val="zh-CN"/>
        </w:rPr>
        <w:fldChar w:fldCharType="end"/>
      </w:r>
    </w:p>
    <w:p w14:paraId="7B60E344">
      <w:pPr>
        <w:pStyle w:val="34"/>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_Toc30711 </w:instrText>
      </w:r>
      <w:r>
        <w:rPr>
          <w:rFonts w:hint="eastAsia" w:ascii="宋体" w:hAnsi="宋体" w:eastAsia="宋体" w:cs="宋体"/>
          <w:bCs/>
          <w:szCs w:val="24"/>
          <w:highlight w:val="none"/>
          <w:lang w:val="zh-CN"/>
        </w:rPr>
        <w:fldChar w:fldCharType="separate"/>
      </w:r>
      <w:r>
        <w:rPr>
          <w:rFonts w:hint="default" w:ascii="Times New Roman" w:hAnsi="Times New Roman" w:eastAsia="黑体" w:cs="Times New Roman"/>
          <w:bCs w:val="0"/>
          <w:kern w:val="2"/>
          <w:szCs w:val="32"/>
          <w:highlight w:val="none"/>
          <w:lang w:val="en-US" w:eastAsia="zh-CN" w:bidi="ar-SA"/>
        </w:rPr>
        <w:t>7.发布公告的媒介</w:t>
      </w:r>
      <w:r>
        <w:tab/>
      </w:r>
      <w:r>
        <w:fldChar w:fldCharType="begin"/>
      </w:r>
      <w:r>
        <w:instrText xml:space="preserve"> PAGEREF _Toc30711 \h </w:instrText>
      </w:r>
      <w:r>
        <w:fldChar w:fldCharType="separate"/>
      </w:r>
      <w:r>
        <w:t>3</w:t>
      </w:r>
      <w:r>
        <w:fldChar w:fldCharType="end"/>
      </w:r>
      <w:r>
        <w:rPr>
          <w:rFonts w:hint="eastAsia" w:ascii="宋体" w:hAnsi="宋体" w:eastAsia="宋体" w:cs="宋体"/>
          <w:bCs/>
          <w:color w:val="auto"/>
          <w:szCs w:val="24"/>
          <w:highlight w:val="none"/>
          <w:lang w:val="zh-CN"/>
        </w:rPr>
        <w:fldChar w:fldCharType="end"/>
      </w:r>
    </w:p>
    <w:p w14:paraId="0BA8C4A4">
      <w:pPr>
        <w:pStyle w:val="34"/>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_Toc25414 </w:instrText>
      </w:r>
      <w:r>
        <w:rPr>
          <w:rFonts w:hint="eastAsia" w:ascii="宋体" w:hAnsi="宋体" w:eastAsia="宋体" w:cs="宋体"/>
          <w:bCs/>
          <w:szCs w:val="24"/>
          <w:highlight w:val="none"/>
          <w:lang w:val="zh-CN"/>
        </w:rPr>
        <w:fldChar w:fldCharType="separate"/>
      </w:r>
      <w:r>
        <w:rPr>
          <w:rFonts w:hint="eastAsia" w:eastAsia="黑体" w:cs="Times New Roman"/>
          <w:bCs w:val="0"/>
          <w:kern w:val="2"/>
          <w:szCs w:val="32"/>
          <w:highlight w:val="none"/>
          <w:lang w:val="en-US" w:eastAsia="zh-CN" w:bidi="ar-SA"/>
        </w:rPr>
        <w:t>8</w:t>
      </w:r>
      <w:r>
        <w:rPr>
          <w:rFonts w:ascii="Times New Roman" w:hAnsi="Times New Roman" w:eastAsia="黑体" w:cs="Times New Roman"/>
          <w:bCs w:val="0"/>
          <w:kern w:val="2"/>
          <w:szCs w:val="32"/>
          <w:highlight w:val="none"/>
          <w:lang w:val="en-US" w:eastAsia="zh-CN" w:bidi="ar-SA"/>
        </w:rPr>
        <w:t>.行政监督</w:t>
      </w:r>
      <w:r>
        <w:tab/>
      </w:r>
      <w:r>
        <w:fldChar w:fldCharType="begin"/>
      </w:r>
      <w:r>
        <w:instrText xml:space="preserve"> PAGEREF _Toc25414 \h </w:instrText>
      </w:r>
      <w:r>
        <w:fldChar w:fldCharType="separate"/>
      </w:r>
      <w:r>
        <w:t>3</w:t>
      </w:r>
      <w:r>
        <w:fldChar w:fldCharType="end"/>
      </w:r>
      <w:r>
        <w:rPr>
          <w:rFonts w:hint="eastAsia" w:ascii="宋体" w:hAnsi="宋体" w:eastAsia="宋体" w:cs="宋体"/>
          <w:bCs/>
          <w:color w:val="auto"/>
          <w:szCs w:val="24"/>
          <w:highlight w:val="none"/>
          <w:lang w:val="zh-CN"/>
        </w:rPr>
        <w:fldChar w:fldCharType="end"/>
      </w:r>
    </w:p>
    <w:p w14:paraId="3A772505">
      <w:pPr>
        <w:pStyle w:val="34"/>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_Toc13848 </w:instrText>
      </w:r>
      <w:r>
        <w:rPr>
          <w:rFonts w:hint="eastAsia" w:ascii="宋体" w:hAnsi="宋体" w:eastAsia="宋体" w:cs="宋体"/>
          <w:bCs/>
          <w:szCs w:val="24"/>
          <w:highlight w:val="none"/>
          <w:lang w:val="zh-CN"/>
        </w:rPr>
        <w:fldChar w:fldCharType="separate"/>
      </w:r>
      <w:r>
        <w:rPr>
          <w:rFonts w:hint="eastAsia" w:eastAsia="黑体" w:cs="Times New Roman"/>
          <w:bCs w:val="0"/>
          <w:kern w:val="2"/>
          <w:szCs w:val="32"/>
          <w:highlight w:val="none"/>
          <w:lang w:val="en-US" w:eastAsia="zh-CN" w:bidi="ar-SA"/>
        </w:rPr>
        <w:t>9</w:t>
      </w:r>
      <w:r>
        <w:rPr>
          <w:rFonts w:ascii="Times New Roman" w:hAnsi="Times New Roman" w:eastAsia="黑体" w:cs="Times New Roman"/>
          <w:bCs w:val="0"/>
          <w:kern w:val="2"/>
          <w:szCs w:val="32"/>
          <w:highlight w:val="none"/>
          <w:lang w:val="en-US" w:eastAsia="zh-CN" w:bidi="ar-SA"/>
        </w:rPr>
        <w:t>.联系方式</w:t>
      </w:r>
      <w:r>
        <w:tab/>
      </w:r>
      <w:r>
        <w:fldChar w:fldCharType="begin"/>
      </w:r>
      <w:r>
        <w:instrText xml:space="preserve"> PAGEREF _Toc13848 \h </w:instrText>
      </w:r>
      <w:r>
        <w:fldChar w:fldCharType="separate"/>
      </w:r>
      <w:r>
        <w:t>3</w:t>
      </w:r>
      <w:r>
        <w:fldChar w:fldCharType="end"/>
      </w:r>
      <w:r>
        <w:rPr>
          <w:rFonts w:hint="eastAsia" w:ascii="宋体" w:hAnsi="宋体" w:eastAsia="宋体" w:cs="宋体"/>
          <w:bCs/>
          <w:color w:val="auto"/>
          <w:szCs w:val="24"/>
          <w:highlight w:val="none"/>
          <w:lang w:val="zh-CN"/>
        </w:rPr>
        <w:fldChar w:fldCharType="end"/>
      </w:r>
    </w:p>
    <w:p w14:paraId="7E1C2322">
      <w:pPr>
        <w:pStyle w:val="29"/>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_Toc24593 </w:instrText>
      </w:r>
      <w:r>
        <w:rPr>
          <w:rFonts w:hint="eastAsia" w:ascii="宋体" w:hAnsi="宋体" w:eastAsia="宋体" w:cs="宋体"/>
          <w:bCs/>
          <w:szCs w:val="24"/>
          <w:highlight w:val="none"/>
          <w:lang w:val="zh-CN"/>
        </w:rPr>
        <w:fldChar w:fldCharType="separate"/>
      </w:r>
      <w:r>
        <w:t xml:space="preserve">第二章 </w:t>
      </w:r>
      <w:r>
        <w:rPr>
          <w:rFonts w:hint="eastAsia"/>
          <w:lang w:val="en-US" w:eastAsia="zh-CN"/>
        </w:rPr>
        <w:t xml:space="preserve"> </w:t>
      </w:r>
      <w:r>
        <w:t>投标人须知</w:t>
      </w:r>
      <w:r>
        <w:tab/>
      </w:r>
      <w:r>
        <w:fldChar w:fldCharType="begin"/>
      </w:r>
      <w:r>
        <w:instrText xml:space="preserve"> PAGEREF _Toc24593 \h </w:instrText>
      </w:r>
      <w:r>
        <w:fldChar w:fldCharType="separate"/>
      </w:r>
      <w:r>
        <w:t>4</w:t>
      </w:r>
      <w:r>
        <w:fldChar w:fldCharType="end"/>
      </w:r>
      <w:r>
        <w:rPr>
          <w:rFonts w:hint="eastAsia" w:ascii="宋体" w:hAnsi="宋体" w:eastAsia="宋体" w:cs="宋体"/>
          <w:bCs/>
          <w:color w:val="auto"/>
          <w:szCs w:val="24"/>
          <w:highlight w:val="none"/>
          <w:lang w:val="zh-CN"/>
        </w:rPr>
        <w:fldChar w:fldCharType="end"/>
      </w:r>
    </w:p>
    <w:p w14:paraId="006530CC">
      <w:pPr>
        <w:pStyle w:val="34"/>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_Toc6346 </w:instrText>
      </w:r>
      <w:r>
        <w:rPr>
          <w:rFonts w:hint="eastAsia" w:ascii="宋体" w:hAnsi="宋体" w:eastAsia="宋体" w:cs="宋体"/>
          <w:bCs/>
          <w:szCs w:val="24"/>
          <w:highlight w:val="none"/>
          <w:lang w:val="zh-CN"/>
        </w:rPr>
        <w:fldChar w:fldCharType="separate"/>
      </w:r>
      <w:r>
        <w:t>投标人须知前附表</w:t>
      </w:r>
      <w:r>
        <w:tab/>
      </w:r>
      <w:r>
        <w:fldChar w:fldCharType="begin"/>
      </w:r>
      <w:r>
        <w:instrText xml:space="preserve"> PAGEREF _Toc6346 \h </w:instrText>
      </w:r>
      <w:r>
        <w:fldChar w:fldCharType="separate"/>
      </w:r>
      <w:r>
        <w:t>4</w:t>
      </w:r>
      <w:r>
        <w:fldChar w:fldCharType="end"/>
      </w:r>
      <w:r>
        <w:rPr>
          <w:rFonts w:hint="eastAsia" w:ascii="宋体" w:hAnsi="宋体" w:eastAsia="宋体" w:cs="宋体"/>
          <w:bCs/>
          <w:color w:val="auto"/>
          <w:szCs w:val="24"/>
          <w:highlight w:val="none"/>
          <w:lang w:val="zh-CN"/>
        </w:rPr>
        <w:fldChar w:fldCharType="end"/>
      </w:r>
    </w:p>
    <w:p w14:paraId="7E28AAF5">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_Toc12515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1.总则</w:t>
      </w:r>
      <w:r>
        <w:tab/>
      </w:r>
      <w:r>
        <w:fldChar w:fldCharType="begin"/>
      </w:r>
      <w:r>
        <w:instrText xml:space="preserve"> PAGEREF _Toc12515 \h </w:instrText>
      </w:r>
      <w:r>
        <w:fldChar w:fldCharType="separate"/>
      </w:r>
      <w:r>
        <w:t>11</w:t>
      </w:r>
      <w:r>
        <w:fldChar w:fldCharType="end"/>
      </w:r>
      <w:r>
        <w:rPr>
          <w:rFonts w:hint="eastAsia" w:ascii="宋体" w:hAnsi="宋体" w:eastAsia="宋体" w:cs="宋体"/>
          <w:bCs/>
          <w:color w:val="auto"/>
          <w:szCs w:val="24"/>
          <w:highlight w:val="none"/>
          <w:lang w:val="zh-CN"/>
        </w:rPr>
        <w:fldChar w:fldCharType="end"/>
      </w:r>
    </w:p>
    <w:p w14:paraId="75934721">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_Toc12090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2.招标文件</w:t>
      </w:r>
      <w:r>
        <w:tab/>
      </w:r>
      <w:r>
        <w:fldChar w:fldCharType="begin"/>
      </w:r>
      <w:r>
        <w:instrText xml:space="preserve"> PAGEREF _Toc12090 \h </w:instrText>
      </w:r>
      <w:r>
        <w:fldChar w:fldCharType="separate"/>
      </w:r>
      <w:r>
        <w:t>13</w:t>
      </w:r>
      <w:r>
        <w:fldChar w:fldCharType="end"/>
      </w:r>
      <w:r>
        <w:rPr>
          <w:rFonts w:hint="eastAsia" w:ascii="宋体" w:hAnsi="宋体" w:eastAsia="宋体" w:cs="宋体"/>
          <w:bCs/>
          <w:color w:val="auto"/>
          <w:szCs w:val="24"/>
          <w:highlight w:val="none"/>
          <w:lang w:val="zh-CN"/>
        </w:rPr>
        <w:fldChar w:fldCharType="end"/>
      </w:r>
    </w:p>
    <w:p w14:paraId="562F8CE7">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_Toc30718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3.投标文件</w:t>
      </w:r>
      <w:r>
        <w:tab/>
      </w:r>
      <w:r>
        <w:fldChar w:fldCharType="begin"/>
      </w:r>
      <w:r>
        <w:instrText xml:space="preserve"> PAGEREF _Toc30718 \h </w:instrText>
      </w:r>
      <w:r>
        <w:fldChar w:fldCharType="separate"/>
      </w:r>
      <w:r>
        <w:t>13</w:t>
      </w:r>
      <w:r>
        <w:fldChar w:fldCharType="end"/>
      </w:r>
      <w:r>
        <w:rPr>
          <w:rFonts w:hint="eastAsia" w:ascii="宋体" w:hAnsi="宋体" w:eastAsia="宋体" w:cs="宋体"/>
          <w:bCs/>
          <w:color w:val="auto"/>
          <w:szCs w:val="24"/>
          <w:highlight w:val="none"/>
          <w:lang w:val="zh-CN"/>
        </w:rPr>
        <w:fldChar w:fldCharType="end"/>
      </w:r>
    </w:p>
    <w:p w14:paraId="741DCA78">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_Toc19269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4.投标</w:t>
      </w:r>
      <w:r>
        <w:tab/>
      </w:r>
      <w:r>
        <w:fldChar w:fldCharType="begin"/>
      </w:r>
      <w:r>
        <w:instrText xml:space="preserve"> PAGEREF _Toc19269 \h </w:instrText>
      </w:r>
      <w:r>
        <w:fldChar w:fldCharType="separate"/>
      </w:r>
      <w:r>
        <w:t>15</w:t>
      </w:r>
      <w:r>
        <w:fldChar w:fldCharType="end"/>
      </w:r>
      <w:r>
        <w:rPr>
          <w:rFonts w:hint="eastAsia" w:ascii="宋体" w:hAnsi="宋体" w:eastAsia="宋体" w:cs="宋体"/>
          <w:bCs/>
          <w:color w:val="auto"/>
          <w:szCs w:val="24"/>
          <w:highlight w:val="none"/>
          <w:lang w:val="zh-CN"/>
        </w:rPr>
        <w:fldChar w:fldCharType="end"/>
      </w:r>
    </w:p>
    <w:p w14:paraId="09B903B8">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_Toc7655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5.开标</w:t>
      </w:r>
      <w:r>
        <w:tab/>
      </w:r>
      <w:r>
        <w:fldChar w:fldCharType="begin"/>
      </w:r>
      <w:r>
        <w:instrText xml:space="preserve"> PAGEREF _Toc7655 \h </w:instrText>
      </w:r>
      <w:r>
        <w:fldChar w:fldCharType="separate"/>
      </w:r>
      <w:r>
        <w:t>16</w:t>
      </w:r>
      <w:r>
        <w:fldChar w:fldCharType="end"/>
      </w:r>
      <w:r>
        <w:rPr>
          <w:rFonts w:hint="eastAsia" w:ascii="宋体" w:hAnsi="宋体" w:eastAsia="宋体" w:cs="宋体"/>
          <w:bCs/>
          <w:color w:val="auto"/>
          <w:szCs w:val="24"/>
          <w:highlight w:val="none"/>
          <w:lang w:val="zh-CN"/>
        </w:rPr>
        <w:fldChar w:fldCharType="end"/>
      </w:r>
    </w:p>
    <w:p w14:paraId="6BE208C3">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_Toc273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6.评标</w:t>
      </w:r>
      <w:r>
        <w:tab/>
      </w:r>
      <w:r>
        <w:fldChar w:fldCharType="begin"/>
      </w:r>
      <w:r>
        <w:instrText xml:space="preserve"> PAGEREF _Toc273 \h </w:instrText>
      </w:r>
      <w:r>
        <w:fldChar w:fldCharType="separate"/>
      </w:r>
      <w:r>
        <w:t>17</w:t>
      </w:r>
      <w:r>
        <w:fldChar w:fldCharType="end"/>
      </w:r>
      <w:r>
        <w:rPr>
          <w:rFonts w:hint="eastAsia" w:ascii="宋体" w:hAnsi="宋体" w:eastAsia="宋体" w:cs="宋体"/>
          <w:bCs/>
          <w:color w:val="auto"/>
          <w:szCs w:val="24"/>
          <w:highlight w:val="none"/>
          <w:lang w:val="zh-CN"/>
        </w:rPr>
        <w:fldChar w:fldCharType="end"/>
      </w:r>
    </w:p>
    <w:p w14:paraId="15F380AE">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_Toc17682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7.合同授予</w:t>
      </w:r>
      <w:r>
        <w:tab/>
      </w:r>
      <w:r>
        <w:fldChar w:fldCharType="begin"/>
      </w:r>
      <w:r>
        <w:instrText xml:space="preserve"> PAGEREF _Toc17682 \h </w:instrText>
      </w:r>
      <w:r>
        <w:fldChar w:fldCharType="separate"/>
      </w:r>
      <w:r>
        <w:t>17</w:t>
      </w:r>
      <w:r>
        <w:fldChar w:fldCharType="end"/>
      </w:r>
      <w:r>
        <w:rPr>
          <w:rFonts w:hint="eastAsia" w:ascii="宋体" w:hAnsi="宋体" w:eastAsia="宋体" w:cs="宋体"/>
          <w:bCs/>
          <w:color w:val="auto"/>
          <w:szCs w:val="24"/>
          <w:highlight w:val="none"/>
          <w:lang w:val="zh-CN"/>
        </w:rPr>
        <w:fldChar w:fldCharType="end"/>
      </w:r>
    </w:p>
    <w:p w14:paraId="0EA26FC2">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_Toc29823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8.重新招标和不再招标</w:t>
      </w:r>
      <w:r>
        <w:tab/>
      </w:r>
      <w:r>
        <w:fldChar w:fldCharType="begin"/>
      </w:r>
      <w:r>
        <w:instrText xml:space="preserve"> PAGEREF _Toc29823 \h </w:instrText>
      </w:r>
      <w:r>
        <w:fldChar w:fldCharType="separate"/>
      </w:r>
      <w:r>
        <w:t>18</w:t>
      </w:r>
      <w:r>
        <w:fldChar w:fldCharType="end"/>
      </w:r>
      <w:r>
        <w:rPr>
          <w:rFonts w:hint="eastAsia" w:ascii="宋体" w:hAnsi="宋体" w:eastAsia="宋体" w:cs="宋体"/>
          <w:bCs/>
          <w:color w:val="auto"/>
          <w:szCs w:val="24"/>
          <w:highlight w:val="none"/>
          <w:lang w:val="zh-CN"/>
        </w:rPr>
        <w:fldChar w:fldCharType="end"/>
      </w:r>
    </w:p>
    <w:p w14:paraId="680B32AA">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_Toc26649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9.纪律和监督</w:t>
      </w:r>
      <w:r>
        <w:tab/>
      </w:r>
      <w:r>
        <w:fldChar w:fldCharType="begin"/>
      </w:r>
      <w:r>
        <w:instrText xml:space="preserve"> PAGEREF _Toc26649 \h </w:instrText>
      </w:r>
      <w:r>
        <w:fldChar w:fldCharType="separate"/>
      </w:r>
      <w:r>
        <w:t>18</w:t>
      </w:r>
      <w:r>
        <w:fldChar w:fldCharType="end"/>
      </w:r>
      <w:r>
        <w:rPr>
          <w:rFonts w:hint="eastAsia" w:ascii="宋体" w:hAnsi="宋体" w:eastAsia="宋体" w:cs="宋体"/>
          <w:bCs/>
          <w:color w:val="auto"/>
          <w:szCs w:val="24"/>
          <w:highlight w:val="none"/>
          <w:lang w:val="zh-CN"/>
        </w:rPr>
        <w:fldChar w:fldCharType="end"/>
      </w:r>
    </w:p>
    <w:p w14:paraId="768E1DB2">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_Toc27414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10.需要补充的其他内容</w:t>
      </w:r>
      <w:r>
        <w:tab/>
      </w:r>
      <w:r>
        <w:fldChar w:fldCharType="begin"/>
      </w:r>
      <w:r>
        <w:instrText xml:space="preserve"> PAGEREF _Toc27414 \h </w:instrText>
      </w:r>
      <w:r>
        <w:fldChar w:fldCharType="separate"/>
      </w:r>
      <w:r>
        <w:t>19</w:t>
      </w:r>
      <w:r>
        <w:fldChar w:fldCharType="end"/>
      </w:r>
      <w:r>
        <w:rPr>
          <w:rFonts w:hint="eastAsia" w:ascii="宋体" w:hAnsi="宋体" w:eastAsia="宋体" w:cs="宋体"/>
          <w:bCs/>
          <w:color w:val="auto"/>
          <w:szCs w:val="24"/>
          <w:highlight w:val="none"/>
          <w:lang w:val="zh-CN"/>
        </w:rPr>
        <w:fldChar w:fldCharType="end"/>
      </w:r>
    </w:p>
    <w:p w14:paraId="2E6C1CD1">
      <w:pPr>
        <w:pStyle w:val="29"/>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_Toc24179 </w:instrText>
      </w:r>
      <w:r>
        <w:rPr>
          <w:rFonts w:hint="eastAsia" w:ascii="宋体" w:hAnsi="宋体" w:eastAsia="宋体" w:cs="宋体"/>
          <w:bCs/>
          <w:szCs w:val="24"/>
          <w:highlight w:val="none"/>
          <w:lang w:val="zh-CN"/>
        </w:rPr>
        <w:fldChar w:fldCharType="separate"/>
      </w:r>
      <w:r>
        <w:t xml:space="preserve">第三章 </w:t>
      </w:r>
      <w:r>
        <w:rPr>
          <w:rFonts w:hint="eastAsia"/>
          <w:lang w:val="en-US" w:eastAsia="zh-CN"/>
        </w:rPr>
        <w:t xml:space="preserve"> </w:t>
      </w:r>
      <w:r>
        <w:t>评标办法（经评审的最低投标价法）</w:t>
      </w:r>
      <w:r>
        <w:tab/>
      </w:r>
      <w:r>
        <w:fldChar w:fldCharType="begin"/>
      </w:r>
      <w:r>
        <w:instrText xml:space="preserve"> PAGEREF _Toc24179 \h </w:instrText>
      </w:r>
      <w:r>
        <w:fldChar w:fldCharType="separate"/>
      </w:r>
      <w:r>
        <w:t>23</w:t>
      </w:r>
      <w:r>
        <w:fldChar w:fldCharType="end"/>
      </w:r>
      <w:r>
        <w:rPr>
          <w:rFonts w:hint="eastAsia" w:ascii="宋体" w:hAnsi="宋体" w:eastAsia="宋体" w:cs="宋体"/>
          <w:bCs/>
          <w:color w:val="auto"/>
          <w:szCs w:val="24"/>
          <w:highlight w:val="none"/>
          <w:lang w:val="zh-CN"/>
        </w:rPr>
        <w:fldChar w:fldCharType="end"/>
      </w:r>
    </w:p>
    <w:p w14:paraId="7D16FFFB">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_Toc3667 </w:instrText>
      </w:r>
      <w:r>
        <w:rPr>
          <w:rFonts w:hint="eastAsia" w:ascii="宋体" w:hAnsi="宋体" w:eastAsia="宋体" w:cs="宋体"/>
          <w:bCs/>
          <w:szCs w:val="24"/>
          <w:highlight w:val="none"/>
          <w:lang w:val="zh-CN"/>
        </w:rPr>
        <w:fldChar w:fldCharType="separate"/>
      </w:r>
      <w:r>
        <w:rPr>
          <w:rFonts w:hint="eastAsia" w:ascii="宋体" w:hAnsi="宋体" w:eastAsia="宋体" w:cs="宋体"/>
        </w:rPr>
        <w:t>1.评审标准</w:t>
      </w:r>
      <w:r>
        <w:tab/>
      </w:r>
      <w:r>
        <w:fldChar w:fldCharType="begin"/>
      </w:r>
      <w:r>
        <w:instrText xml:space="preserve"> PAGEREF _Toc3667 \h </w:instrText>
      </w:r>
      <w:r>
        <w:fldChar w:fldCharType="separate"/>
      </w:r>
      <w:r>
        <w:t>27</w:t>
      </w:r>
      <w:r>
        <w:fldChar w:fldCharType="end"/>
      </w:r>
      <w:r>
        <w:rPr>
          <w:rFonts w:hint="eastAsia" w:ascii="宋体" w:hAnsi="宋体" w:eastAsia="宋体" w:cs="宋体"/>
          <w:bCs/>
          <w:color w:val="auto"/>
          <w:szCs w:val="24"/>
          <w:highlight w:val="none"/>
          <w:lang w:val="zh-CN"/>
        </w:rPr>
        <w:fldChar w:fldCharType="end"/>
      </w:r>
    </w:p>
    <w:p w14:paraId="4331C342">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_Toc9214 </w:instrText>
      </w:r>
      <w:r>
        <w:rPr>
          <w:rFonts w:hint="eastAsia" w:ascii="宋体" w:hAnsi="宋体" w:eastAsia="宋体" w:cs="宋体"/>
          <w:bCs/>
          <w:szCs w:val="24"/>
          <w:highlight w:val="none"/>
          <w:lang w:val="zh-CN"/>
        </w:rPr>
        <w:fldChar w:fldCharType="separate"/>
      </w:r>
      <w:r>
        <w:rPr>
          <w:rFonts w:hint="eastAsia" w:ascii="宋体" w:hAnsi="宋体" w:eastAsia="宋体" w:cs="宋体"/>
        </w:rPr>
        <w:t>2.评审程序</w:t>
      </w:r>
      <w:r>
        <w:rPr>
          <w:rFonts w:hint="eastAsia" w:ascii="宋体" w:hAnsi="宋体" w:eastAsia="宋体" w:cs="宋体"/>
          <w:lang w:val="en-US" w:eastAsia="zh-CN"/>
        </w:rPr>
        <w:t>及澄清</w:t>
      </w:r>
      <w:r>
        <w:tab/>
      </w:r>
      <w:r>
        <w:fldChar w:fldCharType="begin"/>
      </w:r>
      <w:r>
        <w:instrText xml:space="preserve"> PAGEREF _Toc9214 \h </w:instrText>
      </w:r>
      <w:r>
        <w:fldChar w:fldCharType="separate"/>
      </w:r>
      <w:r>
        <w:t>27</w:t>
      </w:r>
      <w:r>
        <w:fldChar w:fldCharType="end"/>
      </w:r>
      <w:r>
        <w:rPr>
          <w:rFonts w:hint="eastAsia" w:ascii="宋体" w:hAnsi="宋体" w:eastAsia="宋体" w:cs="宋体"/>
          <w:bCs/>
          <w:color w:val="auto"/>
          <w:szCs w:val="24"/>
          <w:highlight w:val="none"/>
          <w:lang w:val="zh-CN"/>
        </w:rPr>
        <w:fldChar w:fldCharType="end"/>
      </w:r>
    </w:p>
    <w:p w14:paraId="1E65064A">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_Toc27019 </w:instrText>
      </w:r>
      <w:r>
        <w:rPr>
          <w:rFonts w:hint="eastAsia" w:ascii="宋体" w:hAnsi="宋体" w:eastAsia="宋体" w:cs="宋体"/>
          <w:bCs/>
          <w:szCs w:val="24"/>
          <w:highlight w:val="none"/>
          <w:lang w:val="zh-CN"/>
        </w:rPr>
        <w:fldChar w:fldCharType="separate"/>
      </w:r>
      <w:r>
        <w:rPr>
          <w:rFonts w:hint="eastAsia" w:ascii="宋体" w:hAnsi="宋体" w:eastAsia="宋体" w:cs="宋体"/>
        </w:rPr>
        <w:t>3.评标结果</w:t>
      </w:r>
      <w:r>
        <w:tab/>
      </w:r>
      <w:r>
        <w:fldChar w:fldCharType="begin"/>
      </w:r>
      <w:r>
        <w:instrText xml:space="preserve"> PAGEREF _Toc27019 \h </w:instrText>
      </w:r>
      <w:r>
        <w:fldChar w:fldCharType="separate"/>
      </w:r>
      <w:r>
        <w:t>28</w:t>
      </w:r>
      <w:r>
        <w:fldChar w:fldCharType="end"/>
      </w:r>
      <w:r>
        <w:rPr>
          <w:rFonts w:hint="eastAsia" w:ascii="宋体" w:hAnsi="宋体" w:eastAsia="宋体" w:cs="宋体"/>
          <w:bCs/>
          <w:color w:val="auto"/>
          <w:szCs w:val="24"/>
          <w:highlight w:val="none"/>
          <w:lang w:val="zh-CN"/>
        </w:rPr>
        <w:fldChar w:fldCharType="end"/>
      </w:r>
    </w:p>
    <w:p w14:paraId="5E3C5710">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_Toc25063 </w:instrText>
      </w:r>
      <w:r>
        <w:rPr>
          <w:rFonts w:hint="eastAsia" w:ascii="宋体" w:hAnsi="宋体" w:eastAsia="宋体" w:cs="宋体"/>
          <w:bCs/>
          <w:szCs w:val="24"/>
          <w:highlight w:val="none"/>
          <w:lang w:val="zh-CN"/>
        </w:rPr>
        <w:fldChar w:fldCharType="separate"/>
      </w:r>
      <w:r>
        <w:rPr>
          <w:rFonts w:hint="eastAsia" w:ascii="宋体" w:hAnsi="宋体" w:eastAsia="宋体" w:cs="宋体"/>
        </w:rPr>
        <w:t>1.基本程序</w:t>
      </w:r>
      <w:r>
        <w:tab/>
      </w:r>
      <w:r>
        <w:fldChar w:fldCharType="begin"/>
      </w:r>
      <w:r>
        <w:instrText xml:space="preserve"> PAGEREF _Toc25063 \h </w:instrText>
      </w:r>
      <w:r>
        <w:fldChar w:fldCharType="separate"/>
      </w:r>
      <w:r>
        <w:t>29</w:t>
      </w:r>
      <w:r>
        <w:fldChar w:fldCharType="end"/>
      </w:r>
      <w:r>
        <w:rPr>
          <w:rFonts w:hint="eastAsia" w:ascii="宋体" w:hAnsi="宋体" w:eastAsia="宋体" w:cs="宋体"/>
          <w:bCs/>
          <w:color w:val="auto"/>
          <w:szCs w:val="24"/>
          <w:highlight w:val="none"/>
          <w:lang w:val="zh-CN"/>
        </w:rPr>
        <w:fldChar w:fldCharType="end"/>
      </w:r>
    </w:p>
    <w:p w14:paraId="26AB2258">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_Toc18365 </w:instrText>
      </w:r>
      <w:r>
        <w:rPr>
          <w:rFonts w:hint="eastAsia" w:ascii="宋体" w:hAnsi="宋体" w:eastAsia="宋体" w:cs="宋体"/>
          <w:bCs/>
          <w:szCs w:val="24"/>
          <w:highlight w:val="none"/>
          <w:lang w:val="zh-CN"/>
        </w:rPr>
        <w:fldChar w:fldCharType="separate"/>
      </w:r>
      <w:r>
        <w:rPr>
          <w:rFonts w:hint="eastAsia" w:ascii="宋体" w:hAnsi="宋体" w:eastAsia="宋体" w:cs="宋体"/>
        </w:rPr>
        <w:t>2.评标准备</w:t>
      </w:r>
      <w:r>
        <w:tab/>
      </w:r>
      <w:r>
        <w:fldChar w:fldCharType="begin"/>
      </w:r>
      <w:r>
        <w:instrText xml:space="preserve"> PAGEREF _Toc18365 \h </w:instrText>
      </w:r>
      <w:r>
        <w:fldChar w:fldCharType="separate"/>
      </w:r>
      <w:r>
        <w:t>29</w:t>
      </w:r>
      <w:r>
        <w:fldChar w:fldCharType="end"/>
      </w:r>
      <w:r>
        <w:rPr>
          <w:rFonts w:hint="eastAsia" w:ascii="宋体" w:hAnsi="宋体" w:eastAsia="宋体" w:cs="宋体"/>
          <w:bCs/>
          <w:color w:val="auto"/>
          <w:szCs w:val="24"/>
          <w:highlight w:val="none"/>
          <w:lang w:val="zh-CN"/>
        </w:rPr>
        <w:fldChar w:fldCharType="end"/>
      </w:r>
    </w:p>
    <w:p w14:paraId="5DD3CB89">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_Toc27563 </w:instrText>
      </w:r>
      <w:r>
        <w:rPr>
          <w:rFonts w:hint="eastAsia" w:ascii="宋体" w:hAnsi="宋体" w:eastAsia="宋体" w:cs="宋体"/>
          <w:bCs/>
          <w:szCs w:val="24"/>
          <w:highlight w:val="none"/>
          <w:lang w:val="zh-CN"/>
        </w:rPr>
        <w:fldChar w:fldCharType="separate"/>
      </w:r>
      <w:r>
        <w:rPr>
          <w:rFonts w:hint="eastAsia" w:ascii="宋体" w:hAnsi="宋体" w:eastAsia="宋体" w:cs="宋体"/>
        </w:rPr>
        <w:t>3.</w:t>
      </w:r>
      <w:r>
        <w:rPr>
          <w:rFonts w:hint="eastAsia" w:ascii="宋体" w:hAnsi="宋体" w:eastAsia="宋体" w:cs="宋体"/>
          <w:lang w:val="en-US" w:eastAsia="zh-CN"/>
        </w:rPr>
        <w:t>施工组织设计</w:t>
      </w:r>
      <w:r>
        <w:rPr>
          <w:rFonts w:hint="eastAsia" w:ascii="宋体" w:hAnsi="宋体" w:eastAsia="宋体" w:cs="宋体"/>
        </w:rPr>
        <w:t>评审</w:t>
      </w:r>
      <w:r>
        <w:tab/>
      </w:r>
      <w:r>
        <w:fldChar w:fldCharType="begin"/>
      </w:r>
      <w:r>
        <w:instrText xml:space="preserve"> PAGEREF _Toc27563 \h </w:instrText>
      </w:r>
      <w:r>
        <w:fldChar w:fldCharType="separate"/>
      </w:r>
      <w:r>
        <w:t>30</w:t>
      </w:r>
      <w:r>
        <w:fldChar w:fldCharType="end"/>
      </w:r>
      <w:r>
        <w:rPr>
          <w:rFonts w:hint="eastAsia" w:ascii="宋体" w:hAnsi="宋体" w:eastAsia="宋体" w:cs="宋体"/>
          <w:bCs/>
          <w:color w:val="auto"/>
          <w:szCs w:val="24"/>
          <w:highlight w:val="none"/>
          <w:lang w:val="zh-CN"/>
        </w:rPr>
        <w:fldChar w:fldCharType="end"/>
      </w:r>
    </w:p>
    <w:p w14:paraId="03C00C9C">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_Toc30979 </w:instrText>
      </w:r>
      <w:r>
        <w:rPr>
          <w:rFonts w:hint="eastAsia" w:ascii="宋体" w:hAnsi="宋体" w:eastAsia="宋体" w:cs="宋体"/>
          <w:bCs/>
          <w:szCs w:val="24"/>
          <w:highlight w:val="none"/>
          <w:lang w:val="zh-CN"/>
        </w:rPr>
        <w:fldChar w:fldCharType="separate"/>
      </w:r>
      <w:r>
        <w:rPr>
          <w:rFonts w:hint="eastAsia" w:ascii="宋体" w:hAnsi="宋体" w:eastAsia="宋体" w:cs="宋体"/>
          <w:lang w:val="en-US" w:eastAsia="zh-CN"/>
        </w:rPr>
        <w:t>4.</w:t>
      </w:r>
      <w:r>
        <w:rPr>
          <w:rFonts w:hint="eastAsia" w:ascii="宋体" w:hAnsi="宋体" w:eastAsia="宋体" w:cs="宋体"/>
        </w:rPr>
        <w:t>形式、资格、响应性评审。</w:t>
      </w:r>
      <w:r>
        <w:tab/>
      </w:r>
      <w:r>
        <w:fldChar w:fldCharType="begin"/>
      </w:r>
      <w:r>
        <w:instrText xml:space="preserve"> PAGEREF _Toc30979 \h </w:instrText>
      </w:r>
      <w:r>
        <w:fldChar w:fldCharType="separate"/>
      </w:r>
      <w:r>
        <w:t>30</w:t>
      </w:r>
      <w:r>
        <w:fldChar w:fldCharType="end"/>
      </w:r>
      <w:r>
        <w:rPr>
          <w:rFonts w:hint="eastAsia" w:ascii="宋体" w:hAnsi="宋体" w:eastAsia="宋体" w:cs="宋体"/>
          <w:bCs/>
          <w:color w:val="auto"/>
          <w:szCs w:val="24"/>
          <w:highlight w:val="none"/>
          <w:lang w:val="zh-CN"/>
        </w:rPr>
        <w:fldChar w:fldCharType="end"/>
      </w:r>
    </w:p>
    <w:p w14:paraId="110E8B62">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_Toc14662 </w:instrText>
      </w:r>
      <w:r>
        <w:rPr>
          <w:rFonts w:hint="eastAsia" w:ascii="宋体" w:hAnsi="宋体" w:eastAsia="宋体" w:cs="宋体"/>
          <w:bCs/>
          <w:szCs w:val="24"/>
          <w:highlight w:val="none"/>
          <w:lang w:val="zh-CN"/>
        </w:rPr>
        <w:fldChar w:fldCharType="separate"/>
      </w:r>
      <w:r>
        <w:rPr>
          <w:rFonts w:hint="eastAsia" w:ascii="宋体" w:hAnsi="宋体" w:eastAsia="宋体" w:cs="宋体"/>
          <w:lang w:val="en-US" w:eastAsia="zh-CN"/>
        </w:rPr>
        <w:t>5</w:t>
      </w:r>
      <w:r>
        <w:rPr>
          <w:rFonts w:hint="eastAsia" w:ascii="宋体" w:hAnsi="宋体" w:eastAsia="宋体" w:cs="宋体"/>
        </w:rPr>
        <w:t>.</w:t>
      </w:r>
      <w:r>
        <w:rPr>
          <w:rFonts w:hint="eastAsia" w:ascii="宋体" w:hAnsi="宋体" w:eastAsia="宋体" w:cs="宋体"/>
          <w:lang w:val="en-US" w:eastAsia="zh-CN"/>
        </w:rPr>
        <w:t>业绩及信用</w:t>
      </w:r>
      <w:r>
        <w:rPr>
          <w:rFonts w:hint="eastAsia" w:ascii="宋体" w:hAnsi="宋体" w:eastAsia="宋体" w:cs="宋体"/>
        </w:rPr>
        <w:t>评审</w:t>
      </w:r>
      <w:r>
        <w:rPr>
          <w:rFonts w:hint="eastAsia" w:ascii="宋体" w:hAnsi="宋体" w:eastAsia="宋体" w:cs="宋体"/>
          <w:lang w:eastAsia="zh-CN"/>
        </w:rPr>
        <w:t>、</w:t>
      </w:r>
      <w:r>
        <w:rPr>
          <w:rFonts w:hint="eastAsia" w:ascii="宋体" w:hAnsi="宋体" w:eastAsia="宋体" w:cs="宋体"/>
        </w:rPr>
        <w:t>投标报价评审</w:t>
      </w:r>
      <w:r>
        <w:tab/>
      </w:r>
      <w:r>
        <w:fldChar w:fldCharType="begin"/>
      </w:r>
      <w:r>
        <w:instrText xml:space="preserve"> PAGEREF _Toc14662 \h </w:instrText>
      </w:r>
      <w:r>
        <w:fldChar w:fldCharType="separate"/>
      </w:r>
      <w:r>
        <w:t>31</w:t>
      </w:r>
      <w:r>
        <w:fldChar w:fldCharType="end"/>
      </w:r>
      <w:r>
        <w:rPr>
          <w:rFonts w:hint="eastAsia" w:ascii="宋体" w:hAnsi="宋体" w:eastAsia="宋体" w:cs="宋体"/>
          <w:bCs/>
          <w:color w:val="auto"/>
          <w:szCs w:val="24"/>
          <w:highlight w:val="none"/>
          <w:lang w:val="zh-CN"/>
        </w:rPr>
        <w:fldChar w:fldCharType="end"/>
      </w:r>
    </w:p>
    <w:p w14:paraId="1B8901FF">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_Toc1158 </w:instrText>
      </w:r>
      <w:r>
        <w:rPr>
          <w:rFonts w:hint="eastAsia" w:ascii="宋体" w:hAnsi="宋体" w:eastAsia="宋体" w:cs="宋体"/>
          <w:bCs/>
          <w:szCs w:val="24"/>
          <w:highlight w:val="none"/>
          <w:lang w:val="zh-CN"/>
        </w:rPr>
        <w:fldChar w:fldCharType="separate"/>
      </w:r>
      <w:r>
        <w:rPr>
          <w:rFonts w:hint="eastAsia" w:ascii="宋体" w:hAnsi="宋体" w:eastAsia="宋体" w:cs="宋体"/>
          <w:lang w:val="en-US" w:eastAsia="zh-CN"/>
        </w:rPr>
        <w:t>6</w:t>
      </w:r>
      <w:r>
        <w:rPr>
          <w:rFonts w:hint="eastAsia" w:ascii="宋体" w:hAnsi="宋体" w:eastAsia="宋体" w:cs="宋体"/>
        </w:rPr>
        <w:t>.中标人的确定</w:t>
      </w:r>
      <w:r>
        <w:tab/>
      </w:r>
      <w:r>
        <w:fldChar w:fldCharType="begin"/>
      </w:r>
      <w:r>
        <w:instrText xml:space="preserve"> PAGEREF _Toc1158 \h </w:instrText>
      </w:r>
      <w:r>
        <w:fldChar w:fldCharType="separate"/>
      </w:r>
      <w:r>
        <w:t>32</w:t>
      </w:r>
      <w:r>
        <w:fldChar w:fldCharType="end"/>
      </w:r>
      <w:r>
        <w:rPr>
          <w:rFonts w:hint="eastAsia" w:ascii="宋体" w:hAnsi="宋体" w:eastAsia="宋体" w:cs="宋体"/>
          <w:bCs/>
          <w:color w:val="auto"/>
          <w:szCs w:val="24"/>
          <w:highlight w:val="none"/>
          <w:lang w:val="zh-CN"/>
        </w:rPr>
        <w:fldChar w:fldCharType="end"/>
      </w:r>
    </w:p>
    <w:p w14:paraId="07513DE4">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_Toc28631 </w:instrText>
      </w:r>
      <w:r>
        <w:rPr>
          <w:rFonts w:hint="eastAsia" w:ascii="宋体" w:hAnsi="宋体" w:eastAsia="宋体" w:cs="宋体"/>
          <w:bCs/>
          <w:szCs w:val="24"/>
          <w:highlight w:val="none"/>
          <w:lang w:val="zh-CN"/>
        </w:rPr>
        <w:fldChar w:fldCharType="separate"/>
      </w:r>
      <w:r>
        <w:rPr>
          <w:rFonts w:hint="eastAsia" w:ascii="宋体" w:hAnsi="宋体" w:eastAsia="宋体" w:cs="宋体"/>
          <w:lang w:val="en-US" w:eastAsia="zh-CN"/>
        </w:rPr>
        <w:t>7</w:t>
      </w:r>
      <w:r>
        <w:rPr>
          <w:rFonts w:hint="eastAsia" w:ascii="宋体" w:hAnsi="宋体" w:eastAsia="宋体" w:cs="宋体"/>
        </w:rPr>
        <w:t>．特殊情况的处置程序</w:t>
      </w:r>
      <w:r>
        <w:tab/>
      </w:r>
      <w:r>
        <w:fldChar w:fldCharType="begin"/>
      </w:r>
      <w:r>
        <w:instrText xml:space="preserve"> PAGEREF _Toc28631 \h </w:instrText>
      </w:r>
      <w:r>
        <w:fldChar w:fldCharType="separate"/>
      </w:r>
      <w:r>
        <w:t>33</w:t>
      </w:r>
      <w:r>
        <w:fldChar w:fldCharType="end"/>
      </w:r>
      <w:r>
        <w:rPr>
          <w:rFonts w:hint="eastAsia" w:ascii="宋体" w:hAnsi="宋体" w:eastAsia="宋体" w:cs="宋体"/>
          <w:bCs/>
          <w:color w:val="auto"/>
          <w:szCs w:val="24"/>
          <w:highlight w:val="none"/>
          <w:lang w:val="zh-CN"/>
        </w:rPr>
        <w:fldChar w:fldCharType="end"/>
      </w:r>
    </w:p>
    <w:p w14:paraId="52C610B4">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_Toc13092 </w:instrText>
      </w:r>
      <w:r>
        <w:rPr>
          <w:rFonts w:hint="eastAsia" w:ascii="宋体" w:hAnsi="宋体" w:eastAsia="宋体" w:cs="宋体"/>
          <w:bCs/>
          <w:szCs w:val="24"/>
          <w:highlight w:val="none"/>
          <w:lang w:val="zh-CN"/>
        </w:rPr>
        <w:fldChar w:fldCharType="separate"/>
      </w:r>
      <w:r>
        <w:rPr>
          <w:rFonts w:hint="eastAsia" w:ascii="宋体" w:hAnsi="宋体" w:eastAsia="宋体" w:cs="宋体"/>
          <w:lang w:val="en-US" w:eastAsia="zh-CN"/>
        </w:rPr>
        <w:t>8</w:t>
      </w:r>
      <w:r>
        <w:rPr>
          <w:rFonts w:hint="eastAsia" w:ascii="宋体" w:hAnsi="宋体" w:eastAsia="宋体" w:cs="宋体"/>
        </w:rPr>
        <w:t>.补充条款</w:t>
      </w:r>
      <w:r>
        <w:tab/>
      </w:r>
      <w:r>
        <w:fldChar w:fldCharType="begin"/>
      </w:r>
      <w:r>
        <w:instrText xml:space="preserve"> PAGEREF _Toc13092 \h </w:instrText>
      </w:r>
      <w:r>
        <w:fldChar w:fldCharType="separate"/>
      </w:r>
      <w:r>
        <w:t>33</w:t>
      </w:r>
      <w:r>
        <w:fldChar w:fldCharType="end"/>
      </w:r>
      <w:r>
        <w:rPr>
          <w:rFonts w:hint="eastAsia" w:ascii="宋体" w:hAnsi="宋体" w:eastAsia="宋体" w:cs="宋体"/>
          <w:bCs/>
          <w:color w:val="auto"/>
          <w:szCs w:val="24"/>
          <w:highlight w:val="none"/>
          <w:lang w:val="zh-CN"/>
        </w:rPr>
        <w:fldChar w:fldCharType="end"/>
      </w:r>
    </w:p>
    <w:p w14:paraId="0B9361BF">
      <w:pPr>
        <w:pStyle w:val="29"/>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_Toc21552 </w:instrText>
      </w:r>
      <w:r>
        <w:rPr>
          <w:rFonts w:hint="eastAsia" w:ascii="宋体" w:hAnsi="宋体" w:eastAsia="宋体" w:cs="宋体"/>
          <w:bCs/>
          <w:szCs w:val="24"/>
          <w:highlight w:val="none"/>
          <w:lang w:val="zh-CN"/>
        </w:rPr>
        <w:fldChar w:fldCharType="separate"/>
      </w:r>
      <w:r>
        <w:t>第四章  合同条款及格式</w:t>
      </w:r>
      <w:r>
        <w:tab/>
      </w:r>
      <w:r>
        <w:fldChar w:fldCharType="begin"/>
      </w:r>
      <w:r>
        <w:instrText xml:space="preserve"> PAGEREF _Toc21552 \h </w:instrText>
      </w:r>
      <w:r>
        <w:fldChar w:fldCharType="separate"/>
      </w:r>
      <w:r>
        <w:t>35</w:t>
      </w:r>
      <w:r>
        <w:fldChar w:fldCharType="end"/>
      </w:r>
      <w:r>
        <w:rPr>
          <w:rFonts w:hint="eastAsia" w:ascii="宋体" w:hAnsi="宋体" w:eastAsia="宋体" w:cs="宋体"/>
          <w:bCs/>
          <w:color w:val="auto"/>
          <w:szCs w:val="24"/>
          <w:highlight w:val="none"/>
          <w:lang w:val="zh-CN"/>
        </w:rPr>
        <w:fldChar w:fldCharType="end"/>
      </w:r>
    </w:p>
    <w:p w14:paraId="4FEE2F6C">
      <w:pPr>
        <w:pStyle w:val="34"/>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_Toc36 </w:instrText>
      </w:r>
      <w:r>
        <w:rPr>
          <w:rFonts w:hint="eastAsia" w:ascii="宋体" w:hAnsi="宋体" w:eastAsia="宋体" w:cs="宋体"/>
          <w:bCs/>
          <w:szCs w:val="24"/>
          <w:highlight w:val="none"/>
          <w:lang w:val="zh-CN"/>
        </w:rPr>
        <w:fldChar w:fldCharType="separate"/>
      </w:r>
      <w:r>
        <w:rPr>
          <w:rFonts w:hint="eastAsia" w:ascii="微软雅黑" w:hAnsi="微软雅黑" w:eastAsia="微软雅黑" w:cs="微软雅黑"/>
        </w:rPr>
        <w:t>第一节 合同协议书</w:t>
      </w:r>
      <w:r>
        <w:tab/>
      </w:r>
      <w:r>
        <w:fldChar w:fldCharType="begin"/>
      </w:r>
      <w:r>
        <w:instrText xml:space="preserve"> PAGEREF _Toc36 \h </w:instrText>
      </w:r>
      <w:r>
        <w:fldChar w:fldCharType="separate"/>
      </w:r>
      <w:r>
        <w:t>36</w:t>
      </w:r>
      <w:r>
        <w:fldChar w:fldCharType="end"/>
      </w:r>
      <w:r>
        <w:rPr>
          <w:rFonts w:hint="eastAsia" w:ascii="宋体" w:hAnsi="宋体" w:eastAsia="宋体" w:cs="宋体"/>
          <w:bCs/>
          <w:color w:val="auto"/>
          <w:szCs w:val="24"/>
          <w:highlight w:val="none"/>
          <w:lang w:val="zh-CN"/>
        </w:rPr>
        <w:fldChar w:fldCharType="end"/>
      </w:r>
    </w:p>
    <w:p w14:paraId="78027BA9">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_Toc7988 </w:instrText>
      </w:r>
      <w:r>
        <w:rPr>
          <w:rFonts w:hint="eastAsia" w:ascii="宋体" w:hAnsi="宋体" w:eastAsia="宋体" w:cs="宋体"/>
          <w:bCs/>
          <w:szCs w:val="24"/>
          <w:highlight w:val="none"/>
          <w:lang w:val="zh-CN"/>
        </w:rPr>
        <w:fldChar w:fldCharType="separate"/>
      </w:r>
      <w:r>
        <w:rPr>
          <w:rFonts w:hint="eastAsia"/>
        </w:rPr>
        <w:t>一、工程概况</w:t>
      </w:r>
      <w:r>
        <w:tab/>
      </w:r>
      <w:r>
        <w:fldChar w:fldCharType="begin"/>
      </w:r>
      <w:r>
        <w:instrText xml:space="preserve"> PAGEREF _Toc7988 \h </w:instrText>
      </w:r>
      <w:r>
        <w:fldChar w:fldCharType="separate"/>
      </w:r>
      <w:r>
        <w:t>36</w:t>
      </w:r>
      <w:r>
        <w:fldChar w:fldCharType="end"/>
      </w:r>
      <w:r>
        <w:rPr>
          <w:rFonts w:hint="eastAsia" w:ascii="宋体" w:hAnsi="宋体" w:eastAsia="宋体" w:cs="宋体"/>
          <w:bCs/>
          <w:color w:val="auto"/>
          <w:szCs w:val="24"/>
          <w:highlight w:val="none"/>
          <w:lang w:val="zh-CN"/>
        </w:rPr>
        <w:fldChar w:fldCharType="end"/>
      </w:r>
    </w:p>
    <w:p w14:paraId="494A7ED0">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_Toc10412 </w:instrText>
      </w:r>
      <w:r>
        <w:rPr>
          <w:rFonts w:hint="eastAsia" w:ascii="宋体" w:hAnsi="宋体" w:eastAsia="宋体" w:cs="宋体"/>
          <w:bCs/>
          <w:szCs w:val="24"/>
          <w:highlight w:val="none"/>
          <w:lang w:val="zh-CN"/>
        </w:rPr>
        <w:fldChar w:fldCharType="separate"/>
      </w:r>
      <w:r>
        <w:rPr>
          <w:rFonts w:hint="eastAsia"/>
        </w:rPr>
        <w:t>二、合同工期</w:t>
      </w:r>
      <w:r>
        <w:tab/>
      </w:r>
      <w:r>
        <w:fldChar w:fldCharType="begin"/>
      </w:r>
      <w:r>
        <w:instrText xml:space="preserve"> PAGEREF _Toc10412 \h </w:instrText>
      </w:r>
      <w:r>
        <w:fldChar w:fldCharType="separate"/>
      </w:r>
      <w:r>
        <w:t>36</w:t>
      </w:r>
      <w:r>
        <w:fldChar w:fldCharType="end"/>
      </w:r>
      <w:r>
        <w:rPr>
          <w:rFonts w:hint="eastAsia" w:ascii="宋体" w:hAnsi="宋体" w:eastAsia="宋体" w:cs="宋体"/>
          <w:bCs/>
          <w:color w:val="auto"/>
          <w:szCs w:val="24"/>
          <w:highlight w:val="none"/>
          <w:lang w:val="zh-CN"/>
        </w:rPr>
        <w:fldChar w:fldCharType="end"/>
      </w:r>
    </w:p>
    <w:p w14:paraId="2DA02D5B">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_Toc10747 </w:instrText>
      </w:r>
      <w:r>
        <w:rPr>
          <w:rFonts w:hint="eastAsia" w:ascii="宋体" w:hAnsi="宋体" w:eastAsia="宋体" w:cs="宋体"/>
          <w:bCs/>
          <w:szCs w:val="24"/>
          <w:highlight w:val="none"/>
          <w:lang w:val="zh-CN"/>
        </w:rPr>
        <w:fldChar w:fldCharType="separate"/>
      </w:r>
      <w:r>
        <w:rPr>
          <w:rFonts w:hint="eastAsia"/>
        </w:rPr>
        <w:t>三、质量标准</w:t>
      </w:r>
      <w:r>
        <w:tab/>
      </w:r>
      <w:r>
        <w:fldChar w:fldCharType="begin"/>
      </w:r>
      <w:r>
        <w:instrText xml:space="preserve"> PAGEREF _Toc10747 \h </w:instrText>
      </w:r>
      <w:r>
        <w:fldChar w:fldCharType="separate"/>
      </w:r>
      <w:r>
        <w:t>36</w:t>
      </w:r>
      <w:r>
        <w:fldChar w:fldCharType="end"/>
      </w:r>
      <w:r>
        <w:rPr>
          <w:rFonts w:hint="eastAsia" w:ascii="宋体" w:hAnsi="宋体" w:eastAsia="宋体" w:cs="宋体"/>
          <w:bCs/>
          <w:color w:val="auto"/>
          <w:szCs w:val="24"/>
          <w:highlight w:val="none"/>
          <w:lang w:val="zh-CN"/>
        </w:rPr>
        <w:fldChar w:fldCharType="end"/>
      </w:r>
    </w:p>
    <w:p w14:paraId="1C3D538F">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_Toc6108 </w:instrText>
      </w:r>
      <w:r>
        <w:rPr>
          <w:rFonts w:hint="eastAsia" w:ascii="宋体" w:hAnsi="宋体" w:eastAsia="宋体" w:cs="宋体"/>
          <w:bCs/>
          <w:szCs w:val="24"/>
          <w:highlight w:val="none"/>
          <w:lang w:val="zh-CN"/>
        </w:rPr>
        <w:fldChar w:fldCharType="separate"/>
      </w:r>
      <w:r>
        <w:rPr>
          <w:rFonts w:hint="eastAsia"/>
        </w:rPr>
        <w:t>四、签约合同价与合同价格形式</w:t>
      </w:r>
      <w:r>
        <w:tab/>
      </w:r>
      <w:r>
        <w:fldChar w:fldCharType="begin"/>
      </w:r>
      <w:r>
        <w:instrText xml:space="preserve"> PAGEREF _Toc6108 \h </w:instrText>
      </w:r>
      <w:r>
        <w:fldChar w:fldCharType="separate"/>
      </w:r>
      <w:r>
        <w:t>36</w:t>
      </w:r>
      <w:r>
        <w:fldChar w:fldCharType="end"/>
      </w:r>
      <w:r>
        <w:rPr>
          <w:rFonts w:hint="eastAsia" w:ascii="宋体" w:hAnsi="宋体" w:eastAsia="宋体" w:cs="宋体"/>
          <w:bCs/>
          <w:color w:val="auto"/>
          <w:szCs w:val="24"/>
          <w:highlight w:val="none"/>
          <w:lang w:val="zh-CN"/>
        </w:rPr>
        <w:fldChar w:fldCharType="end"/>
      </w:r>
    </w:p>
    <w:p w14:paraId="63FC6AA3">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_Toc22528 </w:instrText>
      </w:r>
      <w:r>
        <w:rPr>
          <w:rFonts w:hint="eastAsia" w:ascii="宋体" w:hAnsi="宋体" w:eastAsia="宋体" w:cs="宋体"/>
          <w:bCs/>
          <w:szCs w:val="24"/>
          <w:highlight w:val="none"/>
          <w:lang w:val="zh-CN"/>
        </w:rPr>
        <w:fldChar w:fldCharType="separate"/>
      </w:r>
      <w:r>
        <w:rPr>
          <w:rFonts w:hint="eastAsia"/>
        </w:rPr>
        <w:t>五、项目经理</w:t>
      </w:r>
      <w:r>
        <w:tab/>
      </w:r>
      <w:r>
        <w:fldChar w:fldCharType="begin"/>
      </w:r>
      <w:r>
        <w:instrText xml:space="preserve"> PAGEREF _Toc22528 \h </w:instrText>
      </w:r>
      <w:r>
        <w:fldChar w:fldCharType="separate"/>
      </w:r>
      <w:r>
        <w:t>37</w:t>
      </w:r>
      <w:r>
        <w:fldChar w:fldCharType="end"/>
      </w:r>
      <w:r>
        <w:rPr>
          <w:rFonts w:hint="eastAsia" w:ascii="宋体" w:hAnsi="宋体" w:eastAsia="宋体" w:cs="宋体"/>
          <w:bCs/>
          <w:color w:val="auto"/>
          <w:szCs w:val="24"/>
          <w:highlight w:val="none"/>
          <w:lang w:val="zh-CN"/>
        </w:rPr>
        <w:fldChar w:fldCharType="end"/>
      </w:r>
    </w:p>
    <w:p w14:paraId="5A1DCEB6">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_Toc7346 </w:instrText>
      </w:r>
      <w:r>
        <w:rPr>
          <w:rFonts w:hint="eastAsia" w:ascii="宋体" w:hAnsi="宋体" w:eastAsia="宋体" w:cs="宋体"/>
          <w:bCs/>
          <w:szCs w:val="24"/>
          <w:highlight w:val="none"/>
          <w:lang w:val="zh-CN"/>
        </w:rPr>
        <w:fldChar w:fldCharType="separate"/>
      </w:r>
      <w:r>
        <w:rPr>
          <w:rFonts w:hint="eastAsia"/>
        </w:rPr>
        <w:t>六、合同文件构成</w:t>
      </w:r>
      <w:r>
        <w:tab/>
      </w:r>
      <w:r>
        <w:fldChar w:fldCharType="begin"/>
      </w:r>
      <w:r>
        <w:instrText xml:space="preserve"> PAGEREF _Toc7346 \h </w:instrText>
      </w:r>
      <w:r>
        <w:fldChar w:fldCharType="separate"/>
      </w:r>
      <w:r>
        <w:t>37</w:t>
      </w:r>
      <w:r>
        <w:fldChar w:fldCharType="end"/>
      </w:r>
      <w:r>
        <w:rPr>
          <w:rFonts w:hint="eastAsia" w:ascii="宋体" w:hAnsi="宋体" w:eastAsia="宋体" w:cs="宋体"/>
          <w:bCs/>
          <w:color w:val="auto"/>
          <w:szCs w:val="24"/>
          <w:highlight w:val="none"/>
          <w:lang w:val="zh-CN"/>
        </w:rPr>
        <w:fldChar w:fldCharType="end"/>
      </w:r>
    </w:p>
    <w:p w14:paraId="19EFF798">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_Toc6127 </w:instrText>
      </w:r>
      <w:r>
        <w:rPr>
          <w:rFonts w:hint="eastAsia" w:ascii="宋体" w:hAnsi="宋体" w:eastAsia="宋体" w:cs="宋体"/>
          <w:bCs/>
          <w:szCs w:val="24"/>
          <w:highlight w:val="none"/>
          <w:lang w:val="zh-CN"/>
        </w:rPr>
        <w:fldChar w:fldCharType="separate"/>
      </w:r>
      <w:r>
        <w:rPr>
          <w:rFonts w:hint="eastAsia"/>
        </w:rPr>
        <w:t>七、承诺</w:t>
      </w:r>
      <w:r>
        <w:tab/>
      </w:r>
      <w:r>
        <w:fldChar w:fldCharType="begin"/>
      </w:r>
      <w:r>
        <w:instrText xml:space="preserve"> PAGEREF _Toc6127 \h </w:instrText>
      </w:r>
      <w:r>
        <w:fldChar w:fldCharType="separate"/>
      </w:r>
      <w:r>
        <w:t>37</w:t>
      </w:r>
      <w:r>
        <w:fldChar w:fldCharType="end"/>
      </w:r>
      <w:r>
        <w:rPr>
          <w:rFonts w:hint="eastAsia" w:ascii="宋体" w:hAnsi="宋体" w:eastAsia="宋体" w:cs="宋体"/>
          <w:bCs/>
          <w:color w:val="auto"/>
          <w:szCs w:val="24"/>
          <w:highlight w:val="none"/>
          <w:lang w:val="zh-CN"/>
        </w:rPr>
        <w:fldChar w:fldCharType="end"/>
      </w:r>
    </w:p>
    <w:p w14:paraId="42F08ED5">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_Toc41 </w:instrText>
      </w:r>
      <w:r>
        <w:rPr>
          <w:rFonts w:hint="eastAsia" w:ascii="宋体" w:hAnsi="宋体" w:eastAsia="宋体" w:cs="宋体"/>
          <w:bCs/>
          <w:szCs w:val="24"/>
          <w:highlight w:val="none"/>
          <w:lang w:val="zh-CN"/>
        </w:rPr>
        <w:fldChar w:fldCharType="separate"/>
      </w:r>
      <w:r>
        <w:rPr>
          <w:rFonts w:hint="eastAsia"/>
        </w:rPr>
        <w:t>八、词语含义</w:t>
      </w:r>
      <w:r>
        <w:tab/>
      </w:r>
      <w:r>
        <w:fldChar w:fldCharType="begin"/>
      </w:r>
      <w:r>
        <w:instrText xml:space="preserve"> PAGEREF _Toc41 \h </w:instrText>
      </w:r>
      <w:r>
        <w:fldChar w:fldCharType="separate"/>
      </w:r>
      <w:r>
        <w:t>38</w:t>
      </w:r>
      <w:r>
        <w:fldChar w:fldCharType="end"/>
      </w:r>
      <w:r>
        <w:rPr>
          <w:rFonts w:hint="eastAsia" w:ascii="宋体" w:hAnsi="宋体" w:eastAsia="宋体" w:cs="宋体"/>
          <w:bCs/>
          <w:color w:val="auto"/>
          <w:szCs w:val="24"/>
          <w:highlight w:val="none"/>
          <w:lang w:val="zh-CN"/>
        </w:rPr>
        <w:fldChar w:fldCharType="end"/>
      </w:r>
    </w:p>
    <w:p w14:paraId="5D39DE4A">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_Toc22486 </w:instrText>
      </w:r>
      <w:r>
        <w:rPr>
          <w:rFonts w:hint="eastAsia" w:ascii="宋体" w:hAnsi="宋体" w:eastAsia="宋体" w:cs="宋体"/>
          <w:bCs/>
          <w:szCs w:val="24"/>
          <w:highlight w:val="none"/>
          <w:lang w:val="zh-CN"/>
        </w:rPr>
        <w:fldChar w:fldCharType="separate"/>
      </w:r>
      <w:r>
        <w:rPr>
          <w:rFonts w:hint="eastAsia"/>
        </w:rPr>
        <w:t>九、签订时间</w:t>
      </w:r>
      <w:r>
        <w:tab/>
      </w:r>
      <w:r>
        <w:fldChar w:fldCharType="begin"/>
      </w:r>
      <w:r>
        <w:instrText xml:space="preserve"> PAGEREF _Toc22486 \h </w:instrText>
      </w:r>
      <w:r>
        <w:fldChar w:fldCharType="separate"/>
      </w:r>
      <w:r>
        <w:t>38</w:t>
      </w:r>
      <w:r>
        <w:fldChar w:fldCharType="end"/>
      </w:r>
      <w:r>
        <w:rPr>
          <w:rFonts w:hint="eastAsia" w:ascii="宋体" w:hAnsi="宋体" w:eastAsia="宋体" w:cs="宋体"/>
          <w:bCs/>
          <w:color w:val="auto"/>
          <w:szCs w:val="24"/>
          <w:highlight w:val="none"/>
          <w:lang w:val="zh-CN"/>
        </w:rPr>
        <w:fldChar w:fldCharType="end"/>
      </w:r>
    </w:p>
    <w:p w14:paraId="3F4AFBEF">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_Toc1327 </w:instrText>
      </w:r>
      <w:r>
        <w:rPr>
          <w:rFonts w:hint="eastAsia" w:ascii="宋体" w:hAnsi="宋体" w:eastAsia="宋体" w:cs="宋体"/>
          <w:bCs/>
          <w:szCs w:val="24"/>
          <w:highlight w:val="none"/>
          <w:lang w:val="zh-CN"/>
        </w:rPr>
        <w:fldChar w:fldCharType="separate"/>
      </w:r>
      <w:r>
        <w:rPr>
          <w:rFonts w:hint="eastAsia"/>
        </w:rPr>
        <w:t>十、签订地点</w:t>
      </w:r>
      <w:r>
        <w:tab/>
      </w:r>
      <w:r>
        <w:fldChar w:fldCharType="begin"/>
      </w:r>
      <w:r>
        <w:instrText xml:space="preserve"> PAGEREF _Toc1327 \h </w:instrText>
      </w:r>
      <w:r>
        <w:fldChar w:fldCharType="separate"/>
      </w:r>
      <w:r>
        <w:t>38</w:t>
      </w:r>
      <w:r>
        <w:fldChar w:fldCharType="end"/>
      </w:r>
      <w:r>
        <w:rPr>
          <w:rFonts w:hint="eastAsia" w:ascii="宋体" w:hAnsi="宋体" w:eastAsia="宋体" w:cs="宋体"/>
          <w:bCs/>
          <w:color w:val="auto"/>
          <w:szCs w:val="24"/>
          <w:highlight w:val="none"/>
          <w:lang w:val="zh-CN"/>
        </w:rPr>
        <w:fldChar w:fldCharType="end"/>
      </w:r>
    </w:p>
    <w:p w14:paraId="7B9069FF">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_Toc28598 </w:instrText>
      </w:r>
      <w:r>
        <w:rPr>
          <w:rFonts w:hint="eastAsia" w:ascii="宋体" w:hAnsi="宋体" w:eastAsia="宋体" w:cs="宋体"/>
          <w:bCs/>
          <w:szCs w:val="24"/>
          <w:highlight w:val="none"/>
          <w:lang w:val="zh-CN"/>
        </w:rPr>
        <w:fldChar w:fldCharType="separate"/>
      </w:r>
      <w:r>
        <w:rPr>
          <w:rFonts w:hint="eastAsia"/>
        </w:rPr>
        <w:t>十一、补充协议</w:t>
      </w:r>
      <w:r>
        <w:tab/>
      </w:r>
      <w:r>
        <w:fldChar w:fldCharType="begin"/>
      </w:r>
      <w:r>
        <w:instrText xml:space="preserve"> PAGEREF _Toc28598 \h </w:instrText>
      </w:r>
      <w:r>
        <w:fldChar w:fldCharType="separate"/>
      </w:r>
      <w:r>
        <w:t>38</w:t>
      </w:r>
      <w:r>
        <w:fldChar w:fldCharType="end"/>
      </w:r>
      <w:r>
        <w:rPr>
          <w:rFonts w:hint="eastAsia" w:ascii="宋体" w:hAnsi="宋体" w:eastAsia="宋体" w:cs="宋体"/>
          <w:bCs/>
          <w:color w:val="auto"/>
          <w:szCs w:val="24"/>
          <w:highlight w:val="none"/>
          <w:lang w:val="zh-CN"/>
        </w:rPr>
        <w:fldChar w:fldCharType="end"/>
      </w:r>
    </w:p>
    <w:p w14:paraId="4D7FA22F">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_Toc26977 </w:instrText>
      </w:r>
      <w:r>
        <w:rPr>
          <w:rFonts w:hint="eastAsia" w:ascii="宋体" w:hAnsi="宋体" w:eastAsia="宋体" w:cs="宋体"/>
          <w:bCs/>
          <w:szCs w:val="24"/>
          <w:highlight w:val="none"/>
          <w:lang w:val="zh-CN"/>
        </w:rPr>
        <w:fldChar w:fldCharType="separate"/>
      </w:r>
      <w:r>
        <w:rPr>
          <w:rFonts w:hint="eastAsia"/>
        </w:rPr>
        <w:t>十二、合同生效</w:t>
      </w:r>
      <w:r>
        <w:tab/>
      </w:r>
      <w:r>
        <w:fldChar w:fldCharType="begin"/>
      </w:r>
      <w:r>
        <w:instrText xml:space="preserve"> PAGEREF _Toc26977 \h </w:instrText>
      </w:r>
      <w:r>
        <w:fldChar w:fldCharType="separate"/>
      </w:r>
      <w:r>
        <w:t>38</w:t>
      </w:r>
      <w:r>
        <w:fldChar w:fldCharType="end"/>
      </w:r>
      <w:r>
        <w:rPr>
          <w:rFonts w:hint="eastAsia" w:ascii="宋体" w:hAnsi="宋体" w:eastAsia="宋体" w:cs="宋体"/>
          <w:bCs/>
          <w:color w:val="auto"/>
          <w:szCs w:val="24"/>
          <w:highlight w:val="none"/>
          <w:lang w:val="zh-CN"/>
        </w:rPr>
        <w:fldChar w:fldCharType="end"/>
      </w:r>
    </w:p>
    <w:p w14:paraId="147B23BF">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_Toc24011 </w:instrText>
      </w:r>
      <w:r>
        <w:rPr>
          <w:rFonts w:hint="eastAsia" w:ascii="宋体" w:hAnsi="宋体" w:eastAsia="宋体" w:cs="宋体"/>
          <w:bCs/>
          <w:szCs w:val="24"/>
          <w:highlight w:val="none"/>
          <w:lang w:val="zh-CN"/>
        </w:rPr>
        <w:fldChar w:fldCharType="separate"/>
      </w:r>
      <w:r>
        <w:rPr>
          <w:rFonts w:hint="eastAsia"/>
        </w:rPr>
        <w:t>十三、合同份数</w:t>
      </w:r>
      <w:r>
        <w:tab/>
      </w:r>
      <w:r>
        <w:fldChar w:fldCharType="begin"/>
      </w:r>
      <w:r>
        <w:instrText xml:space="preserve"> PAGEREF _Toc24011 \h </w:instrText>
      </w:r>
      <w:r>
        <w:fldChar w:fldCharType="separate"/>
      </w:r>
      <w:r>
        <w:t>38</w:t>
      </w:r>
      <w:r>
        <w:fldChar w:fldCharType="end"/>
      </w:r>
      <w:r>
        <w:rPr>
          <w:rFonts w:hint="eastAsia" w:ascii="宋体" w:hAnsi="宋体" w:eastAsia="宋体" w:cs="宋体"/>
          <w:bCs/>
          <w:color w:val="auto"/>
          <w:szCs w:val="24"/>
          <w:highlight w:val="none"/>
          <w:lang w:val="zh-CN"/>
        </w:rPr>
        <w:fldChar w:fldCharType="end"/>
      </w:r>
    </w:p>
    <w:p w14:paraId="4E92BAED">
      <w:pPr>
        <w:pStyle w:val="34"/>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_Toc29884 </w:instrText>
      </w:r>
      <w:r>
        <w:rPr>
          <w:rFonts w:hint="eastAsia" w:ascii="宋体" w:hAnsi="宋体" w:eastAsia="宋体" w:cs="宋体"/>
          <w:bCs/>
          <w:szCs w:val="24"/>
          <w:highlight w:val="none"/>
          <w:lang w:val="zh-CN"/>
        </w:rPr>
        <w:fldChar w:fldCharType="separate"/>
      </w:r>
      <w:r>
        <w:rPr>
          <w:rFonts w:hint="eastAsia"/>
        </w:rPr>
        <w:t>第二节 通用合同条款</w:t>
      </w:r>
      <w:r>
        <w:tab/>
      </w:r>
      <w:r>
        <w:fldChar w:fldCharType="begin"/>
      </w:r>
      <w:r>
        <w:instrText xml:space="preserve"> PAGEREF _Toc29884 \h </w:instrText>
      </w:r>
      <w:r>
        <w:fldChar w:fldCharType="separate"/>
      </w:r>
      <w:r>
        <w:t>39</w:t>
      </w:r>
      <w:r>
        <w:fldChar w:fldCharType="end"/>
      </w:r>
      <w:r>
        <w:rPr>
          <w:rFonts w:hint="eastAsia" w:ascii="宋体" w:hAnsi="宋体" w:eastAsia="宋体" w:cs="宋体"/>
          <w:bCs/>
          <w:color w:val="auto"/>
          <w:szCs w:val="24"/>
          <w:highlight w:val="none"/>
          <w:lang w:val="zh-CN"/>
        </w:rPr>
        <w:fldChar w:fldCharType="end"/>
      </w:r>
    </w:p>
    <w:p w14:paraId="0D484DAD">
      <w:pPr>
        <w:pStyle w:val="34"/>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_Toc18958 </w:instrText>
      </w:r>
      <w:r>
        <w:rPr>
          <w:rFonts w:hint="eastAsia" w:ascii="宋体" w:hAnsi="宋体" w:eastAsia="宋体" w:cs="宋体"/>
          <w:bCs/>
          <w:szCs w:val="24"/>
          <w:highlight w:val="none"/>
          <w:lang w:val="zh-CN"/>
        </w:rPr>
        <w:fldChar w:fldCharType="separate"/>
      </w:r>
      <w:r>
        <w:rPr>
          <w:rFonts w:ascii="Times New Roman" w:hAnsi="Times New Roman" w:eastAsia="黑体"/>
          <w:bCs w:val="0"/>
          <w:highlight w:val="none"/>
        </w:rPr>
        <w:t>第三</w:t>
      </w:r>
      <w:r>
        <w:rPr>
          <w:rFonts w:hint="eastAsia" w:ascii="Times New Roman" w:hAnsi="Times New Roman" w:eastAsia="黑体"/>
          <w:bCs w:val="0"/>
          <w:highlight w:val="none"/>
        </w:rPr>
        <w:t>节</w:t>
      </w:r>
      <w:r>
        <w:rPr>
          <w:rFonts w:ascii="Times New Roman" w:hAnsi="Times New Roman" w:eastAsia="黑体"/>
          <w:bCs w:val="0"/>
          <w:highlight w:val="none"/>
        </w:rPr>
        <w:t xml:space="preserve"> </w:t>
      </w:r>
      <w:r>
        <w:rPr>
          <w:rFonts w:hint="eastAsia" w:ascii="Times New Roman" w:hAnsi="Times New Roman" w:eastAsia="黑体"/>
          <w:bCs w:val="0"/>
          <w:highlight w:val="none"/>
        </w:rPr>
        <w:t>专用合同条款</w:t>
      </w:r>
      <w:r>
        <w:tab/>
      </w:r>
      <w:r>
        <w:fldChar w:fldCharType="begin"/>
      </w:r>
      <w:r>
        <w:instrText xml:space="preserve"> PAGEREF _Toc18958 \h </w:instrText>
      </w:r>
      <w:r>
        <w:fldChar w:fldCharType="separate"/>
      </w:r>
      <w:r>
        <w:t>40</w:t>
      </w:r>
      <w:r>
        <w:fldChar w:fldCharType="end"/>
      </w:r>
      <w:r>
        <w:rPr>
          <w:rFonts w:hint="eastAsia" w:ascii="宋体" w:hAnsi="宋体" w:eastAsia="宋体" w:cs="宋体"/>
          <w:bCs/>
          <w:color w:val="auto"/>
          <w:szCs w:val="24"/>
          <w:highlight w:val="none"/>
          <w:lang w:val="zh-CN"/>
        </w:rPr>
        <w:fldChar w:fldCharType="end"/>
      </w:r>
    </w:p>
    <w:p w14:paraId="173328B1">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_Toc22422 </w:instrText>
      </w:r>
      <w:r>
        <w:rPr>
          <w:rFonts w:hint="eastAsia" w:ascii="宋体" w:hAnsi="宋体" w:eastAsia="宋体" w:cs="宋体"/>
          <w:bCs/>
          <w:szCs w:val="24"/>
          <w:highlight w:val="none"/>
          <w:lang w:val="zh-CN"/>
        </w:rPr>
        <w:fldChar w:fldCharType="separate"/>
      </w:r>
      <w:r>
        <w:rPr>
          <w:rFonts w:hint="eastAsia"/>
        </w:rPr>
        <w:t>1. 一般约定</w:t>
      </w:r>
      <w:r>
        <w:tab/>
      </w:r>
      <w:r>
        <w:fldChar w:fldCharType="begin"/>
      </w:r>
      <w:r>
        <w:instrText xml:space="preserve"> PAGEREF _Toc22422 \h </w:instrText>
      </w:r>
      <w:r>
        <w:fldChar w:fldCharType="separate"/>
      </w:r>
      <w:r>
        <w:t>40</w:t>
      </w:r>
      <w:r>
        <w:fldChar w:fldCharType="end"/>
      </w:r>
      <w:r>
        <w:rPr>
          <w:rFonts w:hint="eastAsia" w:ascii="宋体" w:hAnsi="宋体" w:eastAsia="宋体" w:cs="宋体"/>
          <w:bCs/>
          <w:color w:val="auto"/>
          <w:szCs w:val="24"/>
          <w:highlight w:val="none"/>
          <w:lang w:val="zh-CN"/>
        </w:rPr>
        <w:fldChar w:fldCharType="end"/>
      </w:r>
    </w:p>
    <w:p w14:paraId="763918B2">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_Toc12982 </w:instrText>
      </w:r>
      <w:r>
        <w:rPr>
          <w:rFonts w:hint="eastAsia" w:ascii="宋体" w:hAnsi="宋体" w:eastAsia="宋体" w:cs="宋体"/>
          <w:bCs/>
          <w:szCs w:val="24"/>
          <w:highlight w:val="none"/>
          <w:lang w:val="zh-CN"/>
        </w:rPr>
        <w:fldChar w:fldCharType="separate"/>
      </w:r>
      <w:r>
        <w:rPr>
          <w:rFonts w:hint="eastAsia"/>
        </w:rPr>
        <w:t>2. 发包人</w:t>
      </w:r>
      <w:r>
        <w:tab/>
      </w:r>
      <w:r>
        <w:fldChar w:fldCharType="begin"/>
      </w:r>
      <w:r>
        <w:instrText xml:space="preserve"> PAGEREF _Toc12982 \h </w:instrText>
      </w:r>
      <w:r>
        <w:fldChar w:fldCharType="separate"/>
      </w:r>
      <w:r>
        <w:t>44</w:t>
      </w:r>
      <w:r>
        <w:fldChar w:fldCharType="end"/>
      </w:r>
      <w:r>
        <w:rPr>
          <w:rFonts w:hint="eastAsia" w:ascii="宋体" w:hAnsi="宋体" w:eastAsia="宋体" w:cs="宋体"/>
          <w:bCs/>
          <w:color w:val="auto"/>
          <w:szCs w:val="24"/>
          <w:highlight w:val="none"/>
          <w:lang w:val="zh-CN"/>
        </w:rPr>
        <w:fldChar w:fldCharType="end"/>
      </w:r>
    </w:p>
    <w:p w14:paraId="00AA4B3B">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_Toc20893 </w:instrText>
      </w:r>
      <w:r>
        <w:rPr>
          <w:rFonts w:hint="eastAsia" w:ascii="宋体" w:hAnsi="宋体" w:eastAsia="宋体" w:cs="宋体"/>
          <w:bCs/>
          <w:szCs w:val="24"/>
          <w:highlight w:val="none"/>
          <w:lang w:val="zh-CN"/>
        </w:rPr>
        <w:fldChar w:fldCharType="separate"/>
      </w:r>
      <w:r>
        <w:rPr>
          <w:rFonts w:hint="eastAsia"/>
        </w:rPr>
        <w:t>3. 承包人</w:t>
      </w:r>
      <w:r>
        <w:tab/>
      </w:r>
      <w:r>
        <w:fldChar w:fldCharType="begin"/>
      </w:r>
      <w:r>
        <w:instrText xml:space="preserve"> PAGEREF _Toc20893 \h </w:instrText>
      </w:r>
      <w:r>
        <w:fldChar w:fldCharType="separate"/>
      </w:r>
      <w:r>
        <w:t>44</w:t>
      </w:r>
      <w:r>
        <w:fldChar w:fldCharType="end"/>
      </w:r>
      <w:r>
        <w:rPr>
          <w:rFonts w:hint="eastAsia" w:ascii="宋体" w:hAnsi="宋体" w:eastAsia="宋体" w:cs="宋体"/>
          <w:bCs/>
          <w:color w:val="auto"/>
          <w:szCs w:val="24"/>
          <w:highlight w:val="none"/>
          <w:lang w:val="zh-CN"/>
        </w:rPr>
        <w:fldChar w:fldCharType="end"/>
      </w:r>
    </w:p>
    <w:p w14:paraId="717CFFF6">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_Toc29121 </w:instrText>
      </w:r>
      <w:r>
        <w:rPr>
          <w:rFonts w:hint="eastAsia" w:ascii="宋体" w:hAnsi="宋体" w:eastAsia="宋体" w:cs="宋体"/>
          <w:bCs/>
          <w:szCs w:val="24"/>
          <w:highlight w:val="none"/>
          <w:lang w:val="zh-CN"/>
        </w:rPr>
        <w:fldChar w:fldCharType="separate"/>
      </w:r>
      <w:r>
        <w:rPr>
          <w:rFonts w:hint="eastAsia"/>
        </w:rPr>
        <w:t>4. 监理人</w:t>
      </w:r>
      <w:r>
        <w:tab/>
      </w:r>
      <w:r>
        <w:fldChar w:fldCharType="begin"/>
      </w:r>
      <w:r>
        <w:instrText xml:space="preserve"> PAGEREF _Toc29121 \h </w:instrText>
      </w:r>
      <w:r>
        <w:fldChar w:fldCharType="separate"/>
      </w:r>
      <w:r>
        <w:t>47</w:t>
      </w:r>
      <w:r>
        <w:fldChar w:fldCharType="end"/>
      </w:r>
      <w:r>
        <w:rPr>
          <w:rFonts w:hint="eastAsia" w:ascii="宋体" w:hAnsi="宋体" w:eastAsia="宋体" w:cs="宋体"/>
          <w:bCs/>
          <w:color w:val="auto"/>
          <w:szCs w:val="24"/>
          <w:highlight w:val="none"/>
          <w:lang w:val="zh-CN"/>
        </w:rPr>
        <w:fldChar w:fldCharType="end"/>
      </w:r>
    </w:p>
    <w:p w14:paraId="57ACA2A2">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_Toc12730 </w:instrText>
      </w:r>
      <w:r>
        <w:rPr>
          <w:rFonts w:hint="eastAsia" w:ascii="宋体" w:hAnsi="宋体" w:eastAsia="宋体" w:cs="宋体"/>
          <w:bCs/>
          <w:szCs w:val="24"/>
          <w:highlight w:val="none"/>
          <w:lang w:val="zh-CN"/>
        </w:rPr>
        <w:fldChar w:fldCharType="separate"/>
      </w:r>
      <w:r>
        <w:rPr>
          <w:rFonts w:hint="eastAsia"/>
        </w:rPr>
        <w:t>5. 工程质量</w:t>
      </w:r>
      <w:r>
        <w:tab/>
      </w:r>
      <w:r>
        <w:fldChar w:fldCharType="begin"/>
      </w:r>
      <w:r>
        <w:instrText xml:space="preserve"> PAGEREF _Toc12730 \h </w:instrText>
      </w:r>
      <w:r>
        <w:fldChar w:fldCharType="separate"/>
      </w:r>
      <w:r>
        <w:t>48</w:t>
      </w:r>
      <w:r>
        <w:fldChar w:fldCharType="end"/>
      </w:r>
      <w:r>
        <w:rPr>
          <w:rFonts w:hint="eastAsia" w:ascii="宋体" w:hAnsi="宋体" w:eastAsia="宋体" w:cs="宋体"/>
          <w:bCs/>
          <w:color w:val="auto"/>
          <w:szCs w:val="24"/>
          <w:highlight w:val="none"/>
          <w:lang w:val="zh-CN"/>
        </w:rPr>
        <w:fldChar w:fldCharType="end"/>
      </w:r>
    </w:p>
    <w:p w14:paraId="76B4AA79">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_Toc3023 </w:instrText>
      </w:r>
      <w:r>
        <w:rPr>
          <w:rFonts w:hint="eastAsia" w:ascii="宋体" w:hAnsi="宋体" w:eastAsia="宋体" w:cs="宋体"/>
          <w:bCs/>
          <w:szCs w:val="24"/>
          <w:highlight w:val="none"/>
          <w:lang w:val="zh-CN"/>
        </w:rPr>
        <w:fldChar w:fldCharType="separate"/>
      </w:r>
      <w:r>
        <w:rPr>
          <w:rFonts w:hint="eastAsia"/>
        </w:rPr>
        <w:t>6. 安全文明施工与环境保护</w:t>
      </w:r>
      <w:r>
        <w:tab/>
      </w:r>
      <w:r>
        <w:fldChar w:fldCharType="begin"/>
      </w:r>
      <w:r>
        <w:instrText xml:space="preserve"> PAGEREF _Toc3023 \h </w:instrText>
      </w:r>
      <w:r>
        <w:fldChar w:fldCharType="separate"/>
      </w:r>
      <w:r>
        <w:t>49</w:t>
      </w:r>
      <w:r>
        <w:fldChar w:fldCharType="end"/>
      </w:r>
      <w:r>
        <w:rPr>
          <w:rFonts w:hint="eastAsia" w:ascii="宋体" w:hAnsi="宋体" w:eastAsia="宋体" w:cs="宋体"/>
          <w:bCs/>
          <w:color w:val="auto"/>
          <w:szCs w:val="24"/>
          <w:highlight w:val="none"/>
          <w:lang w:val="zh-CN"/>
        </w:rPr>
        <w:fldChar w:fldCharType="end"/>
      </w:r>
    </w:p>
    <w:p w14:paraId="32A2021F">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_Toc32255 </w:instrText>
      </w:r>
      <w:r>
        <w:rPr>
          <w:rFonts w:hint="eastAsia" w:ascii="宋体" w:hAnsi="宋体" w:eastAsia="宋体" w:cs="宋体"/>
          <w:bCs/>
          <w:szCs w:val="24"/>
          <w:highlight w:val="none"/>
          <w:lang w:val="zh-CN"/>
        </w:rPr>
        <w:fldChar w:fldCharType="separate"/>
      </w:r>
      <w:r>
        <w:rPr>
          <w:rFonts w:hint="eastAsia"/>
        </w:rPr>
        <w:t>7. 工期和进度</w:t>
      </w:r>
      <w:r>
        <w:tab/>
      </w:r>
      <w:r>
        <w:fldChar w:fldCharType="begin"/>
      </w:r>
      <w:r>
        <w:instrText xml:space="preserve"> PAGEREF _Toc32255 \h </w:instrText>
      </w:r>
      <w:r>
        <w:fldChar w:fldCharType="separate"/>
      </w:r>
      <w:r>
        <w:t>50</w:t>
      </w:r>
      <w:r>
        <w:fldChar w:fldCharType="end"/>
      </w:r>
      <w:r>
        <w:rPr>
          <w:rFonts w:hint="eastAsia" w:ascii="宋体" w:hAnsi="宋体" w:eastAsia="宋体" w:cs="宋体"/>
          <w:bCs/>
          <w:color w:val="auto"/>
          <w:szCs w:val="24"/>
          <w:highlight w:val="none"/>
          <w:lang w:val="zh-CN"/>
        </w:rPr>
        <w:fldChar w:fldCharType="end"/>
      </w:r>
    </w:p>
    <w:p w14:paraId="184FAD8B">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_Toc31447 </w:instrText>
      </w:r>
      <w:r>
        <w:rPr>
          <w:rFonts w:hint="eastAsia" w:ascii="宋体" w:hAnsi="宋体" w:eastAsia="宋体" w:cs="宋体"/>
          <w:bCs/>
          <w:szCs w:val="24"/>
          <w:highlight w:val="none"/>
          <w:lang w:val="zh-CN"/>
        </w:rPr>
        <w:fldChar w:fldCharType="separate"/>
      </w:r>
      <w:r>
        <w:rPr>
          <w:rFonts w:hint="eastAsia"/>
        </w:rPr>
        <w:t>8. 材料与设备</w:t>
      </w:r>
      <w:r>
        <w:tab/>
      </w:r>
      <w:r>
        <w:fldChar w:fldCharType="begin"/>
      </w:r>
      <w:r>
        <w:instrText xml:space="preserve"> PAGEREF _Toc31447 \h </w:instrText>
      </w:r>
      <w:r>
        <w:fldChar w:fldCharType="separate"/>
      </w:r>
      <w:r>
        <w:t>52</w:t>
      </w:r>
      <w:r>
        <w:fldChar w:fldCharType="end"/>
      </w:r>
      <w:r>
        <w:rPr>
          <w:rFonts w:hint="eastAsia" w:ascii="宋体" w:hAnsi="宋体" w:eastAsia="宋体" w:cs="宋体"/>
          <w:bCs/>
          <w:color w:val="auto"/>
          <w:szCs w:val="24"/>
          <w:highlight w:val="none"/>
          <w:lang w:val="zh-CN"/>
        </w:rPr>
        <w:fldChar w:fldCharType="end"/>
      </w:r>
    </w:p>
    <w:p w14:paraId="643650C2">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_Toc19463 </w:instrText>
      </w:r>
      <w:r>
        <w:rPr>
          <w:rFonts w:hint="eastAsia" w:ascii="宋体" w:hAnsi="宋体" w:eastAsia="宋体" w:cs="宋体"/>
          <w:bCs/>
          <w:szCs w:val="24"/>
          <w:highlight w:val="none"/>
          <w:lang w:val="zh-CN"/>
        </w:rPr>
        <w:fldChar w:fldCharType="separate"/>
      </w:r>
      <w:r>
        <w:rPr>
          <w:rFonts w:hint="eastAsia"/>
        </w:rPr>
        <w:t>9. 试验与检验</w:t>
      </w:r>
      <w:r>
        <w:tab/>
      </w:r>
      <w:r>
        <w:fldChar w:fldCharType="begin"/>
      </w:r>
      <w:r>
        <w:instrText xml:space="preserve"> PAGEREF _Toc19463 \h </w:instrText>
      </w:r>
      <w:r>
        <w:fldChar w:fldCharType="separate"/>
      </w:r>
      <w:r>
        <w:t>53</w:t>
      </w:r>
      <w:r>
        <w:fldChar w:fldCharType="end"/>
      </w:r>
      <w:r>
        <w:rPr>
          <w:rFonts w:hint="eastAsia" w:ascii="宋体" w:hAnsi="宋体" w:eastAsia="宋体" w:cs="宋体"/>
          <w:bCs/>
          <w:color w:val="auto"/>
          <w:szCs w:val="24"/>
          <w:highlight w:val="none"/>
          <w:lang w:val="zh-CN"/>
        </w:rPr>
        <w:fldChar w:fldCharType="end"/>
      </w:r>
    </w:p>
    <w:p w14:paraId="751A4D81">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_Toc31612 </w:instrText>
      </w:r>
      <w:r>
        <w:rPr>
          <w:rFonts w:hint="eastAsia" w:ascii="宋体" w:hAnsi="宋体" w:eastAsia="宋体" w:cs="宋体"/>
          <w:bCs/>
          <w:szCs w:val="24"/>
          <w:highlight w:val="none"/>
          <w:lang w:val="zh-CN"/>
        </w:rPr>
        <w:fldChar w:fldCharType="separate"/>
      </w:r>
      <w:r>
        <w:rPr>
          <w:rFonts w:hint="eastAsia"/>
        </w:rPr>
        <w:t>10. 变更</w:t>
      </w:r>
      <w:r>
        <w:tab/>
      </w:r>
      <w:r>
        <w:fldChar w:fldCharType="begin"/>
      </w:r>
      <w:r>
        <w:instrText xml:space="preserve"> PAGEREF _Toc31612 \h </w:instrText>
      </w:r>
      <w:r>
        <w:fldChar w:fldCharType="separate"/>
      </w:r>
      <w:r>
        <w:t>53</w:t>
      </w:r>
      <w:r>
        <w:fldChar w:fldCharType="end"/>
      </w:r>
      <w:r>
        <w:rPr>
          <w:rFonts w:hint="eastAsia" w:ascii="宋体" w:hAnsi="宋体" w:eastAsia="宋体" w:cs="宋体"/>
          <w:bCs/>
          <w:color w:val="auto"/>
          <w:szCs w:val="24"/>
          <w:highlight w:val="none"/>
          <w:lang w:val="zh-CN"/>
        </w:rPr>
        <w:fldChar w:fldCharType="end"/>
      </w:r>
    </w:p>
    <w:p w14:paraId="11D67E67">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_Toc21886 </w:instrText>
      </w:r>
      <w:r>
        <w:rPr>
          <w:rFonts w:hint="eastAsia" w:ascii="宋体" w:hAnsi="宋体" w:eastAsia="宋体" w:cs="宋体"/>
          <w:bCs/>
          <w:szCs w:val="24"/>
          <w:highlight w:val="none"/>
          <w:lang w:val="zh-CN"/>
        </w:rPr>
        <w:fldChar w:fldCharType="separate"/>
      </w:r>
      <w:r>
        <w:rPr>
          <w:rFonts w:hint="eastAsia"/>
        </w:rPr>
        <w:t>11. 价格调整</w:t>
      </w:r>
      <w:r>
        <w:tab/>
      </w:r>
      <w:r>
        <w:fldChar w:fldCharType="begin"/>
      </w:r>
      <w:r>
        <w:instrText xml:space="preserve"> PAGEREF _Toc21886 \h </w:instrText>
      </w:r>
      <w:r>
        <w:fldChar w:fldCharType="separate"/>
      </w:r>
      <w:r>
        <w:t>55</w:t>
      </w:r>
      <w:r>
        <w:fldChar w:fldCharType="end"/>
      </w:r>
      <w:r>
        <w:rPr>
          <w:rFonts w:hint="eastAsia" w:ascii="宋体" w:hAnsi="宋体" w:eastAsia="宋体" w:cs="宋体"/>
          <w:bCs/>
          <w:color w:val="auto"/>
          <w:szCs w:val="24"/>
          <w:highlight w:val="none"/>
          <w:lang w:val="zh-CN"/>
        </w:rPr>
        <w:fldChar w:fldCharType="end"/>
      </w:r>
    </w:p>
    <w:p w14:paraId="5DE4FC8E">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_Toc23050 </w:instrText>
      </w:r>
      <w:r>
        <w:rPr>
          <w:rFonts w:hint="eastAsia" w:ascii="宋体" w:hAnsi="宋体" w:eastAsia="宋体" w:cs="宋体"/>
          <w:bCs/>
          <w:szCs w:val="24"/>
          <w:highlight w:val="none"/>
          <w:lang w:val="zh-CN"/>
        </w:rPr>
        <w:fldChar w:fldCharType="separate"/>
      </w:r>
      <w:r>
        <w:rPr>
          <w:rFonts w:hint="eastAsia"/>
        </w:rPr>
        <w:t>12. 合同价格、计量与支付</w:t>
      </w:r>
      <w:r>
        <w:tab/>
      </w:r>
      <w:r>
        <w:fldChar w:fldCharType="begin"/>
      </w:r>
      <w:r>
        <w:instrText xml:space="preserve"> PAGEREF _Toc23050 \h </w:instrText>
      </w:r>
      <w:r>
        <w:fldChar w:fldCharType="separate"/>
      </w:r>
      <w:r>
        <w:t>57</w:t>
      </w:r>
      <w:r>
        <w:fldChar w:fldCharType="end"/>
      </w:r>
      <w:r>
        <w:rPr>
          <w:rFonts w:hint="eastAsia" w:ascii="宋体" w:hAnsi="宋体" w:eastAsia="宋体" w:cs="宋体"/>
          <w:bCs/>
          <w:color w:val="auto"/>
          <w:szCs w:val="24"/>
          <w:highlight w:val="none"/>
          <w:lang w:val="zh-CN"/>
        </w:rPr>
        <w:fldChar w:fldCharType="end"/>
      </w:r>
    </w:p>
    <w:p w14:paraId="3B31122F">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_Toc29086 </w:instrText>
      </w:r>
      <w:r>
        <w:rPr>
          <w:rFonts w:hint="eastAsia" w:ascii="宋体" w:hAnsi="宋体" w:eastAsia="宋体" w:cs="宋体"/>
          <w:bCs/>
          <w:szCs w:val="24"/>
          <w:highlight w:val="none"/>
          <w:lang w:val="zh-CN"/>
        </w:rPr>
        <w:fldChar w:fldCharType="separate"/>
      </w:r>
      <w:r>
        <w:rPr>
          <w:rFonts w:hint="eastAsia"/>
          <w:highlight w:val="none"/>
        </w:rPr>
        <w:t>13. 验收和工程试车</w:t>
      </w:r>
      <w:r>
        <w:tab/>
      </w:r>
      <w:r>
        <w:fldChar w:fldCharType="begin"/>
      </w:r>
      <w:r>
        <w:instrText xml:space="preserve"> PAGEREF _Toc29086 \h </w:instrText>
      </w:r>
      <w:r>
        <w:fldChar w:fldCharType="separate"/>
      </w:r>
      <w:r>
        <w:t>59</w:t>
      </w:r>
      <w:r>
        <w:fldChar w:fldCharType="end"/>
      </w:r>
      <w:r>
        <w:rPr>
          <w:rFonts w:hint="eastAsia" w:ascii="宋体" w:hAnsi="宋体" w:eastAsia="宋体" w:cs="宋体"/>
          <w:bCs/>
          <w:color w:val="auto"/>
          <w:szCs w:val="24"/>
          <w:highlight w:val="none"/>
          <w:lang w:val="zh-CN"/>
        </w:rPr>
        <w:fldChar w:fldCharType="end"/>
      </w:r>
    </w:p>
    <w:p w14:paraId="5AF4E14C">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_Toc25703 </w:instrText>
      </w:r>
      <w:r>
        <w:rPr>
          <w:rFonts w:hint="eastAsia" w:ascii="宋体" w:hAnsi="宋体" w:eastAsia="宋体" w:cs="宋体"/>
          <w:bCs/>
          <w:szCs w:val="24"/>
          <w:highlight w:val="none"/>
          <w:lang w:val="zh-CN"/>
        </w:rPr>
        <w:fldChar w:fldCharType="separate"/>
      </w:r>
      <w:r>
        <w:rPr>
          <w:rFonts w:hint="eastAsia"/>
        </w:rPr>
        <w:t>14. 竣工结算</w:t>
      </w:r>
      <w:r>
        <w:tab/>
      </w:r>
      <w:r>
        <w:fldChar w:fldCharType="begin"/>
      </w:r>
      <w:r>
        <w:instrText xml:space="preserve"> PAGEREF _Toc25703 \h </w:instrText>
      </w:r>
      <w:r>
        <w:fldChar w:fldCharType="separate"/>
      </w:r>
      <w:r>
        <w:t>60</w:t>
      </w:r>
      <w:r>
        <w:fldChar w:fldCharType="end"/>
      </w:r>
      <w:r>
        <w:rPr>
          <w:rFonts w:hint="eastAsia" w:ascii="宋体" w:hAnsi="宋体" w:eastAsia="宋体" w:cs="宋体"/>
          <w:bCs/>
          <w:color w:val="auto"/>
          <w:szCs w:val="24"/>
          <w:highlight w:val="none"/>
          <w:lang w:val="zh-CN"/>
        </w:rPr>
        <w:fldChar w:fldCharType="end"/>
      </w:r>
    </w:p>
    <w:p w14:paraId="7D6BDCCF">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_Toc9194 </w:instrText>
      </w:r>
      <w:r>
        <w:rPr>
          <w:rFonts w:hint="eastAsia" w:ascii="宋体" w:hAnsi="宋体" w:eastAsia="宋体" w:cs="宋体"/>
          <w:bCs/>
          <w:szCs w:val="24"/>
          <w:highlight w:val="none"/>
          <w:lang w:val="zh-CN"/>
        </w:rPr>
        <w:fldChar w:fldCharType="separate"/>
      </w:r>
      <w:r>
        <w:rPr>
          <w:rFonts w:hint="eastAsia"/>
        </w:rPr>
        <w:t>15. 缺陷责任期与保修</w:t>
      </w:r>
      <w:r>
        <w:tab/>
      </w:r>
      <w:r>
        <w:fldChar w:fldCharType="begin"/>
      </w:r>
      <w:r>
        <w:instrText xml:space="preserve"> PAGEREF _Toc9194 \h </w:instrText>
      </w:r>
      <w:r>
        <w:fldChar w:fldCharType="separate"/>
      </w:r>
      <w:r>
        <w:t>61</w:t>
      </w:r>
      <w:r>
        <w:fldChar w:fldCharType="end"/>
      </w:r>
      <w:r>
        <w:rPr>
          <w:rFonts w:hint="eastAsia" w:ascii="宋体" w:hAnsi="宋体" w:eastAsia="宋体" w:cs="宋体"/>
          <w:bCs/>
          <w:color w:val="auto"/>
          <w:szCs w:val="24"/>
          <w:highlight w:val="none"/>
          <w:lang w:val="zh-CN"/>
        </w:rPr>
        <w:fldChar w:fldCharType="end"/>
      </w:r>
    </w:p>
    <w:p w14:paraId="7982078B">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_Toc4218 </w:instrText>
      </w:r>
      <w:r>
        <w:rPr>
          <w:rFonts w:hint="eastAsia" w:ascii="宋体" w:hAnsi="宋体" w:eastAsia="宋体" w:cs="宋体"/>
          <w:bCs/>
          <w:szCs w:val="24"/>
          <w:highlight w:val="none"/>
          <w:lang w:val="zh-CN"/>
        </w:rPr>
        <w:fldChar w:fldCharType="separate"/>
      </w:r>
      <w:r>
        <w:rPr>
          <w:rFonts w:hint="eastAsia"/>
        </w:rPr>
        <w:t>16. 违约</w:t>
      </w:r>
      <w:r>
        <w:tab/>
      </w:r>
      <w:r>
        <w:fldChar w:fldCharType="begin"/>
      </w:r>
      <w:r>
        <w:instrText xml:space="preserve"> PAGEREF _Toc4218 \h </w:instrText>
      </w:r>
      <w:r>
        <w:fldChar w:fldCharType="separate"/>
      </w:r>
      <w:r>
        <w:t>61</w:t>
      </w:r>
      <w:r>
        <w:fldChar w:fldCharType="end"/>
      </w:r>
      <w:r>
        <w:rPr>
          <w:rFonts w:hint="eastAsia" w:ascii="宋体" w:hAnsi="宋体" w:eastAsia="宋体" w:cs="宋体"/>
          <w:bCs/>
          <w:color w:val="auto"/>
          <w:szCs w:val="24"/>
          <w:highlight w:val="none"/>
          <w:lang w:val="zh-CN"/>
        </w:rPr>
        <w:fldChar w:fldCharType="end"/>
      </w:r>
    </w:p>
    <w:p w14:paraId="0612677C">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_Toc12655 </w:instrText>
      </w:r>
      <w:r>
        <w:rPr>
          <w:rFonts w:hint="eastAsia" w:ascii="宋体" w:hAnsi="宋体" w:eastAsia="宋体" w:cs="宋体"/>
          <w:bCs/>
          <w:szCs w:val="24"/>
          <w:highlight w:val="none"/>
          <w:lang w:val="zh-CN"/>
        </w:rPr>
        <w:fldChar w:fldCharType="separate"/>
      </w:r>
      <w:r>
        <w:rPr>
          <w:rFonts w:hint="eastAsia"/>
        </w:rPr>
        <w:t>17. 不可抗力</w:t>
      </w:r>
      <w:r>
        <w:tab/>
      </w:r>
      <w:r>
        <w:fldChar w:fldCharType="begin"/>
      </w:r>
      <w:r>
        <w:instrText xml:space="preserve"> PAGEREF _Toc12655 \h </w:instrText>
      </w:r>
      <w:r>
        <w:fldChar w:fldCharType="separate"/>
      </w:r>
      <w:r>
        <w:t>63</w:t>
      </w:r>
      <w:r>
        <w:fldChar w:fldCharType="end"/>
      </w:r>
      <w:r>
        <w:rPr>
          <w:rFonts w:hint="eastAsia" w:ascii="宋体" w:hAnsi="宋体" w:eastAsia="宋体" w:cs="宋体"/>
          <w:bCs/>
          <w:color w:val="auto"/>
          <w:szCs w:val="24"/>
          <w:highlight w:val="none"/>
          <w:lang w:val="zh-CN"/>
        </w:rPr>
        <w:fldChar w:fldCharType="end"/>
      </w:r>
    </w:p>
    <w:p w14:paraId="09137CBA">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_Toc8916 </w:instrText>
      </w:r>
      <w:r>
        <w:rPr>
          <w:rFonts w:hint="eastAsia" w:ascii="宋体" w:hAnsi="宋体" w:eastAsia="宋体" w:cs="宋体"/>
          <w:bCs/>
          <w:szCs w:val="24"/>
          <w:highlight w:val="none"/>
          <w:lang w:val="zh-CN"/>
        </w:rPr>
        <w:fldChar w:fldCharType="separate"/>
      </w:r>
      <w:r>
        <w:rPr>
          <w:rFonts w:hint="eastAsia"/>
        </w:rPr>
        <w:t>18. 保险</w:t>
      </w:r>
      <w:r>
        <w:tab/>
      </w:r>
      <w:r>
        <w:fldChar w:fldCharType="begin"/>
      </w:r>
      <w:r>
        <w:instrText xml:space="preserve"> PAGEREF _Toc8916 \h </w:instrText>
      </w:r>
      <w:r>
        <w:fldChar w:fldCharType="separate"/>
      </w:r>
      <w:r>
        <w:t>63</w:t>
      </w:r>
      <w:r>
        <w:fldChar w:fldCharType="end"/>
      </w:r>
      <w:r>
        <w:rPr>
          <w:rFonts w:hint="eastAsia" w:ascii="宋体" w:hAnsi="宋体" w:eastAsia="宋体" w:cs="宋体"/>
          <w:bCs/>
          <w:color w:val="auto"/>
          <w:szCs w:val="24"/>
          <w:highlight w:val="none"/>
          <w:lang w:val="zh-CN"/>
        </w:rPr>
        <w:fldChar w:fldCharType="end"/>
      </w:r>
    </w:p>
    <w:p w14:paraId="4C52668E">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_Toc31051 </w:instrText>
      </w:r>
      <w:r>
        <w:rPr>
          <w:rFonts w:hint="eastAsia" w:ascii="宋体" w:hAnsi="宋体" w:eastAsia="宋体" w:cs="宋体"/>
          <w:bCs/>
          <w:szCs w:val="24"/>
          <w:highlight w:val="none"/>
          <w:lang w:val="zh-CN"/>
        </w:rPr>
        <w:fldChar w:fldCharType="separate"/>
      </w:r>
      <w:r>
        <w:rPr>
          <w:rFonts w:hint="eastAsia"/>
        </w:rPr>
        <w:t>20. 争议解决</w:t>
      </w:r>
      <w:r>
        <w:tab/>
      </w:r>
      <w:r>
        <w:fldChar w:fldCharType="begin"/>
      </w:r>
      <w:r>
        <w:instrText xml:space="preserve"> PAGEREF _Toc31051 \h </w:instrText>
      </w:r>
      <w:r>
        <w:fldChar w:fldCharType="separate"/>
      </w:r>
      <w:r>
        <w:t>63</w:t>
      </w:r>
      <w:r>
        <w:fldChar w:fldCharType="end"/>
      </w:r>
      <w:r>
        <w:rPr>
          <w:rFonts w:hint="eastAsia" w:ascii="宋体" w:hAnsi="宋体" w:eastAsia="宋体" w:cs="宋体"/>
          <w:bCs/>
          <w:color w:val="auto"/>
          <w:szCs w:val="24"/>
          <w:highlight w:val="none"/>
          <w:lang w:val="zh-CN"/>
        </w:rPr>
        <w:fldChar w:fldCharType="end"/>
      </w:r>
    </w:p>
    <w:p w14:paraId="524D6EF1">
      <w:pPr>
        <w:pStyle w:val="29"/>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_Toc16290 </w:instrText>
      </w:r>
      <w:r>
        <w:rPr>
          <w:rFonts w:hint="eastAsia" w:ascii="宋体" w:hAnsi="宋体" w:eastAsia="宋体" w:cs="宋体"/>
          <w:bCs/>
          <w:szCs w:val="24"/>
          <w:highlight w:val="none"/>
          <w:lang w:val="zh-CN"/>
        </w:rPr>
        <w:fldChar w:fldCharType="separate"/>
      </w:r>
      <w:r>
        <w:t xml:space="preserve">第五章 </w:t>
      </w:r>
      <w:r>
        <w:rPr>
          <w:rFonts w:hint="eastAsia"/>
          <w:lang w:val="en-US" w:eastAsia="zh-CN"/>
        </w:rPr>
        <w:t xml:space="preserve"> </w:t>
      </w:r>
      <w:r>
        <w:t>工程量清单</w:t>
      </w:r>
      <w:r>
        <w:tab/>
      </w:r>
      <w:r>
        <w:fldChar w:fldCharType="begin"/>
      </w:r>
      <w:r>
        <w:instrText xml:space="preserve"> PAGEREF _Toc16290 \h </w:instrText>
      </w:r>
      <w:r>
        <w:fldChar w:fldCharType="separate"/>
      </w:r>
      <w:r>
        <w:t>71</w:t>
      </w:r>
      <w:r>
        <w:fldChar w:fldCharType="end"/>
      </w:r>
      <w:r>
        <w:rPr>
          <w:rFonts w:hint="eastAsia" w:ascii="宋体" w:hAnsi="宋体" w:eastAsia="宋体" w:cs="宋体"/>
          <w:bCs/>
          <w:color w:val="auto"/>
          <w:szCs w:val="24"/>
          <w:highlight w:val="none"/>
          <w:lang w:val="zh-CN"/>
        </w:rPr>
        <w:fldChar w:fldCharType="end"/>
      </w:r>
    </w:p>
    <w:p w14:paraId="305B027E">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_Toc29272 </w:instrText>
      </w:r>
      <w:r>
        <w:rPr>
          <w:rFonts w:hint="eastAsia" w:ascii="宋体" w:hAnsi="宋体" w:eastAsia="宋体" w:cs="宋体"/>
          <w:bCs/>
          <w:szCs w:val="24"/>
          <w:highlight w:val="none"/>
          <w:lang w:val="zh-CN"/>
        </w:rPr>
        <w:fldChar w:fldCharType="separate"/>
      </w:r>
      <w:r>
        <w:rPr>
          <w:rFonts w:hint="eastAsia"/>
        </w:rPr>
        <w:t>1</w:t>
      </w:r>
      <w:r>
        <w:rPr>
          <w:rFonts w:hint="eastAsia"/>
          <w:lang w:eastAsia="zh-CN"/>
        </w:rPr>
        <w:t>．</w:t>
      </w:r>
      <w:r>
        <w:rPr>
          <w:rFonts w:hint="eastAsia"/>
        </w:rPr>
        <w:t>工程量清单说明</w:t>
      </w:r>
      <w:r>
        <w:tab/>
      </w:r>
      <w:r>
        <w:fldChar w:fldCharType="begin"/>
      </w:r>
      <w:r>
        <w:instrText xml:space="preserve"> PAGEREF _Toc29272 \h </w:instrText>
      </w:r>
      <w:r>
        <w:fldChar w:fldCharType="separate"/>
      </w:r>
      <w:r>
        <w:t>71</w:t>
      </w:r>
      <w:r>
        <w:fldChar w:fldCharType="end"/>
      </w:r>
      <w:r>
        <w:rPr>
          <w:rFonts w:hint="eastAsia" w:ascii="宋体" w:hAnsi="宋体" w:eastAsia="宋体" w:cs="宋体"/>
          <w:bCs/>
          <w:color w:val="auto"/>
          <w:szCs w:val="24"/>
          <w:highlight w:val="none"/>
          <w:lang w:val="zh-CN"/>
        </w:rPr>
        <w:fldChar w:fldCharType="end"/>
      </w:r>
    </w:p>
    <w:p w14:paraId="639BBDE1">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_Toc24626 </w:instrText>
      </w:r>
      <w:r>
        <w:rPr>
          <w:rFonts w:hint="eastAsia" w:ascii="宋体" w:hAnsi="宋体" w:eastAsia="宋体" w:cs="宋体"/>
          <w:bCs/>
          <w:szCs w:val="24"/>
          <w:highlight w:val="none"/>
          <w:lang w:val="zh-CN"/>
        </w:rPr>
        <w:fldChar w:fldCharType="separate"/>
      </w:r>
      <w:r>
        <w:rPr>
          <w:rFonts w:hint="eastAsia"/>
        </w:rPr>
        <w:t>2</w:t>
      </w:r>
      <w:r>
        <w:rPr>
          <w:rFonts w:hint="eastAsia"/>
          <w:lang w:eastAsia="zh-CN"/>
        </w:rPr>
        <w:t>．</w:t>
      </w:r>
      <w:r>
        <w:rPr>
          <w:rFonts w:hint="eastAsia"/>
        </w:rPr>
        <w:t>最高投标限价编制说明及公布内容</w:t>
      </w:r>
      <w:r>
        <w:tab/>
      </w:r>
      <w:r>
        <w:fldChar w:fldCharType="begin"/>
      </w:r>
      <w:r>
        <w:instrText xml:space="preserve"> PAGEREF _Toc24626 \h </w:instrText>
      </w:r>
      <w:r>
        <w:fldChar w:fldCharType="separate"/>
      </w:r>
      <w:r>
        <w:t>71</w:t>
      </w:r>
      <w:r>
        <w:fldChar w:fldCharType="end"/>
      </w:r>
      <w:r>
        <w:rPr>
          <w:rFonts w:hint="eastAsia" w:ascii="宋体" w:hAnsi="宋体" w:eastAsia="宋体" w:cs="宋体"/>
          <w:bCs/>
          <w:color w:val="auto"/>
          <w:szCs w:val="24"/>
          <w:highlight w:val="none"/>
          <w:lang w:val="zh-CN"/>
        </w:rPr>
        <w:fldChar w:fldCharType="end"/>
      </w:r>
    </w:p>
    <w:p w14:paraId="77FF9A94">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_Toc32546 </w:instrText>
      </w:r>
      <w:r>
        <w:rPr>
          <w:rFonts w:hint="eastAsia" w:ascii="宋体" w:hAnsi="宋体" w:eastAsia="宋体" w:cs="宋体"/>
          <w:bCs/>
          <w:szCs w:val="24"/>
          <w:highlight w:val="none"/>
          <w:lang w:val="zh-CN"/>
        </w:rPr>
        <w:fldChar w:fldCharType="separate"/>
      </w:r>
      <w:r>
        <w:rPr>
          <w:rFonts w:hint="eastAsia"/>
        </w:rPr>
        <w:t>3</w:t>
      </w:r>
      <w:r>
        <w:rPr>
          <w:rFonts w:hint="eastAsia"/>
          <w:lang w:eastAsia="zh-CN"/>
        </w:rPr>
        <w:t>．</w:t>
      </w:r>
      <w:r>
        <w:rPr>
          <w:rFonts w:hint="eastAsia"/>
        </w:rPr>
        <w:t>投标报价说明</w:t>
      </w:r>
      <w:r>
        <w:tab/>
      </w:r>
      <w:r>
        <w:fldChar w:fldCharType="begin"/>
      </w:r>
      <w:r>
        <w:instrText xml:space="preserve"> PAGEREF _Toc32546 \h </w:instrText>
      </w:r>
      <w:r>
        <w:fldChar w:fldCharType="separate"/>
      </w:r>
      <w:r>
        <w:t>72</w:t>
      </w:r>
      <w:r>
        <w:fldChar w:fldCharType="end"/>
      </w:r>
      <w:r>
        <w:rPr>
          <w:rFonts w:hint="eastAsia" w:ascii="宋体" w:hAnsi="宋体" w:eastAsia="宋体" w:cs="宋体"/>
          <w:bCs/>
          <w:color w:val="auto"/>
          <w:szCs w:val="24"/>
          <w:highlight w:val="none"/>
          <w:lang w:val="zh-CN"/>
        </w:rPr>
        <w:fldChar w:fldCharType="end"/>
      </w:r>
    </w:p>
    <w:p w14:paraId="2F3CF12A">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_Toc14731 </w:instrText>
      </w:r>
      <w:r>
        <w:rPr>
          <w:rFonts w:hint="eastAsia" w:ascii="宋体" w:hAnsi="宋体" w:eastAsia="宋体" w:cs="宋体"/>
          <w:bCs/>
          <w:szCs w:val="24"/>
          <w:highlight w:val="none"/>
          <w:lang w:val="zh-CN"/>
        </w:rPr>
        <w:fldChar w:fldCharType="separate"/>
      </w:r>
      <w:r>
        <w:rPr>
          <w:rFonts w:hint="eastAsia"/>
        </w:rPr>
        <w:t>4</w:t>
      </w:r>
      <w:r>
        <w:rPr>
          <w:rFonts w:hint="eastAsia"/>
          <w:lang w:eastAsia="zh-CN"/>
        </w:rPr>
        <w:t>．</w:t>
      </w:r>
      <w:r>
        <w:rPr>
          <w:rFonts w:hint="eastAsia"/>
        </w:rPr>
        <w:t>其他说明</w:t>
      </w:r>
      <w:r>
        <w:tab/>
      </w:r>
      <w:r>
        <w:fldChar w:fldCharType="begin"/>
      </w:r>
      <w:r>
        <w:instrText xml:space="preserve"> PAGEREF _Toc14731 \h </w:instrText>
      </w:r>
      <w:r>
        <w:fldChar w:fldCharType="separate"/>
      </w:r>
      <w:r>
        <w:t>74</w:t>
      </w:r>
      <w:r>
        <w:fldChar w:fldCharType="end"/>
      </w:r>
      <w:r>
        <w:rPr>
          <w:rFonts w:hint="eastAsia" w:ascii="宋体" w:hAnsi="宋体" w:eastAsia="宋体" w:cs="宋体"/>
          <w:bCs/>
          <w:color w:val="auto"/>
          <w:szCs w:val="24"/>
          <w:highlight w:val="none"/>
          <w:lang w:val="zh-CN"/>
        </w:rPr>
        <w:fldChar w:fldCharType="end"/>
      </w:r>
    </w:p>
    <w:p w14:paraId="2527077E">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_Toc4753 </w:instrText>
      </w:r>
      <w:r>
        <w:rPr>
          <w:rFonts w:hint="eastAsia" w:ascii="宋体" w:hAnsi="宋体" w:eastAsia="宋体" w:cs="宋体"/>
          <w:bCs/>
          <w:szCs w:val="24"/>
          <w:highlight w:val="none"/>
          <w:lang w:val="zh-CN"/>
        </w:rPr>
        <w:fldChar w:fldCharType="separate"/>
      </w:r>
      <w:r>
        <w:rPr>
          <w:rFonts w:hint="eastAsia"/>
        </w:rPr>
        <w:t>5</w:t>
      </w:r>
      <w:r>
        <w:rPr>
          <w:rFonts w:hint="eastAsia"/>
          <w:lang w:eastAsia="zh-CN"/>
        </w:rPr>
        <w:t>．</w:t>
      </w:r>
      <w:r>
        <w:rPr>
          <w:rFonts w:hint="eastAsia"/>
        </w:rPr>
        <w:t>工程量清单（另册）</w:t>
      </w:r>
      <w:r>
        <w:tab/>
      </w:r>
      <w:r>
        <w:fldChar w:fldCharType="begin"/>
      </w:r>
      <w:r>
        <w:instrText xml:space="preserve"> PAGEREF _Toc4753 \h </w:instrText>
      </w:r>
      <w:r>
        <w:fldChar w:fldCharType="separate"/>
      </w:r>
      <w:r>
        <w:t>74</w:t>
      </w:r>
      <w:r>
        <w:fldChar w:fldCharType="end"/>
      </w:r>
      <w:r>
        <w:rPr>
          <w:rFonts w:hint="eastAsia" w:ascii="宋体" w:hAnsi="宋体" w:eastAsia="宋体" w:cs="宋体"/>
          <w:bCs/>
          <w:color w:val="auto"/>
          <w:szCs w:val="24"/>
          <w:highlight w:val="none"/>
          <w:lang w:val="zh-CN"/>
        </w:rPr>
        <w:fldChar w:fldCharType="end"/>
      </w:r>
    </w:p>
    <w:p w14:paraId="2A79C9E7">
      <w:pPr>
        <w:pStyle w:val="29"/>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_Toc17647 </w:instrText>
      </w:r>
      <w:r>
        <w:rPr>
          <w:rFonts w:hint="eastAsia" w:ascii="宋体" w:hAnsi="宋体" w:eastAsia="宋体" w:cs="宋体"/>
          <w:bCs/>
          <w:szCs w:val="24"/>
          <w:highlight w:val="none"/>
          <w:lang w:val="zh-CN"/>
        </w:rPr>
        <w:fldChar w:fldCharType="separate"/>
      </w:r>
      <w:r>
        <w:rPr>
          <w:rFonts w:ascii="Times New Roman" w:hAnsi="Times New Roman" w:eastAsia="黑体"/>
          <w:bCs w:val="0"/>
          <w:szCs w:val="44"/>
          <w:highlight w:val="none"/>
        </w:rPr>
        <w:t>第  二  卷</w:t>
      </w:r>
      <w:r>
        <w:tab/>
      </w:r>
      <w:r>
        <w:fldChar w:fldCharType="begin"/>
      </w:r>
      <w:r>
        <w:instrText xml:space="preserve"> PAGEREF _Toc17647 \h </w:instrText>
      </w:r>
      <w:r>
        <w:fldChar w:fldCharType="separate"/>
      </w:r>
      <w:r>
        <w:t>75</w:t>
      </w:r>
      <w:r>
        <w:fldChar w:fldCharType="end"/>
      </w:r>
      <w:r>
        <w:rPr>
          <w:rFonts w:hint="eastAsia" w:ascii="宋体" w:hAnsi="宋体" w:eastAsia="宋体" w:cs="宋体"/>
          <w:bCs/>
          <w:color w:val="auto"/>
          <w:szCs w:val="24"/>
          <w:highlight w:val="none"/>
          <w:lang w:val="zh-CN"/>
        </w:rPr>
        <w:fldChar w:fldCharType="end"/>
      </w:r>
    </w:p>
    <w:p w14:paraId="2AAC5EE7">
      <w:pPr>
        <w:pStyle w:val="29"/>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_Toc13042 </w:instrText>
      </w:r>
      <w:r>
        <w:rPr>
          <w:rFonts w:hint="eastAsia" w:ascii="宋体" w:hAnsi="宋体" w:eastAsia="宋体" w:cs="宋体"/>
          <w:bCs/>
          <w:szCs w:val="24"/>
          <w:highlight w:val="none"/>
          <w:lang w:val="zh-CN"/>
        </w:rPr>
        <w:fldChar w:fldCharType="separate"/>
      </w:r>
      <w:r>
        <w:t>第六章  图  纸（另册）</w:t>
      </w:r>
      <w:r>
        <w:tab/>
      </w:r>
      <w:r>
        <w:fldChar w:fldCharType="begin"/>
      </w:r>
      <w:r>
        <w:instrText xml:space="preserve"> PAGEREF _Toc13042 \h </w:instrText>
      </w:r>
      <w:r>
        <w:fldChar w:fldCharType="separate"/>
      </w:r>
      <w:r>
        <w:t>76</w:t>
      </w:r>
      <w:r>
        <w:fldChar w:fldCharType="end"/>
      </w:r>
      <w:r>
        <w:rPr>
          <w:rFonts w:hint="eastAsia" w:ascii="宋体" w:hAnsi="宋体" w:eastAsia="宋体" w:cs="宋体"/>
          <w:bCs/>
          <w:color w:val="auto"/>
          <w:szCs w:val="24"/>
          <w:highlight w:val="none"/>
          <w:lang w:val="zh-CN"/>
        </w:rPr>
        <w:fldChar w:fldCharType="end"/>
      </w:r>
    </w:p>
    <w:p w14:paraId="79FF32FA">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_Toc24895 </w:instrText>
      </w:r>
      <w:r>
        <w:rPr>
          <w:rFonts w:hint="eastAsia" w:ascii="宋体" w:hAnsi="宋体" w:eastAsia="宋体" w:cs="宋体"/>
          <w:bCs/>
          <w:szCs w:val="24"/>
          <w:highlight w:val="none"/>
          <w:lang w:val="zh-CN"/>
        </w:rPr>
        <w:fldChar w:fldCharType="separate"/>
      </w:r>
      <w:r>
        <w:rPr>
          <w:rFonts w:hint="eastAsia"/>
        </w:rPr>
        <w:t>1. 图纸目录</w:t>
      </w:r>
      <w:r>
        <w:tab/>
      </w:r>
      <w:r>
        <w:fldChar w:fldCharType="begin"/>
      </w:r>
      <w:r>
        <w:instrText xml:space="preserve"> PAGEREF _Toc24895 \h </w:instrText>
      </w:r>
      <w:r>
        <w:fldChar w:fldCharType="separate"/>
      </w:r>
      <w:r>
        <w:t>76</w:t>
      </w:r>
      <w:r>
        <w:fldChar w:fldCharType="end"/>
      </w:r>
      <w:r>
        <w:rPr>
          <w:rFonts w:hint="eastAsia" w:ascii="宋体" w:hAnsi="宋体" w:eastAsia="宋体" w:cs="宋体"/>
          <w:bCs/>
          <w:color w:val="auto"/>
          <w:szCs w:val="24"/>
          <w:highlight w:val="none"/>
          <w:lang w:val="zh-CN"/>
        </w:rPr>
        <w:fldChar w:fldCharType="end"/>
      </w:r>
    </w:p>
    <w:p w14:paraId="32FE9D3E">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_Toc5703 </w:instrText>
      </w:r>
      <w:r>
        <w:rPr>
          <w:rFonts w:hint="eastAsia" w:ascii="宋体" w:hAnsi="宋体" w:eastAsia="宋体" w:cs="宋体"/>
          <w:bCs/>
          <w:szCs w:val="24"/>
          <w:highlight w:val="none"/>
          <w:lang w:val="zh-CN"/>
        </w:rPr>
        <w:fldChar w:fldCharType="separate"/>
      </w:r>
      <w:r>
        <w:rPr>
          <w:rFonts w:hint="eastAsia"/>
        </w:rPr>
        <w:t>2. 图纸</w:t>
      </w:r>
      <w:r>
        <w:tab/>
      </w:r>
      <w:r>
        <w:fldChar w:fldCharType="begin"/>
      </w:r>
      <w:r>
        <w:instrText xml:space="preserve"> PAGEREF _Toc5703 \h </w:instrText>
      </w:r>
      <w:r>
        <w:fldChar w:fldCharType="separate"/>
      </w:r>
      <w:r>
        <w:t>76</w:t>
      </w:r>
      <w:r>
        <w:fldChar w:fldCharType="end"/>
      </w:r>
      <w:r>
        <w:rPr>
          <w:rFonts w:hint="eastAsia" w:ascii="宋体" w:hAnsi="宋体" w:eastAsia="宋体" w:cs="宋体"/>
          <w:bCs/>
          <w:color w:val="auto"/>
          <w:szCs w:val="24"/>
          <w:highlight w:val="none"/>
          <w:lang w:val="zh-CN"/>
        </w:rPr>
        <w:fldChar w:fldCharType="end"/>
      </w:r>
    </w:p>
    <w:p w14:paraId="72CF0913">
      <w:pPr>
        <w:pStyle w:val="29"/>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_Toc31889 </w:instrText>
      </w:r>
      <w:r>
        <w:rPr>
          <w:rFonts w:hint="eastAsia" w:ascii="宋体" w:hAnsi="宋体" w:eastAsia="宋体" w:cs="宋体"/>
          <w:bCs/>
          <w:szCs w:val="24"/>
          <w:highlight w:val="none"/>
          <w:lang w:val="zh-CN"/>
        </w:rPr>
        <w:fldChar w:fldCharType="separate"/>
      </w:r>
      <w:r>
        <w:rPr>
          <w:rFonts w:ascii="Times New Roman" w:hAnsi="Times New Roman" w:eastAsia="黑体"/>
          <w:bCs w:val="0"/>
          <w:szCs w:val="44"/>
          <w:highlight w:val="none"/>
        </w:rPr>
        <w:t>第  三  卷</w:t>
      </w:r>
      <w:r>
        <w:tab/>
      </w:r>
      <w:r>
        <w:fldChar w:fldCharType="begin"/>
      </w:r>
      <w:r>
        <w:instrText xml:space="preserve"> PAGEREF _Toc31889 \h </w:instrText>
      </w:r>
      <w:r>
        <w:fldChar w:fldCharType="separate"/>
      </w:r>
      <w:r>
        <w:t>77</w:t>
      </w:r>
      <w:r>
        <w:fldChar w:fldCharType="end"/>
      </w:r>
      <w:r>
        <w:rPr>
          <w:rFonts w:hint="eastAsia" w:ascii="宋体" w:hAnsi="宋体" w:eastAsia="宋体" w:cs="宋体"/>
          <w:bCs/>
          <w:color w:val="auto"/>
          <w:szCs w:val="24"/>
          <w:highlight w:val="none"/>
          <w:lang w:val="zh-CN"/>
        </w:rPr>
        <w:fldChar w:fldCharType="end"/>
      </w:r>
    </w:p>
    <w:p w14:paraId="16A3A978">
      <w:pPr>
        <w:pStyle w:val="29"/>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_Toc10751 </w:instrText>
      </w:r>
      <w:r>
        <w:rPr>
          <w:rFonts w:hint="eastAsia" w:ascii="宋体" w:hAnsi="宋体" w:eastAsia="宋体" w:cs="宋体"/>
          <w:bCs/>
          <w:szCs w:val="24"/>
          <w:highlight w:val="none"/>
          <w:lang w:val="zh-CN"/>
        </w:rPr>
        <w:fldChar w:fldCharType="separate"/>
      </w:r>
      <w:r>
        <w:t>第七章  技术标准和要求</w:t>
      </w:r>
      <w:r>
        <w:tab/>
      </w:r>
      <w:r>
        <w:fldChar w:fldCharType="begin"/>
      </w:r>
      <w:r>
        <w:instrText xml:space="preserve"> PAGEREF _Toc10751 \h </w:instrText>
      </w:r>
      <w:r>
        <w:fldChar w:fldCharType="separate"/>
      </w:r>
      <w:r>
        <w:t>78</w:t>
      </w:r>
      <w:r>
        <w:fldChar w:fldCharType="end"/>
      </w:r>
      <w:r>
        <w:rPr>
          <w:rFonts w:hint="eastAsia" w:ascii="宋体" w:hAnsi="宋体" w:eastAsia="宋体" w:cs="宋体"/>
          <w:bCs/>
          <w:color w:val="auto"/>
          <w:szCs w:val="24"/>
          <w:highlight w:val="none"/>
          <w:lang w:val="zh-CN"/>
        </w:rPr>
        <w:fldChar w:fldCharType="end"/>
      </w:r>
    </w:p>
    <w:p w14:paraId="5797E05E">
      <w:pPr>
        <w:pStyle w:val="34"/>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_Toc28545 </w:instrText>
      </w:r>
      <w:r>
        <w:rPr>
          <w:rFonts w:hint="eastAsia" w:ascii="宋体" w:hAnsi="宋体" w:eastAsia="宋体" w:cs="宋体"/>
          <w:bCs/>
          <w:szCs w:val="24"/>
          <w:highlight w:val="none"/>
          <w:lang w:val="zh-CN"/>
        </w:rPr>
        <w:fldChar w:fldCharType="separate"/>
      </w:r>
      <w:r>
        <w:t>第一节 一般要求</w:t>
      </w:r>
      <w:r>
        <w:tab/>
      </w:r>
      <w:r>
        <w:fldChar w:fldCharType="begin"/>
      </w:r>
      <w:r>
        <w:instrText xml:space="preserve"> PAGEREF _Toc28545 \h </w:instrText>
      </w:r>
      <w:r>
        <w:fldChar w:fldCharType="separate"/>
      </w:r>
      <w:r>
        <w:t>78</w:t>
      </w:r>
      <w:r>
        <w:fldChar w:fldCharType="end"/>
      </w:r>
      <w:r>
        <w:rPr>
          <w:rFonts w:hint="eastAsia" w:ascii="宋体" w:hAnsi="宋体" w:eastAsia="宋体" w:cs="宋体"/>
          <w:bCs/>
          <w:color w:val="auto"/>
          <w:szCs w:val="24"/>
          <w:highlight w:val="none"/>
          <w:lang w:val="zh-CN"/>
        </w:rPr>
        <w:fldChar w:fldCharType="end"/>
      </w:r>
    </w:p>
    <w:p w14:paraId="676F42FD">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_Toc10631 </w:instrText>
      </w:r>
      <w:r>
        <w:rPr>
          <w:rFonts w:hint="eastAsia" w:ascii="宋体" w:hAnsi="宋体" w:eastAsia="宋体" w:cs="宋体"/>
          <w:bCs/>
          <w:szCs w:val="24"/>
          <w:highlight w:val="none"/>
          <w:lang w:val="zh-CN"/>
        </w:rPr>
        <w:fldChar w:fldCharType="separate"/>
      </w:r>
      <w:r>
        <w:rPr>
          <w:rFonts w:hint="eastAsia"/>
        </w:rPr>
        <w:t>1.工程说明</w:t>
      </w:r>
      <w:r>
        <w:tab/>
      </w:r>
      <w:r>
        <w:fldChar w:fldCharType="begin"/>
      </w:r>
      <w:r>
        <w:instrText xml:space="preserve"> PAGEREF _Toc10631 \h </w:instrText>
      </w:r>
      <w:r>
        <w:fldChar w:fldCharType="separate"/>
      </w:r>
      <w:r>
        <w:t>78</w:t>
      </w:r>
      <w:r>
        <w:fldChar w:fldCharType="end"/>
      </w:r>
      <w:r>
        <w:rPr>
          <w:rFonts w:hint="eastAsia" w:ascii="宋体" w:hAnsi="宋体" w:eastAsia="宋体" w:cs="宋体"/>
          <w:bCs/>
          <w:color w:val="auto"/>
          <w:szCs w:val="24"/>
          <w:highlight w:val="none"/>
          <w:lang w:val="zh-CN"/>
        </w:rPr>
        <w:fldChar w:fldCharType="end"/>
      </w:r>
    </w:p>
    <w:p w14:paraId="1DCF333A">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_Toc16387 </w:instrText>
      </w:r>
      <w:r>
        <w:rPr>
          <w:rFonts w:hint="eastAsia" w:ascii="宋体" w:hAnsi="宋体" w:eastAsia="宋体" w:cs="宋体"/>
          <w:bCs/>
          <w:szCs w:val="24"/>
          <w:highlight w:val="none"/>
          <w:lang w:val="zh-CN"/>
        </w:rPr>
        <w:fldChar w:fldCharType="separate"/>
      </w:r>
      <w:r>
        <w:rPr>
          <w:rFonts w:hint="eastAsia"/>
        </w:rPr>
        <w:t>2.承包范围</w:t>
      </w:r>
      <w:r>
        <w:tab/>
      </w:r>
      <w:r>
        <w:fldChar w:fldCharType="begin"/>
      </w:r>
      <w:r>
        <w:instrText xml:space="preserve"> PAGEREF _Toc16387 \h </w:instrText>
      </w:r>
      <w:r>
        <w:fldChar w:fldCharType="separate"/>
      </w:r>
      <w:r>
        <w:t>78</w:t>
      </w:r>
      <w:r>
        <w:fldChar w:fldCharType="end"/>
      </w:r>
      <w:r>
        <w:rPr>
          <w:rFonts w:hint="eastAsia" w:ascii="宋体" w:hAnsi="宋体" w:eastAsia="宋体" w:cs="宋体"/>
          <w:bCs/>
          <w:color w:val="auto"/>
          <w:szCs w:val="24"/>
          <w:highlight w:val="none"/>
          <w:lang w:val="zh-CN"/>
        </w:rPr>
        <w:fldChar w:fldCharType="end"/>
      </w:r>
    </w:p>
    <w:p w14:paraId="4E39F35B">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_Toc16982 </w:instrText>
      </w:r>
      <w:r>
        <w:rPr>
          <w:rFonts w:hint="eastAsia" w:ascii="宋体" w:hAnsi="宋体" w:eastAsia="宋体" w:cs="宋体"/>
          <w:bCs/>
          <w:szCs w:val="24"/>
          <w:highlight w:val="none"/>
          <w:lang w:val="zh-CN"/>
        </w:rPr>
        <w:fldChar w:fldCharType="separate"/>
      </w:r>
      <w:r>
        <w:rPr>
          <w:rFonts w:hint="eastAsia"/>
        </w:rPr>
        <w:t>3.工期要求</w:t>
      </w:r>
      <w:r>
        <w:tab/>
      </w:r>
      <w:r>
        <w:fldChar w:fldCharType="begin"/>
      </w:r>
      <w:r>
        <w:instrText xml:space="preserve"> PAGEREF _Toc16982 \h </w:instrText>
      </w:r>
      <w:r>
        <w:fldChar w:fldCharType="separate"/>
      </w:r>
      <w:r>
        <w:t>80</w:t>
      </w:r>
      <w:r>
        <w:fldChar w:fldCharType="end"/>
      </w:r>
      <w:r>
        <w:rPr>
          <w:rFonts w:hint="eastAsia" w:ascii="宋体" w:hAnsi="宋体" w:eastAsia="宋体" w:cs="宋体"/>
          <w:bCs/>
          <w:color w:val="auto"/>
          <w:szCs w:val="24"/>
          <w:highlight w:val="none"/>
          <w:lang w:val="zh-CN"/>
        </w:rPr>
        <w:fldChar w:fldCharType="end"/>
      </w:r>
    </w:p>
    <w:p w14:paraId="1B861A8E">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_Toc28603 </w:instrText>
      </w:r>
      <w:r>
        <w:rPr>
          <w:rFonts w:hint="eastAsia" w:ascii="宋体" w:hAnsi="宋体" w:eastAsia="宋体" w:cs="宋体"/>
          <w:bCs/>
          <w:szCs w:val="24"/>
          <w:highlight w:val="none"/>
          <w:lang w:val="zh-CN"/>
        </w:rPr>
        <w:fldChar w:fldCharType="separate"/>
      </w:r>
      <w:r>
        <w:rPr>
          <w:rFonts w:hint="eastAsia"/>
        </w:rPr>
        <w:t>4.质量要求</w:t>
      </w:r>
      <w:r>
        <w:tab/>
      </w:r>
      <w:r>
        <w:fldChar w:fldCharType="begin"/>
      </w:r>
      <w:r>
        <w:instrText xml:space="preserve"> PAGEREF _Toc28603 \h </w:instrText>
      </w:r>
      <w:r>
        <w:fldChar w:fldCharType="separate"/>
      </w:r>
      <w:r>
        <w:t>80</w:t>
      </w:r>
      <w:r>
        <w:fldChar w:fldCharType="end"/>
      </w:r>
      <w:r>
        <w:rPr>
          <w:rFonts w:hint="eastAsia" w:ascii="宋体" w:hAnsi="宋体" w:eastAsia="宋体" w:cs="宋体"/>
          <w:bCs/>
          <w:color w:val="auto"/>
          <w:szCs w:val="24"/>
          <w:highlight w:val="none"/>
          <w:lang w:val="zh-CN"/>
        </w:rPr>
        <w:fldChar w:fldCharType="end"/>
      </w:r>
    </w:p>
    <w:p w14:paraId="130BF68C">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_Toc31070 </w:instrText>
      </w:r>
      <w:r>
        <w:rPr>
          <w:rFonts w:hint="eastAsia" w:ascii="宋体" w:hAnsi="宋体" w:eastAsia="宋体" w:cs="宋体"/>
          <w:bCs/>
          <w:szCs w:val="24"/>
          <w:highlight w:val="none"/>
          <w:lang w:val="zh-CN"/>
        </w:rPr>
        <w:fldChar w:fldCharType="separate"/>
      </w:r>
      <w:r>
        <w:rPr>
          <w:rFonts w:hint="eastAsia"/>
        </w:rPr>
        <w:t>5.适用规范和标准</w:t>
      </w:r>
      <w:r>
        <w:tab/>
      </w:r>
      <w:r>
        <w:fldChar w:fldCharType="begin"/>
      </w:r>
      <w:r>
        <w:instrText xml:space="preserve"> PAGEREF _Toc31070 \h </w:instrText>
      </w:r>
      <w:r>
        <w:fldChar w:fldCharType="separate"/>
      </w:r>
      <w:r>
        <w:t>80</w:t>
      </w:r>
      <w:r>
        <w:fldChar w:fldCharType="end"/>
      </w:r>
      <w:r>
        <w:rPr>
          <w:rFonts w:hint="eastAsia" w:ascii="宋体" w:hAnsi="宋体" w:eastAsia="宋体" w:cs="宋体"/>
          <w:bCs/>
          <w:color w:val="auto"/>
          <w:szCs w:val="24"/>
          <w:highlight w:val="none"/>
          <w:lang w:val="zh-CN"/>
        </w:rPr>
        <w:fldChar w:fldCharType="end"/>
      </w:r>
    </w:p>
    <w:p w14:paraId="1CBAB2EC">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_Toc23084 </w:instrText>
      </w:r>
      <w:r>
        <w:rPr>
          <w:rFonts w:hint="eastAsia" w:ascii="宋体" w:hAnsi="宋体" w:eastAsia="宋体" w:cs="宋体"/>
          <w:bCs/>
          <w:szCs w:val="24"/>
          <w:highlight w:val="none"/>
          <w:lang w:val="zh-CN"/>
        </w:rPr>
        <w:fldChar w:fldCharType="separate"/>
      </w:r>
      <w:r>
        <w:rPr>
          <w:rFonts w:hint="eastAsia"/>
        </w:rPr>
        <w:t>6.安全文明施工</w:t>
      </w:r>
      <w:r>
        <w:tab/>
      </w:r>
      <w:r>
        <w:fldChar w:fldCharType="begin"/>
      </w:r>
      <w:r>
        <w:instrText xml:space="preserve"> PAGEREF _Toc23084 \h </w:instrText>
      </w:r>
      <w:r>
        <w:fldChar w:fldCharType="separate"/>
      </w:r>
      <w:r>
        <w:t>81</w:t>
      </w:r>
      <w:r>
        <w:fldChar w:fldCharType="end"/>
      </w:r>
      <w:r>
        <w:rPr>
          <w:rFonts w:hint="eastAsia" w:ascii="宋体" w:hAnsi="宋体" w:eastAsia="宋体" w:cs="宋体"/>
          <w:bCs/>
          <w:color w:val="auto"/>
          <w:szCs w:val="24"/>
          <w:highlight w:val="none"/>
          <w:lang w:val="zh-CN"/>
        </w:rPr>
        <w:fldChar w:fldCharType="end"/>
      </w:r>
    </w:p>
    <w:p w14:paraId="36C34010">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_Toc25869 </w:instrText>
      </w:r>
      <w:r>
        <w:rPr>
          <w:rFonts w:hint="eastAsia" w:ascii="宋体" w:hAnsi="宋体" w:eastAsia="宋体" w:cs="宋体"/>
          <w:bCs/>
          <w:szCs w:val="24"/>
          <w:highlight w:val="none"/>
          <w:lang w:val="zh-CN"/>
        </w:rPr>
        <w:fldChar w:fldCharType="separate"/>
      </w:r>
      <w:r>
        <w:rPr>
          <w:rFonts w:hint="eastAsia"/>
        </w:rPr>
        <w:t>7.治安保卫</w:t>
      </w:r>
      <w:r>
        <w:tab/>
      </w:r>
      <w:r>
        <w:fldChar w:fldCharType="begin"/>
      </w:r>
      <w:r>
        <w:instrText xml:space="preserve"> PAGEREF _Toc25869 \h </w:instrText>
      </w:r>
      <w:r>
        <w:fldChar w:fldCharType="separate"/>
      </w:r>
      <w:r>
        <w:t>91</w:t>
      </w:r>
      <w:r>
        <w:fldChar w:fldCharType="end"/>
      </w:r>
      <w:r>
        <w:rPr>
          <w:rFonts w:hint="eastAsia" w:ascii="宋体" w:hAnsi="宋体" w:eastAsia="宋体" w:cs="宋体"/>
          <w:bCs/>
          <w:color w:val="auto"/>
          <w:szCs w:val="24"/>
          <w:highlight w:val="none"/>
          <w:lang w:val="zh-CN"/>
        </w:rPr>
        <w:fldChar w:fldCharType="end"/>
      </w:r>
    </w:p>
    <w:p w14:paraId="293BBDEF">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_Toc2360 </w:instrText>
      </w:r>
      <w:r>
        <w:rPr>
          <w:rFonts w:hint="eastAsia" w:ascii="宋体" w:hAnsi="宋体" w:eastAsia="宋体" w:cs="宋体"/>
          <w:bCs/>
          <w:szCs w:val="24"/>
          <w:highlight w:val="none"/>
          <w:lang w:val="zh-CN"/>
        </w:rPr>
        <w:fldChar w:fldCharType="separate"/>
      </w:r>
      <w:r>
        <w:rPr>
          <w:rFonts w:hint="eastAsia"/>
        </w:rPr>
        <w:t>8.地上、地下设施和周边建筑物的临时保护</w:t>
      </w:r>
      <w:r>
        <w:tab/>
      </w:r>
      <w:r>
        <w:fldChar w:fldCharType="begin"/>
      </w:r>
      <w:r>
        <w:instrText xml:space="preserve"> PAGEREF _Toc2360 \h </w:instrText>
      </w:r>
      <w:r>
        <w:fldChar w:fldCharType="separate"/>
      </w:r>
      <w:r>
        <w:t>92</w:t>
      </w:r>
      <w:r>
        <w:fldChar w:fldCharType="end"/>
      </w:r>
      <w:r>
        <w:rPr>
          <w:rFonts w:hint="eastAsia" w:ascii="宋体" w:hAnsi="宋体" w:eastAsia="宋体" w:cs="宋体"/>
          <w:bCs/>
          <w:color w:val="auto"/>
          <w:szCs w:val="24"/>
          <w:highlight w:val="none"/>
          <w:lang w:val="zh-CN"/>
        </w:rPr>
        <w:fldChar w:fldCharType="end"/>
      </w:r>
    </w:p>
    <w:p w14:paraId="190BDAA4">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_Toc10303 </w:instrText>
      </w:r>
      <w:r>
        <w:rPr>
          <w:rFonts w:hint="eastAsia" w:ascii="宋体" w:hAnsi="宋体" w:eastAsia="宋体" w:cs="宋体"/>
          <w:bCs/>
          <w:szCs w:val="24"/>
          <w:highlight w:val="none"/>
          <w:lang w:val="zh-CN"/>
        </w:rPr>
        <w:fldChar w:fldCharType="separate"/>
      </w:r>
      <w:r>
        <w:rPr>
          <w:rFonts w:hint="eastAsia"/>
        </w:rPr>
        <w:t>9.样品和材料代换</w:t>
      </w:r>
      <w:r>
        <w:tab/>
      </w:r>
      <w:r>
        <w:fldChar w:fldCharType="begin"/>
      </w:r>
      <w:r>
        <w:instrText xml:space="preserve"> PAGEREF _Toc10303 \h </w:instrText>
      </w:r>
      <w:r>
        <w:fldChar w:fldCharType="separate"/>
      </w:r>
      <w:r>
        <w:t>92</w:t>
      </w:r>
      <w:r>
        <w:fldChar w:fldCharType="end"/>
      </w:r>
      <w:r>
        <w:rPr>
          <w:rFonts w:hint="eastAsia" w:ascii="宋体" w:hAnsi="宋体" w:eastAsia="宋体" w:cs="宋体"/>
          <w:bCs/>
          <w:color w:val="auto"/>
          <w:szCs w:val="24"/>
          <w:highlight w:val="none"/>
          <w:lang w:val="zh-CN"/>
        </w:rPr>
        <w:fldChar w:fldCharType="end"/>
      </w:r>
    </w:p>
    <w:p w14:paraId="12ADF7FD">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_Toc23238 </w:instrText>
      </w:r>
      <w:r>
        <w:rPr>
          <w:rFonts w:hint="eastAsia" w:ascii="宋体" w:hAnsi="宋体" w:eastAsia="宋体" w:cs="宋体"/>
          <w:bCs/>
          <w:szCs w:val="24"/>
          <w:highlight w:val="none"/>
          <w:lang w:val="zh-CN"/>
        </w:rPr>
        <w:fldChar w:fldCharType="separate"/>
      </w:r>
      <w:r>
        <w:rPr>
          <w:rFonts w:hint="eastAsia"/>
        </w:rPr>
        <w:t>10.进口材料和工程设备</w:t>
      </w:r>
      <w:r>
        <w:tab/>
      </w:r>
      <w:r>
        <w:fldChar w:fldCharType="begin"/>
      </w:r>
      <w:r>
        <w:instrText xml:space="preserve"> PAGEREF _Toc23238 \h </w:instrText>
      </w:r>
      <w:r>
        <w:fldChar w:fldCharType="separate"/>
      </w:r>
      <w:r>
        <w:t>94</w:t>
      </w:r>
      <w:r>
        <w:fldChar w:fldCharType="end"/>
      </w:r>
      <w:r>
        <w:rPr>
          <w:rFonts w:hint="eastAsia" w:ascii="宋体" w:hAnsi="宋体" w:eastAsia="宋体" w:cs="宋体"/>
          <w:bCs/>
          <w:color w:val="auto"/>
          <w:szCs w:val="24"/>
          <w:highlight w:val="none"/>
          <w:lang w:val="zh-CN"/>
        </w:rPr>
        <w:fldChar w:fldCharType="end"/>
      </w:r>
    </w:p>
    <w:p w14:paraId="08EA186A">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_Toc15820 </w:instrText>
      </w:r>
      <w:r>
        <w:rPr>
          <w:rFonts w:hint="eastAsia" w:ascii="宋体" w:hAnsi="宋体" w:eastAsia="宋体" w:cs="宋体"/>
          <w:bCs/>
          <w:szCs w:val="24"/>
          <w:highlight w:val="none"/>
          <w:lang w:val="zh-CN"/>
        </w:rPr>
        <w:fldChar w:fldCharType="separate"/>
      </w:r>
      <w:r>
        <w:rPr>
          <w:rFonts w:hint="eastAsia"/>
        </w:rPr>
        <w:t>11.进度报告和进度例会</w:t>
      </w:r>
      <w:r>
        <w:tab/>
      </w:r>
      <w:r>
        <w:fldChar w:fldCharType="begin"/>
      </w:r>
      <w:r>
        <w:instrText xml:space="preserve"> PAGEREF _Toc15820 \h </w:instrText>
      </w:r>
      <w:r>
        <w:fldChar w:fldCharType="separate"/>
      </w:r>
      <w:r>
        <w:t>94</w:t>
      </w:r>
      <w:r>
        <w:fldChar w:fldCharType="end"/>
      </w:r>
      <w:r>
        <w:rPr>
          <w:rFonts w:hint="eastAsia" w:ascii="宋体" w:hAnsi="宋体" w:eastAsia="宋体" w:cs="宋体"/>
          <w:bCs/>
          <w:color w:val="auto"/>
          <w:szCs w:val="24"/>
          <w:highlight w:val="none"/>
          <w:lang w:val="zh-CN"/>
        </w:rPr>
        <w:fldChar w:fldCharType="end"/>
      </w:r>
    </w:p>
    <w:p w14:paraId="7874BBC6">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_Toc26771 </w:instrText>
      </w:r>
      <w:r>
        <w:rPr>
          <w:rFonts w:hint="eastAsia" w:ascii="宋体" w:hAnsi="宋体" w:eastAsia="宋体" w:cs="宋体"/>
          <w:bCs/>
          <w:szCs w:val="24"/>
          <w:highlight w:val="none"/>
          <w:lang w:val="zh-CN"/>
        </w:rPr>
        <w:fldChar w:fldCharType="separate"/>
      </w:r>
      <w:r>
        <w:rPr>
          <w:rFonts w:hint="eastAsia"/>
        </w:rPr>
        <w:t>12.试验和检验</w:t>
      </w:r>
      <w:r>
        <w:tab/>
      </w:r>
      <w:r>
        <w:fldChar w:fldCharType="begin"/>
      </w:r>
      <w:r>
        <w:instrText xml:space="preserve"> PAGEREF _Toc26771 \h </w:instrText>
      </w:r>
      <w:r>
        <w:fldChar w:fldCharType="separate"/>
      </w:r>
      <w:r>
        <w:t>95</w:t>
      </w:r>
      <w:r>
        <w:fldChar w:fldCharType="end"/>
      </w:r>
      <w:r>
        <w:rPr>
          <w:rFonts w:hint="eastAsia" w:ascii="宋体" w:hAnsi="宋体" w:eastAsia="宋体" w:cs="宋体"/>
          <w:bCs/>
          <w:color w:val="auto"/>
          <w:szCs w:val="24"/>
          <w:highlight w:val="none"/>
          <w:lang w:val="zh-CN"/>
        </w:rPr>
        <w:fldChar w:fldCharType="end"/>
      </w:r>
    </w:p>
    <w:p w14:paraId="00AB4585">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_Toc24996 </w:instrText>
      </w:r>
      <w:r>
        <w:rPr>
          <w:rFonts w:hint="eastAsia" w:ascii="宋体" w:hAnsi="宋体" w:eastAsia="宋体" w:cs="宋体"/>
          <w:bCs/>
          <w:szCs w:val="24"/>
          <w:highlight w:val="none"/>
          <w:lang w:val="zh-CN"/>
        </w:rPr>
        <w:fldChar w:fldCharType="separate"/>
      </w:r>
      <w:r>
        <w:rPr>
          <w:rFonts w:hint="eastAsia"/>
        </w:rPr>
        <w:t>13.计日工</w:t>
      </w:r>
      <w:r>
        <w:tab/>
      </w:r>
      <w:r>
        <w:fldChar w:fldCharType="begin"/>
      </w:r>
      <w:r>
        <w:instrText xml:space="preserve"> PAGEREF _Toc24996 \h </w:instrText>
      </w:r>
      <w:r>
        <w:fldChar w:fldCharType="separate"/>
      </w:r>
      <w:r>
        <w:t>96</w:t>
      </w:r>
      <w:r>
        <w:fldChar w:fldCharType="end"/>
      </w:r>
      <w:r>
        <w:rPr>
          <w:rFonts w:hint="eastAsia" w:ascii="宋体" w:hAnsi="宋体" w:eastAsia="宋体" w:cs="宋体"/>
          <w:bCs/>
          <w:color w:val="auto"/>
          <w:szCs w:val="24"/>
          <w:highlight w:val="none"/>
          <w:lang w:val="zh-CN"/>
        </w:rPr>
        <w:fldChar w:fldCharType="end"/>
      </w:r>
    </w:p>
    <w:p w14:paraId="07041BFD">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_Toc27502 </w:instrText>
      </w:r>
      <w:r>
        <w:rPr>
          <w:rFonts w:hint="eastAsia" w:ascii="宋体" w:hAnsi="宋体" w:eastAsia="宋体" w:cs="宋体"/>
          <w:bCs/>
          <w:szCs w:val="24"/>
          <w:highlight w:val="none"/>
          <w:lang w:val="zh-CN"/>
        </w:rPr>
        <w:fldChar w:fldCharType="separate"/>
      </w:r>
      <w:r>
        <w:rPr>
          <w:rFonts w:hint="eastAsia"/>
        </w:rPr>
        <w:t>14.计量与支付</w:t>
      </w:r>
      <w:r>
        <w:tab/>
      </w:r>
      <w:r>
        <w:fldChar w:fldCharType="begin"/>
      </w:r>
      <w:r>
        <w:instrText xml:space="preserve"> PAGEREF _Toc27502 \h </w:instrText>
      </w:r>
      <w:r>
        <w:fldChar w:fldCharType="separate"/>
      </w:r>
      <w:r>
        <w:t>97</w:t>
      </w:r>
      <w:r>
        <w:fldChar w:fldCharType="end"/>
      </w:r>
      <w:r>
        <w:rPr>
          <w:rFonts w:hint="eastAsia" w:ascii="宋体" w:hAnsi="宋体" w:eastAsia="宋体" w:cs="宋体"/>
          <w:bCs/>
          <w:color w:val="auto"/>
          <w:szCs w:val="24"/>
          <w:highlight w:val="none"/>
          <w:lang w:val="zh-CN"/>
        </w:rPr>
        <w:fldChar w:fldCharType="end"/>
      </w:r>
    </w:p>
    <w:p w14:paraId="7931061F">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_Toc2957 </w:instrText>
      </w:r>
      <w:r>
        <w:rPr>
          <w:rFonts w:hint="eastAsia" w:ascii="宋体" w:hAnsi="宋体" w:eastAsia="宋体" w:cs="宋体"/>
          <w:bCs/>
          <w:szCs w:val="24"/>
          <w:highlight w:val="none"/>
          <w:lang w:val="zh-CN"/>
        </w:rPr>
        <w:fldChar w:fldCharType="separate"/>
      </w:r>
      <w:r>
        <w:rPr>
          <w:rFonts w:hint="eastAsia"/>
        </w:rPr>
        <w:t>15.竣工验收和工程移交</w:t>
      </w:r>
      <w:r>
        <w:tab/>
      </w:r>
      <w:r>
        <w:fldChar w:fldCharType="begin"/>
      </w:r>
      <w:r>
        <w:instrText xml:space="preserve"> PAGEREF _Toc2957 \h </w:instrText>
      </w:r>
      <w:r>
        <w:fldChar w:fldCharType="separate"/>
      </w:r>
      <w:r>
        <w:t>98</w:t>
      </w:r>
      <w:r>
        <w:fldChar w:fldCharType="end"/>
      </w:r>
      <w:r>
        <w:rPr>
          <w:rFonts w:hint="eastAsia" w:ascii="宋体" w:hAnsi="宋体" w:eastAsia="宋体" w:cs="宋体"/>
          <w:bCs/>
          <w:color w:val="auto"/>
          <w:szCs w:val="24"/>
          <w:highlight w:val="none"/>
          <w:lang w:val="zh-CN"/>
        </w:rPr>
        <w:fldChar w:fldCharType="end"/>
      </w:r>
    </w:p>
    <w:p w14:paraId="3FBA70DC">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_Toc23920 </w:instrText>
      </w:r>
      <w:r>
        <w:rPr>
          <w:rFonts w:hint="eastAsia" w:ascii="宋体" w:hAnsi="宋体" w:eastAsia="宋体" w:cs="宋体"/>
          <w:bCs/>
          <w:szCs w:val="24"/>
          <w:highlight w:val="none"/>
          <w:lang w:val="zh-CN"/>
        </w:rPr>
        <w:fldChar w:fldCharType="separate"/>
      </w:r>
      <w:r>
        <w:rPr>
          <w:rFonts w:hint="eastAsia"/>
        </w:rPr>
        <w:t>16.其他</w:t>
      </w:r>
      <w:r>
        <w:tab/>
      </w:r>
      <w:r>
        <w:fldChar w:fldCharType="begin"/>
      </w:r>
      <w:r>
        <w:instrText xml:space="preserve"> PAGEREF _Toc23920 \h </w:instrText>
      </w:r>
      <w:r>
        <w:fldChar w:fldCharType="separate"/>
      </w:r>
      <w:r>
        <w:t>100</w:t>
      </w:r>
      <w:r>
        <w:fldChar w:fldCharType="end"/>
      </w:r>
      <w:r>
        <w:rPr>
          <w:rFonts w:hint="eastAsia" w:ascii="宋体" w:hAnsi="宋体" w:eastAsia="宋体" w:cs="宋体"/>
          <w:bCs/>
          <w:color w:val="auto"/>
          <w:szCs w:val="24"/>
          <w:highlight w:val="none"/>
          <w:lang w:val="zh-CN"/>
        </w:rPr>
        <w:fldChar w:fldCharType="end"/>
      </w:r>
    </w:p>
    <w:p w14:paraId="3CF43B6C">
      <w:pPr>
        <w:pStyle w:val="34"/>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_Toc20728 </w:instrText>
      </w:r>
      <w:r>
        <w:rPr>
          <w:rFonts w:hint="eastAsia" w:ascii="宋体" w:hAnsi="宋体" w:eastAsia="宋体" w:cs="宋体"/>
          <w:bCs/>
          <w:szCs w:val="24"/>
          <w:highlight w:val="none"/>
          <w:lang w:val="zh-CN"/>
        </w:rPr>
        <w:fldChar w:fldCharType="separate"/>
      </w:r>
      <w:r>
        <w:t>第二节  特殊技术标准和要求</w:t>
      </w:r>
      <w:r>
        <w:tab/>
      </w:r>
      <w:r>
        <w:fldChar w:fldCharType="begin"/>
      </w:r>
      <w:r>
        <w:instrText xml:space="preserve"> PAGEREF _Toc20728 \h </w:instrText>
      </w:r>
      <w:r>
        <w:fldChar w:fldCharType="separate"/>
      </w:r>
      <w:r>
        <w:t>100</w:t>
      </w:r>
      <w:r>
        <w:fldChar w:fldCharType="end"/>
      </w:r>
      <w:r>
        <w:rPr>
          <w:rFonts w:hint="eastAsia" w:ascii="宋体" w:hAnsi="宋体" w:eastAsia="宋体" w:cs="宋体"/>
          <w:bCs/>
          <w:color w:val="auto"/>
          <w:szCs w:val="24"/>
          <w:highlight w:val="none"/>
          <w:lang w:val="zh-CN"/>
        </w:rPr>
        <w:fldChar w:fldCharType="end"/>
      </w:r>
    </w:p>
    <w:p w14:paraId="3EADF8D1">
      <w:pPr>
        <w:pStyle w:val="34"/>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_Toc31479 </w:instrText>
      </w:r>
      <w:r>
        <w:rPr>
          <w:rFonts w:hint="eastAsia" w:ascii="宋体" w:hAnsi="宋体" w:eastAsia="宋体" w:cs="宋体"/>
          <w:bCs/>
          <w:szCs w:val="24"/>
          <w:highlight w:val="none"/>
          <w:lang w:val="zh-CN"/>
        </w:rPr>
        <w:fldChar w:fldCharType="separate"/>
      </w:r>
      <w:r>
        <w:rPr>
          <w:rFonts w:hint="eastAsia" w:ascii="Times New Roman" w:hAnsi="Times New Roman" w:eastAsia="黑体" w:cs="Times New Roman"/>
          <w:bCs/>
          <w:kern w:val="2"/>
          <w:szCs w:val="32"/>
          <w:lang w:val="en-US" w:eastAsia="zh-CN" w:bidi="ar-SA"/>
        </w:rPr>
        <w:t>（略）</w:t>
      </w:r>
      <w:r>
        <w:tab/>
      </w:r>
      <w:r>
        <w:fldChar w:fldCharType="begin"/>
      </w:r>
      <w:r>
        <w:instrText xml:space="preserve"> PAGEREF _Toc31479 \h </w:instrText>
      </w:r>
      <w:r>
        <w:fldChar w:fldCharType="separate"/>
      </w:r>
      <w:r>
        <w:t>100</w:t>
      </w:r>
      <w:r>
        <w:fldChar w:fldCharType="end"/>
      </w:r>
      <w:r>
        <w:rPr>
          <w:rFonts w:hint="eastAsia" w:ascii="宋体" w:hAnsi="宋体" w:eastAsia="宋体" w:cs="宋体"/>
          <w:bCs/>
          <w:color w:val="auto"/>
          <w:szCs w:val="24"/>
          <w:highlight w:val="none"/>
          <w:lang w:val="zh-CN"/>
        </w:rPr>
        <w:fldChar w:fldCharType="end"/>
      </w:r>
    </w:p>
    <w:p w14:paraId="588F128F">
      <w:pPr>
        <w:pStyle w:val="34"/>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_Toc28319 </w:instrText>
      </w:r>
      <w:r>
        <w:rPr>
          <w:rFonts w:hint="eastAsia" w:ascii="宋体" w:hAnsi="宋体" w:eastAsia="宋体" w:cs="宋体"/>
          <w:bCs/>
          <w:szCs w:val="24"/>
          <w:highlight w:val="none"/>
          <w:lang w:val="zh-CN"/>
        </w:rPr>
        <w:fldChar w:fldCharType="separate"/>
      </w:r>
      <w:r>
        <w:t>第三节  适用的国家、行业以及地方规范、标准和规程</w:t>
      </w:r>
      <w:r>
        <w:tab/>
      </w:r>
      <w:r>
        <w:fldChar w:fldCharType="begin"/>
      </w:r>
      <w:r>
        <w:instrText xml:space="preserve"> PAGEREF _Toc28319 \h </w:instrText>
      </w:r>
      <w:r>
        <w:fldChar w:fldCharType="separate"/>
      </w:r>
      <w:r>
        <w:t>100</w:t>
      </w:r>
      <w:r>
        <w:fldChar w:fldCharType="end"/>
      </w:r>
      <w:r>
        <w:rPr>
          <w:rFonts w:hint="eastAsia" w:ascii="宋体" w:hAnsi="宋体" w:eastAsia="宋体" w:cs="宋体"/>
          <w:bCs/>
          <w:color w:val="auto"/>
          <w:szCs w:val="24"/>
          <w:highlight w:val="none"/>
          <w:lang w:val="zh-CN"/>
        </w:rPr>
        <w:fldChar w:fldCharType="end"/>
      </w:r>
    </w:p>
    <w:p w14:paraId="1F5B9C2F">
      <w:pPr>
        <w:pStyle w:val="29"/>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_Toc105 </w:instrText>
      </w:r>
      <w:r>
        <w:rPr>
          <w:rFonts w:hint="eastAsia" w:ascii="宋体" w:hAnsi="宋体" w:eastAsia="宋体" w:cs="宋体"/>
          <w:bCs/>
          <w:szCs w:val="24"/>
          <w:highlight w:val="none"/>
          <w:lang w:val="zh-CN"/>
        </w:rPr>
        <w:fldChar w:fldCharType="separate"/>
      </w:r>
      <w:r>
        <w:rPr>
          <w:rFonts w:ascii="Times New Roman" w:hAnsi="Times New Roman" w:eastAsia="黑体"/>
          <w:bCs w:val="0"/>
          <w:szCs w:val="44"/>
          <w:highlight w:val="none"/>
        </w:rPr>
        <w:t>第  四  卷</w:t>
      </w:r>
      <w:r>
        <w:tab/>
      </w:r>
      <w:r>
        <w:fldChar w:fldCharType="begin"/>
      </w:r>
      <w:r>
        <w:instrText xml:space="preserve"> PAGEREF _Toc105 \h </w:instrText>
      </w:r>
      <w:r>
        <w:fldChar w:fldCharType="separate"/>
      </w:r>
      <w:r>
        <w:t>101</w:t>
      </w:r>
      <w:r>
        <w:fldChar w:fldCharType="end"/>
      </w:r>
      <w:r>
        <w:rPr>
          <w:rFonts w:hint="eastAsia" w:ascii="宋体" w:hAnsi="宋体" w:eastAsia="宋体" w:cs="宋体"/>
          <w:bCs/>
          <w:color w:val="auto"/>
          <w:szCs w:val="24"/>
          <w:highlight w:val="none"/>
          <w:lang w:val="zh-CN"/>
        </w:rPr>
        <w:fldChar w:fldCharType="end"/>
      </w:r>
    </w:p>
    <w:p w14:paraId="1B88D275">
      <w:pPr>
        <w:pStyle w:val="29"/>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_Toc32693 </w:instrText>
      </w:r>
      <w:r>
        <w:rPr>
          <w:rFonts w:hint="eastAsia" w:ascii="宋体" w:hAnsi="宋体" w:eastAsia="宋体" w:cs="宋体"/>
          <w:bCs/>
          <w:szCs w:val="24"/>
          <w:highlight w:val="none"/>
          <w:lang w:val="zh-CN"/>
        </w:rPr>
        <w:fldChar w:fldCharType="separate"/>
      </w:r>
      <w:r>
        <w:t>第八章 投标文件格式</w:t>
      </w:r>
      <w:r>
        <w:tab/>
      </w:r>
      <w:r>
        <w:fldChar w:fldCharType="begin"/>
      </w:r>
      <w:r>
        <w:instrText xml:space="preserve"> PAGEREF _Toc32693 \h </w:instrText>
      </w:r>
      <w:r>
        <w:fldChar w:fldCharType="separate"/>
      </w:r>
      <w:r>
        <w:t>102</w:t>
      </w:r>
      <w:r>
        <w:fldChar w:fldCharType="end"/>
      </w:r>
      <w:r>
        <w:rPr>
          <w:rFonts w:hint="eastAsia" w:ascii="宋体" w:hAnsi="宋体" w:eastAsia="宋体" w:cs="宋体"/>
          <w:bCs/>
          <w:color w:val="auto"/>
          <w:szCs w:val="24"/>
          <w:highlight w:val="none"/>
          <w:lang w:val="zh-CN"/>
        </w:rPr>
        <w:fldChar w:fldCharType="end"/>
      </w:r>
    </w:p>
    <w:p w14:paraId="59418AD7">
      <w:pPr>
        <w:pStyle w:val="34"/>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_Toc13060 </w:instrText>
      </w:r>
      <w:r>
        <w:rPr>
          <w:rFonts w:hint="eastAsia" w:ascii="宋体" w:hAnsi="宋体" w:eastAsia="宋体" w:cs="宋体"/>
          <w:bCs/>
          <w:szCs w:val="24"/>
          <w:highlight w:val="none"/>
          <w:lang w:val="zh-CN"/>
        </w:rPr>
        <w:fldChar w:fldCharType="separate"/>
      </w:r>
      <w:r>
        <w:t>第一</w:t>
      </w:r>
      <w:r>
        <w:rPr>
          <w:rFonts w:hint="eastAsia"/>
        </w:rPr>
        <w:t>节</w:t>
      </w:r>
      <w:r>
        <w:t xml:space="preserve"> 投标函</w:t>
      </w:r>
      <w:r>
        <w:rPr>
          <w:rFonts w:hint="eastAsia"/>
          <w:lang w:val="en-US" w:eastAsia="zh-CN"/>
        </w:rPr>
        <w:t>及附录</w:t>
      </w:r>
      <w:r>
        <w:t>格式</w:t>
      </w:r>
      <w:r>
        <w:tab/>
      </w:r>
      <w:r>
        <w:fldChar w:fldCharType="begin"/>
      </w:r>
      <w:r>
        <w:instrText xml:space="preserve"> PAGEREF _Toc13060 \h </w:instrText>
      </w:r>
      <w:r>
        <w:fldChar w:fldCharType="separate"/>
      </w:r>
      <w:r>
        <w:t>102</w:t>
      </w:r>
      <w:r>
        <w:fldChar w:fldCharType="end"/>
      </w:r>
      <w:r>
        <w:rPr>
          <w:rFonts w:hint="eastAsia" w:ascii="宋体" w:hAnsi="宋体" w:eastAsia="宋体" w:cs="宋体"/>
          <w:bCs/>
          <w:color w:val="auto"/>
          <w:szCs w:val="24"/>
          <w:highlight w:val="none"/>
          <w:lang w:val="zh-CN"/>
        </w:rPr>
        <w:fldChar w:fldCharType="end"/>
      </w:r>
    </w:p>
    <w:p w14:paraId="0BFF6AB7">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_Toc22513 </w:instrText>
      </w:r>
      <w:r>
        <w:rPr>
          <w:rFonts w:hint="eastAsia" w:ascii="宋体" w:hAnsi="宋体" w:eastAsia="宋体" w:cs="宋体"/>
          <w:bCs/>
          <w:szCs w:val="24"/>
          <w:highlight w:val="none"/>
          <w:lang w:val="zh-CN"/>
        </w:rPr>
        <w:fldChar w:fldCharType="separate"/>
      </w:r>
      <w:r>
        <w:rPr>
          <w:rFonts w:hint="eastAsia"/>
        </w:rPr>
        <w:t>（2）投标人证件复印件</w:t>
      </w:r>
      <w:r>
        <w:tab/>
      </w:r>
      <w:r>
        <w:fldChar w:fldCharType="begin"/>
      </w:r>
      <w:r>
        <w:instrText xml:space="preserve"> PAGEREF _Toc22513 \h </w:instrText>
      </w:r>
      <w:r>
        <w:fldChar w:fldCharType="separate"/>
      </w:r>
      <w:r>
        <w:t>114</w:t>
      </w:r>
      <w:r>
        <w:fldChar w:fldCharType="end"/>
      </w:r>
      <w:r>
        <w:rPr>
          <w:rFonts w:hint="eastAsia" w:ascii="宋体" w:hAnsi="宋体" w:eastAsia="宋体" w:cs="宋体"/>
          <w:bCs/>
          <w:color w:val="auto"/>
          <w:szCs w:val="24"/>
          <w:highlight w:val="none"/>
          <w:lang w:val="zh-CN"/>
        </w:rPr>
        <w:fldChar w:fldCharType="end"/>
      </w:r>
    </w:p>
    <w:p w14:paraId="6924BD1E">
      <w:pPr>
        <w:pStyle w:val="34"/>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_Toc30028 </w:instrText>
      </w:r>
      <w:r>
        <w:rPr>
          <w:rFonts w:hint="eastAsia" w:ascii="宋体" w:hAnsi="宋体" w:eastAsia="宋体" w:cs="宋体"/>
          <w:bCs/>
          <w:szCs w:val="24"/>
          <w:highlight w:val="none"/>
          <w:lang w:val="zh-CN"/>
        </w:rPr>
        <w:fldChar w:fldCharType="separate"/>
      </w:r>
      <w:r>
        <w:t>第二</w:t>
      </w:r>
      <w:r>
        <w:rPr>
          <w:rFonts w:hint="eastAsia"/>
        </w:rPr>
        <w:t>节</w:t>
      </w:r>
      <w:r>
        <w:t xml:space="preserve"> 投标报价格式</w:t>
      </w:r>
      <w:r>
        <w:tab/>
      </w:r>
      <w:r>
        <w:fldChar w:fldCharType="begin"/>
      </w:r>
      <w:r>
        <w:instrText xml:space="preserve"> PAGEREF _Toc30028 \h </w:instrText>
      </w:r>
      <w:r>
        <w:fldChar w:fldCharType="separate"/>
      </w:r>
      <w:r>
        <w:t>120</w:t>
      </w:r>
      <w:r>
        <w:fldChar w:fldCharType="end"/>
      </w:r>
      <w:r>
        <w:rPr>
          <w:rFonts w:hint="eastAsia" w:ascii="宋体" w:hAnsi="宋体" w:eastAsia="宋体" w:cs="宋体"/>
          <w:bCs/>
          <w:color w:val="auto"/>
          <w:szCs w:val="24"/>
          <w:highlight w:val="none"/>
          <w:lang w:val="zh-CN"/>
        </w:rPr>
        <w:fldChar w:fldCharType="end"/>
      </w:r>
    </w:p>
    <w:p w14:paraId="4571ABE2">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_Toc24266 </w:instrText>
      </w:r>
      <w:r>
        <w:rPr>
          <w:rFonts w:hint="eastAsia" w:ascii="宋体" w:hAnsi="宋体" w:eastAsia="宋体" w:cs="宋体"/>
          <w:bCs/>
          <w:szCs w:val="24"/>
          <w:highlight w:val="none"/>
          <w:lang w:val="zh-CN"/>
        </w:rPr>
        <w:fldChar w:fldCharType="separate"/>
      </w:r>
      <w:r>
        <w:rPr>
          <w:rFonts w:hint="eastAsia"/>
        </w:rPr>
        <w:t>1.已标价工程量清单内容</w:t>
      </w:r>
      <w:r>
        <w:tab/>
      </w:r>
      <w:r>
        <w:fldChar w:fldCharType="begin"/>
      </w:r>
      <w:r>
        <w:instrText xml:space="preserve"> PAGEREF _Toc24266 \h </w:instrText>
      </w:r>
      <w:r>
        <w:fldChar w:fldCharType="separate"/>
      </w:r>
      <w:r>
        <w:t>122</w:t>
      </w:r>
      <w:r>
        <w:fldChar w:fldCharType="end"/>
      </w:r>
      <w:r>
        <w:rPr>
          <w:rFonts w:hint="eastAsia" w:ascii="宋体" w:hAnsi="宋体" w:eastAsia="宋体" w:cs="宋体"/>
          <w:bCs/>
          <w:color w:val="auto"/>
          <w:szCs w:val="24"/>
          <w:highlight w:val="none"/>
          <w:lang w:val="zh-CN"/>
        </w:rPr>
        <w:fldChar w:fldCharType="end"/>
      </w:r>
    </w:p>
    <w:p w14:paraId="01BE0D63">
      <w:pPr>
        <w:pStyle w:val="21"/>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_Toc27606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2.已标价工程量清单格式</w:t>
      </w:r>
      <w:r>
        <w:tab/>
      </w:r>
      <w:r>
        <w:fldChar w:fldCharType="begin"/>
      </w:r>
      <w:r>
        <w:instrText xml:space="preserve"> PAGEREF _Toc27606 \h </w:instrText>
      </w:r>
      <w:r>
        <w:fldChar w:fldCharType="separate"/>
      </w:r>
      <w:r>
        <w:t>122</w:t>
      </w:r>
      <w:r>
        <w:fldChar w:fldCharType="end"/>
      </w:r>
      <w:r>
        <w:rPr>
          <w:rFonts w:hint="eastAsia" w:ascii="宋体" w:hAnsi="宋体" w:eastAsia="宋体" w:cs="宋体"/>
          <w:bCs/>
          <w:color w:val="auto"/>
          <w:szCs w:val="24"/>
          <w:highlight w:val="none"/>
          <w:lang w:val="zh-CN"/>
        </w:rPr>
        <w:fldChar w:fldCharType="end"/>
      </w:r>
    </w:p>
    <w:p w14:paraId="26C37A6E">
      <w:pPr>
        <w:spacing w:line="360" w:lineRule="auto"/>
        <w:rPr>
          <w:rFonts w:hint="eastAsia" w:ascii="宋体" w:hAnsi="宋体" w:eastAsia="宋体" w:cs="宋体"/>
          <w:color w:val="auto"/>
          <w:sz w:val="24"/>
          <w:szCs w:val="32"/>
          <w:highlight w:val="none"/>
        </w:rPr>
      </w:pPr>
      <w:r>
        <w:rPr>
          <w:rFonts w:hint="eastAsia" w:ascii="宋体" w:hAnsi="宋体" w:eastAsia="宋体" w:cs="宋体"/>
          <w:bCs/>
          <w:color w:val="auto"/>
          <w:szCs w:val="24"/>
          <w:highlight w:val="none"/>
          <w:lang w:val="zh-CN"/>
        </w:rPr>
        <w:fldChar w:fldCharType="end"/>
      </w:r>
    </w:p>
    <w:p w14:paraId="31F9EEB8">
      <w:pPr>
        <w:pStyle w:val="29"/>
        <w:sectPr>
          <w:footerReference r:id="rId7" w:type="first"/>
          <w:footerReference r:id="rId6" w:type="default"/>
          <w:pgSz w:w="11906" w:h="16838"/>
          <w:pgMar w:top="1418" w:right="1418" w:bottom="1418" w:left="1418" w:header="851" w:footer="850" w:gutter="0"/>
          <w:pgNumType w:fmt="decimal" w:start="0"/>
          <w:cols w:space="720" w:num="1"/>
          <w:titlePg/>
          <w:docGrid w:linePitch="306" w:charSpace="0"/>
        </w:sectPr>
      </w:pPr>
      <w:bookmarkStart w:id="1" w:name="_Toc80006067"/>
      <w:bookmarkStart w:id="2" w:name="_Toc300677959"/>
      <w:bookmarkStart w:id="3" w:name="_Toc17936"/>
    </w:p>
    <w:p w14:paraId="5AB776CD"/>
    <w:p w14:paraId="1A5D694B">
      <w:pPr>
        <w:spacing w:line="360" w:lineRule="auto"/>
        <w:jc w:val="left"/>
        <w:rPr>
          <w:color w:val="auto"/>
          <w:sz w:val="18"/>
          <w:szCs w:val="18"/>
          <w:highlight w:val="none"/>
        </w:rPr>
      </w:pPr>
    </w:p>
    <w:p w14:paraId="4D493D97">
      <w:pPr>
        <w:spacing w:line="360" w:lineRule="auto"/>
        <w:jc w:val="left"/>
        <w:rPr>
          <w:color w:val="auto"/>
          <w:sz w:val="18"/>
          <w:szCs w:val="18"/>
          <w:highlight w:val="none"/>
        </w:rPr>
      </w:pPr>
    </w:p>
    <w:p w14:paraId="2F90AFBB">
      <w:pPr>
        <w:spacing w:line="360" w:lineRule="auto"/>
        <w:jc w:val="left"/>
        <w:rPr>
          <w:color w:val="auto"/>
          <w:sz w:val="18"/>
          <w:szCs w:val="18"/>
          <w:highlight w:val="none"/>
        </w:rPr>
      </w:pPr>
    </w:p>
    <w:p w14:paraId="4313E40B">
      <w:pPr>
        <w:spacing w:line="360" w:lineRule="auto"/>
        <w:jc w:val="left"/>
        <w:rPr>
          <w:color w:val="auto"/>
          <w:sz w:val="18"/>
          <w:szCs w:val="18"/>
          <w:highlight w:val="none"/>
        </w:rPr>
      </w:pPr>
    </w:p>
    <w:p w14:paraId="081AE7CD">
      <w:pPr>
        <w:spacing w:line="360" w:lineRule="auto"/>
        <w:jc w:val="left"/>
        <w:rPr>
          <w:color w:val="auto"/>
          <w:sz w:val="18"/>
          <w:szCs w:val="18"/>
          <w:highlight w:val="none"/>
        </w:rPr>
      </w:pPr>
    </w:p>
    <w:p w14:paraId="0FB5ABE0">
      <w:pPr>
        <w:spacing w:line="360" w:lineRule="auto"/>
        <w:jc w:val="left"/>
        <w:rPr>
          <w:color w:val="auto"/>
          <w:sz w:val="18"/>
          <w:szCs w:val="18"/>
          <w:highlight w:val="none"/>
        </w:rPr>
      </w:pPr>
    </w:p>
    <w:p w14:paraId="771C9A9D">
      <w:pPr>
        <w:spacing w:line="360" w:lineRule="auto"/>
        <w:jc w:val="left"/>
        <w:rPr>
          <w:color w:val="auto"/>
          <w:sz w:val="18"/>
          <w:szCs w:val="18"/>
          <w:highlight w:val="none"/>
        </w:rPr>
      </w:pPr>
    </w:p>
    <w:p w14:paraId="7463379B">
      <w:pPr>
        <w:spacing w:line="360" w:lineRule="auto"/>
        <w:jc w:val="left"/>
        <w:rPr>
          <w:color w:val="auto"/>
          <w:sz w:val="18"/>
          <w:szCs w:val="18"/>
          <w:highlight w:val="none"/>
        </w:rPr>
      </w:pPr>
    </w:p>
    <w:p w14:paraId="3188EF9A">
      <w:pPr>
        <w:pStyle w:val="29"/>
        <w:rPr>
          <w:color w:val="auto"/>
          <w:sz w:val="18"/>
          <w:szCs w:val="18"/>
          <w:highlight w:val="none"/>
        </w:rPr>
      </w:pPr>
    </w:p>
    <w:p w14:paraId="1DFADA9F">
      <w:pPr>
        <w:rPr>
          <w:color w:val="auto"/>
          <w:sz w:val="18"/>
          <w:szCs w:val="18"/>
          <w:highlight w:val="none"/>
        </w:rPr>
      </w:pPr>
    </w:p>
    <w:p w14:paraId="4DF7A45B">
      <w:pPr>
        <w:pStyle w:val="29"/>
        <w:rPr>
          <w:color w:val="auto"/>
          <w:sz w:val="18"/>
          <w:szCs w:val="18"/>
          <w:highlight w:val="none"/>
        </w:rPr>
      </w:pPr>
    </w:p>
    <w:p w14:paraId="03685572">
      <w:pPr>
        <w:rPr>
          <w:color w:val="auto"/>
          <w:sz w:val="18"/>
          <w:szCs w:val="18"/>
          <w:highlight w:val="none"/>
        </w:rPr>
      </w:pPr>
    </w:p>
    <w:p w14:paraId="445F48C5">
      <w:pPr>
        <w:pStyle w:val="29"/>
        <w:rPr>
          <w:color w:val="auto"/>
          <w:sz w:val="18"/>
          <w:szCs w:val="18"/>
          <w:highlight w:val="none"/>
        </w:rPr>
      </w:pPr>
    </w:p>
    <w:p w14:paraId="2FA6C45C">
      <w:pPr>
        <w:rPr>
          <w:color w:val="auto"/>
          <w:sz w:val="18"/>
          <w:szCs w:val="18"/>
          <w:highlight w:val="none"/>
        </w:rPr>
      </w:pPr>
    </w:p>
    <w:p w14:paraId="48832ADE">
      <w:pPr>
        <w:pStyle w:val="29"/>
        <w:rPr>
          <w:color w:val="auto"/>
          <w:sz w:val="18"/>
          <w:szCs w:val="18"/>
          <w:highlight w:val="none"/>
        </w:rPr>
      </w:pPr>
    </w:p>
    <w:p w14:paraId="4FF41432">
      <w:pPr>
        <w:rPr>
          <w:color w:val="auto"/>
          <w:sz w:val="18"/>
          <w:szCs w:val="18"/>
          <w:highlight w:val="none"/>
        </w:rPr>
      </w:pPr>
    </w:p>
    <w:p w14:paraId="1989DE91">
      <w:pPr>
        <w:pStyle w:val="29"/>
        <w:rPr>
          <w:color w:val="auto"/>
          <w:sz w:val="18"/>
          <w:szCs w:val="18"/>
          <w:highlight w:val="none"/>
        </w:rPr>
      </w:pPr>
    </w:p>
    <w:p w14:paraId="6D6C286D">
      <w:pPr>
        <w:rPr>
          <w:color w:val="auto"/>
          <w:sz w:val="18"/>
          <w:szCs w:val="18"/>
          <w:highlight w:val="none"/>
        </w:rPr>
      </w:pPr>
    </w:p>
    <w:p w14:paraId="2C9E34DD">
      <w:pPr>
        <w:pStyle w:val="29"/>
      </w:pPr>
    </w:p>
    <w:p w14:paraId="30F5C311">
      <w:pPr>
        <w:spacing w:line="360" w:lineRule="auto"/>
        <w:jc w:val="left"/>
        <w:rPr>
          <w:color w:val="auto"/>
          <w:sz w:val="18"/>
          <w:szCs w:val="18"/>
          <w:highlight w:val="none"/>
        </w:rPr>
      </w:pPr>
    </w:p>
    <w:p w14:paraId="34AA0319">
      <w:pPr>
        <w:pStyle w:val="3"/>
        <w:jc w:val="center"/>
        <w:rPr>
          <w:rFonts w:ascii="Times New Roman" w:hAnsi="Times New Roman" w:eastAsia="黑体"/>
          <w:b w:val="0"/>
          <w:bCs w:val="0"/>
          <w:color w:val="auto"/>
          <w:sz w:val="44"/>
          <w:szCs w:val="44"/>
          <w:highlight w:val="none"/>
        </w:rPr>
      </w:pPr>
      <w:bookmarkStart w:id="4" w:name="_Toc14100"/>
      <w:r>
        <w:rPr>
          <w:rFonts w:ascii="Times New Roman" w:hAnsi="Times New Roman" w:eastAsia="黑体"/>
          <w:b w:val="0"/>
          <w:bCs w:val="0"/>
          <w:color w:val="auto"/>
          <w:sz w:val="44"/>
          <w:szCs w:val="44"/>
          <w:highlight w:val="none"/>
        </w:rPr>
        <w:t>第  一  卷</w:t>
      </w:r>
      <w:bookmarkEnd w:id="1"/>
      <w:bookmarkEnd w:id="2"/>
      <w:bookmarkEnd w:id="3"/>
      <w:bookmarkEnd w:id="4"/>
    </w:p>
    <w:p w14:paraId="59CF8423">
      <w:pPr>
        <w:spacing w:after="240" w:afterLines="100" w:line="540" w:lineRule="exact"/>
        <w:rPr>
          <w:rFonts w:eastAsia="黑体"/>
          <w:color w:val="auto"/>
          <w:sz w:val="32"/>
          <w:szCs w:val="32"/>
          <w:highlight w:val="none"/>
        </w:rPr>
      </w:pPr>
    </w:p>
    <w:p w14:paraId="342E29D5">
      <w:pPr>
        <w:spacing w:after="240" w:afterLines="100" w:line="540" w:lineRule="exact"/>
        <w:rPr>
          <w:rFonts w:eastAsia="黑体"/>
          <w:color w:val="auto"/>
          <w:sz w:val="32"/>
          <w:szCs w:val="32"/>
          <w:highlight w:val="none"/>
        </w:rPr>
      </w:pPr>
    </w:p>
    <w:p w14:paraId="5641EE06">
      <w:pPr>
        <w:spacing w:after="240" w:afterLines="100" w:line="540" w:lineRule="exact"/>
        <w:rPr>
          <w:rFonts w:eastAsia="黑体"/>
          <w:color w:val="auto"/>
          <w:sz w:val="32"/>
          <w:szCs w:val="32"/>
          <w:highlight w:val="none"/>
        </w:rPr>
      </w:pPr>
    </w:p>
    <w:p w14:paraId="5CD20C4D">
      <w:pPr>
        <w:spacing w:after="240" w:afterLines="100" w:line="540" w:lineRule="exact"/>
        <w:rPr>
          <w:rFonts w:eastAsia="黑体"/>
          <w:color w:val="auto"/>
          <w:sz w:val="32"/>
          <w:szCs w:val="32"/>
          <w:highlight w:val="none"/>
        </w:rPr>
      </w:pPr>
    </w:p>
    <w:p w14:paraId="559F5A8E">
      <w:pPr>
        <w:spacing w:after="240" w:afterLines="100" w:line="540" w:lineRule="exact"/>
        <w:rPr>
          <w:rFonts w:eastAsia="黑体"/>
          <w:color w:val="auto"/>
          <w:sz w:val="32"/>
          <w:szCs w:val="32"/>
          <w:highlight w:val="none"/>
        </w:rPr>
      </w:pPr>
    </w:p>
    <w:p w14:paraId="0AB1C9D9">
      <w:pPr>
        <w:spacing w:after="240" w:afterLines="100" w:line="540" w:lineRule="exact"/>
        <w:rPr>
          <w:rFonts w:eastAsia="黑体"/>
          <w:color w:val="auto"/>
          <w:sz w:val="32"/>
          <w:szCs w:val="32"/>
          <w:highlight w:val="none"/>
        </w:rPr>
      </w:pPr>
    </w:p>
    <w:p w14:paraId="1DA355C3">
      <w:pPr>
        <w:rPr>
          <w:color w:val="auto"/>
          <w:highlight w:val="none"/>
        </w:rPr>
      </w:pPr>
      <w:r>
        <w:rPr>
          <w:rFonts w:eastAsia="黑体"/>
          <w:color w:val="auto"/>
          <w:sz w:val="32"/>
          <w:szCs w:val="32"/>
          <w:highlight w:val="none"/>
        </w:rPr>
        <w:br w:type="page"/>
      </w:r>
      <w:bookmarkStart w:id="5" w:name="_Toc300677960"/>
    </w:p>
    <w:bookmarkEnd w:id="5"/>
    <w:p w14:paraId="437F1BFE">
      <w:pPr>
        <w:keepNext/>
        <w:widowControl w:val="0"/>
        <w:spacing w:before="0" w:after="0"/>
        <w:jc w:val="center"/>
        <w:outlineLvl w:val="0"/>
        <w:rPr>
          <w:rFonts w:ascii="Times New Roman" w:hAnsi="Times New Roman" w:eastAsia="黑体" w:cs="Times New Roman"/>
          <w:b w:val="0"/>
          <w:bCs w:val="0"/>
          <w:color w:val="auto"/>
          <w:kern w:val="32"/>
          <w:sz w:val="32"/>
          <w:szCs w:val="32"/>
          <w:highlight w:val="none"/>
          <w:lang w:val="en-US" w:eastAsia="zh-CN" w:bidi="ar-SA"/>
        </w:rPr>
      </w:pPr>
      <w:bookmarkStart w:id="6" w:name="_Toc6037"/>
      <w:bookmarkStart w:id="7" w:name="_Toc80006079"/>
      <w:bookmarkStart w:id="8" w:name="_Toc300677986"/>
      <w:bookmarkStart w:id="9" w:name="_Toc52"/>
      <w:r>
        <w:rPr>
          <w:rFonts w:hint="eastAsia" w:ascii="Times New Roman" w:hAnsi="Times New Roman" w:eastAsia="黑体" w:cs="Times New Roman"/>
          <w:b w:val="0"/>
          <w:bCs w:val="0"/>
          <w:color w:val="auto"/>
          <w:kern w:val="32"/>
          <w:sz w:val="32"/>
          <w:szCs w:val="32"/>
          <w:highlight w:val="none"/>
          <w:lang w:val="en-US" w:eastAsia="zh-CN" w:bidi="ar-SA"/>
        </w:rPr>
        <w:t xml:space="preserve">第一章  </w:t>
      </w:r>
      <w:r>
        <w:rPr>
          <w:rFonts w:ascii="Times New Roman" w:hAnsi="Times New Roman" w:eastAsia="黑体" w:cs="Times New Roman"/>
          <w:b w:val="0"/>
          <w:bCs w:val="0"/>
          <w:color w:val="auto"/>
          <w:kern w:val="32"/>
          <w:sz w:val="32"/>
          <w:szCs w:val="32"/>
          <w:highlight w:val="none"/>
          <w:lang w:val="en-US" w:eastAsia="zh-CN" w:bidi="ar-SA"/>
        </w:rPr>
        <w:t>招标公告</w:t>
      </w:r>
      <w:bookmarkEnd w:id="6"/>
    </w:p>
    <w:p w14:paraId="25FF2DC8">
      <w:pPr>
        <w:rPr>
          <w:rFonts w:eastAsia="宋体"/>
          <w:color w:val="auto"/>
          <w:highlight w:val="none"/>
        </w:rPr>
      </w:pPr>
    </w:p>
    <w:p w14:paraId="68396309">
      <w:pPr>
        <w:jc w:val="center"/>
        <w:rPr>
          <w:rFonts w:eastAsia="黑体"/>
          <w:color w:val="auto"/>
          <w:sz w:val="28"/>
          <w:highlight w:val="none"/>
        </w:rPr>
      </w:pPr>
      <w:r>
        <w:rPr>
          <w:rFonts w:hint="default" w:eastAsia="黑体"/>
          <w:color w:val="auto"/>
          <w:sz w:val="28"/>
          <w:highlight w:val="none"/>
          <w:u w:val="single"/>
          <w:lang w:val="en-US" w:eastAsia="zh-CN"/>
        </w:rPr>
        <w:t>江永县供销联社烟花爆竹有限公司烟花爆竹仓库新建（搬迁）工程</w:t>
      </w:r>
      <w:r>
        <w:rPr>
          <w:rFonts w:eastAsia="黑体"/>
          <w:color w:val="auto"/>
          <w:sz w:val="28"/>
          <w:highlight w:val="none"/>
        </w:rPr>
        <w:t>（</w:t>
      </w:r>
      <w:r>
        <w:rPr>
          <w:rFonts w:hint="eastAsia" w:eastAsia="黑体"/>
          <w:color w:val="auto"/>
          <w:sz w:val="28"/>
          <w:highlight w:val="none"/>
        </w:rPr>
        <w:t>招标</w:t>
      </w:r>
      <w:r>
        <w:rPr>
          <w:rFonts w:eastAsia="黑体"/>
          <w:color w:val="auto"/>
          <w:sz w:val="28"/>
          <w:highlight w:val="none"/>
        </w:rPr>
        <w:t>项目名称</w:t>
      </w:r>
      <w:r>
        <w:rPr>
          <w:rFonts w:hint="eastAsia" w:eastAsia="黑体"/>
          <w:color w:val="auto"/>
          <w:sz w:val="28"/>
          <w:highlight w:val="none"/>
        </w:rPr>
        <w:t>及标段）</w:t>
      </w:r>
      <w:r>
        <w:rPr>
          <w:rFonts w:eastAsia="黑体"/>
          <w:color w:val="auto"/>
          <w:sz w:val="28"/>
          <w:highlight w:val="none"/>
        </w:rPr>
        <w:t>施工招标公告</w:t>
      </w:r>
    </w:p>
    <w:p w14:paraId="5AA2A253">
      <w:pPr>
        <w:keepNext/>
        <w:keepLines/>
        <w:widowControl w:val="0"/>
        <w:spacing w:before="0" w:after="0" w:line="360" w:lineRule="auto"/>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10" w:name="_Toc300677961"/>
      <w:bookmarkStart w:id="11" w:name="_Toc9178495"/>
      <w:bookmarkStart w:id="12" w:name="_Toc31667"/>
      <w:bookmarkStart w:id="13" w:name="_Toc80006069"/>
      <w:bookmarkStart w:id="14" w:name="_Toc80006179"/>
      <w:r>
        <w:rPr>
          <w:rFonts w:ascii="Times New Roman" w:hAnsi="Times New Roman" w:eastAsia="黑体" w:cs="Times New Roman"/>
          <w:b w:val="0"/>
          <w:bCs w:val="0"/>
          <w:color w:val="auto"/>
          <w:kern w:val="2"/>
          <w:sz w:val="30"/>
          <w:szCs w:val="32"/>
          <w:highlight w:val="none"/>
          <w:lang w:val="en-US" w:eastAsia="zh-CN" w:bidi="ar-SA"/>
        </w:rPr>
        <w:t>1.</w:t>
      </w:r>
      <w:bookmarkEnd w:id="10"/>
      <w:r>
        <w:rPr>
          <w:rFonts w:ascii="Times New Roman" w:hAnsi="Times New Roman" w:eastAsia="黑体" w:cs="Times New Roman"/>
          <w:b w:val="0"/>
          <w:bCs w:val="0"/>
          <w:color w:val="auto"/>
          <w:kern w:val="2"/>
          <w:sz w:val="30"/>
          <w:szCs w:val="32"/>
          <w:highlight w:val="none"/>
          <w:lang w:val="en-US" w:eastAsia="zh-CN" w:bidi="ar-SA"/>
        </w:rPr>
        <w:t>项目概况</w:t>
      </w:r>
      <w:bookmarkEnd w:id="11"/>
      <w:bookmarkEnd w:id="12"/>
      <w:bookmarkEnd w:id="13"/>
      <w:bookmarkEnd w:id="14"/>
    </w:p>
    <w:p w14:paraId="28CF866D">
      <w:pPr>
        <w:spacing w:line="360" w:lineRule="auto"/>
        <w:ind w:firstLine="420" w:firstLineChars="200"/>
        <w:rPr>
          <w:rFonts w:eastAsia="宋体"/>
          <w:color w:val="auto"/>
          <w:highlight w:val="none"/>
        </w:rPr>
      </w:pPr>
      <w:r>
        <w:rPr>
          <w:rFonts w:eastAsia="宋体"/>
          <w:color w:val="auto"/>
          <w:highlight w:val="none"/>
        </w:rPr>
        <w:t>1.1 审批、核准或备案情况</w:t>
      </w:r>
    </w:p>
    <w:p w14:paraId="3FB2E97D">
      <w:pPr>
        <w:spacing w:line="360" w:lineRule="auto"/>
        <w:ind w:firstLine="420" w:firstLineChars="200"/>
        <w:rPr>
          <w:rFonts w:eastAsia="宋体"/>
          <w:color w:val="auto"/>
          <w:highlight w:val="none"/>
        </w:rPr>
      </w:pPr>
      <w:r>
        <w:rPr>
          <w:rFonts w:eastAsia="宋体"/>
          <w:color w:val="auto"/>
          <w:highlight w:val="none"/>
        </w:rPr>
        <w:t>项目名称</w:t>
      </w:r>
      <w:r>
        <w:rPr>
          <w:rFonts w:eastAsia="宋体"/>
          <w:color w:val="auto"/>
          <w:highlight w:val="none"/>
          <w:u w:val="single"/>
        </w:rPr>
        <w:t xml:space="preserve"> </w:t>
      </w:r>
      <w:r>
        <w:rPr>
          <w:rFonts w:hint="default"/>
          <w:color w:val="auto"/>
          <w:szCs w:val="21"/>
          <w:u w:val="single"/>
          <w:lang w:val="en-US" w:eastAsia="zh-CN"/>
        </w:rPr>
        <w:t>江永县供销联社烟花爆竹有限公司烟花爆竹仓库新建（搬迁）工程</w:t>
      </w:r>
      <w:r>
        <w:rPr>
          <w:rFonts w:eastAsia="宋体"/>
          <w:color w:val="auto"/>
          <w:highlight w:val="none"/>
        </w:rPr>
        <w:t xml:space="preserve"> ，项目审批、核准或备案机关名称</w:t>
      </w:r>
      <w:r>
        <w:rPr>
          <w:rFonts w:hint="eastAsia"/>
          <w:color w:val="auto"/>
          <w:szCs w:val="21"/>
          <w:u w:val="single"/>
        </w:rPr>
        <w:t>江永县发展和改革局</w:t>
      </w:r>
      <w:r>
        <w:rPr>
          <w:rFonts w:eastAsia="宋体"/>
          <w:color w:val="auto"/>
          <w:highlight w:val="none"/>
          <w:u w:val="single"/>
        </w:rPr>
        <w:t xml:space="preserve"> </w:t>
      </w:r>
      <w:r>
        <w:rPr>
          <w:rFonts w:eastAsia="宋体"/>
          <w:color w:val="auto"/>
          <w:highlight w:val="none"/>
        </w:rPr>
        <w:t>批文名称及编号</w:t>
      </w:r>
      <w:r>
        <w:rPr>
          <w:rFonts w:eastAsia="宋体"/>
          <w:color w:val="auto"/>
          <w:highlight w:val="none"/>
          <w:u w:val="single"/>
        </w:rPr>
        <w:t xml:space="preserve"> </w:t>
      </w:r>
      <w:r>
        <w:rPr>
          <w:rFonts w:hint="eastAsia"/>
          <w:color w:val="auto"/>
          <w:highlight w:val="none"/>
          <w:u w:val="single"/>
          <w:lang w:val="en-US" w:eastAsia="zh-CN"/>
        </w:rPr>
        <w:t>江永</w:t>
      </w:r>
      <w:r>
        <w:rPr>
          <w:rFonts w:hint="eastAsia" w:ascii="Times New Roman" w:eastAsia="宋体"/>
          <w:color w:val="auto"/>
          <w:szCs w:val="21"/>
          <w:u w:val="single"/>
          <w:lang w:val="en-US" w:eastAsia="zh-CN"/>
        </w:rPr>
        <w:t>发改许准</w:t>
      </w:r>
      <w:r>
        <w:rPr>
          <w:rFonts w:hint="eastAsia" w:ascii="Times New Roman" w:eastAsia="宋体"/>
          <w:color w:val="auto"/>
          <w:szCs w:val="21"/>
          <w:highlight w:val="none"/>
          <w:u w:val="single"/>
          <w:lang w:val="en-US" w:eastAsia="zh-CN"/>
        </w:rPr>
        <w:t>字[202</w:t>
      </w:r>
      <w:r>
        <w:rPr>
          <w:rFonts w:hint="eastAsia"/>
          <w:color w:val="auto"/>
          <w:szCs w:val="21"/>
          <w:highlight w:val="none"/>
          <w:u w:val="single"/>
          <w:lang w:val="en-US" w:eastAsia="zh-CN"/>
        </w:rPr>
        <w:t>6]</w:t>
      </w:r>
      <w:r>
        <w:rPr>
          <w:rFonts w:hint="eastAsia" w:ascii="Times New Roman" w:eastAsia="宋体"/>
          <w:color w:val="auto"/>
          <w:szCs w:val="21"/>
          <w:highlight w:val="none"/>
          <w:u w:val="single"/>
          <w:lang w:val="en-US" w:eastAsia="zh-CN"/>
        </w:rPr>
        <w:t>简</w:t>
      </w:r>
      <w:r>
        <w:rPr>
          <w:rFonts w:hint="default"/>
          <w:color w:val="auto"/>
          <w:szCs w:val="21"/>
          <w:highlight w:val="none"/>
          <w:u w:val="single"/>
          <w:lang w:val="en-US" w:eastAsia="zh-CN"/>
        </w:rPr>
        <w:t>3</w:t>
      </w:r>
      <w:r>
        <w:rPr>
          <w:rFonts w:hint="eastAsia" w:ascii="Times New Roman" w:eastAsia="宋体"/>
          <w:color w:val="auto"/>
          <w:szCs w:val="21"/>
          <w:highlight w:val="none"/>
          <w:u w:val="single"/>
          <w:lang w:val="en-US" w:eastAsia="zh-CN"/>
        </w:rPr>
        <w:t>号</w:t>
      </w:r>
      <w:r>
        <w:rPr>
          <w:rFonts w:eastAsia="宋体"/>
          <w:color w:val="auto"/>
          <w:highlight w:val="none"/>
          <w:u w:val="single"/>
        </w:rPr>
        <w:t xml:space="preserve"> </w:t>
      </w:r>
      <w:r>
        <w:rPr>
          <w:rFonts w:eastAsia="宋体"/>
          <w:color w:val="auto"/>
          <w:highlight w:val="none"/>
        </w:rPr>
        <w:t>，</w:t>
      </w:r>
      <w:r>
        <w:rPr>
          <w:rFonts w:hint="eastAsia" w:eastAsia="宋体"/>
          <w:color w:val="auto"/>
          <w:highlight w:val="none"/>
          <w:lang w:eastAsia="zh-CN"/>
        </w:rPr>
        <w:t>建设单位</w:t>
      </w:r>
      <w:r>
        <w:rPr>
          <w:rFonts w:eastAsia="宋体"/>
          <w:color w:val="auto"/>
          <w:highlight w:val="none"/>
        </w:rPr>
        <w:t>为</w:t>
      </w:r>
      <w:r>
        <w:rPr>
          <w:rFonts w:hint="eastAsia"/>
          <w:color w:val="auto"/>
          <w:szCs w:val="21"/>
          <w:u w:val="single"/>
        </w:rPr>
        <w:t xml:space="preserve"> </w:t>
      </w:r>
      <w:r>
        <w:rPr>
          <w:rFonts w:hint="default"/>
          <w:color w:val="auto"/>
          <w:szCs w:val="21"/>
          <w:u w:val="single"/>
          <w:lang w:val="en-US" w:eastAsia="zh-CN"/>
        </w:rPr>
        <w:t>江永县供销社社有资产管理有限公司</w:t>
      </w:r>
      <w:r>
        <w:rPr>
          <w:rFonts w:hint="eastAsia"/>
          <w:color w:val="auto"/>
          <w:szCs w:val="21"/>
          <w:u w:val="none"/>
        </w:rPr>
        <w:t>，</w:t>
      </w:r>
      <w:r>
        <w:rPr>
          <w:rFonts w:hint="eastAsia" w:eastAsia="宋体"/>
          <w:color w:val="auto"/>
          <w:highlight w:val="none"/>
        </w:rPr>
        <w:t>招标人为</w:t>
      </w:r>
      <w:r>
        <w:rPr>
          <w:rFonts w:eastAsia="宋体"/>
          <w:color w:val="auto"/>
          <w:highlight w:val="none"/>
          <w:u w:val="single"/>
        </w:rPr>
        <w:t xml:space="preserve"> </w:t>
      </w:r>
      <w:r>
        <w:rPr>
          <w:rFonts w:hint="default"/>
          <w:color w:val="auto"/>
          <w:szCs w:val="21"/>
          <w:u w:val="single"/>
          <w:lang w:val="en-US" w:eastAsia="zh-CN"/>
        </w:rPr>
        <w:t>江永县供销社社有资产管理有限公司</w:t>
      </w:r>
      <w:r>
        <w:rPr>
          <w:rFonts w:eastAsia="宋体"/>
          <w:color w:val="auto"/>
          <w:highlight w:val="none"/>
          <w:u w:val="single"/>
        </w:rPr>
        <w:t xml:space="preserve"> </w:t>
      </w:r>
      <w:r>
        <w:rPr>
          <w:rFonts w:eastAsia="宋体"/>
          <w:color w:val="auto"/>
          <w:highlight w:val="none"/>
        </w:rPr>
        <w:t>，项目总投资为</w:t>
      </w:r>
      <w:r>
        <w:rPr>
          <w:rFonts w:hint="default"/>
          <w:color w:val="auto"/>
          <w:szCs w:val="21"/>
          <w:u w:val="single"/>
          <w:lang w:val="en-US" w:eastAsia="zh-CN"/>
        </w:rPr>
        <w:t>3371939.05</w:t>
      </w:r>
      <w:r>
        <w:rPr>
          <w:rFonts w:hint="eastAsia" w:ascii="Times New Roman" w:eastAsia="宋体"/>
          <w:color w:val="auto"/>
          <w:highlight w:val="none"/>
          <w:u w:val="single"/>
          <w:lang w:val="en-US" w:eastAsia="zh-CN"/>
        </w:rPr>
        <w:t>元</w:t>
      </w:r>
      <w:r>
        <w:rPr>
          <w:rFonts w:eastAsia="宋体"/>
          <w:color w:val="auto"/>
          <w:highlight w:val="none"/>
          <w:u w:val="single"/>
        </w:rPr>
        <w:t xml:space="preserve"> </w:t>
      </w:r>
      <w:r>
        <w:rPr>
          <w:rFonts w:eastAsia="宋体"/>
          <w:color w:val="auto"/>
          <w:highlight w:val="none"/>
        </w:rPr>
        <w:t>，资金来源</w:t>
      </w:r>
      <w:r>
        <w:rPr>
          <w:rFonts w:hint="eastAsia" w:eastAsia="宋体"/>
          <w:color w:val="auto"/>
          <w:highlight w:val="none"/>
        </w:rPr>
        <w:t>和落实情况</w:t>
      </w:r>
      <w:r>
        <w:rPr>
          <w:rFonts w:hint="eastAsia" w:ascii="宋体" w:hAnsi="宋体" w:eastAsia="宋体" w:cs="宋体"/>
          <w:i w:val="0"/>
          <w:iCs w:val="0"/>
          <w:caps w:val="0"/>
          <w:color w:val="000000"/>
          <w:spacing w:val="0"/>
          <w:sz w:val="21"/>
          <w:szCs w:val="21"/>
          <w:u w:val="single"/>
          <w:shd w:val="clear" w:fill="FFFFFF"/>
        </w:rPr>
        <w:t>自筹</w:t>
      </w:r>
      <w:r>
        <w:rPr>
          <w:rFonts w:hint="eastAsia"/>
          <w:color w:val="auto"/>
          <w:szCs w:val="21"/>
          <w:highlight w:val="none"/>
          <w:u w:val="single"/>
          <w:lang w:val="en-US" w:eastAsia="zh-CN"/>
        </w:rPr>
        <w:t>资金</w:t>
      </w:r>
      <w:r>
        <w:rPr>
          <w:rFonts w:hint="eastAsia" w:ascii="Times New Roman" w:eastAsia="宋体"/>
          <w:color w:val="auto"/>
          <w:szCs w:val="21"/>
          <w:highlight w:val="none"/>
          <w:u w:val="single"/>
          <w:lang w:val="en-US" w:eastAsia="zh-CN"/>
        </w:rPr>
        <w:t>已落实</w:t>
      </w:r>
      <w:r>
        <w:rPr>
          <w:rFonts w:eastAsia="宋体"/>
          <w:color w:val="auto"/>
          <w:highlight w:val="none"/>
          <w:u w:val="single"/>
        </w:rPr>
        <w:t xml:space="preserve"> </w:t>
      </w:r>
      <w:r>
        <w:rPr>
          <w:rFonts w:eastAsia="宋体"/>
          <w:color w:val="auto"/>
          <w:highlight w:val="none"/>
        </w:rPr>
        <w:t>。</w:t>
      </w:r>
    </w:p>
    <w:p w14:paraId="3DAE5245">
      <w:pPr>
        <w:spacing w:line="360" w:lineRule="auto"/>
        <w:ind w:firstLine="420" w:firstLineChars="200"/>
        <w:rPr>
          <w:rFonts w:eastAsia="宋体"/>
          <w:color w:val="auto"/>
          <w:highlight w:val="none"/>
        </w:rPr>
      </w:pPr>
      <w:r>
        <w:rPr>
          <w:rFonts w:eastAsia="宋体"/>
          <w:color w:val="auto"/>
          <w:highlight w:val="none"/>
        </w:rPr>
        <w:t>1.2招标项目概况</w:t>
      </w:r>
    </w:p>
    <w:p w14:paraId="03C3CC1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eastAsia="宋体"/>
          <w:color w:val="auto"/>
          <w:highlight w:val="none"/>
        </w:rPr>
      </w:pPr>
      <w:r>
        <w:rPr>
          <w:rFonts w:eastAsia="宋体"/>
          <w:color w:val="auto"/>
          <w:highlight w:val="none"/>
        </w:rPr>
        <w:t>1.</w:t>
      </w:r>
      <w:r>
        <w:rPr>
          <w:rFonts w:eastAsia="宋体"/>
          <w:color w:val="auto"/>
          <w:szCs w:val="21"/>
          <w:highlight w:val="none"/>
        </w:rPr>
        <w:t>2.1  招标项目或标段（以下简称：招标项目）名称：</w:t>
      </w:r>
      <w:r>
        <w:rPr>
          <w:rFonts w:eastAsia="宋体"/>
          <w:color w:val="auto"/>
          <w:szCs w:val="21"/>
          <w:highlight w:val="none"/>
          <w:u w:val="single"/>
        </w:rPr>
        <w:t xml:space="preserve"> </w:t>
      </w:r>
      <w:r>
        <w:rPr>
          <w:rFonts w:hint="default"/>
          <w:color w:val="auto"/>
          <w:szCs w:val="21"/>
          <w:u w:val="single"/>
          <w:lang w:val="en-US" w:eastAsia="zh-CN"/>
        </w:rPr>
        <w:t>江永县供销联社烟花爆竹有限公司烟花爆竹仓库新建（搬迁）工程</w:t>
      </w:r>
      <w:r>
        <w:rPr>
          <w:rFonts w:eastAsia="宋体"/>
          <w:color w:val="auto"/>
          <w:highlight w:val="none"/>
        </w:rPr>
        <w:t>；</w:t>
      </w:r>
    </w:p>
    <w:p w14:paraId="2E63D76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eastAsia="宋体"/>
          <w:color w:val="auto"/>
          <w:szCs w:val="21"/>
          <w:highlight w:val="none"/>
        </w:rPr>
      </w:pPr>
      <w:r>
        <w:rPr>
          <w:rFonts w:eastAsia="宋体"/>
          <w:color w:val="auto"/>
          <w:highlight w:val="none"/>
        </w:rPr>
        <w:t>1.</w:t>
      </w:r>
      <w:r>
        <w:rPr>
          <w:rFonts w:eastAsia="宋体"/>
          <w:color w:val="auto"/>
          <w:szCs w:val="21"/>
          <w:highlight w:val="none"/>
        </w:rPr>
        <w:t>2.2  建设地点：</w:t>
      </w:r>
      <w:r>
        <w:rPr>
          <w:rFonts w:hint="eastAsia"/>
          <w:color w:val="auto"/>
          <w:szCs w:val="21"/>
          <w:highlight w:val="none"/>
          <w:u w:val="single"/>
          <w:lang w:val="en-US" w:eastAsia="zh-CN"/>
        </w:rPr>
        <w:t>桃川镇桃源社区</w:t>
      </w:r>
      <w:r>
        <w:rPr>
          <w:rFonts w:eastAsia="宋体"/>
          <w:color w:val="auto"/>
          <w:highlight w:val="none"/>
        </w:rPr>
        <w:t>；</w:t>
      </w:r>
    </w:p>
    <w:p w14:paraId="3999D2B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eastAsia="宋体"/>
          <w:color w:val="auto"/>
          <w:szCs w:val="21"/>
          <w:highlight w:val="none"/>
          <w:lang w:eastAsia="zh-CN"/>
        </w:rPr>
      </w:pPr>
      <w:r>
        <w:rPr>
          <w:rFonts w:eastAsia="宋体"/>
          <w:color w:val="auto"/>
          <w:highlight w:val="none"/>
        </w:rPr>
        <w:t>1.</w:t>
      </w:r>
      <w:r>
        <w:rPr>
          <w:rFonts w:eastAsia="宋体"/>
          <w:color w:val="auto"/>
          <w:szCs w:val="21"/>
          <w:highlight w:val="none"/>
        </w:rPr>
        <w:t>2.3  项目基本情况</w:t>
      </w:r>
      <w:r>
        <w:rPr>
          <w:rFonts w:hint="eastAsia" w:eastAsia="宋体"/>
          <w:color w:val="auto"/>
          <w:szCs w:val="21"/>
          <w:highlight w:val="none"/>
          <w:lang w:eastAsia="zh-CN"/>
        </w:rPr>
        <w:t>：</w:t>
      </w:r>
    </w:p>
    <w:p w14:paraId="414E538D">
      <w:pPr>
        <w:snapToGrid w:val="0"/>
        <w:spacing w:line="360" w:lineRule="auto"/>
        <w:ind w:firstLine="315" w:firstLineChars="150"/>
        <w:rPr>
          <w:rFonts w:ascii="宋体" w:hAnsi="宋体" w:eastAsia="宋体"/>
          <w:color w:val="auto"/>
          <w:szCs w:val="21"/>
          <w:highlight w:val="none"/>
        </w:rPr>
      </w:pPr>
      <w:r>
        <w:rPr>
          <w:rFonts w:eastAsia="宋体"/>
          <w:color w:val="auto"/>
          <w:szCs w:val="21"/>
          <w:highlight w:val="none"/>
          <w:u w:val="single"/>
        </w:rPr>
        <w:t xml:space="preserve"> </w:t>
      </w:r>
      <w:r>
        <w:rPr>
          <w:rFonts w:hint="default"/>
          <w:color w:val="auto"/>
          <w:szCs w:val="21"/>
          <w:u w:val="single"/>
          <w:lang w:val="en-US" w:eastAsia="zh-CN"/>
        </w:rPr>
        <w:t>江永县供销联社烟花爆竹有限公司烟花爆竹仓库新建（搬迁）工程</w:t>
      </w:r>
      <w:r>
        <w:rPr>
          <w:rFonts w:hint="eastAsia"/>
          <w:color w:val="auto"/>
          <w:szCs w:val="21"/>
          <w:u w:val="single"/>
          <w:lang w:val="en-US" w:eastAsia="zh-CN"/>
        </w:rPr>
        <w:t>，新建999平方米标准化烟花爆竹储存仓库，配套建设消防等安全附属设施</w:t>
      </w:r>
      <w:r>
        <w:rPr>
          <w:rFonts w:hint="eastAsia" w:cs="Times New Roman"/>
          <w:color w:val="auto"/>
          <w:highlight w:val="none"/>
          <w:u w:val="single"/>
          <w:lang w:val="en-US" w:eastAsia="zh-CN"/>
        </w:rPr>
        <w:t>，</w:t>
      </w:r>
      <w:r>
        <w:rPr>
          <w:rFonts w:hint="eastAsia" w:ascii="Times New Roman" w:hAnsi="Times New Roman" w:eastAsia="宋体" w:cs="Times New Roman"/>
          <w:color w:val="auto"/>
          <w:highlight w:val="none"/>
          <w:u w:val="single"/>
        </w:rPr>
        <w:t>具体详见工程量清单（以江永县财政投资评审中心审定的工程量清单为准）及施工图</w:t>
      </w:r>
      <w:r>
        <w:rPr>
          <w:rFonts w:hint="eastAsia" w:ascii="Times New Roman" w:hAnsi="Times New Roman" w:eastAsia="宋体" w:cs="Times New Roman"/>
          <w:color w:val="auto"/>
          <w:highlight w:val="none"/>
          <w:u w:val="single"/>
          <w:lang w:eastAsia="zh-CN"/>
        </w:rPr>
        <w:t>，</w:t>
      </w:r>
      <w:r>
        <w:rPr>
          <w:rFonts w:hint="eastAsia" w:ascii="Times New Roman" w:eastAsia="宋体"/>
          <w:color w:val="auto"/>
          <w:szCs w:val="21"/>
          <w:highlight w:val="none"/>
          <w:u w:val="single"/>
          <w:lang w:val="en-US" w:eastAsia="zh-CN"/>
        </w:rPr>
        <w:t>本次招标金额为</w:t>
      </w:r>
      <w:r>
        <w:rPr>
          <w:rFonts w:hint="default"/>
          <w:color w:val="auto"/>
          <w:szCs w:val="21"/>
          <w:highlight w:val="none"/>
          <w:u w:val="single"/>
          <w:lang w:val="en-US" w:eastAsia="zh-CN"/>
        </w:rPr>
        <w:t>3371939.05</w:t>
      </w:r>
      <w:r>
        <w:rPr>
          <w:rFonts w:hint="eastAsia" w:ascii="Times New Roman" w:hAnsi="Times New Roman" w:eastAsia="宋体" w:cs="Times New Roman"/>
          <w:color w:val="auto"/>
          <w:highlight w:val="none"/>
          <w:u w:val="single"/>
        </w:rPr>
        <w:t>元</w:t>
      </w:r>
      <w:r>
        <w:rPr>
          <w:rFonts w:eastAsia="宋体"/>
          <w:color w:val="auto"/>
          <w:highlight w:val="none"/>
        </w:rPr>
        <w:t>；</w:t>
      </w:r>
    </w:p>
    <w:p w14:paraId="5F0D245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eastAsia="宋体"/>
          <w:color w:val="auto"/>
          <w:highlight w:val="none"/>
        </w:rPr>
      </w:pPr>
      <w:r>
        <w:rPr>
          <w:rFonts w:eastAsia="宋体"/>
          <w:color w:val="auto"/>
          <w:szCs w:val="21"/>
          <w:highlight w:val="none"/>
        </w:rPr>
        <w:t>1.</w:t>
      </w:r>
      <w:r>
        <w:rPr>
          <w:rFonts w:hint="eastAsia" w:eastAsia="宋体"/>
          <w:color w:val="auto"/>
          <w:szCs w:val="21"/>
          <w:highlight w:val="none"/>
        </w:rPr>
        <w:t>3</w:t>
      </w:r>
      <w:r>
        <w:rPr>
          <w:rFonts w:eastAsia="宋体"/>
          <w:color w:val="auto"/>
          <w:szCs w:val="21"/>
          <w:highlight w:val="none"/>
        </w:rPr>
        <w:t xml:space="preserve"> 工期要求：</w:t>
      </w:r>
      <w:bookmarkStart w:id="15" w:name="_Hlk53729196"/>
      <w:r>
        <w:rPr>
          <w:rFonts w:hint="eastAsia"/>
          <w:color w:val="auto"/>
          <w:szCs w:val="21"/>
          <w:highlight w:val="none"/>
          <w:u w:val="single"/>
          <w:lang w:val="en-US" w:eastAsia="zh-CN"/>
        </w:rPr>
        <w:t>85天</w:t>
      </w:r>
      <w:r>
        <w:rPr>
          <w:rFonts w:eastAsia="宋体"/>
          <w:color w:val="auto"/>
          <w:szCs w:val="21"/>
          <w:highlight w:val="none"/>
          <w:u w:val="single"/>
        </w:rPr>
        <w:t>（日历日）</w:t>
      </w:r>
      <w:bookmarkEnd w:id="15"/>
      <w:r>
        <w:rPr>
          <w:rFonts w:eastAsia="宋体"/>
          <w:color w:val="auto"/>
          <w:highlight w:val="none"/>
        </w:rPr>
        <w:t>；</w:t>
      </w:r>
      <w:r>
        <w:rPr>
          <w:rFonts w:eastAsia="宋体"/>
          <w:color w:val="auto"/>
          <w:szCs w:val="21"/>
          <w:highlight w:val="none"/>
        </w:rPr>
        <w:t xml:space="preserve"> </w:t>
      </w:r>
    </w:p>
    <w:p w14:paraId="6F1D6AE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eastAsia="宋体"/>
          <w:color w:val="auto"/>
          <w:szCs w:val="21"/>
          <w:highlight w:val="none"/>
          <w:u w:val="single"/>
        </w:rPr>
      </w:pPr>
      <w:r>
        <w:rPr>
          <w:rFonts w:hint="eastAsia" w:eastAsia="宋体"/>
          <w:color w:val="auto"/>
          <w:highlight w:val="none"/>
        </w:rPr>
        <w:t>1.4 招标范围：</w:t>
      </w:r>
      <w:r>
        <w:rPr>
          <w:rFonts w:hint="eastAsia" w:eastAsia="宋体"/>
          <w:color w:val="auto"/>
          <w:highlight w:val="none"/>
          <w:u w:val="single"/>
        </w:rPr>
        <w:t xml:space="preserve"> </w:t>
      </w:r>
      <w:r>
        <w:rPr>
          <w:rFonts w:hint="default"/>
          <w:color w:val="auto"/>
          <w:szCs w:val="21"/>
          <w:u w:val="single"/>
          <w:lang w:val="en-US" w:eastAsia="zh-CN"/>
        </w:rPr>
        <w:t>江永县供销联社烟花爆竹有限公司烟花爆竹仓库新建（搬迁）工程</w:t>
      </w:r>
      <w:r>
        <w:rPr>
          <w:rFonts w:hint="eastAsia" w:ascii="Times New Roman" w:eastAsia="宋体"/>
          <w:color w:val="auto"/>
          <w:u w:val="single"/>
          <w:lang w:val="en-US" w:eastAsia="zh-CN"/>
        </w:rPr>
        <w:t>施工全部内容，</w:t>
      </w:r>
      <w:r>
        <w:rPr>
          <w:rFonts w:hint="eastAsia" w:ascii="Times New Roman" w:hAnsi="Times New Roman" w:eastAsia="宋体" w:cs="Times New Roman"/>
          <w:color w:val="auto"/>
          <w:highlight w:val="none"/>
          <w:u w:val="single"/>
        </w:rPr>
        <w:t>具体详见工程量清单（以江永县财政投资评审中心审定的工程量清单为准）及施工图</w:t>
      </w:r>
      <w:r>
        <w:rPr>
          <w:rFonts w:hint="eastAsia" w:eastAsia="宋体"/>
          <w:color w:val="auto"/>
          <w:highlight w:val="none"/>
        </w:rPr>
        <w:t>；</w:t>
      </w:r>
    </w:p>
    <w:p w14:paraId="31A30F52">
      <w:pPr>
        <w:keepNext/>
        <w:keepLines/>
        <w:widowControl w:val="0"/>
        <w:spacing w:before="0" w:after="0" w:line="360" w:lineRule="auto"/>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16" w:name="_Toc9178496"/>
      <w:bookmarkStart w:id="17" w:name="_Toc80006180"/>
      <w:bookmarkStart w:id="18" w:name="_Toc16680"/>
      <w:bookmarkStart w:id="19" w:name="_Toc80006070"/>
      <w:bookmarkStart w:id="20" w:name="_Toc300677963"/>
      <w:r>
        <w:rPr>
          <w:rFonts w:ascii="Times New Roman" w:hAnsi="Times New Roman" w:eastAsia="黑体" w:cs="Times New Roman"/>
          <w:b w:val="0"/>
          <w:bCs w:val="0"/>
          <w:color w:val="auto"/>
          <w:kern w:val="2"/>
          <w:sz w:val="30"/>
          <w:szCs w:val="32"/>
          <w:highlight w:val="none"/>
          <w:lang w:val="en-US" w:eastAsia="zh-CN" w:bidi="ar-SA"/>
        </w:rPr>
        <w:t>2.资格要求</w:t>
      </w:r>
      <w:bookmarkEnd w:id="16"/>
      <w:bookmarkEnd w:id="17"/>
      <w:bookmarkEnd w:id="18"/>
      <w:bookmarkEnd w:id="19"/>
      <w:bookmarkEnd w:id="20"/>
    </w:p>
    <w:p w14:paraId="6400B7B5">
      <w:pPr>
        <w:spacing w:line="360" w:lineRule="auto"/>
        <w:ind w:firstLine="420" w:firstLineChars="200"/>
        <w:rPr>
          <w:rFonts w:eastAsia="宋体"/>
          <w:color w:val="auto"/>
          <w:highlight w:val="none"/>
        </w:rPr>
      </w:pPr>
      <w:r>
        <w:rPr>
          <w:rFonts w:eastAsia="宋体"/>
          <w:color w:val="auto"/>
          <w:highlight w:val="none"/>
        </w:rPr>
        <w:t>2.1  具有独立法人资格并依法取得企业营业执照，营业执照处于有效期；</w:t>
      </w:r>
      <w:r>
        <w:rPr>
          <w:color w:val="auto"/>
          <w:szCs w:val="21"/>
        </w:rPr>
        <w:t>省外入湘企业已在 “湖南省住房和城乡建设网” 进行基本信息登记；</w:t>
      </w:r>
      <w:r>
        <w:rPr>
          <w:rFonts w:eastAsia="宋体"/>
          <w:color w:val="auto"/>
          <w:highlight w:val="none"/>
        </w:rPr>
        <w:t xml:space="preserve"> </w:t>
      </w:r>
    </w:p>
    <w:p w14:paraId="50DD18A3">
      <w:pPr>
        <w:spacing w:line="360" w:lineRule="auto"/>
        <w:ind w:firstLine="420" w:firstLineChars="200"/>
        <w:rPr>
          <w:rFonts w:eastAsia="宋体"/>
          <w:color w:val="auto"/>
          <w:highlight w:val="none"/>
        </w:rPr>
      </w:pPr>
      <w:r>
        <w:rPr>
          <w:rFonts w:eastAsia="宋体"/>
          <w:color w:val="auto"/>
          <w:highlight w:val="none"/>
        </w:rPr>
        <w:t>2.2  具备</w:t>
      </w:r>
      <w:r>
        <w:rPr>
          <w:rFonts w:hint="eastAsia" w:eastAsia="宋体"/>
          <w:color w:val="auto"/>
          <w:highlight w:val="none"/>
        </w:rPr>
        <w:t>住房城乡</w:t>
      </w:r>
      <w:r>
        <w:rPr>
          <w:rFonts w:eastAsia="宋体"/>
          <w:color w:val="auto"/>
          <w:highlight w:val="none"/>
        </w:rPr>
        <w:t>建设主管部门颁发的</w:t>
      </w:r>
      <w:r>
        <w:rPr>
          <w:rFonts w:eastAsia="宋体"/>
          <w:color w:val="auto"/>
          <w:highlight w:val="none"/>
          <w:u w:val="single"/>
        </w:rPr>
        <w:t xml:space="preserve"> </w:t>
      </w:r>
      <w:r>
        <w:rPr>
          <w:rFonts w:hint="default" w:ascii="宋体" w:hAnsi="宋体" w:cs="宋体"/>
          <w:b/>
          <w:bCs/>
          <w:color w:val="auto"/>
          <w:highlight w:val="none"/>
          <w:u w:val="single"/>
          <w:lang w:val="en-US" w:eastAsia="zh-CN"/>
        </w:rPr>
        <w:t>建筑工程</w:t>
      </w:r>
      <w:r>
        <w:rPr>
          <w:rFonts w:hint="eastAsia" w:ascii="宋体" w:hAnsi="宋体" w:cs="宋体"/>
          <w:b/>
          <w:bCs/>
          <w:color w:val="auto"/>
          <w:highlight w:val="none"/>
          <w:u w:val="single"/>
          <w:lang w:val="en-US" w:eastAsia="zh-CN"/>
        </w:rPr>
        <w:t>施工</w:t>
      </w:r>
      <w:r>
        <w:rPr>
          <w:rFonts w:hint="default" w:ascii="宋体" w:hAnsi="宋体" w:cs="宋体"/>
          <w:b/>
          <w:bCs/>
          <w:color w:val="auto"/>
          <w:highlight w:val="none"/>
          <w:u w:val="single"/>
          <w:lang w:val="en-US" w:eastAsia="zh-CN"/>
        </w:rPr>
        <w:t>总承包叁级及以上</w:t>
      </w:r>
      <w:r>
        <w:rPr>
          <w:rFonts w:eastAsia="宋体"/>
          <w:color w:val="auto"/>
          <w:highlight w:val="none"/>
        </w:rPr>
        <w:t>资质，</w:t>
      </w:r>
      <w:r>
        <w:rPr>
          <w:rFonts w:eastAsia="宋体"/>
          <w:color w:val="auto"/>
          <w:highlight w:val="none"/>
          <w:u w:val="single"/>
        </w:rPr>
        <w:t>安全生产许可证处于有效期</w:t>
      </w:r>
      <w:r>
        <w:rPr>
          <w:rFonts w:eastAsia="宋体"/>
          <w:color w:val="auto"/>
          <w:highlight w:val="none"/>
        </w:rPr>
        <w:t>；</w:t>
      </w:r>
    </w:p>
    <w:p w14:paraId="16379126">
      <w:pPr>
        <w:spacing w:line="360" w:lineRule="auto"/>
        <w:ind w:firstLine="420" w:firstLineChars="200"/>
        <w:rPr>
          <w:rFonts w:eastAsia="宋体"/>
          <w:color w:val="auto"/>
          <w:highlight w:val="none"/>
        </w:rPr>
      </w:pPr>
      <w:r>
        <w:rPr>
          <w:rFonts w:eastAsia="宋体"/>
          <w:color w:val="auto"/>
          <w:highlight w:val="none"/>
        </w:rPr>
        <w:t>2.3  拟任项目经理具备</w:t>
      </w:r>
      <w:r>
        <w:rPr>
          <w:rFonts w:hint="default"/>
          <w:b/>
          <w:bCs/>
          <w:color w:val="auto"/>
          <w:highlight w:val="none"/>
          <w:u w:val="single"/>
          <w:lang w:val="en-US" w:eastAsia="zh-CN"/>
        </w:rPr>
        <w:t>建筑工程</w:t>
      </w:r>
      <w:r>
        <w:rPr>
          <w:rFonts w:eastAsia="宋体"/>
          <w:color w:val="auto"/>
          <w:highlight w:val="none"/>
          <w:u w:val="single"/>
        </w:rPr>
        <w:t xml:space="preserve"> </w:t>
      </w:r>
      <w:r>
        <w:rPr>
          <w:rFonts w:eastAsia="宋体"/>
          <w:color w:val="auto"/>
          <w:highlight w:val="none"/>
        </w:rPr>
        <w:t>专业</w:t>
      </w:r>
      <w:r>
        <w:rPr>
          <w:rFonts w:eastAsia="宋体"/>
          <w:color w:val="auto"/>
          <w:highlight w:val="none"/>
          <w:u w:val="single"/>
        </w:rPr>
        <w:t xml:space="preserve"> </w:t>
      </w:r>
      <w:r>
        <w:rPr>
          <w:rFonts w:hint="eastAsia"/>
          <w:b/>
          <w:bCs/>
          <w:color w:val="auto"/>
          <w:highlight w:val="none"/>
          <w:u w:val="single"/>
        </w:rPr>
        <w:t>贰级及以上注册建造师</w:t>
      </w:r>
      <w:r>
        <w:rPr>
          <w:rFonts w:eastAsia="宋体"/>
          <w:color w:val="auto"/>
          <w:highlight w:val="none"/>
          <w:u w:val="single"/>
        </w:rPr>
        <w:t xml:space="preserve"> </w:t>
      </w:r>
      <w:r>
        <w:rPr>
          <w:rFonts w:eastAsia="宋体"/>
          <w:color w:val="auto"/>
          <w:highlight w:val="none"/>
        </w:rPr>
        <w:t>资格，具备</w:t>
      </w:r>
      <w:r>
        <w:rPr>
          <w:rFonts w:eastAsia="宋体"/>
          <w:color w:val="auto"/>
          <w:highlight w:val="none"/>
          <w:u w:val="single"/>
        </w:rPr>
        <w:t>项目负责人安全生产考核合格证书</w:t>
      </w:r>
      <w:r>
        <w:rPr>
          <w:rFonts w:eastAsia="宋体"/>
          <w:color w:val="auto"/>
          <w:highlight w:val="none"/>
        </w:rPr>
        <w:t>；</w:t>
      </w:r>
    </w:p>
    <w:p w14:paraId="139184BB">
      <w:pPr>
        <w:pageBreakBefore w:val="0"/>
        <w:wordWrap/>
        <w:overflowPunct/>
        <w:topLinePunct w:val="0"/>
        <w:bidi w:val="0"/>
        <w:spacing w:line="360" w:lineRule="exact"/>
        <w:ind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2.</w:t>
      </w:r>
      <w:r>
        <w:rPr>
          <w:rFonts w:hint="eastAsia" w:ascii="Times New Roman" w:hAnsi="Times New Roman" w:eastAsia="宋体" w:cs="Times New Roman"/>
          <w:color w:val="auto"/>
          <w:szCs w:val="21"/>
          <w:lang w:val="en-US" w:eastAsia="zh-CN"/>
        </w:rPr>
        <w:t>4</w:t>
      </w:r>
      <w:r>
        <w:rPr>
          <w:rFonts w:hint="eastAsia" w:ascii="Times New Roman" w:hAnsi="Times New Roman" w:eastAsia="宋体" w:cs="Times New Roman"/>
          <w:color w:val="auto"/>
          <w:szCs w:val="21"/>
        </w:rPr>
        <w:t xml:space="preserve">  本次招标 </w:t>
      </w:r>
      <w:r>
        <w:rPr>
          <w:rFonts w:hint="eastAsia" w:ascii="Times New Roman" w:hAnsi="Times New Roman" w:eastAsia="宋体" w:cs="Times New Roman"/>
          <w:color w:val="auto"/>
          <w:szCs w:val="21"/>
          <w:lang w:val="en-US" w:eastAsia="zh-CN"/>
        </w:rPr>
        <w:t>不</w:t>
      </w:r>
      <w:r>
        <w:rPr>
          <w:rFonts w:hint="eastAsia" w:ascii="Times New Roman" w:hAnsi="Times New Roman" w:eastAsia="宋体" w:cs="Times New Roman"/>
          <w:color w:val="auto"/>
          <w:szCs w:val="21"/>
        </w:rPr>
        <w:t>接受联合体投标</w:t>
      </w:r>
    </w:p>
    <w:p w14:paraId="4BCB19FE">
      <w:pPr>
        <w:pageBreakBefore w:val="0"/>
        <w:wordWrap/>
        <w:overflowPunct/>
        <w:topLinePunct w:val="0"/>
        <w:bidi w:val="0"/>
        <w:spacing w:line="360" w:lineRule="exact"/>
        <w:ind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2.</w:t>
      </w:r>
      <w:r>
        <w:rPr>
          <w:rFonts w:hint="eastAsia" w:ascii="Times New Roman" w:hAnsi="Times New Roman" w:eastAsia="宋体" w:cs="Times New Roman"/>
          <w:color w:val="auto"/>
          <w:szCs w:val="21"/>
          <w:lang w:val="en-US" w:eastAsia="zh-CN"/>
        </w:rPr>
        <w:t>5</w:t>
      </w:r>
      <w:r>
        <w:rPr>
          <w:rFonts w:hint="eastAsia" w:ascii="Times New Roman" w:hAnsi="Times New Roman" w:eastAsia="宋体" w:cs="Times New Roman"/>
          <w:color w:val="auto"/>
          <w:szCs w:val="21"/>
        </w:rPr>
        <w:t xml:space="preserve">  投标人可以就本招标项目上述标段中的 </w:t>
      </w:r>
      <w:r>
        <w:rPr>
          <w:rFonts w:hint="eastAsia" w:ascii="Times New Roman" w:hAnsi="Times New Roman" w:eastAsia="宋体" w:cs="Times New Roman"/>
          <w:color w:val="auto"/>
          <w:szCs w:val="21"/>
          <w:lang w:val="en-US" w:eastAsia="zh-CN"/>
        </w:rPr>
        <w:t>/</w:t>
      </w:r>
      <w:r>
        <w:rPr>
          <w:rFonts w:hint="eastAsia" w:ascii="Times New Roman" w:hAnsi="Times New Roman" w:eastAsia="宋体" w:cs="Times New Roman"/>
          <w:color w:val="auto"/>
          <w:szCs w:val="21"/>
        </w:rPr>
        <w:t xml:space="preserve"> 个标段投标，但最多允许中标  </w:t>
      </w:r>
      <w:r>
        <w:rPr>
          <w:rFonts w:hint="eastAsia" w:ascii="Times New Roman" w:hAnsi="Times New Roman" w:eastAsia="宋体" w:cs="Times New Roman"/>
          <w:color w:val="auto"/>
          <w:szCs w:val="21"/>
          <w:lang w:val="en-US" w:eastAsia="zh-CN"/>
        </w:rPr>
        <w:t>/</w:t>
      </w:r>
      <w:r>
        <w:rPr>
          <w:rFonts w:hint="eastAsia" w:ascii="Times New Roman" w:hAnsi="Times New Roman" w:eastAsia="宋体" w:cs="Times New Roman"/>
          <w:color w:val="auto"/>
          <w:szCs w:val="21"/>
        </w:rPr>
        <w:t xml:space="preserve"> 个标段（适用于分标段的招标项目）；</w:t>
      </w:r>
    </w:p>
    <w:p w14:paraId="6AC3FBEA">
      <w:pPr>
        <w:pageBreakBefore w:val="0"/>
        <w:wordWrap/>
        <w:overflowPunct/>
        <w:topLinePunct w:val="0"/>
        <w:bidi w:val="0"/>
        <w:spacing w:line="360" w:lineRule="exact"/>
        <w:ind w:firstLine="420" w:firstLineChars="200"/>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rPr>
        <w:t>2.</w:t>
      </w:r>
      <w:r>
        <w:rPr>
          <w:rFonts w:hint="eastAsia" w:ascii="Times New Roman" w:hAnsi="Times New Roman" w:eastAsia="宋体" w:cs="Times New Roman"/>
          <w:color w:val="auto"/>
          <w:szCs w:val="21"/>
          <w:lang w:val="en-US" w:eastAsia="zh-CN"/>
        </w:rPr>
        <w:t>6</w:t>
      </w:r>
      <w:r>
        <w:rPr>
          <w:rFonts w:hint="eastAsia" w:ascii="Times New Roman" w:hAnsi="Times New Roman" w:eastAsia="宋体" w:cs="Times New Roman"/>
          <w:color w:val="auto"/>
          <w:szCs w:val="21"/>
        </w:rPr>
        <w:t xml:space="preserve"> 类似工程业绩要求：</w:t>
      </w:r>
      <w:r>
        <w:rPr>
          <w:rFonts w:hint="eastAsia" w:ascii="Times New Roman" w:hAnsi="Times New Roman" w:eastAsia="宋体" w:cs="Times New Roman"/>
          <w:color w:val="auto"/>
          <w:szCs w:val="21"/>
          <w:lang w:val="en-US" w:eastAsia="zh-CN"/>
        </w:rPr>
        <w:t>/</w:t>
      </w:r>
    </w:p>
    <w:p w14:paraId="70F4AB7F">
      <w:pPr>
        <w:pageBreakBefore w:val="0"/>
        <w:wordWrap/>
        <w:overflowPunct/>
        <w:topLinePunct w:val="0"/>
        <w:bidi w:val="0"/>
        <w:spacing w:line="360" w:lineRule="exact"/>
        <w:ind w:firstLine="420" w:firstLineChars="200"/>
        <w:rPr>
          <w:rFonts w:hint="default" w:ascii="Times New Roman" w:hAnsi="Times New Roman" w:eastAsia="宋体" w:cs="Times New Roman"/>
          <w:color w:val="auto"/>
          <w:szCs w:val="21"/>
        </w:rPr>
      </w:pPr>
      <w:r>
        <w:rPr>
          <w:rFonts w:hint="eastAsia" w:ascii="Times New Roman" w:hAnsi="Times New Roman" w:eastAsia="宋体" w:cs="Times New Roman"/>
          <w:color w:val="auto"/>
          <w:szCs w:val="21"/>
        </w:rPr>
        <w:t>2.</w:t>
      </w:r>
      <w:r>
        <w:rPr>
          <w:rFonts w:hint="eastAsia" w:ascii="Times New Roman" w:hAnsi="Times New Roman" w:eastAsia="宋体" w:cs="Times New Roman"/>
          <w:color w:val="auto"/>
          <w:szCs w:val="21"/>
          <w:lang w:val="en-US" w:eastAsia="zh-CN"/>
        </w:rPr>
        <w:t>7</w:t>
      </w:r>
      <w:r>
        <w:rPr>
          <w:rFonts w:hint="eastAsia" w:ascii="Times New Roman" w:hAnsi="Times New Roman" w:eastAsia="宋体" w:cs="Times New Roman"/>
          <w:color w:val="auto"/>
          <w:szCs w:val="21"/>
        </w:rPr>
        <w:t xml:space="preserve">  其他要求：（1）项目其它关键岗位人员应满足湖南省住建厅“湘建建[2020]208号”文件要求配备；（2）项目关键岗位人员必须是投标企业在职人员，且无在建工程(指在建施工项目)；（3</w:t>
      </w:r>
      <w:r>
        <w:rPr>
          <w:rFonts w:hint="eastAsia" w:eastAsia="宋体"/>
          <w:color w:val="auto"/>
          <w:highlight w:val="none"/>
        </w:rPr>
        <w:t>）技术负责人、施工员、安全员、质量员采用承诺制，不再进行资格审查(相关要求详见招标文件)；（4）</w:t>
      </w:r>
      <w:r>
        <w:rPr>
          <w:rFonts w:hint="eastAsia" w:ascii="Times New Roman" w:hAnsi="Times New Roman" w:eastAsia="宋体" w:cs="Times New Roman"/>
          <w:color w:val="auto"/>
          <w:szCs w:val="21"/>
        </w:rPr>
        <w:t>省外企业关键岗位人员如持有外省住房和城乡建设主管部门颁发的岗位资格证书，应提供由省级住房和城乡建设主管部门出具的证书真实性证明(如不能提供真实性证明的，则在投标函部分规定处提供证书真伪查询官方查询网址及结果)。省外企业应提供由企业所在地地(市)级及以上建设行政主管部门出具的施工项目部关键岗位人员无在建工程证明(如不能提供无在建证明的，则在投标函部分规定处提供其查询网址及结果)。</w:t>
      </w:r>
    </w:p>
    <w:p w14:paraId="39768C4C">
      <w:pPr>
        <w:pageBreakBefore w:val="0"/>
        <w:wordWrap/>
        <w:overflowPunct/>
        <w:topLinePunct w:val="0"/>
        <w:bidi w:val="0"/>
        <w:spacing w:line="360" w:lineRule="exact"/>
        <w:ind w:firstLine="420" w:firstLineChars="200"/>
        <w:rPr>
          <w:rFonts w:hint="eastAsia"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rPr>
        <w:t>投标人资格</w:t>
      </w:r>
      <w:r>
        <w:rPr>
          <w:rFonts w:hint="eastAsia" w:ascii="Times New Roman" w:hAnsi="Times New Roman" w:eastAsia="宋体" w:cs="Times New Roman"/>
          <w:color w:val="auto"/>
          <w:szCs w:val="21"/>
        </w:rPr>
        <w:t>具体要求</w:t>
      </w:r>
      <w:r>
        <w:rPr>
          <w:rFonts w:hint="default" w:ascii="Times New Roman" w:hAnsi="Times New Roman" w:eastAsia="宋体" w:cs="Times New Roman"/>
          <w:color w:val="auto"/>
          <w:szCs w:val="21"/>
        </w:rPr>
        <w:t>详见第二章投标人须知前附表。</w:t>
      </w:r>
      <w:r>
        <w:rPr>
          <w:rFonts w:hint="eastAsia" w:ascii="Times New Roman" w:hAnsi="Times New Roman" w:eastAsia="宋体" w:cs="Times New Roman"/>
          <w:color w:val="auto"/>
          <w:szCs w:val="21"/>
          <w:lang w:val="en-US" w:eastAsia="zh-CN"/>
        </w:rPr>
        <w:t xml:space="preserve"> </w:t>
      </w:r>
    </w:p>
    <w:p w14:paraId="6C1EDC37">
      <w:pPr>
        <w:keepNext/>
        <w:keepLines/>
        <w:widowControl w:val="0"/>
        <w:spacing w:before="0" w:after="0" w:line="360" w:lineRule="auto"/>
        <w:jc w:val="both"/>
        <w:outlineLvl w:val="1"/>
        <w:rPr>
          <w:rFonts w:hint="eastAsia" w:ascii="Times New Roman" w:hAnsi="Times New Roman" w:eastAsia="黑体" w:cs="Times New Roman"/>
          <w:b w:val="0"/>
          <w:bCs w:val="0"/>
          <w:color w:val="auto"/>
          <w:kern w:val="2"/>
          <w:sz w:val="30"/>
          <w:szCs w:val="32"/>
          <w:highlight w:val="none"/>
          <w:lang w:val="en-US" w:eastAsia="zh-CN" w:bidi="ar-SA"/>
        </w:rPr>
      </w:pPr>
      <w:bookmarkStart w:id="21" w:name="_Toc21328"/>
      <w:bookmarkStart w:id="22" w:name="_Toc80006181"/>
      <w:bookmarkStart w:id="23" w:name="_Toc80006071"/>
      <w:bookmarkStart w:id="24" w:name="_Toc9178497"/>
      <w:r>
        <w:rPr>
          <w:rFonts w:hint="eastAsia" w:ascii="Times New Roman" w:hAnsi="Times New Roman" w:eastAsia="黑体" w:cs="Times New Roman"/>
          <w:b w:val="0"/>
          <w:bCs w:val="0"/>
          <w:color w:val="auto"/>
          <w:kern w:val="2"/>
          <w:sz w:val="30"/>
          <w:szCs w:val="32"/>
          <w:highlight w:val="none"/>
          <w:lang w:val="en-US" w:eastAsia="zh-CN" w:bidi="ar-SA"/>
        </w:rPr>
        <w:t>3</w:t>
      </w:r>
      <w:r>
        <w:rPr>
          <w:rFonts w:ascii="Times New Roman" w:hAnsi="Times New Roman" w:eastAsia="黑体" w:cs="Times New Roman"/>
          <w:b w:val="0"/>
          <w:bCs w:val="0"/>
          <w:color w:val="auto"/>
          <w:kern w:val="2"/>
          <w:sz w:val="30"/>
          <w:szCs w:val="32"/>
          <w:highlight w:val="none"/>
          <w:lang w:val="en-US" w:eastAsia="zh-CN" w:bidi="ar-SA"/>
        </w:rPr>
        <w:t>.资格审查</w:t>
      </w:r>
      <w:bookmarkEnd w:id="21"/>
      <w:bookmarkEnd w:id="22"/>
      <w:bookmarkEnd w:id="23"/>
      <w:bookmarkEnd w:id="24"/>
      <w:r>
        <w:rPr>
          <w:rFonts w:hint="eastAsia" w:ascii="Times New Roman" w:hAnsi="Times New Roman" w:eastAsia="黑体" w:cs="Times New Roman"/>
          <w:b w:val="0"/>
          <w:bCs w:val="0"/>
          <w:color w:val="auto"/>
          <w:kern w:val="2"/>
          <w:sz w:val="30"/>
          <w:szCs w:val="32"/>
          <w:highlight w:val="none"/>
          <w:lang w:val="en-US" w:eastAsia="zh-CN" w:bidi="ar-SA"/>
        </w:rPr>
        <w:t xml:space="preserve">    </w:t>
      </w:r>
    </w:p>
    <w:p w14:paraId="3192A1BF">
      <w:pPr>
        <w:snapToGrid w:val="0"/>
        <w:spacing w:line="360" w:lineRule="auto"/>
        <w:ind w:firstLine="315" w:firstLineChars="150"/>
        <w:rPr>
          <w:rFonts w:hint="eastAsia" w:eastAsia="宋体"/>
          <w:color w:val="auto"/>
          <w:highlight w:val="none"/>
        </w:rPr>
      </w:pPr>
      <w:bookmarkStart w:id="25" w:name="_Toc9189272"/>
      <w:bookmarkStart w:id="26" w:name="_Toc9178302"/>
      <w:bookmarkStart w:id="27" w:name="_Toc9188856"/>
      <w:bookmarkStart w:id="28" w:name="_Toc9178498"/>
      <w:bookmarkStart w:id="29" w:name="_Toc9178161"/>
      <w:bookmarkStart w:id="30" w:name="_Toc21505371"/>
      <w:r>
        <w:rPr>
          <w:rFonts w:hint="eastAsia" w:eastAsia="宋体"/>
          <w:color w:val="auto"/>
          <w:highlight w:val="none"/>
        </w:rPr>
        <w:t>采用</w:t>
      </w:r>
      <w:bookmarkEnd w:id="25"/>
      <w:bookmarkEnd w:id="26"/>
      <w:bookmarkEnd w:id="27"/>
      <w:bookmarkEnd w:id="28"/>
      <w:bookmarkEnd w:id="29"/>
      <w:bookmarkStart w:id="31" w:name="_Toc9178499"/>
      <w:bookmarkStart w:id="32" w:name="_Toc9189273"/>
      <w:bookmarkStart w:id="33" w:name="_Toc9178162"/>
      <w:bookmarkStart w:id="34" w:name="_Toc9188857"/>
      <w:bookmarkStart w:id="35" w:name="_Toc9178303"/>
      <w:r>
        <w:rPr>
          <w:rFonts w:hint="eastAsia" w:eastAsia="宋体"/>
          <w:color w:val="auto"/>
          <w:highlight w:val="none"/>
        </w:rPr>
        <w:t>资格后审方式</w:t>
      </w:r>
      <w:bookmarkEnd w:id="30"/>
      <w:bookmarkEnd w:id="31"/>
      <w:bookmarkEnd w:id="32"/>
      <w:bookmarkEnd w:id="33"/>
      <w:bookmarkEnd w:id="34"/>
      <w:bookmarkEnd w:id="35"/>
    </w:p>
    <w:p w14:paraId="67355567">
      <w:pPr>
        <w:keepNext/>
        <w:keepLines/>
        <w:widowControl w:val="0"/>
        <w:spacing w:before="0" w:after="0" w:line="360" w:lineRule="auto"/>
        <w:ind w:left="0" w:leftChars="0" w:firstLine="0" w:firstLineChars="0"/>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36" w:name="_Toc3440"/>
      <w:bookmarkStart w:id="37" w:name="_Toc80006072"/>
      <w:bookmarkStart w:id="38" w:name="_Toc80006182"/>
      <w:bookmarkStart w:id="39" w:name="_Toc300677967"/>
      <w:bookmarkStart w:id="40" w:name="_Toc9178500"/>
      <w:r>
        <w:rPr>
          <w:rFonts w:ascii="Times New Roman" w:hAnsi="Times New Roman" w:eastAsia="黑体" w:cs="Times New Roman"/>
          <w:b w:val="0"/>
          <w:bCs w:val="0"/>
          <w:color w:val="auto"/>
          <w:kern w:val="2"/>
          <w:sz w:val="30"/>
          <w:szCs w:val="32"/>
          <w:highlight w:val="none"/>
          <w:lang w:val="en-US" w:eastAsia="zh-CN" w:bidi="ar-SA"/>
        </w:rPr>
        <w:t>4.评标办法</w:t>
      </w:r>
      <w:bookmarkEnd w:id="36"/>
      <w:bookmarkEnd w:id="37"/>
      <w:bookmarkEnd w:id="38"/>
      <w:bookmarkEnd w:id="39"/>
      <w:bookmarkEnd w:id="40"/>
    </w:p>
    <w:p w14:paraId="2021E6C2">
      <w:pPr>
        <w:snapToGrid w:val="0"/>
        <w:spacing w:line="360" w:lineRule="auto"/>
        <w:ind w:firstLine="315" w:firstLineChars="150"/>
        <w:rPr>
          <w:rFonts w:eastAsia="宋体"/>
          <w:color w:val="auto"/>
          <w:highlight w:val="none"/>
        </w:rPr>
      </w:pPr>
      <w:r>
        <w:rPr>
          <w:rFonts w:hint="eastAsia" w:eastAsia="宋体"/>
          <w:color w:val="auto"/>
          <w:highlight w:val="none"/>
        </w:rPr>
        <w:t>本招标项目采用湘建监督</w:t>
      </w:r>
      <w:r>
        <w:rPr>
          <w:rFonts w:eastAsia="宋体"/>
          <w:color w:val="auto"/>
          <w:highlight w:val="none"/>
        </w:rPr>
        <w:t>〔</w:t>
      </w:r>
      <w:r>
        <w:rPr>
          <w:rFonts w:hint="eastAsia" w:eastAsia="宋体"/>
          <w:color w:val="auto"/>
          <w:highlight w:val="none"/>
          <w:lang w:val="en-US" w:eastAsia="zh-CN"/>
        </w:rPr>
        <w:t>2024</w:t>
      </w:r>
      <w:r>
        <w:rPr>
          <w:rFonts w:eastAsia="宋体"/>
          <w:color w:val="auto"/>
          <w:highlight w:val="none"/>
        </w:rPr>
        <w:t>〕</w:t>
      </w:r>
      <w:r>
        <w:rPr>
          <w:rFonts w:hint="eastAsia" w:eastAsia="宋体"/>
          <w:color w:val="auto"/>
          <w:highlight w:val="none"/>
          <w:lang w:val="en-US" w:eastAsia="zh-CN"/>
        </w:rPr>
        <w:t xml:space="preserve">33 </w:t>
      </w:r>
      <w:r>
        <w:rPr>
          <w:rFonts w:hint="eastAsia" w:eastAsia="宋体"/>
          <w:color w:val="auto"/>
          <w:highlight w:val="none"/>
        </w:rPr>
        <w:t>号文件规定的：</w:t>
      </w:r>
      <w:r>
        <w:rPr>
          <w:rFonts w:eastAsia="宋体"/>
          <w:color w:val="auto"/>
          <w:highlight w:val="none"/>
        </w:rPr>
        <w:t>经评审的最低投标价法。</w:t>
      </w:r>
    </w:p>
    <w:p w14:paraId="4C431B51">
      <w:pPr>
        <w:keepNext/>
        <w:keepLines/>
        <w:widowControl w:val="0"/>
        <w:spacing w:before="0" w:after="0" w:line="360" w:lineRule="auto"/>
        <w:ind w:left="0" w:leftChars="0" w:firstLine="0" w:firstLineChars="0"/>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41" w:name="_Toc300677964"/>
      <w:bookmarkStart w:id="42" w:name="_Toc80006183"/>
      <w:bookmarkStart w:id="43" w:name="_Toc9178501"/>
      <w:bookmarkStart w:id="44" w:name="_Toc1210"/>
      <w:bookmarkStart w:id="45" w:name="_Toc80006073"/>
      <w:r>
        <w:rPr>
          <w:rFonts w:ascii="Times New Roman" w:hAnsi="Times New Roman" w:eastAsia="黑体" w:cs="Times New Roman"/>
          <w:b w:val="0"/>
          <w:bCs w:val="0"/>
          <w:color w:val="auto"/>
          <w:kern w:val="2"/>
          <w:sz w:val="30"/>
          <w:szCs w:val="32"/>
          <w:highlight w:val="none"/>
          <w:lang w:val="en-US" w:eastAsia="zh-CN" w:bidi="ar-SA"/>
        </w:rPr>
        <w:t>5.招标文件的获取</w:t>
      </w:r>
      <w:bookmarkEnd w:id="41"/>
      <w:bookmarkEnd w:id="42"/>
      <w:bookmarkEnd w:id="43"/>
      <w:bookmarkEnd w:id="44"/>
      <w:bookmarkEnd w:id="45"/>
    </w:p>
    <w:p w14:paraId="07520F90">
      <w:pPr>
        <w:pageBreakBefore w:val="0"/>
        <w:wordWrap/>
        <w:overflowPunct/>
        <w:topLinePunct w:val="0"/>
        <w:bidi w:val="0"/>
        <w:spacing w:line="360" w:lineRule="exact"/>
        <w:ind w:firstLine="420" w:firstLineChars="200"/>
        <w:rPr>
          <w:rFonts w:hint="default" w:ascii="仿宋_GB2312" w:hAnsi="仿宋" w:eastAsia="仿宋_GB2312" w:cs="仿宋_GB2312"/>
          <w:i w:val="0"/>
          <w:iCs w:val="0"/>
          <w:caps w:val="0"/>
          <w:color w:val="666666"/>
          <w:spacing w:val="0"/>
          <w:sz w:val="32"/>
          <w:szCs w:val="32"/>
          <w:shd w:val="clear" w:fill="FFFFFF"/>
        </w:rPr>
      </w:pPr>
      <w:bookmarkStart w:id="46" w:name="_Toc21505383"/>
      <w:r>
        <w:rPr>
          <w:rFonts w:hint="eastAsia" w:ascii="Times New Roman" w:hAnsi="Times New Roman" w:eastAsia="宋体" w:cs="Times New Roman"/>
          <w:color w:val="auto"/>
          <w:szCs w:val="21"/>
          <w:lang w:val="en-US" w:eastAsia="zh-CN"/>
        </w:rPr>
        <w:t>5</w:t>
      </w:r>
      <w:r>
        <w:rPr>
          <w:rFonts w:hint="eastAsia" w:ascii="Times New Roman" w:hAnsi="Times New Roman" w:eastAsia="宋体" w:cs="Times New Roman"/>
          <w:color w:val="auto"/>
          <w:szCs w:val="21"/>
        </w:rPr>
        <w:t>.1</w:t>
      </w:r>
      <w:r>
        <w:rPr>
          <w:rFonts w:ascii="仿宋_GB2312" w:hAnsi="仿宋" w:eastAsia="仿宋_GB2312" w:cs="仿宋_GB2312"/>
          <w:i w:val="0"/>
          <w:iCs w:val="0"/>
          <w:caps w:val="0"/>
          <w:color w:val="666666"/>
          <w:spacing w:val="0"/>
          <w:sz w:val="32"/>
          <w:szCs w:val="32"/>
          <w:shd w:val="clear" w:fill="FFFFFF"/>
        </w:rPr>
        <w:t> </w:t>
      </w:r>
      <w:r>
        <w:rPr>
          <w:rFonts w:hint="default" w:ascii="Times New Roman" w:hAnsi="Times New Roman" w:eastAsia="宋体" w:cs="Times New Roman"/>
          <w:color w:val="auto"/>
          <w:szCs w:val="21"/>
        </w:rPr>
        <w:t>有投标意愿者，请于</w:t>
      </w:r>
      <w:r>
        <w:rPr>
          <w:rFonts w:hint="default" w:ascii="Times New Roman" w:hAnsi="Times New Roman" w:eastAsia="宋体" w:cs="Times New Roman"/>
          <w:color w:val="auto"/>
          <w:szCs w:val="21"/>
          <w:highlight w:val="none"/>
        </w:rPr>
        <w:t>202</w:t>
      </w:r>
      <w:r>
        <w:rPr>
          <w:rFonts w:hint="eastAsia" w:cs="Times New Roman"/>
          <w:color w:val="auto"/>
          <w:szCs w:val="21"/>
          <w:highlight w:val="none"/>
          <w:lang w:val="en-US" w:eastAsia="zh-CN"/>
        </w:rPr>
        <w:t>6</w:t>
      </w:r>
      <w:r>
        <w:rPr>
          <w:rFonts w:hint="default" w:ascii="Times New Roman" w:hAnsi="Times New Roman" w:eastAsia="宋体" w:cs="Times New Roman"/>
          <w:color w:val="auto"/>
          <w:szCs w:val="21"/>
          <w:highlight w:val="none"/>
        </w:rPr>
        <w:t>年</w:t>
      </w:r>
      <w:r>
        <w:rPr>
          <w:rFonts w:hint="eastAsia" w:cs="Times New Roman"/>
          <w:color w:val="auto"/>
          <w:szCs w:val="21"/>
          <w:highlight w:val="none"/>
          <w:lang w:val="en-US" w:eastAsia="zh-CN"/>
        </w:rPr>
        <w:t>7</w:t>
      </w:r>
      <w:r>
        <w:rPr>
          <w:rFonts w:hint="default" w:ascii="Times New Roman" w:hAnsi="Times New Roman" w:eastAsia="宋体" w:cs="Times New Roman"/>
          <w:color w:val="auto"/>
          <w:szCs w:val="21"/>
          <w:highlight w:val="none"/>
        </w:rPr>
        <w:t>月</w:t>
      </w:r>
      <w:r>
        <w:rPr>
          <w:rFonts w:hint="default" w:cs="Times New Roman"/>
          <w:color w:val="auto"/>
          <w:szCs w:val="21"/>
          <w:highlight w:val="none"/>
          <w:lang w:val="en-US" w:eastAsia="zh-CN"/>
        </w:rPr>
        <w:t>3</w:t>
      </w:r>
      <w:r>
        <w:rPr>
          <w:rFonts w:hint="default" w:ascii="Times New Roman" w:hAnsi="Times New Roman" w:eastAsia="宋体" w:cs="Times New Roman"/>
          <w:color w:val="auto"/>
          <w:szCs w:val="21"/>
          <w:highlight w:val="none"/>
        </w:rPr>
        <w:t>日</w:t>
      </w:r>
      <w:r>
        <w:rPr>
          <w:rFonts w:hint="default" w:ascii="Times New Roman" w:hAnsi="Times New Roman" w:eastAsia="宋体" w:cs="Times New Roman"/>
          <w:color w:val="auto"/>
          <w:szCs w:val="21"/>
        </w:rPr>
        <w:t>起在江永县人民政府网站(http://</w:t>
      </w:r>
      <w:r>
        <w:rPr>
          <w:rFonts w:hint="eastAsia" w:ascii="Times New Roman" w:hAnsi="Times New Roman" w:eastAsia="宋体" w:cs="Times New Roman"/>
          <w:color w:val="auto"/>
          <w:szCs w:val="21"/>
        </w:rPr>
        <w:fldChar w:fldCharType="begin"/>
      </w:r>
      <w:r>
        <w:rPr>
          <w:rFonts w:hint="eastAsia" w:ascii="Times New Roman" w:hAnsi="Times New Roman" w:eastAsia="宋体" w:cs="Times New Roman"/>
          <w:color w:val="auto"/>
          <w:szCs w:val="21"/>
        </w:rPr>
        <w:instrText xml:space="preserve"> HYPERLINK "http://www.jiangyong.gov.cn/" </w:instrText>
      </w:r>
      <w:r>
        <w:rPr>
          <w:rFonts w:hint="eastAsia" w:ascii="Times New Roman" w:hAnsi="Times New Roman" w:eastAsia="宋体" w:cs="Times New Roman"/>
          <w:color w:val="auto"/>
          <w:szCs w:val="21"/>
        </w:rPr>
        <w:fldChar w:fldCharType="separate"/>
      </w:r>
      <w:r>
        <w:rPr>
          <w:rFonts w:hint="eastAsia" w:ascii="Times New Roman" w:hAnsi="Times New Roman" w:eastAsia="宋体" w:cs="Times New Roman"/>
          <w:color w:val="auto"/>
          <w:szCs w:val="21"/>
        </w:rPr>
        <w:t>www.jiangyong.gov.cn/</w:t>
      </w:r>
      <w:r>
        <w:rPr>
          <w:rFonts w:hint="eastAsia" w:ascii="Times New Roman" w:hAnsi="Times New Roman" w:eastAsia="宋体" w:cs="Times New Roman"/>
          <w:color w:val="auto"/>
          <w:szCs w:val="21"/>
        </w:rPr>
        <w:fldChar w:fldCharType="end"/>
      </w:r>
      <w:r>
        <w:rPr>
          <w:rFonts w:hint="default" w:ascii="Times New Roman" w:hAnsi="Times New Roman" w:eastAsia="宋体" w:cs="Times New Roman"/>
          <w:color w:val="auto"/>
          <w:szCs w:val="21"/>
        </w:rPr>
        <w:t>)网上下载获取招标文件、图纸及工程量清单。</w:t>
      </w:r>
    </w:p>
    <w:p w14:paraId="3CFFD184">
      <w:pPr>
        <w:pageBreakBefore w:val="0"/>
        <w:wordWrap/>
        <w:overflowPunct/>
        <w:topLinePunct w:val="0"/>
        <w:bidi w:val="0"/>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5</w:t>
      </w:r>
      <w:r>
        <w:rPr>
          <w:rFonts w:ascii="Times New Roman" w:hAnsi="Times New Roman" w:eastAsia="宋体" w:cs="Times New Roman"/>
          <w:color w:val="auto"/>
          <w:szCs w:val="21"/>
        </w:rPr>
        <w:t>.2</w:t>
      </w:r>
      <w:r>
        <w:rPr>
          <w:rFonts w:hint="eastAsia" w:ascii="Times New Roman" w:hAnsi="Times New Roman" w:eastAsia="宋体" w:cs="Times New Roman"/>
          <w:color w:val="auto"/>
          <w:szCs w:val="21"/>
        </w:rPr>
        <w:t>招标人对招标文件、工程量清单的修改、澄清答疑在江永县人民政府网站(http://</w:t>
      </w:r>
      <w:r>
        <w:rPr>
          <w:rFonts w:hint="eastAsia" w:ascii="Times New Roman" w:hAnsi="Times New Roman" w:eastAsia="宋体" w:cs="Times New Roman"/>
          <w:color w:val="auto"/>
          <w:szCs w:val="21"/>
        </w:rPr>
        <w:fldChar w:fldCharType="begin"/>
      </w:r>
      <w:r>
        <w:rPr>
          <w:rFonts w:hint="eastAsia" w:ascii="Times New Roman" w:hAnsi="Times New Roman" w:eastAsia="宋体" w:cs="Times New Roman"/>
          <w:color w:val="auto"/>
          <w:szCs w:val="21"/>
        </w:rPr>
        <w:instrText xml:space="preserve"> HYPERLINK "http://www.jiangyong.gov.cn/" </w:instrText>
      </w:r>
      <w:r>
        <w:rPr>
          <w:rFonts w:hint="eastAsia" w:ascii="Times New Roman" w:hAnsi="Times New Roman" w:eastAsia="宋体" w:cs="Times New Roman"/>
          <w:color w:val="auto"/>
          <w:szCs w:val="21"/>
        </w:rPr>
        <w:fldChar w:fldCharType="separate"/>
      </w:r>
      <w:r>
        <w:rPr>
          <w:rFonts w:hint="eastAsia" w:ascii="Times New Roman" w:hAnsi="Times New Roman" w:eastAsia="宋体" w:cs="Times New Roman"/>
          <w:color w:val="auto"/>
          <w:szCs w:val="21"/>
        </w:rPr>
        <w:t>www.jiangyong.gov.cn/</w:t>
      </w:r>
      <w:r>
        <w:rPr>
          <w:rFonts w:hint="eastAsia" w:ascii="Times New Roman" w:hAnsi="Times New Roman" w:eastAsia="宋体" w:cs="Times New Roman"/>
          <w:color w:val="auto"/>
          <w:szCs w:val="21"/>
        </w:rPr>
        <w:fldChar w:fldCharType="end"/>
      </w:r>
      <w:r>
        <w:rPr>
          <w:rFonts w:hint="default" w:ascii="Times New Roman" w:hAnsi="Times New Roman" w:eastAsia="宋体" w:cs="Times New Roman"/>
          <w:color w:val="auto"/>
          <w:szCs w:val="21"/>
        </w:rPr>
        <w:t>)网上发布，投标人自行下载。</w:t>
      </w:r>
    </w:p>
    <w:p w14:paraId="2B04BC2D">
      <w:pPr>
        <w:snapToGrid w:val="0"/>
        <w:spacing w:line="360" w:lineRule="auto"/>
        <w:ind w:firstLine="315" w:firstLineChars="15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lang w:val="en-US" w:eastAsia="zh-CN"/>
        </w:rPr>
        <w:t>5</w:t>
      </w:r>
      <w:r>
        <w:rPr>
          <w:rFonts w:hint="eastAsia" w:ascii="Times New Roman" w:hAnsi="Times New Roman" w:eastAsia="宋体" w:cs="Times New Roman"/>
          <w:color w:val="auto"/>
          <w:highlight w:val="none"/>
        </w:rPr>
        <w:t>.3招标文件每套售价400元，售后不退。递交投标文件时缴纳，否则拒绝接受其投标文件。</w:t>
      </w:r>
    </w:p>
    <w:p w14:paraId="11818713">
      <w:pPr>
        <w:keepNext/>
        <w:keepLines/>
        <w:widowControl w:val="0"/>
        <w:spacing w:before="0" w:after="0" w:line="360" w:lineRule="auto"/>
        <w:ind w:left="0" w:leftChars="0" w:firstLine="0" w:firstLineChars="0"/>
        <w:jc w:val="both"/>
        <w:outlineLvl w:val="1"/>
        <w:rPr>
          <w:rFonts w:hint="eastAsia" w:ascii="Times New Roman" w:hAnsi="Times New Roman" w:eastAsia="黑体" w:cs="Times New Roman"/>
          <w:b w:val="0"/>
          <w:bCs w:val="0"/>
          <w:color w:val="auto"/>
          <w:kern w:val="2"/>
          <w:sz w:val="30"/>
          <w:szCs w:val="32"/>
          <w:highlight w:val="none"/>
          <w:lang w:val="en-US" w:eastAsia="zh-CN" w:bidi="ar-SA"/>
        </w:rPr>
      </w:pPr>
      <w:bookmarkStart w:id="47" w:name="_Toc1932"/>
      <w:r>
        <w:rPr>
          <w:rFonts w:hint="eastAsia" w:ascii="Times New Roman" w:hAnsi="Times New Roman" w:eastAsia="黑体" w:cs="Times New Roman"/>
          <w:b w:val="0"/>
          <w:bCs w:val="0"/>
          <w:color w:val="auto"/>
          <w:kern w:val="2"/>
          <w:sz w:val="30"/>
          <w:szCs w:val="32"/>
          <w:highlight w:val="none"/>
          <w:lang w:val="en-US" w:eastAsia="zh-CN" w:bidi="ar-SA"/>
        </w:rPr>
        <w:t>6.投标文件的递交</w:t>
      </w:r>
      <w:bookmarkEnd w:id="46"/>
      <w:bookmarkEnd w:id="47"/>
    </w:p>
    <w:p w14:paraId="0AD08AC4">
      <w:pPr>
        <w:pStyle w:val="3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tLeast"/>
        <w:ind w:left="0" w:leftChars="0" w:right="0" w:firstLine="420" w:firstLineChars="0"/>
        <w:jc w:val="both"/>
        <w:textAlignment w:val="auto"/>
        <w:rPr>
          <w:rFonts w:hint="default" w:ascii="Times New Roman" w:hAnsi="Times New Roman" w:eastAsia="宋体" w:cs="Times New Roman"/>
          <w:color w:val="auto"/>
          <w:kern w:val="2"/>
          <w:sz w:val="21"/>
          <w:szCs w:val="21"/>
          <w:lang w:val="en-US" w:eastAsia="zh-CN" w:bidi="ar-SA"/>
        </w:rPr>
      </w:pPr>
      <w:bookmarkStart w:id="48" w:name="_Toc21505385"/>
      <w:r>
        <w:rPr>
          <w:rFonts w:hint="default" w:ascii="Times New Roman" w:hAnsi="Times New Roman" w:eastAsia="宋体" w:cs="Times New Roman"/>
          <w:color w:val="auto"/>
          <w:kern w:val="2"/>
          <w:sz w:val="21"/>
          <w:szCs w:val="21"/>
          <w:lang w:val="en-US" w:eastAsia="zh-CN" w:bidi="ar-SA"/>
        </w:rPr>
        <w:t>6.1投标文件递交截止时间（投标截止时间，下同</w:t>
      </w:r>
      <w:r>
        <w:rPr>
          <w:rFonts w:hint="default" w:cs="Times New Roman"/>
          <w:color w:val="auto"/>
          <w:kern w:val="2"/>
          <w:sz w:val="21"/>
          <w:szCs w:val="21"/>
          <w:lang w:val="en-US" w:eastAsia="zh-CN" w:bidi="ar-SA"/>
        </w:rPr>
        <w:t>)</w:t>
      </w:r>
      <w:r>
        <w:rPr>
          <w:rFonts w:hint="default" w:ascii="Times New Roman" w:hAnsi="Times New Roman" w:eastAsia="宋体" w:cs="Times New Roman"/>
          <w:color w:val="auto"/>
          <w:kern w:val="2"/>
          <w:sz w:val="21"/>
          <w:szCs w:val="21"/>
          <w:lang w:val="en-US" w:eastAsia="zh-CN" w:bidi="ar-SA"/>
        </w:rPr>
        <w:t>为202</w:t>
      </w:r>
      <w:r>
        <w:rPr>
          <w:rFonts w:hint="eastAsia" w:ascii="Times New Roman" w:hAnsi="Times New Roman" w:eastAsia="宋体" w:cs="Times New Roman"/>
          <w:color w:val="auto"/>
          <w:kern w:val="2"/>
          <w:sz w:val="21"/>
          <w:szCs w:val="21"/>
          <w:lang w:val="en-US" w:eastAsia="zh-CN" w:bidi="ar-SA"/>
        </w:rPr>
        <w:t>6</w:t>
      </w:r>
      <w:r>
        <w:rPr>
          <w:rFonts w:hint="default" w:ascii="Times New Roman" w:hAnsi="Times New Roman" w:eastAsia="宋体" w:cs="Times New Roman"/>
          <w:color w:val="auto"/>
          <w:kern w:val="2"/>
          <w:sz w:val="21"/>
          <w:szCs w:val="21"/>
          <w:lang w:val="en-US" w:eastAsia="zh-CN" w:bidi="ar-SA"/>
        </w:rPr>
        <w:t>年</w:t>
      </w:r>
      <w:r>
        <w:rPr>
          <w:rFonts w:hint="eastAsia" w:ascii="Times New Roman" w:hAnsi="Times New Roman" w:eastAsia="宋体" w:cs="Times New Roman"/>
          <w:color w:val="auto"/>
          <w:kern w:val="2"/>
          <w:sz w:val="21"/>
          <w:szCs w:val="21"/>
          <w:lang w:val="en-US" w:eastAsia="zh-CN" w:bidi="ar-SA"/>
        </w:rPr>
        <w:t>7</w:t>
      </w:r>
      <w:r>
        <w:rPr>
          <w:rFonts w:hint="default" w:ascii="Times New Roman" w:hAnsi="Times New Roman" w:eastAsia="宋体" w:cs="Times New Roman"/>
          <w:color w:val="auto"/>
          <w:kern w:val="2"/>
          <w:sz w:val="21"/>
          <w:szCs w:val="21"/>
          <w:lang w:val="en-US" w:eastAsia="zh-CN" w:bidi="ar-SA"/>
        </w:rPr>
        <w:t>月</w:t>
      </w:r>
      <w:r>
        <w:rPr>
          <w:rFonts w:hint="default" w:cs="Times New Roman"/>
          <w:color w:val="auto"/>
          <w:kern w:val="2"/>
          <w:sz w:val="21"/>
          <w:szCs w:val="21"/>
          <w:lang w:val="en-US" w:eastAsia="zh-CN" w:bidi="ar-SA"/>
        </w:rPr>
        <w:t>10</w:t>
      </w:r>
      <w:r>
        <w:rPr>
          <w:rFonts w:hint="default" w:ascii="Times New Roman" w:hAnsi="Times New Roman" w:eastAsia="宋体" w:cs="Times New Roman"/>
          <w:color w:val="auto"/>
          <w:kern w:val="2"/>
          <w:sz w:val="21"/>
          <w:szCs w:val="21"/>
          <w:lang w:val="en-US" w:eastAsia="zh-CN" w:bidi="ar-SA"/>
        </w:rPr>
        <w:t>日</w:t>
      </w:r>
      <w:r>
        <w:rPr>
          <w:rFonts w:hint="eastAsia" w:ascii="Times New Roman" w:hAnsi="Times New Roman" w:eastAsia="宋体" w:cs="Times New Roman"/>
          <w:color w:val="auto"/>
          <w:kern w:val="2"/>
          <w:sz w:val="21"/>
          <w:szCs w:val="21"/>
          <w:lang w:val="en-US" w:eastAsia="zh-CN" w:bidi="ar-SA"/>
        </w:rPr>
        <w:t>14</w:t>
      </w:r>
      <w:r>
        <w:rPr>
          <w:rFonts w:hint="default" w:ascii="Times New Roman" w:hAnsi="Times New Roman" w:eastAsia="宋体" w:cs="Times New Roman"/>
          <w:color w:val="auto"/>
          <w:kern w:val="2"/>
          <w:sz w:val="21"/>
          <w:szCs w:val="21"/>
          <w:lang w:val="en-US" w:eastAsia="zh-CN" w:bidi="ar-SA"/>
        </w:rPr>
        <w:t>时 30分（北京时间）。</w:t>
      </w:r>
    </w:p>
    <w:p w14:paraId="0A542FA0">
      <w:pPr>
        <w:pStyle w:val="3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tLeast"/>
        <w:ind w:left="0" w:leftChars="0" w:right="0" w:firstLine="420" w:firstLineChars="0"/>
        <w:jc w:val="both"/>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6.2开标地点：江永县女书大酒店四楼会议室 。</w:t>
      </w:r>
    </w:p>
    <w:p w14:paraId="50A65D0C">
      <w:pPr>
        <w:pStyle w:val="3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tLeast"/>
        <w:ind w:left="0" w:leftChars="0" w:right="0" w:firstLine="420" w:firstLineChars="0"/>
        <w:jc w:val="both"/>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6.</w:t>
      </w:r>
      <w:r>
        <w:rPr>
          <w:rFonts w:hint="eastAsia" w:cs="Times New Roman"/>
          <w:color w:val="auto"/>
          <w:kern w:val="2"/>
          <w:sz w:val="21"/>
          <w:szCs w:val="21"/>
          <w:lang w:val="en-US" w:eastAsia="zh-CN" w:bidi="ar-SA"/>
        </w:rPr>
        <w:t>3</w:t>
      </w:r>
      <w:r>
        <w:rPr>
          <w:rFonts w:hint="default" w:ascii="Times New Roman" w:hAnsi="Times New Roman" w:eastAsia="宋体" w:cs="Times New Roman"/>
          <w:color w:val="auto"/>
          <w:kern w:val="2"/>
          <w:sz w:val="21"/>
          <w:szCs w:val="21"/>
          <w:lang w:val="en-US" w:eastAsia="zh-CN" w:bidi="ar-SA"/>
        </w:rPr>
        <w:t>逾期送达的、未送达指定地点的或不按照招标文件要求密封的投标文件，招标人将予以拒收。</w:t>
      </w:r>
    </w:p>
    <w:p w14:paraId="0C198A5B">
      <w:pPr>
        <w:pStyle w:val="3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tLeast"/>
        <w:ind w:left="0" w:leftChars="0" w:right="0" w:firstLine="420" w:firstLineChars="0"/>
        <w:jc w:val="both"/>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6.4 所有投标人【法定代表人持法定代表人身份证明书及本人身份证或委托代理人持授权委托书及本人身份证】须准时参加开标。</w:t>
      </w:r>
    </w:p>
    <w:p w14:paraId="050C1DA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jc w:val="both"/>
        <w:rPr>
          <w:rFonts w:hint="default" w:ascii="Times New Roman" w:hAnsi="Times New Roman" w:eastAsia="黑体" w:cs="Times New Roman"/>
          <w:b w:val="0"/>
          <w:bCs w:val="0"/>
          <w:color w:val="auto"/>
          <w:kern w:val="2"/>
          <w:sz w:val="30"/>
          <w:szCs w:val="32"/>
          <w:highlight w:val="none"/>
          <w:lang w:val="en-US" w:eastAsia="zh-CN" w:bidi="ar-SA"/>
        </w:rPr>
      </w:pPr>
      <w:bookmarkStart w:id="49" w:name="_Toc30711"/>
      <w:r>
        <w:rPr>
          <w:rFonts w:hint="default" w:ascii="Times New Roman" w:hAnsi="Times New Roman" w:eastAsia="黑体" w:cs="Times New Roman"/>
          <w:b w:val="0"/>
          <w:bCs w:val="0"/>
          <w:color w:val="auto"/>
          <w:kern w:val="2"/>
          <w:sz w:val="30"/>
          <w:szCs w:val="32"/>
          <w:highlight w:val="none"/>
          <w:lang w:val="en-US" w:eastAsia="zh-CN" w:bidi="ar-SA"/>
        </w:rPr>
        <w:t>7.发布公告的媒介</w:t>
      </w:r>
      <w:bookmarkEnd w:id="49"/>
    </w:p>
    <w:p w14:paraId="2E4AB6E6">
      <w:pPr>
        <w:pStyle w:val="3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640"/>
        <w:jc w:val="both"/>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本次招标公告在江永县人民政府网站(http://</w:t>
      </w:r>
      <w:r>
        <w:rPr>
          <w:rFonts w:hint="eastAsia" w:ascii="Times New Roman" w:hAnsi="Times New Roman" w:eastAsia="宋体" w:cs="Times New Roman"/>
          <w:color w:val="auto"/>
          <w:kern w:val="2"/>
          <w:sz w:val="21"/>
          <w:szCs w:val="21"/>
          <w:lang w:val="en-US" w:eastAsia="zh-CN" w:bidi="ar-SA"/>
        </w:rPr>
        <w:fldChar w:fldCharType="begin"/>
      </w:r>
      <w:r>
        <w:rPr>
          <w:rFonts w:hint="eastAsia" w:ascii="Times New Roman" w:hAnsi="Times New Roman" w:eastAsia="宋体" w:cs="Times New Roman"/>
          <w:color w:val="auto"/>
          <w:kern w:val="2"/>
          <w:sz w:val="21"/>
          <w:szCs w:val="21"/>
          <w:lang w:val="en-US" w:eastAsia="zh-CN" w:bidi="ar-SA"/>
        </w:rPr>
        <w:instrText xml:space="preserve"> HYPERLINK "http://www.jiangyong.gov.cn/" </w:instrText>
      </w:r>
      <w:r>
        <w:rPr>
          <w:rFonts w:hint="eastAsia" w:ascii="Times New Roman" w:hAnsi="Times New Roman" w:eastAsia="宋体" w:cs="Times New Roman"/>
          <w:color w:val="auto"/>
          <w:kern w:val="2"/>
          <w:sz w:val="21"/>
          <w:szCs w:val="21"/>
          <w:lang w:val="en-US" w:eastAsia="zh-CN" w:bidi="ar-SA"/>
        </w:rPr>
        <w:fldChar w:fldCharType="separate"/>
      </w:r>
      <w:r>
        <w:rPr>
          <w:rFonts w:hint="eastAsia" w:ascii="Times New Roman" w:hAnsi="Times New Roman" w:eastAsia="宋体" w:cs="Times New Roman"/>
          <w:color w:val="auto"/>
          <w:kern w:val="2"/>
          <w:sz w:val="21"/>
          <w:szCs w:val="21"/>
          <w:lang w:val="en-US" w:eastAsia="zh-CN" w:bidi="ar-SA"/>
        </w:rPr>
        <w:t>www.jiangyong.gov.cn/</w:t>
      </w:r>
      <w:r>
        <w:rPr>
          <w:rFonts w:hint="eastAsia" w:ascii="Times New Roman" w:hAnsi="Times New Roman" w:eastAsia="宋体" w:cs="Times New Roman"/>
          <w:color w:val="auto"/>
          <w:kern w:val="2"/>
          <w:sz w:val="21"/>
          <w:szCs w:val="21"/>
          <w:lang w:val="en-US" w:eastAsia="zh-CN" w:bidi="ar-SA"/>
        </w:rPr>
        <w:fldChar w:fldCharType="end"/>
      </w:r>
      <w:r>
        <w:rPr>
          <w:rFonts w:hint="default" w:ascii="Times New Roman" w:hAnsi="Times New Roman" w:eastAsia="宋体" w:cs="Times New Roman"/>
          <w:color w:val="auto"/>
          <w:kern w:val="2"/>
          <w:sz w:val="21"/>
          <w:szCs w:val="21"/>
          <w:lang w:val="en-US" w:eastAsia="zh-CN" w:bidi="ar-SA"/>
        </w:rPr>
        <w:t>)网上发布。</w:t>
      </w:r>
    </w:p>
    <w:p w14:paraId="090A2E38">
      <w:pPr>
        <w:keepNext/>
        <w:keepLines/>
        <w:pageBreakBefore w:val="0"/>
        <w:widowControl w:val="0"/>
        <w:wordWrap/>
        <w:overflowPunct/>
        <w:topLinePunct w:val="0"/>
        <w:bidi w:val="0"/>
        <w:spacing w:line="360" w:lineRule="exact"/>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50" w:name="_Toc25414"/>
      <w:r>
        <w:rPr>
          <w:rFonts w:hint="eastAsia" w:eastAsia="黑体" w:cs="Times New Roman"/>
          <w:b w:val="0"/>
          <w:bCs w:val="0"/>
          <w:color w:val="auto"/>
          <w:kern w:val="2"/>
          <w:sz w:val="30"/>
          <w:szCs w:val="32"/>
          <w:highlight w:val="none"/>
          <w:lang w:val="en-US" w:eastAsia="zh-CN" w:bidi="ar-SA"/>
        </w:rPr>
        <w:t>8</w:t>
      </w:r>
      <w:r>
        <w:rPr>
          <w:rFonts w:ascii="Times New Roman" w:hAnsi="Times New Roman" w:eastAsia="黑体" w:cs="Times New Roman"/>
          <w:b w:val="0"/>
          <w:bCs w:val="0"/>
          <w:color w:val="auto"/>
          <w:kern w:val="2"/>
          <w:sz w:val="30"/>
          <w:szCs w:val="32"/>
          <w:highlight w:val="none"/>
          <w:lang w:val="en-US" w:eastAsia="zh-CN" w:bidi="ar-SA"/>
        </w:rPr>
        <w:t>.行政监督</w:t>
      </w:r>
      <w:bookmarkEnd w:id="48"/>
      <w:bookmarkEnd w:id="50"/>
    </w:p>
    <w:p w14:paraId="262FA1AA">
      <w:pPr>
        <w:pageBreakBefore w:val="0"/>
        <w:wordWrap/>
        <w:overflowPunct/>
        <w:topLinePunct w:val="0"/>
        <w:bidi w:val="0"/>
        <w:snapToGrid w:val="0"/>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本次招投投标活动的监督机构为</w:t>
      </w:r>
      <w:r>
        <w:rPr>
          <w:rFonts w:ascii="Times New Roman" w:hAnsi="Times New Roman" w:eastAsia="宋体" w:cs="Times New Roman"/>
          <w:color w:val="auto"/>
          <w:szCs w:val="21"/>
          <w:u w:val="single"/>
        </w:rPr>
        <w:t xml:space="preserve"> </w:t>
      </w:r>
      <w:r>
        <w:rPr>
          <w:rFonts w:hint="eastAsia" w:ascii="Times New Roman" w:hAnsi="Times New Roman" w:eastAsia="宋体" w:cs="Times New Roman"/>
          <w:color w:val="auto"/>
          <w:szCs w:val="21"/>
          <w:u w:val="single"/>
          <w:lang w:val="en-US" w:eastAsia="zh-CN"/>
        </w:rPr>
        <w:t>江永县住房和城乡建设局</w:t>
      </w:r>
      <w:r>
        <w:rPr>
          <w:rFonts w:ascii="Times New Roman" w:hAnsi="Times New Roman" w:eastAsia="宋体" w:cs="Times New Roman"/>
          <w:color w:val="auto"/>
          <w:szCs w:val="21"/>
          <w:u w:val="single"/>
        </w:rPr>
        <w:t xml:space="preserve"> </w:t>
      </w:r>
      <w:r>
        <w:rPr>
          <w:rFonts w:ascii="Times New Roman" w:hAnsi="Times New Roman" w:eastAsia="宋体" w:cs="Times New Roman"/>
          <w:color w:val="auto"/>
          <w:szCs w:val="21"/>
        </w:rPr>
        <w:t>，电话</w:t>
      </w:r>
      <w:r>
        <w:rPr>
          <w:rFonts w:ascii="Times New Roman" w:hAnsi="Times New Roman" w:eastAsia="宋体" w:cs="Times New Roman"/>
          <w:color w:val="auto"/>
          <w:szCs w:val="21"/>
          <w:u w:val="single"/>
        </w:rPr>
        <w:t xml:space="preserve"> </w:t>
      </w:r>
      <w:r>
        <w:rPr>
          <w:rFonts w:hint="eastAsia" w:ascii="Times New Roman" w:hAnsi="Times New Roman" w:eastAsia="宋体" w:cs="Times New Roman"/>
          <w:color w:val="auto"/>
          <w:szCs w:val="21"/>
          <w:u w:val="single"/>
        </w:rPr>
        <w:t>0746-5751942</w:t>
      </w:r>
      <w:r>
        <w:rPr>
          <w:rFonts w:ascii="Times New Roman" w:hAnsi="Times New Roman" w:eastAsia="宋体" w:cs="Times New Roman"/>
          <w:color w:val="auto"/>
          <w:szCs w:val="21"/>
          <w:u w:val="single"/>
        </w:rPr>
        <w:t xml:space="preserve"> </w:t>
      </w:r>
      <w:r>
        <w:rPr>
          <w:rFonts w:ascii="Times New Roman" w:hAnsi="Times New Roman" w:eastAsia="宋体" w:cs="Times New Roman"/>
          <w:color w:val="auto"/>
          <w:szCs w:val="21"/>
        </w:rPr>
        <w:t>。</w:t>
      </w:r>
    </w:p>
    <w:p w14:paraId="09104763">
      <w:pPr>
        <w:keepNext/>
        <w:keepLines/>
        <w:pageBreakBefore w:val="0"/>
        <w:widowControl w:val="0"/>
        <w:wordWrap/>
        <w:overflowPunct/>
        <w:topLinePunct w:val="0"/>
        <w:bidi w:val="0"/>
        <w:spacing w:line="360" w:lineRule="exact"/>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51" w:name="_Toc21505387"/>
      <w:bookmarkStart w:id="52" w:name="_Toc13848"/>
      <w:r>
        <w:rPr>
          <w:rFonts w:hint="eastAsia" w:eastAsia="黑体" w:cs="Times New Roman"/>
          <w:b w:val="0"/>
          <w:bCs w:val="0"/>
          <w:color w:val="auto"/>
          <w:kern w:val="2"/>
          <w:sz w:val="30"/>
          <w:szCs w:val="32"/>
          <w:highlight w:val="none"/>
          <w:lang w:val="en-US" w:eastAsia="zh-CN" w:bidi="ar-SA"/>
        </w:rPr>
        <w:t>9</w:t>
      </w:r>
      <w:r>
        <w:rPr>
          <w:rFonts w:ascii="Times New Roman" w:hAnsi="Times New Roman" w:eastAsia="黑体" w:cs="Times New Roman"/>
          <w:b w:val="0"/>
          <w:bCs w:val="0"/>
          <w:color w:val="auto"/>
          <w:kern w:val="2"/>
          <w:sz w:val="30"/>
          <w:szCs w:val="32"/>
          <w:highlight w:val="none"/>
          <w:lang w:val="en-US" w:eastAsia="zh-CN" w:bidi="ar-SA"/>
        </w:rPr>
        <w:t>.联系方式</w:t>
      </w:r>
      <w:bookmarkEnd w:id="51"/>
      <w:bookmarkEnd w:id="52"/>
    </w:p>
    <w:p w14:paraId="160533A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仿宋" w:hAnsi="仿宋" w:eastAsia="仿宋" w:cs="仿宋"/>
          <w:color w:val="auto"/>
          <w:spacing w:val="0"/>
          <w:kern w:val="2"/>
          <w:position w:val="0"/>
          <w:sz w:val="24"/>
          <w:szCs w:val="24"/>
          <w:shd w:val="clear" w:color="050000" w:fill="auto"/>
          <w:lang w:val="en-US" w:eastAsia="zh-CN" w:bidi="ar-SA"/>
        </w:rPr>
      </w:pPr>
      <w:r>
        <w:rPr>
          <w:rFonts w:ascii="Times New Roman" w:hAnsi="Times New Roman" w:eastAsia="宋体" w:cs="Times New Roman"/>
          <w:color w:val="auto"/>
          <w:szCs w:val="21"/>
          <w:u w:val="none"/>
        </w:rPr>
        <w:t>招 标 人：</w:t>
      </w:r>
      <w:r>
        <w:rPr>
          <w:rFonts w:hint="default" w:cs="Times New Roman"/>
          <w:color w:val="auto"/>
          <w:szCs w:val="21"/>
          <w:u w:val="none"/>
          <w:lang w:val="en-US" w:eastAsia="zh-CN"/>
        </w:rPr>
        <w:t>江永县供销社社有资产管理有限公司</w:t>
      </w:r>
    </w:p>
    <w:p w14:paraId="6A6A6461">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default" w:cs="Times New Roman"/>
          <w:color w:val="auto"/>
          <w:szCs w:val="21"/>
          <w:u w:val="none"/>
          <w:lang w:val="en-US" w:eastAsia="zh-CN"/>
        </w:rPr>
      </w:pPr>
      <w:r>
        <w:rPr>
          <w:rFonts w:ascii="Times New Roman" w:hAnsi="Times New Roman" w:eastAsia="宋体" w:cs="Times New Roman"/>
          <w:color w:val="auto"/>
          <w:szCs w:val="21"/>
          <w:u w:val="none"/>
        </w:rPr>
        <w:t>地    址：</w:t>
      </w:r>
      <w:r>
        <w:rPr>
          <w:rFonts w:hint="default" w:cs="Times New Roman"/>
          <w:color w:val="auto"/>
          <w:szCs w:val="21"/>
          <w:u w:val="none"/>
          <w:lang w:val="en-US" w:eastAsia="zh-CN"/>
        </w:rPr>
        <w:t>江永县潇浦镇千家峒路68号</w:t>
      </w:r>
    </w:p>
    <w:p w14:paraId="1253EFAA">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default" w:cs="Times New Roman"/>
          <w:color w:val="auto"/>
          <w:szCs w:val="21"/>
          <w:highlight w:val="none"/>
          <w:u w:val="none"/>
          <w:lang w:val="en-US" w:eastAsia="zh-CN"/>
        </w:rPr>
      </w:pPr>
      <w:r>
        <w:rPr>
          <w:rFonts w:hint="eastAsia" w:ascii="Times New Roman" w:hAnsi="Times New Roman" w:eastAsia="宋体" w:cs="Times New Roman"/>
          <w:color w:val="auto"/>
          <w:szCs w:val="21"/>
          <w:highlight w:val="none"/>
          <w:u w:val="none"/>
          <w:lang w:val="en-US" w:eastAsia="zh-CN"/>
        </w:rPr>
        <w:t>联 系人：</w:t>
      </w:r>
      <w:r>
        <w:rPr>
          <w:rFonts w:hint="eastAsia" w:cs="Times New Roman"/>
          <w:color w:val="auto"/>
          <w:szCs w:val="21"/>
          <w:highlight w:val="none"/>
          <w:u w:val="none"/>
          <w:lang w:val="en-US" w:eastAsia="zh-CN"/>
        </w:rPr>
        <w:t>卢剑辉</w:t>
      </w:r>
    </w:p>
    <w:p w14:paraId="53DCC411">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cs="Times New Roman"/>
          <w:color w:val="auto"/>
          <w:szCs w:val="21"/>
          <w:highlight w:val="none"/>
          <w:u w:val="none"/>
          <w:lang w:val="en-US" w:eastAsia="zh-CN"/>
        </w:rPr>
      </w:pPr>
      <w:r>
        <w:rPr>
          <w:rFonts w:hint="eastAsia" w:ascii="Times New Roman" w:hAnsi="Times New Roman" w:eastAsia="宋体" w:cs="Times New Roman"/>
          <w:color w:val="auto"/>
          <w:szCs w:val="21"/>
          <w:highlight w:val="none"/>
          <w:u w:val="none"/>
          <w:lang w:val="en-US" w:eastAsia="zh-CN"/>
        </w:rPr>
        <w:t>电   话：</w:t>
      </w:r>
      <w:r>
        <w:rPr>
          <w:rFonts w:hint="eastAsia" w:cs="Times New Roman"/>
          <w:color w:val="auto"/>
          <w:szCs w:val="21"/>
          <w:highlight w:val="none"/>
          <w:u w:val="none"/>
          <w:lang w:val="en-US" w:eastAsia="zh-CN"/>
        </w:rPr>
        <w:t>13874765636</w:t>
      </w:r>
      <w:r>
        <w:rPr>
          <w:rFonts w:hint="eastAsia" w:ascii="Times New Roman" w:hAnsi="Times New Roman" w:eastAsia="宋体" w:cs="Times New Roman"/>
          <w:color w:val="auto"/>
          <w:szCs w:val="21"/>
          <w:highlight w:val="none"/>
          <w:u w:val="none"/>
        </w:rPr>
        <w:t>(经本人同意公开)</w:t>
      </w:r>
    </w:p>
    <w:p w14:paraId="07AE3640">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Times New Roman" w:hAnsi="Times New Roman" w:eastAsia="宋体" w:cs="Times New Roman"/>
          <w:color w:val="auto"/>
          <w:szCs w:val="21"/>
          <w:u w:val="none"/>
        </w:rPr>
      </w:pPr>
      <w:r>
        <w:rPr>
          <w:rFonts w:ascii="Times New Roman" w:hAnsi="Times New Roman" w:eastAsia="宋体" w:cs="Times New Roman"/>
          <w:color w:val="auto"/>
          <w:szCs w:val="21"/>
          <w:u w:val="none"/>
        </w:rPr>
        <w:t xml:space="preserve">招标代理机构： </w:t>
      </w:r>
      <w:r>
        <w:rPr>
          <w:rFonts w:hint="default" w:cs="Times New Roman"/>
          <w:color w:val="auto"/>
          <w:szCs w:val="21"/>
          <w:u w:val="none"/>
          <w:lang w:val="en-US" w:eastAsia="zh-CN"/>
        </w:rPr>
        <w:t>湖南国方建筑工程有限公司</w:t>
      </w:r>
      <w:r>
        <w:rPr>
          <w:rFonts w:hint="eastAsia" w:ascii="Times New Roman" w:hAnsi="Times New Roman" w:eastAsia="宋体" w:cs="Times New Roman"/>
          <w:color w:val="auto"/>
          <w:szCs w:val="21"/>
          <w:u w:val="none"/>
          <w:lang w:val="en-US" w:eastAsia="zh-CN"/>
        </w:rPr>
        <w:t xml:space="preserve">  </w:t>
      </w:r>
    </w:p>
    <w:p w14:paraId="5A137D2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Times New Roman" w:hAnsi="Times New Roman" w:eastAsia="宋体" w:cs="Times New Roman"/>
          <w:color w:val="auto"/>
          <w:szCs w:val="21"/>
          <w:u w:val="none"/>
          <w:lang w:eastAsia="zh-CN"/>
        </w:rPr>
      </w:pPr>
      <w:r>
        <w:rPr>
          <w:rFonts w:ascii="Times New Roman" w:hAnsi="Times New Roman" w:eastAsia="宋体" w:cs="Times New Roman"/>
          <w:color w:val="auto"/>
          <w:szCs w:val="21"/>
          <w:u w:val="none"/>
        </w:rPr>
        <w:t>地    址</w:t>
      </w:r>
      <w:r>
        <w:rPr>
          <w:rFonts w:hint="eastAsia" w:ascii="Times New Roman" w:hAnsi="Times New Roman" w:eastAsia="宋体" w:cs="Times New Roman"/>
          <w:color w:val="auto"/>
          <w:szCs w:val="21"/>
          <w:u w:val="none"/>
          <w:lang w:eastAsia="zh-CN"/>
        </w:rPr>
        <w:t>：</w:t>
      </w:r>
      <w:r>
        <w:rPr>
          <w:rFonts w:hint="eastAsia"/>
          <w:szCs w:val="21"/>
          <w:lang w:val="en-US" w:eastAsia="zh-CN"/>
        </w:rPr>
        <w:t>永州市冷水滩区春江路88号春江富都 5单元2楼</w:t>
      </w:r>
    </w:p>
    <w:p w14:paraId="54B69C9F">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cs="Times New Roman"/>
          <w:color w:val="auto"/>
          <w:szCs w:val="21"/>
          <w:u w:val="none"/>
          <w:lang w:val="en-US" w:eastAsia="zh-CN"/>
        </w:rPr>
      </w:pPr>
      <w:r>
        <w:rPr>
          <w:rFonts w:hint="eastAsia" w:ascii="Times New Roman" w:hAnsi="Times New Roman" w:eastAsia="宋体" w:cs="Times New Roman"/>
          <w:color w:val="auto"/>
          <w:szCs w:val="21"/>
          <w:u w:val="none"/>
        </w:rPr>
        <w:t>联系人</w:t>
      </w:r>
      <w:r>
        <w:rPr>
          <w:rFonts w:hint="eastAsia" w:cs="Times New Roman"/>
          <w:color w:val="auto"/>
          <w:szCs w:val="21"/>
          <w:u w:val="none"/>
          <w:lang w:eastAsia="zh-CN"/>
        </w:rPr>
        <w:t>：</w:t>
      </w:r>
      <w:r>
        <w:rPr>
          <w:rFonts w:hint="eastAsia" w:cs="Times New Roman"/>
          <w:color w:val="auto"/>
          <w:szCs w:val="21"/>
          <w:u w:val="none"/>
          <w:lang w:val="en-US" w:eastAsia="zh-CN"/>
        </w:rPr>
        <w:t xml:space="preserve">罗友云 </w:t>
      </w:r>
    </w:p>
    <w:p w14:paraId="6C31DC9A">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Times New Roman" w:hAnsi="Times New Roman" w:eastAsia="宋体" w:cs="Times New Roman"/>
          <w:color w:val="auto"/>
          <w:szCs w:val="21"/>
          <w:u w:val="none"/>
        </w:rPr>
      </w:pPr>
      <w:r>
        <w:rPr>
          <w:rFonts w:hint="eastAsia" w:ascii="Times New Roman" w:hAnsi="Times New Roman" w:eastAsia="宋体" w:cs="Times New Roman"/>
          <w:color w:val="auto"/>
          <w:szCs w:val="21"/>
          <w:u w:val="none"/>
        </w:rPr>
        <w:t>电  话：</w:t>
      </w:r>
      <w:r>
        <w:rPr>
          <w:rFonts w:hint="eastAsia" w:cs="Times New Roman"/>
          <w:color w:val="auto"/>
          <w:szCs w:val="21"/>
          <w:u w:val="none"/>
          <w:lang w:val="en-US" w:eastAsia="zh-CN"/>
        </w:rPr>
        <w:t>13874614806</w:t>
      </w:r>
      <w:r>
        <w:rPr>
          <w:rFonts w:hint="eastAsia" w:ascii="Times New Roman" w:hAnsi="Times New Roman" w:eastAsia="宋体" w:cs="Times New Roman"/>
          <w:color w:val="auto"/>
          <w:szCs w:val="21"/>
          <w:u w:val="none"/>
        </w:rPr>
        <w:t xml:space="preserve">(经本人同意公开) </w:t>
      </w:r>
    </w:p>
    <w:p w14:paraId="6043B5EC">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jc w:val="left"/>
        <w:textAlignment w:val="auto"/>
        <w:rPr>
          <w:rFonts w:ascii="Times New Roman" w:hAnsi="Times New Roman" w:eastAsia="宋体" w:cs="Times New Roman"/>
          <w:color w:val="auto"/>
          <w:szCs w:val="21"/>
          <w:u w:val="none"/>
        </w:rPr>
      </w:pPr>
      <w:r>
        <w:rPr>
          <w:rFonts w:hint="eastAsia" w:ascii="Times New Roman" w:hAnsi="Times New Roman" w:eastAsia="宋体" w:cs="Times New Roman"/>
          <w:color w:val="auto"/>
          <w:szCs w:val="21"/>
          <w:u w:val="none"/>
        </w:rPr>
        <w:t>电子邮箱：</w:t>
      </w:r>
      <w:r>
        <w:rPr>
          <w:rFonts w:hint="eastAsia" w:cs="Times New Roman"/>
          <w:color w:val="auto"/>
          <w:szCs w:val="21"/>
          <w:u w:val="none"/>
          <w:lang w:val="en-US" w:eastAsia="zh-CN"/>
        </w:rPr>
        <w:t>747713778@qq.com</w:t>
      </w:r>
    </w:p>
    <w:p w14:paraId="2AFA2076">
      <w:pPr>
        <w:spacing w:line="360" w:lineRule="auto"/>
        <w:ind w:firstLine="437"/>
        <w:jc w:val="right"/>
        <w:rPr>
          <w:color w:val="auto"/>
          <w:highlight w:val="none"/>
        </w:rPr>
        <w:sectPr>
          <w:footerReference r:id="rId9" w:type="first"/>
          <w:footerReference r:id="rId8" w:type="default"/>
          <w:pgSz w:w="11906" w:h="16838"/>
          <w:pgMar w:top="1247" w:right="1418" w:bottom="1247" w:left="1418" w:header="851" w:footer="850" w:gutter="0"/>
          <w:pgNumType w:fmt="decimal" w:start="1"/>
          <w:cols w:space="720" w:num="1"/>
          <w:titlePg/>
          <w:docGrid w:linePitch="306" w:charSpace="0"/>
        </w:sectPr>
      </w:pPr>
    </w:p>
    <w:bookmarkEnd w:id="7"/>
    <w:bookmarkEnd w:id="8"/>
    <w:bookmarkEnd w:id="9"/>
    <w:p w14:paraId="2A12715B">
      <w:pPr>
        <w:pStyle w:val="3"/>
        <w:bidi w:val="0"/>
        <w:rPr>
          <w:color w:val="auto"/>
          <w:highlight w:val="none"/>
        </w:rPr>
      </w:pPr>
      <w:bookmarkStart w:id="53" w:name="_Toc24593"/>
      <w:bookmarkStart w:id="54" w:name="_Toc80006088"/>
      <w:bookmarkStart w:id="55" w:name="_Toc11435"/>
      <w:r>
        <w:rPr>
          <w:color w:val="auto"/>
        </w:rPr>
        <w:t xml:space="preserve">第二章 </w:t>
      </w:r>
      <w:r>
        <w:rPr>
          <w:rFonts w:hint="eastAsia"/>
          <w:color w:val="auto"/>
          <w:lang w:val="en-US" w:eastAsia="zh-CN"/>
        </w:rPr>
        <w:t xml:space="preserve"> </w:t>
      </w:r>
      <w:r>
        <w:rPr>
          <w:color w:val="auto"/>
        </w:rPr>
        <w:t>投标人须知</w:t>
      </w:r>
      <w:bookmarkEnd w:id="53"/>
      <w:bookmarkEnd w:id="54"/>
      <w:bookmarkEnd w:id="55"/>
    </w:p>
    <w:p w14:paraId="77C230CA">
      <w:pPr>
        <w:pStyle w:val="4"/>
        <w:keepNext/>
        <w:keepLines/>
        <w:pageBreakBefore w:val="0"/>
        <w:widowControl w:val="0"/>
        <w:kinsoku/>
        <w:wordWrap/>
        <w:overflowPunct/>
        <w:topLinePunct w:val="0"/>
        <w:autoSpaceDE/>
        <w:autoSpaceDN/>
        <w:bidi w:val="0"/>
        <w:adjustRightInd/>
        <w:snapToGrid/>
        <w:spacing w:before="0" w:after="0" w:line="240" w:lineRule="auto"/>
        <w:textAlignment w:val="auto"/>
        <w:rPr>
          <w:color w:val="auto"/>
        </w:rPr>
      </w:pPr>
      <w:bookmarkStart w:id="56" w:name="_Toc300677997"/>
      <w:bookmarkStart w:id="57" w:name="_Toc6346"/>
      <w:r>
        <w:rPr>
          <w:color w:val="auto"/>
        </w:rPr>
        <w:t>投标人须知前附表</w:t>
      </w:r>
      <w:bookmarkEnd w:id="56"/>
      <w:bookmarkEnd w:id="57"/>
    </w:p>
    <w:tbl>
      <w:tblPr>
        <w:tblStyle w:val="40"/>
        <w:tblW w:w="9585" w:type="dxa"/>
        <w:tblInd w:w="-1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1725"/>
        <w:gridCol w:w="6720"/>
      </w:tblGrid>
      <w:tr w14:paraId="3383E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140" w:type="dxa"/>
            <w:noWrap w:val="0"/>
            <w:vAlign w:val="center"/>
          </w:tcPr>
          <w:p w14:paraId="35A9A54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条款号</w:t>
            </w:r>
          </w:p>
        </w:tc>
        <w:tc>
          <w:tcPr>
            <w:tcW w:w="1725" w:type="dxa"/>
            <w:noWrap w:val="0"/>
            <w:vAlign w:val="center"/>
          </w:tcPr>
          <w:p w14:paraId="1D3836FD">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条款名称</w:t>
            </w:r>
          </w:p>
        </w:tc>
        <w:tc>
          <w:tcPr>
            <w:tcW w:w="6720" w:type="dxa"/>
            <w:noWrap w:val="0"/>
            <w:vAlign w:val="center"/>
          </w:tcPr>
          <w:p w14:paraId="5BB54106">
            <w:pPr>
              <w:keepNext w:val="0"/>
              <w:keepLines w:val="0"/>
              <w:suppressLineNumbers w:val="0"/>
              <w:spacing w:before="0" w:beforeAutospacing="0" w:after="0" w:afterAutospacing="0" w:line="240" w:lineRule="auto"/>
              <w:ind w:left="-103" w:leftChars="-49" w:right="0" w:firstLine="422" w:firstLineChars="201"/>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编列内容</w:t>
            </w:r>
          </w:p>
        </w:tc>
      </w:tr>
      <w:tr w14:paraId="24ED0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5F3369C0">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w:t>
            </w:r>
          </w:p>
        </w:tc>
        <w:tc>
          <w:tcPr>
            <w:tcW w:w="1725" w:type="dxa"/>
            <w:noWrap w:val="0"/>
            <w:vAlign w:val="center"/>
          </w:tcPr>
          <w:p w14:paraId="70AB2966">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w:t>
            </w:r>
          </w:p>
        </w:tc>
        <w:tc>
          <w:tcPr>
            <w:tcW w:w="6720" w:type="dxa"/>
            <w:noWrap w:val="0"/>
            <w:vAlign w:val="center"/>
          </w:tcPr>
          <w:p w14:paraId="1888600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Times New Roman" w:hAnsi="Times New Roman" w:eastAsia="宋体" w:cs="Times New Roman"/>
                <w:color w:val="auto"/>
                <w:szCs w:val="21"/>
                <w:u w:val="single"/>
                <w:lang w:val="en-US" w:eastAsia="zh-CN"/>
              </w:rPr>
            </w:pPr>
            <w:r>
              <w:rPr>
                <w:rFonts w:hint="eastAsia" w:ascii="宋体" w:hAnsi="宋体" w:eastAsia="宋体" w:cs="宋体"/>
                <w:color w:val="auto"/>
                <w:sz w:val="21"/>
                <w:szCs w:val="21"/>
                <w:highlight w:val="none"/>
              </w:rPr>
              <w:t>名    称：</w:t>
            </w:r>
            <w:r>
              <w:rPr>
                <w:rFonts w:hint="default" w:cs="Times New Roman"/>
                <w:color w:val="auto"/>
                <w:szCs w:val="21"/>
                <w:u w:val="single"/>
                <w:lang w:val="en-US" w:eastAsia="zh-CN"/>
              </w:rPr>
              <w:t>江永县供销社社有资产管理有限公司</w:t>
            </w:r>
          </w:p>
          <w:p w14:paraId="5A07C57A">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default" w:cs="Times New Roman"/>
                <w:color w:val="auto"/>
                <w:szCs w:val="21"/>
                <w:u w:val="single"/>
                <w:lang w:val="en-US" w:eastAsia="zh-CN"/>
              </w:rPr>
            </w:pPr>
            <w:r>
              <w:rPr>
                <w:rFonts w:hint="eastAsia" w:ascii="宋体" w:hAnsi="宋体" w:eastAsia="宋体" w:cs="宋体"/>
                <w:color w:val="auto"/>
                <w:sz w:val="21"/>
                <w:szCs w:val="21"/>
                <w:highlight w:val="none"/>
              </w:rPr>
              <w:t>地    址：</w:t>
            </w:r>
            <w:r>
              <w:rPr>
                <w:rFonts w:hint="default" w:cs="Times New Roman"/>
                <w:color w:val="auto"/>
                <w:szCs w:val="21"/>
                <w:u w:val="single"/>
                <w:lang w:val="en-US" w:eastAsia="zh-CN"/>
              </w:rPr>
              <w:t>江永县潇浦镇千家峒路68号</w:t>
            </w:r>
          </w:p>
          <w:p w14:paraId="25E14D7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default" w:ascii="Times New Roman" w:hAnsi="Times New Roman" w:eastAsia="宋体" w:cs="Times New Roman"/>
                <w:color w:val="auto"/>
                <w:szCs w:val="21"/>
                <w:highlight w:val="none"/>
                <w:u w:val="single"/>
                <w:lang w:val="en-US" w:eastAsia="zh-CN"/>
              </w:rPr>
            </w:pPr>
            <w:r>
              <w:rPr>
                <w:rFonts w:hint="eastAsia" w:ascii="宋体" w:hAnsi="宋体" w:eastAsia="宋体" w:cs="宋体"/>
                <w:color w:val="auto"/>
                <w:sz w:val="21"/>
                <w:szCs w:val="21"/>
                <w:highlight w:val="none"/>
              </w:rPr>
              <w:t>联 系 人</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卢剑辉</w:t>
            </w:r>
          </w:p>
          <w:p w14:paraId="237B26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电    话：</w:t>
            </w:r>
            <w:r>
              <w:rPr>
                <w:rFonts w:hint="eastAsia" w:cs="Times New Roman"/>
                <w:color w:val="auto"/>
                <w:szCs w:val="21"/>
                <w:highlight w:val="none"/>
                <w:u w:val="none"/>
                <w:lang w:val="en-US" w:eastAsia="zh-CN"/>
              </w:rPr>
              <w:t>13874765636</w:t>
            </w:r>
            <w:r>
              <w:rPr>
                <w:rFonts w:hint="eastAsia" w:ascii="Times New Roman" w:hAnsi="Times New Roman" w:eastAsia="宋体" w:cs="Times New Roman"/>
                <w:color w:val="auto"/>
                <w:szCs w:val="21"/>
                <w:u w:val="none"/>
              </w:rPr>
              <w:t>(经本人同意公开)</w:t>
            </w:r>
          </w:p>
        </w:tc>
      </w:tr>
      <w:tr w14:paraId="41D57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6ECE155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w:t>
            </w:r>
          </w:p>
        </w:tc>
        <w:tc>
          <w:tcPr>
            <w:tcW w:w="1725" w:type="dxa"/>
            <w:noWrap w:val="0"/>
            <w:vAlign w:val="center"/>
          </w:tcPr>
          <w:p w14:paraId="5F1488DD">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招标代理机构</w:t>
            </w:r>
          </w:p>
        </w:tc>
        <w:tc>
          <w:tcPr>
            <w:tcW w:w="6720" w:type="dxa"/>
            <w:noWrap w:val="0"/>
            <w:vAlign w:val="center"/>
          </w:tcPr>
          <w:p w14:paraId="6A52408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Times New Roman" w:hAnsi="Times New Roman" w:eastAsia="宋体" w:cs="Times New Roman"/>
                <w:color w:val="auto"/>
                <w:szCs w:val="21"/>
                <w:u w:val="single"/>
                <w:lang w:val="en-US" w:eastAsia="zh-CN"/>
              </w:rPr>
            </w:pPr>
            <w:r>
              <w:rPr>
                <w:rFonts w:hint="eastAsia" w:ascii="宋体" w:hAnsi="宋体" w:eastAsia="宋体" w:cs="宋体"/>
                <w:color w:val="auto"/>
                <w:sz w:val="21"/>
                <w:szCs w:val="21"/>
                <w:highlight w:val="none"/>
              </w:rPr>
              <w:t>名    称：</w:t>
            </w:r>
            <w:r>
              <w:rPr>
                <w:rFonts w:hint="default" w:cs="Times New Roman"/>
                <w:color w:val="auto"/>
                <w:szCs w:val="21"/>
                <w:u w:val="single"/>
                <w:lang w:val="en-US" w:eastAsia="zh-CN"/>
              </w:rPr>
              <w:t>湖南国方建筑工程有限公司</w:t>
            </w:r>
          </w:p>
          <w:p w14:paraId="1108B27E">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highlight w:val="none"/>
              </w:rPr>
              <w:t>地    址：</w:t>
            </w:r>
            <w:r>
              <w:rPr>
                <w:rFonts w:hint="eastAsia" w:ascii="宋体" w:hAnsi="宋体" w:eastAsia="宋体" w:cs="宋体"/>
                <w:color w:val="auto"/>
                <w:sz w:val="21"/>
                <w:szCs w:val="21"/>
                <w:u w:val="single"/>
                <w:lang w:val="en-US" w:eastAsia="zh-CN"/>
              </w:rPr>
              <w:t>永州市冷水滩区春江路88号春江富都 5单元2楼</w:t>
            </w:r>
          </w:p>
          <w:p w14:paraId="6B0FA16A">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Times New Roman" w:hAnsi="Times New Roman" w:eastAsia="宋体" w:cs="Times New Roman"/>
                <w:color w:val="auto"/>
                <w:szCs w:val="21"/>
                <w:u w:val="single"/>
                <w:lang w:val="en-US" w:eastAsia="zh-CN"/>
              </w:rPr>
            </w:pPr>
            <w:r>
              <w:rPr>
                <w:rFonts w:hint="eastAsia" w:ascii="宋体" w:hAnsi="宋体" w:eastAsia="宋体" w:cs="宋体"/>
                <w:color w:val="auto"/>
                <w:sz w:val="21"/>
                <w:szCs w:val="21"/>
                <w:highlight w:val="none"/>
              </w:rPr>
              <w:t>项目负责人：</w:t>
            </w:r>
            <w:r>
              <w:rPr>
                <w:rFonts w:hint="eastAsia" w:cs="Times New Roman"/>
                <w:color w:val="auto"/>
                <w:szCs w:val="21"/>
                <w:u w:val="single"/>
                <w:lang w:val="en-US" w:eastAsia="zh-CN"/>
              </w:rPr>
              <w:t>罗友云</w:t>
            </w:r>
          </w:p>
          <w:p w14:paraId="66BE0CD7">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default" w:ascii="Times New Roman" w:hAnsi="Times New Roman" w:eastAsia="宋体" w:cs="Times New Roman"/>
                <w:color w:val="auto"/>
                <w:szCs w:val="21"/>
                <w:u w:val="single"/>
                <w:lang w:val="en-US" w:eastAsia="zh-CN"/>
              </w:rPr>
            </w:pPr>
            <w:r>
              <w:rPr>
                <w:rFonts w:hint="eastAsia" w:ascii="宋体" w:hAnsi="宋体" w:eastAsia="宋体" w:cs="宋体"/>
                <w:color w:val="auto"/>
                <w:sz w:val="21"/>
                <w:szCs w:val="21"/>
                <w:highlight w:val="none"/>
              </w:rPr>
              <w:t>专职人员</w:t>
            </w:r>
            <w:r>
              <w:rPr>
                <w:rFonts w:hint="eastAsia" w:ascii="宋体" w:hAnsi="宋体" w:eastAsia="宋体" w:cs="宋体"/>
                <w:color w:val="auto"/>
                <w:sz w:val="21"/>
                <w:szCs w:val="21"/>
                <w:highlight w:val="none"/>
                <w:lang w:eastAsia="zh-CN"/>
              </w:rPr>
              <w:t>：</w:t>
            </w:r>
            <w:r>
              <w:rPr>
                <w:rFonts w:hint="eastAsia" w:cs="Times New Roman"/>
                <w:color w:val="auto"/>
                <w:szCs w:val="21"/>
                <w:u w:val="single"/>
                <w:lang w:val="en-US" w:eastAsia="zh-CN"/>
              </w:rPr>
              <w:t>刘荣波、易康</w:t>
            </w:r>
          </w:p>
          <w:p w14:paraId="48475798">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r>
              <w:rPr>
                <w:rFonts w:hint="eastAsia" w:cs="Times New Roman"/>
                <w:color w:val="auto"/>
                <w:szCs w:val="21"/>
                <w:u w:val="none"/>
                <w:lang w:val="en-US" w:eastAsia="zh-CN"/>
              </w:rPr>
              <w:t>13874614806</w:t>
            </w:r>
            <w:r>
              <w:rPr>
                <w:rFonts w:hint="eastAsia" w:ascii="Times New Roman" w:hAnsi="Times New Roman" w:eastAsia="宋体" w:cs="Times New Roman"/>
                <w:color w:val="auto"/>
                <w:szCs w:val="21"/>
                <w:u w:val="none"/>
              </w:rPr>
              <w:t>(经本人同意公开)</w:t>
            </w:r>
          </w:p>
        </w:tc>
      </w:tr>
      <w:tr w14:paraId="15778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140" w:type="dxa"/>
            <w:noWrap w:val="0"/>
            <w:vAlign w:val="center"/>
          </w:tcPr>
          <w:p w14:paraId="35E09D3D">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w:t>
            </w:r>
          </w:p>
        </w:tc>
        <w:tc>
          <w:tcPr>
            <w:tcW w:w="1725" w:type="dxa"/>
            <w:noWrap w:val="0"/>
            <w:vAlign w:val="center"/>
          </w:tcPr>
          <w:p w14:paraId="5263CDB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招标项目名称</w:t>
            </w:r>
          </w:p>
        </w:tc>
        <w:tc>
          <w:tcPr>
            <w:tcW w:w="6720" w:type="dxa"/>
            <w:noWrap w:val="0"/>
            <w:vAlign w:val="center"/>
          </w:tcPr>
          <w:p w14:paraId="38C34E4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default" w:ascii="宋体" w:hAnsi="宋体" w:cs="宋体"/>
                <w:b w:val="0"/>
                <w:bCs w:val="0"/>
                <w:color w:val="auto"/>
                <w:sz w:val="21"/>
                <w:szCs w:val="21"/>
                <w:highlight w:val="none"/>
                <w:u w:val="none"/>
                <w:lang w:val="en-US" w:eastAsia="zh-CN"/>
              </w:rPr>
              <w:t>江永县供销联社烟花爆竹有限公司烟花爆竹仓库新建（搬迁）工程</w:t>
            </w:r>
          </w:p>
        </w:tc>
      </w:tr>
      <w:tr w14:paraId="6D811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140" w:type="dxa"/>
            <w:noWrap w:val="0"/>
            <w:vAlign w:val="center"/>
          </w:tcPr>
          <w:p w14:paraId="56C59AA9">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w:t>
            </w:r>
          </w:p>
        </w:tc>
        <w:tc>
          <w:tcPr>
            <w:tcW w:w="1725" w:type="dxa"/>
            <w:noWrap w:val="0"/>
            <w:vAlign w:val="center"/>
          </w:tcPr>
          <w:p w14:paraId="1CE87FA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建设地点</w:t>
            </w:r>
          </w:p>
        </w:tc>
        <w:tc>
          <w:tcPr>
            <w:tcW w:w="6720" w:type="dxa"/>
            <w:noWrap w:val="0"/>
            <w:vAlign w:val="center"/>
          </w:tcPr>
          <w:p w14:paraId="3F24A087">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桃川镇桃源社区</w:t>
            </w:r>
          </w:p>
        </w:tc>
      </w:tr>
      <w:tr w14:paraId="7063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36224E1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w:t>
            </w:r>
          </w:p>
        </w:tc>
        <w:tc>
          <w:tcPr>
            <w:tcW w:w="1725" w:type="dxa"/>
            <w:noWrap w:val="0"/>
            <w:vAlign w:val="center"/>
          </w:tcPr>
          <w:p w14:paraId="71224E0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招标范围</w:t>
            </w:r>
          </w:p>
        </w:tc>
        <w:tc>
          <w:tcPr>
            <w:tcW w:w="6720" w:type="dxa"/>
            <w:noWrap w:val="0"/>
            <w:vAlign w:val="center"/>
          </w:tcPr>
          <w:p w14:paraId="32043CCB">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详见招标公告（适用于采用资格后审方式的招标项目）</w:t>
            </w:r>
          </w:p>
          <w:p w14:paraId="1DD299A7">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详见投标邀请书（适用于邀请招标项目）</w:t>
            </w:r>
          </w:p>
          <w:p w14:paraId="1CCED6CB">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42DF839">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关于招标范围的详细说明见第七章“技术标准和要求”及施工图纸和工程量清单。（适用于采用资格预审方式的招标项目）</w:t>
            </w:r>
          </w:p>
        </w:tc>
      </w:tr>
      <w:tr w14:paraId="3CADD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50BDF74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w:t>
            </w:r>
          </w:p>
        </w:tc>
        <w:tc>
          <w:tcPr>
            <w:tcW w:w="1725" w:type="dxa"/>
            <w:noWrap w:val="0"/>
            <w:vAlign w:val="center"/>
          </w:tcPr>
          <w:p w14:paraId="5EFBC4B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计划工期</w:t>
            </w:r>
          </w:p>
        </w:tc>
        <w:tc>
          <w:tcPr>
            <w:tcW w:w="6720" w:type="dxa"/>
            <w:noWrap w:val="0"/>
            <w:vAlign w:val="center"/>
          </w:tcPr>
          <w:p w14:paraId="6D2C6F1E">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计划工期：</w:t>
            </w:r>
            <w:r>
              <w:rPr>
                <w:rFonts w:hint="eastAsia" w:ascii="宋体" w:hAnsi="宋体" w:cs="宋体"/>
                <w:color w:val="auto"/>
                <w:sz w:val="21"/>
                <w:szCs w:val="21"/>
                <w:highlight w:val="none"/>
                <w:u w:val="single"/>
                <w:lang w:val="en-US" w:eastAsia="zh-CN"/>
              </w:rPr>
              <w:t>85</w:t>
            </w:r>
            <w:r>
              <w:rPr>
                <w:rFonts w:hint="eastAsia" w:ascii="宋体" w:hAnsi="宋体" w:eastAsia="宋体" w:cs="宋体"/>
                <w:color w:val="auto"/>
                <w:sz w:val="21"/>
                <w:szCs w:val="21"/>
                <w:highlight w:val="none"/>
                <w:u w:val="single"/>
                <w:lang w:val="en-US" w:eastAsia="zh-CN"/>
              </w:rPr>
              <w:t>天（日历日）</w:t>
            </w:r>
            <w:r>
              <w:rPr>
                <w:rFonts w:hint="eastAsia" w:ascii="宋体" w:hAnsi="宋体" w:eastAsia="宋体" w:cs="宋体"/>
                <w:color w:val="auto"/>
                <w:sz w:val="21"/>
                <w:szCs w:val="21"/>
                <w:highlight w:val="none"/>
                <w:u w:val="none"/>
                <w:lang w:val="en-US" w:eastAsia="zh-CN"/>
              </w:rPr>
              <w:t>。</w:t>
            </w:r>
          </w:p>
        </w:tc>
      </w:tr>
      <w:tr w14:paraId="18A92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057919C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1.3.3</w:t>
            </w:r>
          </w:p>
        </w:tc>
        <w:tc>
          <w:tcPr>
            <w:tcW w:w="1725" w:type="dxa"/>
            <w:noWrap w:val="0"/>
            <w:vAlign w:val="center"/>
          </w:tcPr>
          <w:p w14:paraId="1091421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质量标准和</w:t>
            </w:r>
          </w:p>
          <w:p w14:paraId="7A7625D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保修要求</w:t>
            </w:r>
          </w:p>
        </w:tc>
        <w:tc>
          <w:tcPr>
            <w:tcW w:w="6720" w:type="dxa"/>
            <w:noWrap w:val="0"/>
            <w:vAlign w:val="center"/>
          </w:tcPr>
          <w:p w14:paraId="1E5A1094">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质量标准：</w:t>
            </w:r>
            <w:r>
              <w:rPr>
                <w:rFonts w:hint="eastAsia" w:ascii="Times New Roman" w:hAnsi="Times New Roman" w:eastAsia="宋体" w:cs="Times New Roman"/>
                <w:color w:val="auto"/>
                <w:szCs w:val="21"/>
                <w:highlight w:val="none"/>
                <w:u w:val="single"/>
              </w:rPr>
              <w:t>符合现行国家有关工程施工验收规范，</w:t>
            </w:r>
            <w:r>
              <w:rPr>
                <w:rFonts w:hint="eastAsia"/>
                <w:color w:val="auto"/>
                <w:szCs w:val="21"/>
                <w:highlight w:val="none"/>
                <w:u w:val="single"/>
              </w:rPr>
              <w:t>达到国家合格工程验收标准</w:t>
            </w:r>
            <w:r>
              <w:rPr>
                <w:rFonts w:hint="eastAsia" w:ascii="宋体" w:hAnsi="宋体" w:eastAsia="宋体" w:cs="宋体"/>
                <w:color w:val="auto"/>
                <w:sz w:val="21"/>
                <w:szCs w:val="21"/>
                <w:highlight w:val="none"/>
              </w:rPr>
              <w:t>；</w:t>
            </w:r>
          </w:p>
          <w:p w14:paraId="19938D02">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保修要求：</w:t>
            </w:r>
            <w:r>
              <w:rPr>
                <w:rFonts w:hint="eastAsia" w:ascii="宋体" w:hAnsi="宋体" w:eastAsia="宋体" w:cs="宋体"/>
                <w:sz w:val="21"/>
                <w:szCs w:val="21"/>
                <w:u w:val="single"/>
              </w:rPr>
              <w:t>按国家相关规定保修</w:t>
            </w:r>
            <w:r>
              <w:rPr>
                <w:rFonts w:hint="eastAsia" w:ascii="宋体" w:hAnsi="宋体" w:eastAsia="宋体" w:cs="宋体"/>
                <w:color w:val="auto"/>
                <w:sz w:val="21"/>
                <w:szCs w:val="21"/>
                <w:highlight w:val="none"/>
              </w:rPr>
              <w:t>。</w:t>
            </w:r>
          </w:p>
        </w:tc>
      </w:tr>
      <w:tr w14:paraId="672C5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0AB9D60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w:t>
            </w:r>
          </w:p>
        </w:tc>
        <w:tc>
          <w:tcPr>
            <w:tcW w:w="1725" w:type="dxa"/>
            <w:noWrap w:val="0"/>
            <w:vAlign w:val="center"/>
          </w:tcPr>
          <w:p w14:paraId="696BEC2D">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资质条件</w:t>
            </w:r>
          </w:p>
        </w:tc>
        <w:tc>
          <w:tcPr>
            <w:tcW w:w="6720" w:type="dxa"/>
            <w:noWrap w:val="0"/>
            <w:vAlign w:val="center"/>
          </w:tcPr>
          <w:p w14:paraId="16BE0EF5">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cs="宋体"/>
                <w:sz w:val="21"/>
                <w:szCs w:val="21"/>
                <w:u w:val="single"/>
                <w:lang w:eastAsia="zh-CN"/>
              </w:rPr>
            </w:pPr>
            <w:r>
              <w:rPr>
                <w:rFonts w:hint="eastAsia" w:ascii="宋体" w:hAnsi="宋体" w:eastAsia="宋体" w:cs="宋体"/>
                <w:color w:val="auto"/>
                <w:sz w:val="21"/>
                <w:szCs w:val="21"/>
                <w:highlight w:val="none"/>
              </w:rPr>
              <w:t>1.具有独立法人资格并依法取得企业营业执照，营业执照处于有效期</w:t>
            </w:r>
            <w:r>
              <w:rPr>
                <w:rFonts w:hint="eastAsia" w:ascii="宋体" w:hAnsi="宋体" w:cs="宋体"/>
                <w:color w:val="auto"/>
                <w:sz w:val="21"/>
                <w:szCs w:val="21"/>
                <w:highlight w:val="none"/>
                <w:lang w:eastAsia="zh-CN"/>
              </w:rPr>
              <w:t>，</w:t>
            </w:r>
            <w:r>
              <w:rPr>
                <w:rFonts w:hint="default"/>
                <w:color w:val="auto"/>
                <w:szCs w:val="21"/>
              </w:rPr>
              <w:t>省外入湘企业已在 “湖南省住房和城乡建设网” 进行基本信息登记；</w:t>
            </w:r>
            <w:r>
              <w:rPr>
                <w:rFonts w:hint="eastAsia" w:ascii="宋体" w:hAnsi="宋体" w:eastAsia="宋体" w:cs="宋体"/>
                <w:color w:val="auto"/>
                <w:sz w:val="21"/>
                <w:szCs w:val="21"/>
                <w:highlight w:val="none"/>
              </w:rPr>
              <w:t xml:space="preserve"> </w:t>
            </w:r>
          </w:p>
          <w:p w14:paraId="4D84949F">
            <w:pPr>
              <w:keepNext w:val="0"/>
              <w:keepLines w:val="0"/>
              <w:suppressLineNumbers w:val="0"/>
              <w:spacing w:before="0" w:beforeAutospacing="0" w:after="0" w:afterAutospacing="0" w:line="360" w:lineRule="auto"/>
              <w:ind w:left="0" w:right="0" w:firstLine="420" w:firstLineChars="200"/>
              <w:rPr>
                <w:rFonts w:hint="default" w:eastAsia="宋体"/>
                <w:color w:val="auto"/>
                <w:highlight w:val="none"/>
              </w:rPr>
            </w:pPr>
            <w:r>
              <w:rPr>
                <w:rFonts w:hint="eastAsia" w:ascii="宋体" w:hAnsi="宋体" w:cs="宋体"/>
                <w:sz w:val="21"/>
                <w:szCs w:val="21"/>
                <w:u w:val="none"/>
                <w:lang w:eastAsia="zh-CN"/>
              </w:rPr>
              <w:t>2.</w:t>
            </w:r>
            <w:r>
              <w:rPr>
                <w:rFonts w:hint="default" w:eastAsia="宋体"/>
                <w:color w:val="auto"/>
                <w:highlight w:val="none"/>
              </w:rPr>
              <w:t xml:space="preserve"> 具备</w:t>
            </w:r>
            <w:r>
              <w:rPr>
                <w:rFonts w:hint="eastAsia" w:eastAsia="宋体"/>
                <w:color w:val="auto"/>
                <w:highlight w:val="none"/>
              </w:rPr>
              <w:t>住房城乡</w:t>
            </w:r>
            <w:r>
              <w:rPr>
                <w:rFonts w:hint="default" w:eastAsia="宋体"/>
                <w:color w:val="auto"/>
                <w:highlight w:val="none"/>
              </w:rPr>
              <w:t>建设主管部门颁发的</w:t>
            </w:r>
            <w:r>
              <w:rPr>
                <w:rFonts w:hint="default" w:eastAsia="宋体"/>
                <w:color w:val="auto"/>
                <w:highlight w:val="none"/>
                <w:u w:val="single"/>
              </w:rPr>
              <w:t xml:space="preserve"> </w:t>
            </w:r>
            <w:r>
              <w:rPr>
                <w:rFonts w:hint="default" w:ascii="宋体" w:hAnsi="宋体" w:cs="宋体"/>
                <w:b/>
                <w:bCs/>
                <w:color w:val="auto"/>
                <w:highlight w:val="none"/>
                <w:u w:val="single"/>
                <w:lang w:val="en-US" w:eastAsia="zh-CN"/>
              </w:rPr>
              <w:t>建筑工程</w:t>
            </w:r>
            <w:r>
              <w:rPr>
                <w:rFonts w:hint="eastAsia" w:ascii="宋体" w:hAnsi="宋体" w:cs="宋体"/>
                <w:b/>
                <w:bCs/>
                <w:color w:val="auto"/>
                <w:highlight w:val="none"/>
                <w:u w:val="single"/>
                <w:lang w:val="en-US" w:eastAsia="zh-CN"/>
              </w:rPr>
              <w:t>施工</w:t>
            </w:r>
            <w:r>
              <w:rPr>
                <w:rFonts w:hint="default" w:ascii="宋体" w:hAnsi="宋体" w:cs="宋体"/>
                <w:b/>
                <w:bCs/>
                <w:color w:val="auto"/>
                <w:highlight w:val="none"/>
                <w:u w:val="single"/>
                <w:lang w:val="en-US" w:eastAsia="zh-CN"/>
              </w:rPr>
              <w:t>总承包叁级及以上</w:t>
            </w:r>
            <w:r>
              <w:rPr>
                <w:rFonts w:hint="default" w:eastAsia="宋体"/>
                <w:color w:val="auto"/>
                <w:highlight w:val="none"/>
              </w:rPr>
              <w:t>资质，</w:t>
            </w:r>
            <w:r>
              <w:rPr>
                <w:rFonts w:hint="default" w:eastAsia="宋体"/>
                <w:color w:val="auto"/>
                <w:highlight w:val="none"/>
                <w:u w:val="single"/>
              </w:rPr>
              <w:t>安全生产许可证处于有效期</w:t>
            </w:r>
            <w:r>
              <w:rPr>
                <w:rFonts w:hint="default" w:eastAsia="宋体"/>
                <w:color w:val="auto"/>
                <w:highlight w:val="none"/>
              </w:rPr>
              <w:t>；</w:t>
            </w:r>
          </w:p>
          <w:p w14:paraId="48900D44">
            <w:pPr>
              <w:keepNext w:val="0"/>
              <w:keepLines w:val="0"/>
              <w:suppressLineNumbers w:val="0"/>
              <w:spacing w:before="0" w:beforeAutospacing="0" w:after="0" w:afterAutospacing="0" w:line="360" w:lineRule="auto"/>
              <w:ind w:left="0" w:right="0" w:firstLine="420" w:firstLineChars="200"/>
              <w:rPr>
                <w:rFonts w:hint="default" w:eastAsia="宋体"/>
                <w:color w:val="auto"/>
                <w:highlight w:val="none"/>
              </w:rPr>
            </w:pPr>
            <w:r>
              <w:rPr>
                <w:rFonts w:hint="eastAsia" w:ascii="宋体" w:hAnsi="宋体" w:eastAsia="宋体" w:cs="宋体"/>
                <w:color w:val="auto"/>
                <w:sz w:val="21"/>
                <w:szCs w:val="21"/>
                <w:highlight w:val="none"/>
              </w:rPr>
              <w:t>3.</w:t>
            </w:r>
            <w:r>
              <w:rPr>
                <w:rFonts w:hint="default" w:eastAsia="宋体"/>
                <w:color w:val="auto"/>
                <w:highlight w:val="none"/>
              </w:rPr>
              <w:t>拟任项目经理具备</w:t>
            </w:r>
            <w:r>
              <w:rPr>
                <w:rFonts w:hint="default"/>
                <w:b/>
                <w:bCs/>
                <w:color w:val="auto"/>
                <w:highlight w:val="none"/>
                <w:u w:val="single"/>
                <w:lang w:val="en-US" w:eastAsia="zh-CN"/>
              </w:rPr>
              <w:t>建筑工程</w:t>
            </w:r>
            <w:r>
              <w:rPr>
                <w:rFonts w:hint="default" w:eastAsia="宋体"/>
                <w:color w:val="auto"/>
                <w:highlight w:val="none"/>
                <w:u w:val="single"/>
              </w:rPr>
              <w:t xml:space="preserve"> </w:t>
            </w:r>
            <w:r>
              <w:rPr>
                <w:rFonts w:hint="default" w:eastAsia="宋体"/>
                <w:color w:val="auto"/>
                <w:highlight w:val="none"/>
              </w:rPr>
              <w:t>专业</w:t>
            </w:r>
            <w:r>
              <w:rPr>
                <w:rFonts w:hint="default" w:eastAsia="宋体"/>
                <w:color w:val="auto"/>
                <w:highlight w:val="none"/>
                <w:u w:val="single"/>
              </w:rPr>
              <w:t xml:space="preserve"> </w:t>
            </w:r>
            <w:r>
              <w:rPr>
                <w:rFonts w:hint="eastAsia"/>
                <w:b/>
                <w:bCs/>
                <w:color w:val="auto"/>
                <w:highlight w:val="none"/>
                <w:u w:val="single"/>
              </w:rPr>
              <w:t>贰级及以上注册建造师</w:t>
            </w:r>
            <w:r>
              <w:rPr>
                <w:rFonts w:hint="default" w:eastAsia="宋体"/>
                <w:color w:val="auto"/>
                <w:highlight w:val="none"/>
                <w:u w:val="single"/>
              </w:rPr>
              <w:t xml:space="preserve"> </w:t>
            </w:r>
            <w:r>
              <w:rPr>
                <w:rFonts w:hint="default" w:eastAsia="宋体"/>
                <w:color w:val="auto"/>
                <w:highlight w:val="none"/>
              </w:rPr>
              <w:t>资格，具备</w:t>
            </w:r>
            <w:r>
              <w:rPr>
                <w:rFonts w:hint="default" w:eastAsia="宋体"/>
                <w:color w:val="auto"/>
                <w:highlight w:val="none"/>
                <w:u w:val="single"/>
              </w:rPr>
              <w:t>项目负责人安全生产考核合格证书</w:t>
            </w:r>
            <w:r>
              <w:rPr>
                <w:rFonts w:hint="default" w:eastAsia="宋体"/>
                <w:color w:val="auto"/>
                <w:highlight w:val="none"/>
              </w:rPr>
              <w:t>；</w:t>
            </w:r>
          </w:p>
          <w:p w14:paraId="77E6C768">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.类似工程业绩要求</w:t>
            </w:r>
          </w:p>
          <w:p w14:paraId="6AEAD021">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具体要求详见本表第10.1.1 项</w:t>
            </w:r>
          </w:p>
          <w:p w14:paraId="12BDA6A1">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.其他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lang w:val="en-US" w:eastAsia="zh-CN"/>
              </w:rPr>
              <w:t>1</w:t>
            </w:r>
            <w:r>
              <w:rPr>
                <w:rFonts w:hint="eastAsia" w:ascii="宋体" w:hAnsi="宋体" w:eastAsia="宋体" w:cs="宋体"/>
                <w:color w:val="auto"/>
                <w:sz w:val="21"/>
                <w:szCs w:val="21"/>
                <w:highlight w:val="none"/>
                <w:u w:val="single"/>
                <w:lang w:eastAsia="zh-CN"/>
              </w:rPr>
              <w:t>）项目其它关键岗位人员应满足湖南省住建厅“湘建建[2020]208号”文件要求配备；（</w:t>
            </w:r>
            <w:r>
              <w:rPr>
                <w:rFonts w:hint="eastAsia" w:ascii="宋体" w:hAnsi="宋体" w:eastAsia="宋体" w:cs="宋体"/>
                <w:color w:val="auto"/>
                <w:sz w:val="21"/>
                <w:szCs w:val="21"/>
                <w:highlight w:val="none"/>
                <w:u w:val="single"/>
                <w:lang w:val="en-US" w:eastAsia="zh-CN"/>
              </w:rPr>
              <w:t>2</w:t>
            </w:r>
            <w:r>
              <w:rPr>
                <w:rFonts w:hint="eastAsia" w:ascii="宋体" w:hAnsi="宋体" w:eastAsia="宋体" w:cs="宋体"/>
                <w:color w:val="auto"/>
                <w:sz w:val="21"/>
                <w:szCs w:val="21"/>
                <w:highlight w:val="none"/>
                <w:u w:val="single"/>
                <w:lang w:eastAsia="zh-CN"/>
              </w:rPr>
              <w:t>）项目关键岗位人员必须是投标企业在职人员，且无在建工程(指在建施工项目)；（</w:t>
            </w:r>
            <w:r>
              <w:rPr>
                <w:rFonts w:hint="eastAsia" w:ascii="宋体" w:hAnsi="宋体" w:eastAsia="宋体" w:cs="宋体"/>
                <w:color w:val="auto"/>
                <w:sz w:val="21"/>
                <w:szCs w:val="21"/>
                <w:highlight w:val="none"/>
                <w:u w:val="single"/>
                <w:lang w:val="en-US" w:eastAsia="zh-CN"/>
              </w:rPr>
              <w:t>3</w:t>
            </w:r>
            <w:r>
              <w:rPr>
                <w:rFonts w:hint="eastAsia" w:ascii="宋体" w:hAnsi="宋体" w:eastAsia="宋体" w:cs="宋体"/>
                <w:color w:val="auto"/>
                <w:sz w:val="21"/>
                <w:szCs w:val="21"/>
                <w:highlight w:val="none"/>
                <w:u w:val="single"/>
                <w:lang w:eastAsia="zh-CN"/>
              </w:rPr>
              <w:t>）技术负责人、施工员、安全员、质量员采用承诺制，不再进行资格审查(相关要求详见招标文件)；（</w:t>
            </w:r>
            <w:r>
              <w:rPr>
                <w:rFonts w:hint="eastAsia" w:ascii="宋体" w:hAnsi="宋体" w:eastAsia="宋体" w:cs="宋体"/>
                <w:color w:val="auto"/>
                <w:sz w:val="21"/>
                <w:szCs w:val="21"/>
                <w:highlight w:val="none"/>
                <w:u w:val="single"/>
                <w:lang w:val="en-US" w:eastAsia="zh-CN"/>
              </w:rPr>
              <w:t>4</w:t>
            </w:r>
            <w:r>
              <w:rPr>
                <w:rFonts w:hint="eastAsia" w:ascii="宋体" w:hAnsi="宋体" w:eastAsia="宋体" w:cs="宋体"/>
                <w:color w:val="auto"/>
                <w:sz w:val="21"/>
                <w:szCs w:val="21"/>
                <w:highlight w:val="none"/>
                <w:u w:val="single"/>
                <w:lang w:eastAsia="zh-CN"/>
              </w:rPr>
              <w:t>）省外企业关键岗位人员如持有外省住房和城乡建设主管部门颁发的岗位资格证书，应提供由省级住房和城乡建设主管部门出具的证书真实性证明(如不能提供真实性证明的，则在投标函部分规定处提供证书真伪查询官方查询网址及结果)。省外企业应提供由企业所在地地(市)级及以上建设行政主管部门出具的施工项目部关键岗位人员无在建工程证明(如不能提供无在建证明的，则在投标函部分规定处提供其查询网址及结果)。</w:t>
            </w:r>
          </w:p>
        </w:tc>
      </w:tr>
      <w:tr w14:paraId="7C628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26A9A41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w:t>
            </w:r>
          </w:p>
        </w:tc>
        <w:tc>
          <w:tcPr>
            <w:tcW w:w="1725" w:type="dxa"/>
            <w:noWrap w:val="0"/>
            <w:vAlign w:val="center"/>
          </w:tcPr>
          <w:p w14:paraId="56C5FDF0">
            <w:pPr>
              <w:keepNext w:val="0"/>
              <w:keepLines w:val="0"/>
              <w:suppressLineNumbers w:val="0"/>
              <w:spacing w:before="0" w:beforeAutospacing="0" w:after="0" w:afterAutospacing="0" w:line="240" w:lineRule="auto"/>
              <w:ind w:left="0" w:right="0"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是否接受</w:t>
            </w:r>
          </w:p>
          <w:p w14:paraId="3B1DCA7A">
            <w:pPr>
              <w:keepNext w:val="0"/>
              <w:keepLines w:val="0"/>
              <w:suppressLineNumbers w:val="0"/>
              <w:spacing w:before="0" w:beforeAutospacing="0" w:after="0" w:afterAutospacing="0" w:line="240" w:lineRule="auto"/>
              <w:ind w:left="0" w:right="0" w:firstLine="105" w:firstLineChars="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联合体投标</w:t>
            </w:r>
          </w:p>
        </w:tc>
        <w:tc>
          <w:tcPr>
            <w:tcW w:w="6720" w:type="dxa"/>
            <w:noWrap w:val="0"/>
            <w:vAlign w:val="center"/>
          </w:tcPr>
          <w:p w14:paraId="570A4608">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不接受</w:t>
            </w:r>
          </w:p>
          <w:p w14:paraId="6AED68BF">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 xml:space="preserve">接受，应满足下列要求： </w:t>
            </w:r>
            <w:r>
              <w:rPr>
                <w:rFonts w:hint="eastAsia" w:ascii="宋体" w:hAnsi="宋体" w:eastAsia="宋体" w:cs="宋体"/>
                <w:color w:val="auto"/>
                <w:sz w:val="21"/>
                <w:szCs w:val="21"/>
                <w:highlight w:val="none"/>
                <w:lang w:val="en-US" w:eastAsia="zh-CN"/>
              </w:rPr>
              <w:t>/</w:t>
            </w:r>
          </w:p>
        </w:tc>
      </w:tr>
      <w:tr w14:paraId="4FB31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5208DFD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1.9.1</w:t>
            </w:r>
          </w:p>
        </w:tc>
        <w:tc>
          <w:tcPr>
            <w:tcW w:w="1725" w:type="dxa"/>
            <w:noWrap w:val="0"/>
            <w:vAlign w:val="center"/>
          </w:tcPr>
          <w:p w14:paraId="7949049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踏勘现场</w:t>
            </w:r>
          </w:p>
        </w:tc>
        <w:tc>
          <w:tcPr>
            <w:tcW w:w="6720" w:type="dxa"/>
            <w:noWrap w:val="0"/>
            <w:vAlign w:val="center"/>
          </w:tcPr>
          <w:p w14:paraId="18AA51A5">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不组织</w:t>
            </w:r>
          </w:p>
          <w:p w14:paraId="5FBB6FF0">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组织，踏勘时间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日，</w:t>
            </w:r>
          </w:p>
          <w:p w14:paraId="69BEF97A">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踏勘地点：</w:t>
            </w:r>
          </w:p>
        </w:tc>
      </w:tr>
      <w:tr w14:paraId="59016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1FF2DE4F">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w:t>
            </w:r>
          </w:p>
        </w:tc>
        <w:tc>
          <w:tcPr>
            <w:tcW w:w="1725" w:type="dxa"/>
            <w:noWrap w:val="0"/>
            <w:vAlign w:val="center"/>
          </w:tcPr>
          <w:p w14:paraId="1429992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  包</w:t>
            </w:r>
          </w:p>
        </w:tc>
        <w:tc>
          <w:tcPr>
            <w:tcW w:w="6720" w:type="dxa"/>
            <w:noWrap w:val="0"/>
            <w:vAlign w:val="center"/>
          </w:tcPr>
          <w:p w14:paraId="5FBEC245">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不允许</w:t>
            </w:r>
          </w:p>
          <w:p w14:paraId="50444AE9">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允许，分包内容要求：</w:t>
            </w:r>
            <w:r>
              <w:rPr>
                <w:rFonts w:hint="eastAsia" w:ascii="宋体" w:hAnsi="宋体" w:eastAsia="宋体" w:cs="宋体"/>
                <w:color w:val="auto"/>
                <w:sz w:val="21"/>
                <w:szCs w:val="21"/>
                <w:highlight w:val="none"/>
                <w:lang w:val="en-US" w:eastAsia="zh-CN"/>
              </w:rPr>
              <w:t>/</w:t>
            </w:r>
          </w:p>
          <w:p w14:paraId="4F196EB5">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 xml:space="preserve">       分包金额要求：</w:t>
            </w:r>
            <w:r>
              <w:rPr>
                <w:rFonts w:hint="eastAsia" w:ascii="宋体" w:hAnsi="宋体" w:eastAsia="宋体" w:cs="宋体"/>
                <w:color w:val="auto"/>
                <w:sz w:val="21"/>
                <w:szCs w:val="21"/>
                <w:highlight w:val="none"/>
                <w:lang w:val="en-US" w:eastAsia="zh-CN"/>
              </w:rPr>
              <w:t>/</w:t>
            </w:r>
          </w:p>
          <w:p w14:paraId="4D62B218">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 xml:space="preserve">       接受分包的第三人资质要求：</w:t>
            </w:r>
            <w:r>
              <w:rPr>
                <w:rFonts w:hint="eastAsia" w:ascii="宋体" w:hAnsi="宋体" w:eastAsia="宋体" w:cs="宋体"/>
                <w:color w:val="auto"/>
                <w:sz w:val="21"/>
                <w:szCs w:val="21"/>
                <w:highlight w:val="none"/>
                <w:lang w:val="en-US" w:eastAsia="zh-CN"/>
              </w:rPr>
              <w:t>/</w:t>
            </w:r>
          </w:p>
        </w:tc>
      </w:tr>
      <w:tr w14:paraId="6603E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2D54EB6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w:t>
            </w:r>
          </w:p>
        </w:tc>
        <w:tc>
          <w:tcPr>
            <w:tcW w:w="1725" w:type="dxa"/>
            <w:noWrap w:val="0"/>
            <w:vAlign w:val="center"/>
          </w:tcPr>
          <w:p w14:paraId="78D8660A">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偏  离</w:t>
            </w:r>
          </w:p>
        </w:tc>
        <w:tc>
          <w:tcPr>
            <w:tcW w:w="6720" w:type="dxa"/>
            <w:noWrap w:val="0"/>
            <w:vAlign w:val="center"/>
          </w:tcPr>
          <w:p w14:paraId="19CA2D2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不允许</w:t>
            </w:r>
          </w:p>
          <w:p w14:paraId="6066033B">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允许，偏差范围：</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 xml:space="preserve">            偏差幅度：</w:t>
            </w:r>
            <w:r>
              <w:rPr>
                <w:rFonts w:hint="eastAsia" w:ascii="宋体" w:hAnsi="宋体" w:eastAsia="宋体" w:cs="宋体"/>
                <w:color w:val="auto"/>
                <w:sz w:val="21"/>
                <w:szCs w:val="21"/>
                <w:highlight w:val="none"/>
                <w:lang w:val="en-US" w:eastAsia="zh-CN"/>
              </w:rPr>
              <w:t>/</w:t>
            </w:r>
          </w:p>
        </w:tc>
      </w:tr>
      <w:tr w14:paraId="5DC8D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6A88522B">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p>
        </w:tc>
        <w:tc>
          <w:tcPr>
            <w:tcW w:w="1725" w:type="dxa"/>
            <w:noWrap w:val="0"/>
            <w:vAlign w:val="center"/>
          </w:tcPr>
          <w:p w14:paraId="74E3953B">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构成招标文件的其他资料</w:t>
            </w:r>
          </w:p>
        </w:tc>
        <w:tc>
          <w:tcPr>
            <w:tcW w:w="6720" w:type="dxa"/>
            <w:noWrap w:val="0"/>
            <w:vAlign w:val="center"/>
          </w:tcPr>
          <w:p w14:paraId="2BBC72F4">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工程量清单、图纸及招标补充文件</w:t>
            </w:r>
            <w:r>
              <w:rPr>
                <w:rFonts w:hint="eastAsia" w:ascii="宋体" w:hAnsi="宋体" w:cs="宋体"/>
                <w:sz w:val="21"/>
                <w:szCs w:val="21"/>
                <w:highlight w:val="none"/>
                <w:lang w:val="en-US" w:eastAsia="zh-CN"/>
              </w:rPr>
              <w:t>等</w:t>
            </w:r>
          </w:p>
        </w:tc>
      </w:tr>
      <w:tr w14:paraId="2FEDD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2F1C18F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w:t>
            </w:r>
          </w:p>
        </w:tc>
        <w:tc>
          <w:tcPr>
            <w:tcW w:w="1725" w:type="dxa"/>
            <w:noWrap w:val="0"/>
            <w:vAlign w:val="center"/>
          </w:tcPr>
          <w:p w14:paraId="22AA141D">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投标人要求澄清招标文件的时间和方式</w:t>
            </w:r>
          </w:p>
        </w:tc>
        <w:tc>
          <w:tcPr>
            <w:tcW w:w="6720" w:type="dxa"/>
            <w:noWrap w:val="0"/>
            <w:vAlign w:val="center"/>
          </w:tcPr>
          <w:p w14:paraId="790BBE1F">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截止时间：</w:t>
            </w:r>
            <w:r>
              <w:rPr>
                <w:rFonts w:hint="eastAsia" w:ascii="宋体" w:hAnsi="宋体" w:eastAsia="宋体" w:cs="宋体"/>
                <w:sz w:val="21"/>
                <w:szCs w:val="21"/>
                <w:highlight w:val="none"/>
              </w:rPr>
              <w:t>在投标截止时间前</w:t>
            </w:r>
          </w:p>
          <w:p w14:paraId="52B60D78">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网络</w:t>
            </w:r>
            <w:r>
              <w:rPr>
                <w:rFonts w:hint="eastAsia" w:ascii="宋体" w:hAnsi="宋体" w:eastAsia="宋体" w:cs="宋体"/>
                <w:color w:val="auto"/>
                <w:sz w:val="21"/>
                <w:szCs w:val="21"/>
                <w:highlight w:val="none"/>
              </w:rPr>
              <w:t xml:space="preserve">方式,提交至 </w:t>
            </w:r>
            <w:r>
              <w:rPr>
                <w:rFonts w:hint="eastAsia" w:ascii="宋体" w:hAnsi="宋体" w:cs="宋体"/>
                <w:sz w:val="21"/>
                <w:szCs w:val="21"/>
                <w:highlight w:val="none"/>
                <w:u w:val="single"/>
                <w:lang w:val="en-US" w:eastAsia="zh-CN"/>
              </w:rPr>
              <w:t>747713778@qq.com</w:t>
            </w:r>
          </w:p>
        </w:tc>
      </w:tr>
      <w:tr w14:paraId="11367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5123C9B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w:t>
            </w:r>
          </w:p>
        </w:tc>
        <w:tc>
          <w:tcPr>
            <w:tcW w:w="1725" w:type="dxa"/>
            <w:noWrap w:val="0"/>
            <w:vAlign w:val="center"/>
          </w:tcPr>
          <w:p w14:paraId="27E2393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投标截止时间</w:t>
            </w:r>
          </w:p>
        </w:tc>
        <w:tc>
          <w:tcPr>
            <w:tcW w:w="6720" w:type="dxa"/>
            <w:noWrap w:val="0"/>
            <w:vAlign w:val="center"/>
          </w:tcPr>
          <w:p w14:paraId="059B4C47">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u w:val="single"/>
                <w:lang w:val="en-US" w:eastAsia="zh-CN"/>
              </w:rPr>
              <w:t>2026年07月10日14</w:t>
            </w:r>
            <w:r>
              <w:rPr>
                <w:rFonts w:hint="eastAsia" w:ascii="宋体" w:hAnsi="宋体" w:eastAsia="宋体" w:cs="宋体"/>
                <w:color w:val="auto"/>
                <w:sz w:val="21"/>
                <w:szCs w:val="21"/>
                <w:highlight w:val="none"/>
                <w:u w:val="single"/>
                <w:lang w:val="en-US" w:eastAsia="zh-CN"/>
              </w:rPr>
              <w:t>时</w:t>
            </w:r>
            <w:r>
              <w:rPr>
                <w:rFonts w:hint="eastAsia" w:ascii="宋体" w:hAnsi="宋体" w:cs="宋体"/>
                <w:color w:val="auto"/>
                <w:sz w:val="21"/>
                <w:szCs w:val="21"/>
                <w:highlight w:val="none"/>
                <w:u w:val="single"/>
                <w:lang w:val="en-US" w:eastAsia="zh-CN"/>
              </w:rPr>
              <w:t>30</w:t>
            </w:r>
            <w:r>
              <w:rPr>
                <w:rFonts w:hint="eastAsia" w:ascii="宋体" w:hAnsi="宋体" w:eastAsia="宋体" w:cs="宋体"/>
                <w:color w:val="auto"/>
                <w:sz w:val="21"/>
                <w:szCs w:val="21"/>
                <w:highlight w:val="none"/>
                <w:u w:val="single"/>
                <w:lang w:val="en-US" w:eastAsia="zh-CN"/>
              </w:rPr>
              <w:t>分</w:t>
            </w:r>
          </w:p>
        </w:tc>
      </w:tr>
      <w:tr w14:paraId="61D5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209647F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2.2.3</w:t>
            </w:r>
          </w:p>
        </w:tc>
        <w:tc>
          <w:tcPr>
            <w:tcW w:w="1725" w:type="dxa"/>
            <w:noWrap w:val="0"/>
            <w:vAlign w:val="center"/>
          </w:tcPr>
          <w:p w14:paraId="7A8637D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澄清和修改</w:t>
            </w:r>
          </w:p>
          <w:p w14:paraId="57566F36">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招标文件的</w:t>
            </w:r>
          </w:p>
          <w:p w14:paraId="6EC8734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w:t>
            </w:r>
          </w:p>
        </w:tc>
        <w:tc>
          <w:tcPr>
            <w:tcW w:w="6720" w:type="dxa"/>
            <w:noWrap w:val="0"/>
            <w:vAlign w:val="center"/>
          </w:tcPr>
          <w:p w14:paraId="5C329247">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color w:val="auto"/>
                <w:szCs w:val="21"/>
                <w:lang w:val="en-US" w:eastAsia="zh-CN"/>
              </w:rPr>
              <w:t>在</w:t>
            </w:r>
            <w:r>
              <w:rPr>
                <w:rFonts w:hint="eastAsia"/>
                <w:color w:val="auto"/>
                <w:szCs w:val="21"/>
              </w:rPr>
              <w:t>江永县人民政府网站(http://www.jiangyong.gov.cn/)上发布</w:t>
            </w:r>
          </w:p>
        </w:tc>
      </w:tr>
      <w:tr w14:paraId="2F31C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3DB88550">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3.1.1</w:t>
            </w:r>
          </w:p>
        </w:tc>
        <w:tc>
          <w:tcPr>
            <w:tcW w:w="1725" w:type="dxa"/>
            <w:noWrap w:val="0"/>
            <w:vAlign w:val="center"/>
          </w:tcPr>
          <w:p w14:paraId="6B02163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构成投标文件的的其他材料</w:t>
            </w:r>
          </w:p>
        </w:tc>
        <w:tc>
          <w:tcPr>
            <w:tcW w:w="6720" w:type="dxa"/>
            <w:noWrap w:val="0"/>
            <w:vAlign w:val="center"/>
          </w:tcPr>
          <w:p w14:paraId="7B3ABA52">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在评标过程中，评标委员会认可的投标人的答疑及澄清文件等(如有)</w:t>
            </w:r>
          </w:p>
        </w:tc>
      </w:tr>
      <w:tr w14:paraId="05F7E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004524D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3.3.1</w:t>
            </w:r>
          </w:p>
        </w:tc>
        <w:tc>
          <w:tcPr>
            <w:tcW w:w="1725" w:type="dxa"/>
            <w:noWrap w:val="0"/>
            <w:vAlign w:val="center"/>
          </w:tcPr>
          <w:p w14:paraId="564E7989">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投标有效期</w:t>
            </w:r>
          </w:p>
        </w:tc>
        <w:tc>
          <w:tcPr>
            <w:tcW w:w="6720" w:type="dxa"/>
            <w:noWrap w:val="0"/>
            <w:vAlign w:val="center"/>
          </w:tcPr>
          <w:p w14:paraId="29DBA599">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自投标截止之日起</w:t>
            </w:r>
            <w:r>
              <w:rPr>
                <w:rFonts w:hint="eastAsia" w:ascii="宋体" w:hAnsi="宋体" w:eastAsia="宋体" w:cs="宋体"/>
                <w:color w:val="auto"/>
                <w:sz w:val="21"/>
                <w:szCs w:val="21"/>
                <w:highlight w:val="none"/>
                <w:u w:val="single"/>
                <w:lang w:val="en-US" w:eastAsia="zh-CN"/>
              </w:rPr>
              <w:t>90</w:t>
            </w:r>
            <w:r>
              <w:rPr>
                <w:rFonts w:hint="eastAsia" w:ascii="宋体" w:hAnsi="宋体" w:eastAsia="宋体" w:cs="宋体"/>
                <w:color w:val="auto"/>
                <w:sz w:val="21"/>
                <w:szCs w:val="21"/>
                <w:highlight w:val="none"/>
              </w:rPr>
              <w:t>天（日历天）</w:t>
            </w:r>
          </w:p>
        </w:tc>
      </w:tr>
      <w:tr w14:paraId="1B07F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140" w:type="dxa"/>
            <w:noWrap w:val="0"/>
            <w:vAlign w:val="center"/>
          </w:tcPr>
          <w:p w14:paraId="1CCAC5B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3.4.1</w:t>
            </w:r>
          </w:p>
        </w:tc>
        <w:tc>
          <w:tcPr>
            <w:tcW w:w="1725" w:type="dxa"/>
            <w:noWrap w:val="0"/>
            <w:vAlign w:val="center"/>
          </w:tcPr>
          <w:p w14:paraId="77969F9B">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投标保证</w:t>
            </w:r>
          </w:p>
        </w:tc>
        <w:tc>
          <w:tcPr>
            <w:tcW w:w="6720" w:type="dxa"/>
            <w:noWrap w:val="0"/>
            <w:vAlign w:val="center"/>
          </w:tcPr>
          <w:p w14:paraId="6609B536">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不要求提交投标担保</w:t>
            </w:r>
          </w:p>
        </w:tc>
      </w:tr>
      <w:tr w14:paraId="4D9D1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688DFF1F">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w:t>
            </w:r>
          </w:p>
        </w:tc>
        <w:tc>
          <w:tcPr>
            <w:tcW w:w="1725" w:type="dxa"/>
            <w:noWrap w:val="0"/>
            <w:vAlign w:val="center"/>
          </w:tcPr>
          <w:p w14:paraId="6682B8F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是否允许递交备选投标方案</w:t>
            </w:r>
          </w:p>
        </w:tc>
        <w:tc>
          <w:tcPr>
            <w:tcW w:w="6720" w:type="dxa"/>
            <w:noWrap w:val="0"/>
            <w:vAlign w:val="center"/>
          </w:tcPr>
          <w:p w14:paraId="1B111AD1">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不允许</w:t>
            </w:r>
          </w:p>
          <w:p w14:paraId="25184A71">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允许</w:t>
            </w:r>
          </w:p>
        </w:tc>
      </w:tr>
      <w:tr w14:paraId="01C92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016F545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3.7.3</w:t>
            </w:r>
          </w:p>
        </w:tc>
        <w:tc>
          <w:tcPr>
            <w:tcW w:w="1725" w:type="dxa"/>
            <w:noWrap w:val="0"/>
            <w:vAlign w:val="center"/>
          </w:tcPr>
          <w:p w14:paraId="20B8D77A">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签字和（或）盖章要求</w:t>
            </w:r>
          </w:p>
        </w:tc>
        <w:tc>
          <w:tcPr>
            <w:tcW w:w="6720" w:type="dxa"/>
            <w:noWrap w:val="0"/>
            <w:vAlign w:val="center"/>
          </w:tcPr>
          <w:p w14:paraId="4CC36FF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投标文件应当由法定代表人（或其委托代理人）签名（或加盖印章），并加盖投标人的单位公章。投标人加盖的单位公章与其营业执照的单位名称应当一致。</w:t>
            </w:r>
            <w:r>
              <w:rPr>
                <w:rFonts w:hint="eastAsia" w:ascii="宋体" w:hAnsi="宋体" w:eastAsia="宋体" w:cs="宋体"/>
                <w:bCs/>
                <w:color w:val="auto"/>
                <w:sz w:val="21"/>
                <w:szCs w:val="21"/>
                <w:highlight w:val="none"/>
              </w:rPr>
              <w:t>施工组织设计采用暗标评审方式的，详见招标文件第八章第三节“施工组织设计文件格式（暗标）”的规定</w:t>
            </w:r>
            <w:r>
              <w:rPr>
                <w:rFonts w:hint="eastAsia" w:ascii="宋体" w:hAnsi="宋体" w:eastAsia="宋体" w:cs="宋体"/>
                <w:color w:val="auto"/>
                <w:sz w:val="21"/>
                <w:szCs w:val="21"/>
                <w:highlight w:val="none"/>
              </w:rPr>
              <w:t>。</w:t>
            </w:r>
          </w:p>
        </w:tc>
      </w:tr>
      <w:tr w14:paraId="5EDE4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4717BE1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3.7.4</w:t>
            </w:r>
          </w:p>
        </w:tc>
        <w:tc>
          <w:tcPr>
            <w:tcW w:w="1725" w:type="dxa"/>
            <w:noWrap w:val="0"/>
            <w:vAlign w:val="center"/>
          </w:tcPr>
          <w:p w14:paraId="7502ACB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投标文件份数</w:t>
            </w:r>
          </w:p>
        </w:tc>
        <w:tc>
          <w:tcPr>
            <w:tcW w:w="6720" w:type="dxa"/>
            <w:noWrap w:val="0"/>
            <w:vAlign w:val="center"/>
          </w:tcPr>
          <w:p w14:paraId="584FEF83">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投标文件（</w:t>
            </w:r>
            <w:r>
              <w:rPr>
                <w:rFonts w:hint="eastAsia" w:ascii="宋体" w:hAnsi="宋体" w:eastAsia="宋体" w:cs="宋体"/>
                <w:color w:val="auto"/>
                <w:sz w:val="21"/>
                <w:szCs w:val="21"/>
                <w:highlight w:val="none"/>
              </w:rPr>
              <w:t>投标函</w:t>
            </w:r>
            <w:r>
              <w:rPr>
                <w:rFonts w:hint="eastAsia" w:ascii="宋体" w:hAnsi="宋体" w:eastAsia="宋体" w:cs="宋体"/>
                <w:color w:val="auto"/>
                <w:sz w:val="21"/>
                <w:szCs w:val="21"/>
                <w:highlight w:val="none"/>
                <w:lang w:val="en-US" w:eastAsia="zh-CN"/>
              </w:rPr>
              <w:t>及附录</w:t>
            </w:r>
            <w:r>
              <w:rPr>
                <w:rFonts w:hint="eastAsia" w:ascii="宋体" w:hAnsi="宋体" w:eastAsia="宋体" w:cs="宋体"/>
                <w:color w:val="auto"/>
                <w:sz w:val="21"/>
                <w:szCs w:val="21"/>
                <w:highlight w:val="none"/>
              </w:rPr>
              <w:t>、投标报价</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一式</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份，其中：正本1份，副本</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份；</w:t>
            </w:r>
          </w:p>
          <w:p w14:paraId="1FEF8595">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Cs w:val="21"/>
                <w:highlight w:val="none"/>
                <w:lang w:eastAsia="zh-CN"/>
              </w:rPr>
              <w:t>投标文件电子版一份，</w:t>
            </w:r>
            <w:r>
              <w:rPr>
                <w:rFonts w:hint="eastAsia" w:ascii="宋体" w:hAnsi="宋体" w:eastAsia="宋体" w:cs="宋体"/>
                <w:color w:val="auto"/>
                <w:szCs w:val="21"/>
                <w:highlight w:val="none"/>
              </w:rPr>
              <w:t>单独放入一个密封套中，加贴封条，</w:t>
            </w:r>
            <w:r>
              <w:rPr>
                <w:rFonts w:hint="eastAsia" w:ascii="宋体" w:hAnsi="宋体" w:eastAsia="宋体" w:cs="宋体"/>
                <w:color w:val="auto"/>
                <w:spacing w:val="6"/>
                <w:szCs w:val="21"/>
                <w:highlight w:val="none"/>
              </w:rPr>
              <w:t>并在封套封口处加盖投标人</w:t>
            </w:r>
            <w:r>
              <w:rPr>
                <w:rFonts w:hint="eastAsia" w:ascii="宋体" w:hAnsi="宋体" w:eastAsia="宋体" w:cs="宋体"/>
                <w:color w:val="auto"/>
                <w:szCs w:val="21"/>
                <w:highlight w:val="none"/>
              </w:rPr>
              <w:t>单位章，在封套上标记“投标文件电子版”字</w:t>
            </w:r>
          </w:p>
        </w:tc>
      </w:tr>
      <w:tr w14:paraId="4C209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031704C6">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3.7.5</w:t>
            </w:r>
          </w:p>
        </w:tc>
        <w:tc>
          <w:tcPr>
            <w:tcW w:w="1725" w:type="dxa"/>
            <w:noWrap w:val="0"/>
            <w:vAlign w:val="center"/>
          </w:tcPr>
          <w:p w14:paraId="11F7384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rPr>
              <w:t>装订要求</w:t>
            </w:r>
          </w:p>
        </w:tc>
        <w:tc>
          <w:tcPr>
            <w:tcW w:w="6720" w:type="dxa"/>
            <w:noWrap w:val="0"/>
            <w:vAlign w:val="center"/>
          </w:tcPr>
          <w:p w14:paraId="42A9BD6D">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□不需要分册装订</w:t>
            </w:r>
          </w:p>
          <w:p w14:paraId="16C06498">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☑需要分册装订，采用胶装方式。分别为：</w:t>
            </w:r>
          </w:p>
          <w:p w14:paraId="0065B0C0">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投标函</w:t>
            </w:r>
            <w:r>
              <w:rPr>
                <w:rFonts w:hint="eastAsia" w:ascii="宋体" w:hAnsi="宋体" w:eastAsia="宋体" w:cs="宋体"/>
                <w:color w:val="auto"/>
                <w:sz w:val="21"/>
                <w:szCs w:val="21"/>
                <w:highlight w:val="none"/>
                <w:lang w:val="en-US" w:eastAsia="zh-CN"/>
              </w:rPr>
              <w:t>及附录</w:t>
            </w:r>
            <w:r>
              <w:rPr>
                <w:rFonts w:hint="eastAsia" w:ascii="宋体" w:hAnsi="宋体" w:eastAsia="宋体" w:cs="宋体"/>
                <w:color w:val="auto"/>
                <w:sz w:val="21"/>
                <w:szCs w:val="21"/>
                <w:highlight w:val="none"/>
              </w:rPr>
              <w:t>：包括投标函封面和目录内容；</w:t>
            </w:r>
          </w:p>
          <w:p w14:paraId="6108454B">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投标报价：包括投标报价封面和目录内容。</w:t>
            </w:r>
          </w:p>
          <w:p w14:paraId="28C30C06">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每册采用</w:t>
            </w:r>
            <w:r>
              <w:rPr>
                <w:rFonts w:hint="eastAsia" w:ascii="宋体" w:hAnsi="宋体" w:eastAsia="宋体" w:cs="宋体"/>
                <w:b/>
                <w:bCs/>
                <w:color w:val="auto"/>
                <w:sz w:val="21"/>
                <w:szCs w:val="21"/>
                <w:highlight w:val="none"/>
                <w:u w:val="single"/>
              </w:rPr>
              <w:t xml:space="preserve"> 胶装 </w:t>
            </w:r>
            <w:r>
              <w:rPr>
                <w:rFonts w:hint="eastAsia" w:ascii="宋体" w:hAnsi="宋体" w:eastAsia="宋体" w:cs="宋体"/>
                <w:color w:val="auto"/>
                <w:sz w:val="21"/>
                <w:szCs w:val="21"/>
                <w:highlight w:val="none"/>
              </w:rPr>
              <w:t>方式装订，装订应牢固、不易拆散和换页，不得采用活页装订，提倡双面打印。</w:t>
            </w:r>
          </w:p>
          <w:p w14:paraId="7CE62279">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kern w:val="0"/>
                <w:szCs w:val="21"/>
                <w:highlight w:val="none"/>
              </w:rPr>
              <w:t>注：投标函部分中的“投标函”“投标函附录”另行单独准备一份，用信封包装密封后附于投标文件密封袋上与投标文件一同递交。以便于开标时唱标和查询。</w:t>
            </w:r>
          </w:p>
        </w:tc>
      </w:tr>
      <w:tr w14:paraId="4E67E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450F0A9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4.1.2</w:t>
            </w:r>
          </w:p>
        </w:tc>
        <w:tc>
          <w:tcPr>
            <w:tcW w:w="1725" w:type="dxa"/>
            <w:noWrap w:val="0"/>
            <w:vAlign w:val="center"/>
          </w:tcPr>
          <w:p w14:paraId="712762E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rPr>
              <w:t>封套上应载明的信息</w:t>
            </w:r>
          </w:p>
        </w:tc>
        <w:tc>
          <w:tcPr>
            <w:tcW w:w="6720" w:type="dxa"/>
            <w:noWrap w:val="0"/>
            <w:vAlign w:val="center"/>
          </w:tcPr>
          <w:p w14:paraId="3E078845">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招标人名称：</w:t>
            </w:r>
            <w:r>
              <w:rPr>
                <w:rFonts w:hint="eastAsia" w:ascii="宋体" w:hAnsi="宋体" w:eastAsia="宋体" w:cs="宋体"/>
                <w:color w:val="auto"/>
                <w:sz w:val="21"/>
                <w:szCs w:val="21"/>
                <w:u w:val="single"/>
              </w:rPr>
              <w:t xml:space="preserve">                  </w:t>
            </w:r>
          </w:p>
          <w:p w14:paraId="50DECD82">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招标人地址：</w:t>
            </w:r>
            <w:r>
              <w:rPr>
                <w:rFonts w:hint="eastAsia" w:ascii="宋体" w:hAnsi="宋体" w:eastAsia="宋体" w:cs="宋体"/>
                <w:color w:val="auto"/>
                <w:sz w:val="21"/>
                <w:szCs w:val="21"/>
                <w:u w:val="single"/>
              </w:rPr>
              <w:t xml:space="preserve">                  </w:t>
            </w:r>
          </w:p>
          <w:p w14:paraId="5473D04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投标人全称（盖公章）：</w:t>
            </w:r>
            <w:r>
              <w:rPr>
                <w:rFonts w:hint="eastAsia" w:ascii="宋体" w:hAnsi="宋体" w:eastAsia="宋体" w:cs="宋体"/>
                <w:color w:val="auto"/>
                <w:sz w:val="21"/>
                <w:szCs w:val="21"/>
                <w:u w:val="single"/>
              </w:rPr>
              <w:t xml:space="preserve">        </w:t>
            </w:r>
          </w:p>
          <w:p w14:paraId="3C7FFCD6">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投标人的地址：</w:t>
            </w:r>
            <w:r>
              <w:rPr>
                <w:rFonts w:hint="eastAsia" w:ascii="宋体" w:hAnsi="宋体" w:eastAsia="宋体" w:cs="宋体"/>
                <w:color w:val="auto"/>
                <w:sz w:val="21"/>
                <w:szCs w:val="21"/>
                <w:u w:val="single"/>
              </w:rPr>
              <w:t xml:space="preserve">                </w:t>
            </w:r>
          </w:p>
          <w:p w14:paraId="49A4816F">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（项目名称）投标文件在</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时分前不得开启</w:t>
            </w:r>
          </w:p>
        </w:tc>
      </w:tr>
      <w:tr w14:paraId="7CE63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6D58006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4.2.2</w:t>
            </w:r>
          </w:p>
        </w:tc>
        <w:tc>
          <w:tcPr>
            <w:tcW w:w="1725" w:type="dxa"/>
            <w:noWrap w:val="0"/>
            <w:vAlign w:val="center"/>
          </w:tcPr>
          <w:p w14:paraId="01914626">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递交投标文件</w:t>
            </w:r>
          </w:p>
          <w:p w14:paraId="7D544B3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地点</w:t>
            </w:r>
          </w:p>
        </w:tc>
        <w:tc>
          <w:tcPr>
            <w:tcW w:w="6720" w:type="dxa"/>
            <w:noWrap w:val="0"/>
            <w:vAlign w:val="center"/>
          </w:tcPr>
          <w:p w14:paraId="1AA17586">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纸质</w:t>
            </w:r>
            <w:r>
              <w:rPr>
                <w:rFonts w:hint="eastAsia" w:ascii="宋体" w:hAnsi="宋体" w:eastAsia="宋体" w:cs="宋体"/>
                <w:color w:val="auto"/>
                <w:sz w:val="21"/>
                <w:szCs w:val="21"/>
                <w:highlight w:val="none"/>
              </w:rPr>
              <w:t>投标文件递交至</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江永县女书大酒店4楼（</w:t>
            </w:r>
            <w:r>
              <w:rPr>
                <w:rFonts w:hint="eastAsia" w:ascii="宋体" w:hAnsi="宋体" w:cs="宋体"/>
                <w:color w:val="auto"/>
                <w:sz w:val="21"/>
                <w:szCs w:val="21"/>
                <w:highlight w:val="none"/>
                <w:u w:val="single"/>
                <w:lang w:val="en-US" w:eastAsia="zh-CN"/>
              </w:rPr>
              <w:t>江永县五一北路知青广场</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p>
        </w:tc>
      </w:tr>
      <w:tr w14:paraId="42048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41046E0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4.2.3</w:t>
            </w:r>
          </w:p>
        </w:tc>
        <w:tc>
          <w:tcPr>
            <w:tcW w:w="1725" w:type="dxa"/>
            <w:noWrap w:val="0"/>
            <w:vAlign w:val="center"/>
          </w:tcPr>
          <w:p w14:paraId="2D49F2E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是否退还投标</w:t>
            </w:r>
          </w:p>
          <w:p w14:paraId="0E9A1C9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文件</w:t>
            </w:r>
          </w:p>
        </w:tc>
        <w:tc>
          <w:tcPr>
            <w:tcW w:w="6720" w:type="dxa"/>
            <w:noWrap w:val="0"/>
            <w:vAlign w:val="center"/>
          </w:tcPr>
          <w:p w14:paraId="2F4A3D99">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否</w:t>
            </w:r>
          </w:p>
          <w:p w14:paraId="1706A26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是，退还时间：</w:t>
            </w:r>
            <w:r>
              <w:rPr>
                <w:rFonts w:hint="eastAsia" w:ascii="宋体" w:hAnsi="宋体" w:eastAsia="宋体" w:cs="宋体"/>
                <w:color w:val="auto"/>
                <w:sz w:val="21"/>
                <w:szCs w:val="21"/>
                <w:highlight w:val="none"/>
                <w:lang w:val="en-US" w:eastAsia="zh-CN"/>
              </w:rPr>
              <w:t>/</w:t>
            </w:r>
          </w:p>
        </w:tc>
      </w:tr>
      <w:tr w14:paraId="3DDA8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035D8BB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w:t>
            </w:r>
          </w:p>
        </w:tc>
        <w:tc>
          <w:tcPr>
            <w:tcW w:w="1725" w:type="dxa"/>
            <w:noWrap w:val="0"/>
            <w:vAlign w:val="center"/>
          </w:tcPr>
          <w:p w14:paraId="6FAE51AB">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开标时间和地点</w:t>
            </w:r>
          </w:p>
        </w:tc>
        <w:tc>
          <w:tcPr>
            <w:tcW w:w="6720" w:type="dxa"/>
            <w:noWrap w:val="0"/>
            <w:vAlign w:val="center"/>
          </w:tcPr>
          <w:p w14:paraId="43B7F4AD">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开标时间：同投标截止时间</w:t>
            </w:r>
          </w:p>
          <w:p w14:paraId="282DFBBF">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开标地点： </w:t>
            </w:r>
            <w:r>
              <w:rPr>
                <w:rFonts w:hint="eastAsia" w:ascii="宋体" w:hAnsi="宋体" w:eastAsia="宋体" w:cs="宋体"/>
                <w:color w:val="auto"/>
                <w:sz w:val="21"/>
                <w:szCs w:val="21"/>
                <w:highlight w:val="none"/>
                <w:u w:val="single"/>
                <w:lang w:val="en-US" w:eastAsia="zh-CN"/>
              </w:rPr>
              <w:t>在江永县女书大酒店4楼（</w:t>
            </w:r>
            <w:r>
              <w:rPr>
                <w:rFonts w:hint="eastAsia" w:ascii="宋体" w:hAnsi="宋体" w:cs="宋体"/>
                <w:color w:val="auto"/>
                <w:sz w:val="21"/>
                <w:szCs w:val="21"/>
                <w:highlight w:val="none"/>
                <w:u w:val="single"/>
                <w:lang w:val="en-US" w:eastAsia="zh-CN"/>
              </w:rPr>
              <w:t>江永县五一北路知青广场</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rPr>
              <w:t>举行，所有投标人应准时参加开标。</w:t>
            </w:r>
          </w:p>
        </w:tc>
      </w:tr>
      <w:tr w14:paraId="5A25B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29A42BE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6.1.1</w:t>
            </w:r>
          </w:p>
        </w:tc>
        <w:tc>
          <w:tcPr>
            <w:tcW w:w="1725" w:type="dxa"/>
            <w:noWrap w:val="0"/>
            <w:vAlign w:val="center"/>
          </w:tcPr>
          <w:p w14:paraId="137CDD7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评标委员会的      组建</w:t>
            </w:r>
          </w:p>
        </w:tc>
        <w:tc>
          <w:tcPr>
            <w:tcW w:w="6720" w:type="dxa"/>
            <w:noWrap w:val="0"/>
            <w:vAlign w:val="center"/>
          </w:tcPr>
          <w:p w14:paraId="15E5A1DD">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评标委员会成员</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人。</w:t>
            </w:r>
          </w:p>
          <w:p w14:paraId="259751D8">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评标专家确定方式：在评标专家库中随机抽取</w:t>
            </w:r>
            <w:r>
              <w:rPr>
                <w:rFonts w:hint="eastAsia" w:ascii="宋体" w:hAnsi="宋体" w:eastAsia="宋体" w:cs="宋体"/>
                <w:color w:val="auto"/>
                <w:sz w:val="21"/>
                <w:szCs w:val="21"/>
                <w:highlight w:val="none"/>
                <w:lang w:eastAsia="zh-CN"/>
              </w:rPr>
              <w:t>。</w:t>
            </w:r>
          </w:p>
        </w:tc>
      </w:tr>
      <w:tr w14:paraId="4B5B9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79D12247">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w:t>
            </w:r>
          </w:p>
        </w:tc>
        <w:tc>
          <w:tcPr>
            <w:tcW w:w="1725" w:type="dxa"/>
            <w:noWrap w:val="0"/>
            <w:vAlign w:val="center"/>
          </w:tcPr>
          <w:p w14:paraId="2ED0153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推荐中标候选人和确定中标人 方式</w:t>
            </w:r>
          </w:p>
        </w:tc>
        <w:tc>
          <w:tcPr>
            <w:tcW w:w="6720" w:type="dxa"/>
            <w:noWrap w:val="0"/>
            <w:vAlign w:val="center"/>
          </w:tcPr>
          <w:p w14:paraId="39131BE1">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排序法，即：由评标委员会推荐不超过3个有排序的中标候选人，公示期满后招标人按照相关规定确定中标人。</w:t>
            </w:r>
          </w:p>
        </w:tc>
      </w:tr>
      <w:tr w14:paraId="28C0A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20AE3DDF">
            <w:pPr>
              <w:keepNext w:val="0"/>
              <w:keepLines w:val="0"/>
              <w:suppressLineNumbers w:val="0"/>
              <w:spacing w:before="0" w:beforeAutospacing="0" w:after="0" w:afterAutospacing="0" w:line="240" w:lineRule="auto"/>
              <w:ind w:left="0" w:right="0"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7.3.1</w:t>
            </w:r>
          </w:p>
        </w:tc>
        <w:tc>
          <w:tcPr>
            <w:tcW w:w="1725" w:type="dxa"/>
            <w:noWrap w:val="0"/>
            <w:vAlign w:val="center"/>
          </w:tcPr>
          <w:p w14:paraId="2DC00315">
            <w:pPr>
              <w:keepNext w:val="0"/>
              <w:keepLines w:val="0"/>
              <w:suppressLineNumbers w:val="0"/>
              <w:spacing w:before="0" w:beforeAutospacing="0" w:after="0" w:afterAutospacing="0" w:line="240" w:lineRule="auto"/>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履约担保</w:t>
            </w:r>
          </w:p>
        </w:tc>
        <w:tc>
          <w:tcPr>
            <w:tcW w:w="6720" w:type="dxa"/>
            <w:noWrap w:val="0"/>
            <w:vAlign w:val="center"/>
          </w:tcPr>
          <w:p w14:paraId="59D0F43B">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经评审的最低投标价法，应当提供履约担保，</w:t>
            </w:r>
          </w:p>
          <w:p w14:paraId="478B09D7">
            <w:pPr>
              <w:keepNext w:val="0"/>
              <w:keepLines w:val="0"/>
              <w:pageBreakBefore w:val="0"/>
              <w:numPr>
                <w:ilvl w:val="0"/>
                <w:numId w:val="1"/>
              </w:numPr>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保函形式：包括银行业金融机构保函、担保公司担保（</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 xml:space="preserve">融资性担保公司保函  </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非融资性担保公司保函）、保险公司保证保险</w:t>
            </w:r>
          </w:p>
          <w:p w14:paraId="3CF78D8A">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2.担保金额：中标金额低于最高投标限价10%以内的，不超过中标合同金额的10%。中标金额低于最高投标限价10%以上的，为最高投标限价减去中标合同金额后的差额。</w:t>
            </w:r>
          </w:p>
          <w:p w14:paraId="09C159E7">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p>
        </w:tc>
      </w:tr>
      <w:tr w14:paraId="5D3F6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85" w:type="dxa"/>
            <w:gridSpan w:val="3"/>
            <w:noWrap w:val="0"/>
            <w:vAlign w:val="center"/>
          </w:tcPr>
          <w:p w14:paraId="74FF42B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10.1补充内容</w:t>
            </w:r>
          </w:p>
        </w:tc>
      </w:tr>
      <w:tr w14:paraId="1353F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0CE3B73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10.1.1</w:t>
            </w:r>
          </w:p>
        </w:tc>
        <w:tc>
          <w:tcPr>
            <w:tcW w:w="1725" w:type="dxa"/>
            <w:noWrap w:val="0"/>
            <w:vAlign w:val="center"/>
          </w:tcPr>
          <w:p w14:paraId="34D692A3">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类似工程业绩</w:t>
            </w:r>
          </w:p>
        </w:tc>
        <w:tc>
          <w:tcPr>
            <w:tcW w:w="6720" w:type="dxa"/>
            <w:noWrap w:val="0"/>
            <w:vAlign w:val="center"/>
          </w:tcPr>
          <w:p w14:paraId="12BB0567">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1.资格要求：</w:t>
            </w:r>
          </w:p>
          <w:p w14:paraId="0B13120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不要求类似工程业绩</w:t>
            </w:r>
          </w:p>
          <w:p w14:paraId="4F029D53">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要求类似工程业绩（由招标人在以下工程业绩中勾选一项）</w:t>
            </w:r>
          </w:p>
          <w:p w14:paraId="08554D7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 xml:space="preserve">投标人1项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拟任项目经理1项</w:t>
            </w:r>
          </w:p>
          <w:p w14:paraId="7F91813C">
            <w:pPr>
              <w:keepNext w:val="0"/>
              <w:keepLines w:val="0"/>
              <w:pageBreakBefore w:val="0"/>
              <w:suppressLineNumbers w:val="0"/>
              <w:tabs>
                <w:tab w:val="left" w:pos="312"/>
              </w:tabs>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2.评审加分要求的类似工程业绩个数</w:t>
            </w:r>
          </w:p>
          <w:p w14:paraId="601CF8C1">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2.1投标人：</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0个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 xml:space="preserve">1个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 xml:space="preserve">2个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3个</w:t>
            </w:r>
          </w:p>
          <w:p w14:paraId="67DA891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2.2拟任项目经理：</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0个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1个</w:t>
            </w:r>
          </w:p>
          <w:p w14:paraId="01732757">
            <w:pPr>
              <w:keepNext w:val="0"/>
              <w:keepLines w:val="0"/>
              <w:pageBreakBefore w:val="0"/>
              <w:suppressLineNumbers w:val="0"/>
              <w:tabs>
                <w:tab w:val="left" w:pos="312"/>
              </w:tabs>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3.类似工程业绩应当符合以下规定：</w:t>
            </w:r>
          </w:p>
          <w:p w14:paraId="30296363">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（1）资格要求的类似工程业绩：</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44EE909B">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（2）评审加分要求的类似工程业绩：</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D336C5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招标人根据招标项目的特点和实际需要提出要求，并符合以下规定：①投标人资格要求的类似工程业绩原则上不超过招标项目相关指标的50%［四舍五入取整数，下同］②评审加分的类似工程业绩，原则上为招标项目相关指标的70%。其中：房屋建筑工程，采用建筑类型、结构、层数、高度、建筑面积、跨度、单项合同额等指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特征</w:t>
            </w:r>
            <w:r>
              <w:rPr>
                <w:rFonts w:hint="eastAsia" w:ascii="宋体" w:hAnsi="宋体" w:eastAsia="宋体" w:cs="宋体"/>
                <w:color w:val="auto"/>
                <w:sz w:val="21"/>
                <w:szCs w:val="21"/>
                <w:highlight w:val="none"/>
              </w:rPr>
              <w:t>中的 1-2项。市政基础设施工程，采用道路长度或者面积、桥梁长度或者面积或者跨度或者结构、管道直径或者压力、隧道和地下交通工程断面面积、供水能力、供气能力、供热能力、污水处理能力、垃圾处理能力、园林绿化规模以及单项合同额等指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特征</w:t>
            </w:r>
            <w:r>
              <w:rPr>
                <w:rFonts w:hint="eastAsia" w:ascii="宋体" w:hAnsi="宋体" w:eastAsia="宋体" w:cs="宋体"/>
                <w:color w:val="auto"/>
                <w:sz w:val="21"/>
                <w:szCs w:val="21"/>
                <w:highlight w:val="none"/>
              </w:rPr>
              <w:t>中的1-2 项）。</w:t>
            </w:r>
          </w:p>
          <w:p w14:paraId="13EBA4F1">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4.类似工程业绩的考核要求：</w:t>
            </w:r>
          </w:p>
          <w:p w14:paraId="7B2F97A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（1）考核依</w:t>
            </w:r>
            <w:r>
              <w:rPr>
                <w:rFonts w:hint="eastAsia" w:ascii="宋体" w:hAnsi="宋体" w:eastAsia="宋体" w:cs="宋体"/>
                <w:bCs w:val="0"/>
                <w:color w:val="auto"/>
                <w:sz w:val="21"/>
                <w:szCs w:val="21"/>
                <w:highlight w:val="none"/>
              </w:rPr>
              <w:t>据：</w:t>
            </w:r>
            <w:r>
              <w:rPr>
                <w:rFonts w:hint="eastAsia" w:ascii="宋体" w:hAnsi="宋体" w:eastAsia="宋体" w:cs="宋体"/>
                <w:color w:val="auto"/>
                <w:sz w:val="21"/>
                <w:szCs w:val="21"/>
                <w:highlight w:val="none"/>
              </w:rPr>
              <w:t>以投标文件中提供的中标通知书（招标工程提交）、 合同和竣工验收资料以及本项目答疑文件明确可以作为考核依据的资料的复印件为准，并提供“湖南省智慧住建云—湖南省建筑市场监管公共服务平台”或者“全国建筑市场监管公共服务平台”上体现其作为</w:t>
            </w:r>
            <w:r>
              <w:rPr>
                <w:rFonts w:hint="eastAsia" w:ascii="宋体" w:hAnsi="宋体" w:eastAsia="宋体" w:cs="宋体"/>
                <w:color w:val="auto"/>
                <w:sz w:val="21"/>
                <w:szCs w:val="21"/>
                <w:highlight w:val="none"/>
                <w:lang w:val="en-US" w:eastAsia="zh-CN"/>
              </w:rPr>
              <w:t>相应</w:t>
            </w:r>
            <w:r>
              <w:rPr>
                <w:rFonts w:hint="eastAsia" w:ascii="宋体" w:hAnsi="宋体" w:eastAsia="宋体" w:cs="宋体"/>
                <w:color w:val="auto"/>
                <w:sz w:val="21"/>
                <w:szCs w:val="21"/>
                <w:highlight w:val="none"/>
              </w:rPr>
              <w:t>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项目经理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的项目网页截图。</w:t>
            </w:r>
          </w:p>
          <w:p w14:paraId="6C9ED70D">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相关指标不一致时，依次按照中标通知书、合同、竣工验收资料的顺序认定。竣工验收资料是指竣工验收备案表（经建设工程质量监督部门签字或盖章确认，下同）或者竣工验收证明（由建设单位、施工单位、监理单位、设计单位签字或盖章认可，下同）</w:t>
            </w:r>
            <w:r>
              <w:rPr>
                <w:rFonts w:hint="eastAsia" w:ascii="宋体" w:hAnsi="宋体" w:eastAsia="宋体" w:cs="宋体"/>
                <w:color w:val="auto"/>
                <w:sz w:val="21"/>
                <w:szCs w:val="21"/>
                <w:highlight w:val="none"/>
                <w:lang w:eastAsia="zh-CN"/>
              </w:rPr>
              <w:t>。</w:t>
            </w:r>
          </w:p>
          <w:p w14:paraId="2AAED8D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投标人提供的类似工程业绩同时包含</w:t>
            </w:r>
            <w:r>
              <w:rPr>
                <w:rFonts w:hint="eastAsia" w:ascii="宋体" w:hAnsi="宋体" w:eastAsia="宋体" w:cs="宋体"/>
                <w:color w:val="auto"/>
                <w:sz w:val="21"/>
                <w:szCs w:val="21"/>
                <w:highlight w:val="none"/>
                <w:lang w:val="en-US" w:eastAsia="zh-CN"/>
              </w:rPr>
              <w:t>多种类型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专业）</w:t>
            </w:r>
            <w:r>
              <w:rPr>
                <w:rFonts w:hint="eastAsia" w:ascii="宋体" w:hAnsi="宋体" w:eastAsia="宋体" w:cs="宋体"/>
                <w:color w:val="auto"/>
                <w:sz w:val="21"/>
                <w:szCs w:val="21"/>
                <w:highlight w:val="none"/>
              </w:rPr>
              <w:t>的，其工程</w:t>
            </w:r>
            <w:r>
              <w:rPr>
                <w:rFonts w:hint="eastAsia" w:ascii="宋体" w:hAnsi="宋体" w:eastAsia="宋体" w:cs="宋体"/>
                <w:color w:val="auto"/>
                <w:sz w:val="21"/>
                <w:szCs w:val="21"/>
                <w:highlight w:val="none"/>
                <w:lang w:val="en-US" w:eastAsia="zh-CN"/>
              </w:rPr>
              <w:t>类型（专业）</w:t>
            </w:r>
            <w:r>
              <w:rPr>
                <w:rFonts w:hint="eastAsia" w:ascii="宋体" w:hAnsi="宋体" w:eastAsia="宋体" w:cs="宋体"/>
                <w:color w:val="auto"/>
                <w:sz w:val="21"/>
                <w:szCs w:val="21"/>
                <w:highlight w:val="none"/>
              </w:rPr>
              <w:t>所对应的工程量应当根据中标通知书、合同、竣工验收资料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以及</w:t>
            </w:r>
            <w:r>
              <w:rPr>
                <w:rFonts w:hint="eastAsia" w:ascii="宋体" w:hAnsi="宋体" w:eastAsia="宋体" w:cs="宋体"/>
                <w:color w:val="auto"/>
                <w:sz w:val="21"/>
                <w:szCs w:val="21"/>
                <w:highlight w:val="none"/>
              </w:rPr>
              <w:t>本项目答疑文件明确可以作为考核依据的资料进行认定；以上资料均不能明确区分的，由评标委员会进行认定。</w:t>
            </w:r>
          </w:p>
          <w:p w14:paraId="6E4A9C3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（2）考核期限：</w:t>
            </w:r>
            <w:r>
              <w:rPr>
                <w:rFonts w:hint="eastAsia" w:ascii="宋体" w:hAnsi="宋体" w:eastAsia="宋体" w:cs="宋体"/>
                <w:color w:val="auto"/>
                <w:sz w:val="21"/>
                <w:szCs w:val="21"/>
                <w:highlight w:val="none"/>
                <w:lang w:val="en-US" w:eastAsia="zh-CN"/>
              </w:rPr>
              <w:t>投标截止时间之日前3年</w:t>
            </w:r>
            <w:r>
              <w:rPr>
                <w:rFonts w:hint="eastAsia" w:ascii="宋体" w:hAnsi="宋体" w:eastAsia="宋体" w:cs="宋体"/>
                <w:color w:val="auto"/>
                <w:sz w:val="21"/>
                <w:szCs w:val="21"/>
                <w:highlight w:val="none"/>
              </w:rPr>
              <w:t>，按工程竣工验收文件中建设单位签字之日起计算。类似工程业绩考核依据中竣工验收备案表未体现建设单位签字之日的以竣工验收备案表“竣工验收日期”栏中注明的时间为准。</w:t>
            </w:r>
          </w:p>
          <w:p w14:paraId="3BE313C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投标人提供的类似工程业绩不符合上述规定时，涉及投标人资格条件的，应当认定该投标人资格条件不符合招标文件要求，否决其投标；涉及评审加分的，投标人类似工程业绩不予计分。</w:t>
            </w:r>
          </w:p>
        </w:tc>
      </w:tr>
      <w:tr w14:paraId="4C358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23533FB6">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10.1.2</w:t>
            </w:r>
          </w:p>
        </w:tc>
        <w:tc>
          <w:tcPr>
            <w:tcW w:w="1725" w:type="dxa"/>
            <w:noWrap w:val="0"/>
            <w:vAlign w:val="center"/>
          </w:tcPr>
          <w:p w14:paraId="0622F44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企业资信及履约能力评审的奖项、标准化工地</w:t>
            </w:r>
          </w:p>
        </w:tc>
        <w:tc>
          <w:tcPr>
            <w:tcW w:w="6720" w:type="dxa"/>
            <w:noWrap w:val="0"/>
            <w:vAlign w:val="center"/>
          </w:tcPr>
          <w:p w14:paraId="1E19836F">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1.奖项个数： </w:t>
            </w:r>
          </w:p>
          <w:p w14:paraId="7BC19ECD">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①国家级（鲁班奖、国家优质工程奖）：</w:t>
            </w:r>
          </w:p>
          <w:p w14:paraId="66E15E21">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w:t>
            </w:r>
            <w:r>
              <w:rPr>
                <w:rFonts w:hint="eastAsia" w:ascii="宋体" w:hAnsi="宋体" w:eastAsia="宋体" w:cs="宋体"/>
                <w:color w:val="auto"/>
                <w:sz w:val="21"/>
                <w:szCs w:val="21"/>
                <w:highlight w:val="none"/>
                <w:lang w:val="en-US" w:eastAsia="zh-CN"/>
              </w:rPr>
              <w:t xml:space="preserve">  ☑0个  □1个  □2个  □3个</w:t>
            </w:r>
          </w:p>
          <w:p w14:paraId="6F976861">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 0 个  </w:t>
            </w:r>
            <w:r>
              <w:rPr>
                <w:rFonts w:hint="eastAsia" w:ascii="宋体" w:hAnsi="宋体" w:eastAsia="宋体" w:cs="宋体"/>
                <w:color w:val="auto"/>
                <w:sz w:val="21"/>
                <w:szCs w:val="21"/>
                <w:highlight w:val="none"/>
                <w:lang w:val="en-US" w:eastAsia="zh-CN"/>
              </w:rPr>
              <w:t>□1个</w:t>
            </w:r>
          </w:p>
          <w:p w14:paraId="72EAA9C4">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②省级（省级综合工程质量奖、省</w:t>
            </w:r>
            <w:r>
              <w:rPr>
                <w:rFonts w:hint="eastAsia" w:ascii="宋体" w:hAnsi="宋体" w:eastAsia="宋体" w:cs="宋体"/>
                <w:color w:val="auto"/>
                <w:sz w:val="21"/>
                <w:szCs w:val="21"/>
                <w:highlight w:val="none"/>
                <w:lang w:val="en-US" w:eastAsia="zh-CN"/>
              </w:rPr>
              <w:t>级</w:t>
            </w:r>
            <w:r>
              <w:rPr>
                <w:rFonts w:hint="eastAsia" w:ascii="宋体" w:hAnsi="宋体" w:eastAsia="宋体" w:cs="宋体"/>
                <w:color w:val="auto"/>
                <w:sz w:val="21"/>
                <w:szCs w:val="21"/>
                <w:highlight w:val="none"/>
              </w:rPr>
              <w:t>优质工程奖）：</w:t>
            </w:r>
          </w:p>
          <w:p w14:paraId="776CEC38">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w:t>
            </w:r>
            <w:r>
              <w:rPr>
                <w:rFonts w:hint="eastAsia" w:ascii="宋体" w:hAnsi="宋体" w:eastAsia="宋体" w:cs="宋体"/>
                <w:color w:val="auto"/>
                <w:sz w:val="21"/>
                <w:szCs w:val="21"/>
                <w:highlight w:val="none"/>
                <w:lang w:val="en-US" w:eastAsia="zh-CN"/>
              </w:rPr>
              <w:t xml:space="preserve">  ☑0个  □1个  □2个  □3个</w:t>
            </w:r>
          </w:p>
          <w:p w14:paraId="40060200">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 0 个  </w:t>
            </w:r>
            <w:r>
              <w:rPr>
                <w:rFonts w:hint="eastAsia" w:ascii="宋体" w:hAnsi="宋体" w:eastAsia="宋体" w:cs="宋体"/>
                <w:color w:val="auto"/>
                <w:sz w:val="21"/>
                <w:szCs w:val="21"/>
                <w:highlight w:val="none"/>
                <w:lang w:val="en-US" w:eastAsia="zh-CN"/>
              </w:rPr>
              <w:t>□1个</w:t>
            </w:r>
          </w:p>
          <w:p w14:paraId="6FF68296">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2.标准化工地个数：</w:t>
            </w:r>
          </w:p>
          <w:p w14:paraId="77DA0C1A">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①国家级（</w:t>
            </w:r>
            <w:r>
              <w:rPr>
                <w:rFonts w:hint="eastAsia" w:ascii="宋体" w:hAnsi="宋体" w:eastAsia="宋体" w:cs="宋体"/>
                <w:color w:val="auto"/>
                <w:kern w:val="2"/>
                <w:sz w:val="21"/>
                <w:szCs w:val="21"/>
                <w:highlight w:val="none"/>
              </w:rPr>
              <w:t>国家建设工程项目施工工地安全生产标准化学习交流项目</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☑0个  □1个  □2个</w:t>
            </w:r>
            <w:r>
              <w:rPr>
                <w:rFonts w:hint="eastAsia" w:ascii="宋体" w:hAnsi="宋体" w:eastAsia="宋体" w:cs="宋体"/>
                <w:color w:val="auto"/>
                <w:sz w:val="21"/>
                <w:szCs w:val="21"/>
                <w:highlight w:val="none"/>
              </w:rPr>
              <w:t xml:space="preserve"> </w:t>
            </w:r>
          </w:p>
          <w:p w14:paraId="71E962D6">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w:t>
            </w:r>
            <w:r>
              <w:rPr>
                <w:rFonts w:hint="eastAsia" w:ascii="宋体" w:hAnsi="宋体" w:eastAsia="宋体" w:cs="宋体"/>
                <w:color w:val="auto"/>
                <w:kern w:val="2"/>
                <w:sz w:val="21"/>
                <w:szCs w:val="21"/>
                <w:highlight w:val="none"/>
              </w:rPr>
              <w:t>省级建筑施工安全生产标准化年度项目考评优良工地</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none"/>
                <w:lang w:val="en-US" w:eastAsia="zh-CN"/>
              </w:rPr>
              <w:t>0</w:t>
            </w:r>
            <w:r>
              <w:rPr>
                <w:rFonts w:hint="eastAsia" w:ascii="宋体" w:hAnsi="宋体" w:eastAsia="宋体" w:cs="宋体"/>
                <w:color w:val="auto"/>
                <w:sz w:val="21"/>
                <w:szCs w:val="21"/>
                <w:highlight w:val="none"/>
              </w:rPr>
              <w:t>个（0-20个）</w:t>
            </w:r>
          </w:p>
          <w:p w14:paraId="1E94912A">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3.园林绿化工程奖项、标准化工地加分规定</w:t>
            </w:r>
          </w:p>
          <w:p w14:paraId="4C9C3578">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（1）奖项</w:t>
            </w:r>
          </w:p>
          <w:p w14:paraId="3B675958">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①国家级，中国人居环境范例奖（园林绿化获奖项目）：</w:t>
            </w:r>
          </w:p>
          <w:p w14:paraId="3B3B4647">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w:t>
            </w:r>
            <w:r>
              <w:rPr>
                <w:rFonts w:hint="eastAsia" w:ascii="宋体" w:hAnsi="宋体" w:eastAsia="宋体" w:cs="宋体"/>
                <w:color w:val="auto"/>
                <w:sz w:val="21"/>
                <w:szCs w:val="21"/>
                <w:highlight w:val="none"/>
                <w:lang w:val="en-US" w:eastAsia="zh-CN"/>
              </w:rPr>
              <w:t xml:space="preserve"> ☑0个  □1个  □2个  □3个</w:t>
            </w:r>
          </w:p>
          <w:p w14:paraId="14F62A9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 0 个  </w:t>
            </w:r>
            <w:r>
              <w:rPr>
                <w:rFonts w:hint="eastAsia" w:ascii="宋体" w:hAnsi="宋体" w:eastAsia="宋体" w:cs="宋体"/>
                <w:color w:val="auto"/>
                <w:sz w:val="21"/>
                <w:szCs w:val="21"/>
                <w:highlight w:val="none"/>
                <w:lang w:val="en-US" w:eastAsia="zh-CN"/>
              </w:rPr>
              <w:t>□1个</w:t>
            </w:r>
          </w:p>
          <w:p w14:paraId="32F4BF1E">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②省级园林绿化优质工程奖：</w:t>
            </w:r>
          </w:p>
          <w:p w14:paraId="22B5B7DD">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w:t>
            </w:r>
            <w:r>
              <w:rPr>
                <w:rFonts w:hint="eastAsia" w:ascii="宋体" w:hAnsi="宋体" w:eastAsia="宋体" w:cs="宋体"/>
                <w:color w:val="auto"/>
                <w:sz w:val="21"/>
                <w:szCs w:val="21"/>
                <w:highlight w:val="none"/>
                <w:lang w:val="en-US" w:eastAsia="zh-CN"/>
              </w:rPr>
              <w:t xml:space="preserve"> ☑0个  □1个  □2个  □3个</w:t>
            </w:r>
          </w:p>
          <w:p w14:paraId="691F4E75">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 0 个  </w:t>
            </w:r>
            <w:r>
              <w:rPr>
                <w:rFonts w:hint="eastAsia" w:ascii="宋体" w:hAnsi="宋体" w:eastAsia="宋体" w:cs="宋体"/>
                <w:color w:val="auto"/>
                <w:sz w:val="21"/>
                <w:szCs w:val="21"/>
                <w:highlight w:val="none"/>
                <w:lang w:val="en-US" w:eastAsia="zh-CN"/>
              </w:rPr>
              <w:t>□1个</w:t>
            </w:r>
          </w:p>
          <w:p w14:paraId="411D69A3">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（2）标准化工地均不加分。</w:t>
            </w:r>
          </w:p>
          <w:p w14:paraId="3307503E">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绿色科技创新指标：</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0</w:t>
            </w:r>
            <w:r>
              <w:rPr>
                <w:rFonts w:hint="eastAsia" w:ascii="宋体" w:hAnsi="宋体" w:eastAsia="宋体" w:cs="宋体"/>
                <w:color w:val="auto"/>
                <w:sz w:val="21"/>
                <w:szCs w:val="21"/>
                <w:highlight w:val="none"/>
                <w:lang w:eastAsia="zh-CN"/>
              </w:rPr>
              <w:t>分</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分</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分</w:t>
            </w:r>
            <w:r>
              <w:rPr>
                <w:rFonts w:hint="eastAsia" w:ascii="宋体" w:hAnsi="宋体" w:eastAsia="宋体" w:cs="宋体"/>
                <w:color w:val="auto"/>
                <w:sz w:val="21"/>
                <w:szCs w:val="21"/>
                <w:highlight w:val="none"/>
                <w:lang w:val="en-US" w:eastAsia="zh-CN"/>
              </w:rPr>
              <w:t xml:space="preserve">  □3分</w:t>
            </w:r>
            <w:r>
              <w:rPr>
                <w:rFonts w:hint="eastAsia" w:ascii="宋体" w:hAnsi="宋体" w:eastAsia="宋体" w:cs="宋体"/>
                <w:color w:val="auto"/>
                <w:sz w:val="21"/>
                <w:szCs w:val="21"/>
                <w:highlight w:val="none"/>
              </w:rPr>
              <w:t xml:space="preserve">  </w:t>
            </w:r>
          </w:p>
          <w:p w14:paraId="12E8BC32">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三星绿色建筑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二星绿色建筑</w:t>
            </w:r>
          </w:p>
          <w:p w14:paraId="6F926A0F">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AA</w:t>
            </w:r>
            <w:r>
              <w:rPr>
                <w:rFonts w:hint="eastAsia" w:ascii="宋体" w:hAnsi="宋体" w:eastAsia="宋体" w:cs="宋体"/>
                <w:color w:val="auto"/>
                <w:sz w:val="21"/>
                <w:szCs w:val="21"/>
                <w:highlight w:val="none"/>
                <w:lang w:val="en-US" w:eastAsia="zh-CN"/>
              </w:rPr>
              <w:t>A</w:t>
            </w:r>
            <w:r>
              <w:rPr>
                <w:rFonts w:hint="eastAsia" w:ascii="宋体" w:hAnsi="宋体" w:eastAsia="宋体" w:cs="宋体"/>
                <w:color w:val="auto"/>
                <w:sz w:val="21"/>
                <w:szCs w:val="21"/>
                <w:highlight w:val="none"/>
              </w:rPr>
              <w:t>级装配式建筑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A</w:t>
            </w:r>
            <w:r>
              <w:rPr>
                <w:rFonts w:hint="eastAsia" w:ascii="宋体" w:hAnsi="宋体" w:eastAsia="宋体" w:cs="宋体"/>
                <w:color w:val="auto"/>
                <w:sz w:val="21"/>
                <w:szCs w:val="21"/>
                <w:highlight w:val="none"/>
                <w:lang w:val="en-US" w:eastAsia="zh-CN"/>
              </w:rPr>
              <w:t>A</w:t>
            </w:r>
            <w:r>
              <w:rPr>
                <w:rFonts w:hint="eastAsia" w:ascii="宋体" w:hAnsi="宋体" w:eastAsia="宋体" w:cs="宋体"/>
                <w:color w:val="auto"/>
                <w:sz w:val="21"/>
                <w:szCs w:val="21"/>
                <w:highlight w:val="none"/>
              </w:rPr>
              <w:t>级装配式建筑</w:t>
            </w:r>
          </w:p>
          <w:p w14:paraId="65E12CCB">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省</w:t>
            </w:r>
            <w:r>
              <w:rPr>
                <w:rFonts w:hint="eastAsia" w:ascii="宋体" w:hAnsi="宋体" w:eastAsia="宋体" w:cs="宋体"/>
                <w:color w:val="auto"/>
                <w:sz w:val="21"/>
                <w:szCs w:val="21"/>
                <w:highlight w:val="none"/>
                <w:lang w:val="en-US" w:eastAsia="zh-CN"/>
              </w:rPr>
              <w:t>级</w:t>
            </w:r>
            <w:r>
              <w:rPr>
                <w:rFonts w:hint="eastAsia" w:ascii="宋体" w:hAnsi="宋体" w:eastAsia="宋体" w:cs="宋体"/>
                <w:color w:val="auto"/>
                <w:sz w:val="21"/>
                <w:szCs w:val="21"/>
                <w:highlight w:val="none"/>
              </w:rPr>
              <w:t>绿色施工工程</w:t>
            </w:r>
          </w:p>
          <w:p w14:paraId="66DA79C4">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其他</w:t>
            </w:r>
          </w:p>
          <w:p w14:paraId="1A24ECA9">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u w:val="single"/>
                <w:lang w:val="en-US" w:eastAsia="zh-CN"/>
              </w:rPr>
              <w:t xml:space="preserve">      /      </w:t>
            </w:r>
          </w:p>
        </w:tc>
      </w:tr>
      <w:tr w14:paraId="46C60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7C64948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10.2.1</w:t>
            </w:r>
          </w:p>
        </w:tc>
        <w:tc>
          <w:tcPr>
            <w:tcW w:w="1725" w:type="dxa"/>
            <w:noWrap w:val="0"/>
            <w:vAlign w:val="center"/>
          </w:tcPr>
          <w:p w14:paraId="4BD1CFB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最高投标限价</w:t>
            </w:r>
          </w:p>
        </w:tc>
        <w:tc>
          <w:tcPr>
            <w:tcW w:w="6720" w:type="dxa"/>
            <w:noWrap w:val="0"/>
            <w:vAlign w:val="center"/>
          </w:tcPr>
          <w:p w14:paraId="65EB1CF7">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textAlignment w:val="auto"/>
              <w:rPr>
                <w:rFonts w:hint="eastAsia" w:ascii="宋体" w:hAnsi="宋体" w:eastAsia="宋体" w:cs="宋体"/>
                <w:b/>
                <w:bCs/>
                <w:color w:val="auto"/>
                <w:sz w:val="21"/>
                <w:szCs w:val="21"/>
                <w:highlight w:val="none"/>
                <w:u w:val="single"/>
                <w:lang w:eastAsia="zh-CN"/>
              </w:rPr>
            </w:pPr>
            <w:r>
              <w:rPr>
                <w:rFonts w:hint="eastAsia" w:ascii="宋体" w:hAnsi="宋体" w:eastAsia="宋体" w:cs="宋体"/>
                <w:b/>
                <w:bCs/>
                <w:color w:val="auto"/>
                <w:sz w:val="21"/>
                <w:szCs w:val="21"/>
                <w:highlight w:val="none"/>
              </w:rPr>
              <w:t>最高投标限价总价：</w:t>
            </w:r>
            <w:r>
              <w:rPr>
                <w:rFonts w:hint="default" w:ascii="宋体" w:hAnsi="宋体" w:cs="宋体"/>
                <w:b/>
                <w:bCs/>
                <w:color w:val="auto"/>
                <w:sz w:val="21"/>
                <w:szCs w:val="21"/>
                <w:highlight w:val="none"/>
                <w:u w:val="single"/>
                <w:lang w:val="en-US" w:eastAsia="zh-CN"/>
              </w:rPr>
              <w:t>3371939.05</w:t>
            </w:r>
            <w:r>
              <w:rPr>
                <w:rFonts w:hint="eastAsia" w:ascii="宋体" w:hAnsi="宋体" w:eastAsia="宋体" w:cs="宋体"/>
                <w:b/>
                <w:bCs/>
                <w:color w:val="auto"/>
                <w:sz w:val="21"/>
                <w:szCs w:val="21"/>
                <w:highlight w:val="none"/>
                <w:u w:val="single"/>
                <w:lang w:val="en-US" w:eastAsia="zh-CN"/>
              </w:rPr>
              <w:t>元</w:t>
            </w:r>
          </w:p>
          <w:p w14:paraId="7526A1C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none"/>
                <w:lang w:val="en-US" w:eastAsia="zh-CN"/>
              </w:rPr>
              <w:t>最高投标限价应公布的内容详见“第五章 工程量清单”第2.3.3款</w:t>
            </w:r>
          </w:p>
        </w:tc>
      </w:tr>
      <w:tr w14:paraId="6E876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18D57F5F">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10.2.2</w:t>
            </w:r>
          </w:p>
        </w:tc>
        <w:tc>
          <w:tcPr>
            <w:tcW w:w="1725" w:type="dxa"/>
            <w:noWrap w:val="0"/>
            <w:vAlign w:val="center"/>
          </w:tcPr>
          <w:p w14:paraId="52B8483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投标报价计税</w:t>
            </w:r>
          </w:p>
          <w:p w14:paraId="154ACEDF">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w:t>
            </w:r>
          </w:p>
        </w:tc>
        <w:tc>
          <w:tcPr>
            <w:tcW w:w="6720" w:type="dxa"/>
            <w:noWrap w:val="0"/>
            <w:vAlign w:val="center"/>
          </w:tcPr>
          <w:p w14:paraId="3D1B42C2">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一般计税法</w:t>
            </w:r>
          </w:p>
          <w:p w14:paraId="4F2BFF3B">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简易计税法</w:t>
            </w:r>
          </w:p>
        </w:tc>
      </w:tr>
      <w:tr w14:paraId="4A3FF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5C6FB320">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shd w:val="pct10" w:color="auto" w:fill="FFFFFF"/>
              </w:rPr>
            </w:pPr>
            <w:r>
              <w:rPr>
                <w:rFonts w:hint="eastAsia" w:ascii="宋体" w:hAnsi="宋体" w:eastAsia="宋体" w:cs="宋体"/>
                <w:color w:val="auto"/>
                <w:sz w:val="21"/>
                <w:szCs w:val="21"/>
                <w:highlight w:val="none"/>
              </w:rPr>
              <w:t>10.2.3</w:t>
            </w:r>
          </w:p>
        </w:tc>
        <w:tc>
          <w:tcPr>
            <w:tcW w:w="1725" w:type="dxa"/>
            <w:noWrap w:val="0"/>
            <w:vAlign w:val="center"/>
          </w:tcPr>
          <w:p w14:paraId="4FFD695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联合体奖项、标准化工地、加分业绩、信用评价、</w:t>
            </w:r>
            <w:r>
              <w:rPr>
                <w:rFonts w:hint="eastAsia" w:ascii="宋体" w:hAnsi="宋体" w:eastAsia="宋体" w:cs="宋体"/>
                <w:color w:val="auto"/>
                <w:sz w:val="21"/>
                <w:szCs w:val="21"/>
                <w:highlight w:val="none"/>
                <w:lang w:val="en-US" w:eastAsia="zh-CN"/>
              </w:rPr>
              <w:t>综合</w:t>
            </w:r>
            <w:r>
              <w:rPr>
                <w:rFonts w:hint="eastAsia" w:ascii="宋体" w:hAnsi="宋体" w:eastAsia="宋体" w:cs="宋体"/>
                <w:color w:val="auto"/>
                <w:sz w:val="21"/>
                <w:szCs w:val="21"/>
                <w:highlight w:val="none"/>
              </w:rPr>
              <w:t>优良率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绿色科技创新</w:t>
            </w:r>
            <w:r>
              <w:rPr>
                <w:rFonts w:hint="eastAsia" w:ascii="宋体" w:hAnsi="宋体" w:eastAsia="宋体" w:cs="宋体"/>
                <w:color w:val="auto"/>
                <w:sz w:val="21"/>
                <w:szCs w:val="21"/>
                <w:highlight w:val="none"/>
              </w:rPr>
              <w:t>得分的计分方式</w:t>
            </w:r>
          </w:p>
        </w:tc>
        <w:tc>
          <w:tcPr>
            <w:tcW w:w="6720" w:type="dxa"/>
            <w:noWrap w:val="0"/>
            <w:vAlign w:val="center"/>
          </w:tcPr>
          <w:p w14:paraId="4A4D8645">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招标项目存在不同类型工程内容的,招标人应根据项目实际情况在招标文件中明确主要类型（专业）,奖项、标准化工地、加分业绩、信用评价、</w:t>
            </w:r>
            <w:r>
              <w:rPr>
                <w:rFonts w:hint="eastAsia" w:ascii="宋体" w:hAnsi="宋体" w:eastAsia="宋体" w:cs="宋体"/>
                <w:color w:val="auto"/>
                <w:sz w:val="21"/>
                <w:szCs w:val="21"/>
                <w:highlight w:val="none"/>
                <w:lang w:val="en-US" w:eastAsia="zh-CN"/>
              </w:rPr>
              <w:t>综合</w:t>
            </w:r>
            <w:r>
              <w:rPr>
                <w:rFonts w:hint="eastAsia" w:ascii="宋体" w:hAnsi="宋体" w:eastAsia="宋体" w:cs="宋体"/>
                <w:color w:val="auto"/>
                <w:sz w:val="21"/>
                <w:szCs w:val="21"/>
                <w:highlight w:val="none"/>
              </w:rPr>
              <w:t>优良率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绿色科技创新</w:t>
            </w:r>
            <w:r>
              <w:rPr>
                <w:rFonts w:hint="eastAsia" w:ascii="宋体" w:hAnsi="宋体" w:eastAsia="宋体" w:cs="宋体"/>
                <w:color w:val="auto"/>
                <w:sz w:val="21"/>
                <w:szCs w:val="21"/>
                <w:highlight w:val="none"/>
              </w:rPr>
              <w:t>得分为联合体主要类型(专业)单位的得分。</w:t>
            </w:r>
            <w:r>
              <w:rPr>
                <w:rFonts w:hint="eastAsia" w:ascii="宋体" w:hAnsi="宋体" w:eastAsia="宋体" w:cs="宋体"/>
                <w:color w:val="auto"/>
                <w:sz w:val="21"/>
                <w:szCs w:val="21"/>
                <w:highlight w:val="none"/>
                <w:lang w:val="en-US" w:eastAsia="zh-CN"/>
              </w:rPr>
              <w:t>本项目</w:t>
            </w:r>
            <w:r>
              <w:rPr>
                <w:rFonts w:hint="eastAsia" w:ascii="宋体" w:hAnsi="宋体" w:eastAsia="宋体" w:cs="宋体"/>
                <w:color w:val="auto"/>
                <w:sz w:val="21"/>
                <w:szCs w:val="21"/>
                <w:highlight w:val="none"/>
              </w:rPr>
              <w:t>主要类型（专业）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     </w:t>
            </w:r>
          </w:p>
          <w:p w14:paraId="6905B8BA">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sz w:val="21"/>
                <w:szCs w:val="21"/>
                <w:highlight w:val="none"/>
              </w:rPr>
              <w:t>联合体中同一类型(专业)</w:t>
            </w:r>
            <w:r>
              <w:rPr>
                <w:rFonts w:hint="eastAsia" w:ascii="宋体" w:hAnsi="宋体" w:eastAsia="宋体" w:cs="宋体"/>
                <w:color w:val="auto"/>
                <w:sz w:val="21"/>
                <w:szCs w:val="21"/>
                <w:highlight w:val="none"/>
                <w:lang w:val="en-US" w:eastAsia="zh-CN"/>
              </w:rPr>
              <w:t>或者主要类型（专业）</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施工</w:t>
            </w:r>
            <w:r>
              <w:rPr>
                <w:rFonts w:hint="eastAsia" w:ascii="宋体" w:hAnsi="宋体" w:eastAsia="宋体" w:cs="宋体"/>
                <w:color w:val="auto"/>
                <w:sz w:val="21"/>
                <w:szCs w:val="21"/>
                <w:highlight w:val="none"/>
              </w:rPr>
              <w:t>企业有两家以上的,奖项、标准化工地、加分业绩、信用评价、</w:t>
            </w:r>
            <w:r>
              <w:rPr>
                <w:rFonts w:hint="eastAsia" w:ascii="宋体" w:hAnsi="宋体" w:eastAsia="宋体" w:cs="宋体"/>
                <w:color w:val="auto"/>
                <w:sz w:val="21"/>
                <w:szCs w:val="21"/>
                <w:highlight w:val="none"/>
                <w:lang w:val="en-US" w:eastAsia="zh-CN"/>
              </w:rPr>
              <w:t>综合</w:t>
            </w:r>
            <w:r>
              <w:rPr>
                <w:rFonts w:hint="eastAsia" w:ascii="宋体" w:hAnsi="宋体" w:eastAsia="宋体" w:cs="宋体"/>
                <w:color w:val="auto"/>
                <w:sz w:val="21"/>
                <w:szCs w:val="21"/>
                <w:highlight w:val="none"/>
              </w:rPr>
              <w:t>优良率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绿色科技创新</w:t>
            </w:r>
            <w:r>
              <w:rPr>
                <w:rFonts w:hint="eastAsia" w:ascii="宋体" w:hAnsi="宋体" w:eastAsia="宋体" w:cs="宋体"/>
                <w:color w:val="auto"/>
                <w:sz w:val="21"/>
                <w:szCs w:val="21"/>
                <w:highlight w:val="none"/>
              </w:rPr>
              <w:t>得分分别为该类型(专业)</w:t>
            </w:r>
            <w:r>
              <w:rPr>
                <w:rFonts w:hint="eastAsia" w:ascii="宋体" w:hAnsi="宋体" w:eastAsia="宋体" w:cs="宋体"/>
                <w:color w:val="auto"/>
                <w:sz w:val="21"/>
                <w:szCs w:val="21"/>
                <w:highlight w:val="none"/>
                <w:lang w:eastAsia="zh-CN"/>
              </w:rPr>
              <w:t>联合体各方</w:t>
            </w:r>
            <w:r>
              <w:rPr>
                <w:rFonts w:hint="eastAsia" w:ascii="宋体" w:hAnsi="宋体" w:eastAsia="宋体" w:cs="宋体"/>
                <w:color w:val="auto"/>
                <w:sz w:val="21"/>
                <w:szCs w:val="21"/>
                <w:highlight w:val="none"/>
              </w:rPr>
              <w:t>得分的平均值。</w:t>
            </w:r>
          </w:p>
        </w:tc>
      </w:tr>
      <w:tr w14:paraId="5D10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45E74D98">
            <w:pPr>
              <w:keepNext w:val="0"/>
              <w:keepLines w:val="0"/>
              <w:suppressLineNumbers w:val="0"/>
              <w:spacing w:before="0" w:beforeAutospacing="0" w:after="0" w:afterAutospacing="0" w:line="240" w:lineRule="auto"/>
              <w:ind w:left="0" w:right="0"/>
              <w:jc w:val="center"/>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rPr>
              <w:t>10.2.4</w:t>
            </w:r>
          </w:p>
        </w:tc>
        <w:tc>
          <w:tcPr>
            <w:tcW w:w="1725" w:type="dxa"/>
            <w:noWrap w:val="0"/>
            <w:vAlign w:val="center"/>
          </w:tcPr>
          <w:p w14:paraId="6499FCB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进入</w:t>
            </w:r>
            <w:r>
              <w:rPr>
                <w:rFonts w:hint="eastAsia" w:ascii="宋体" w:hAnsi="宋体" w:eastAsia="宋体" w:cs="宋体"/>
                <w:color w:val="auto"/>
                <w:sz w:val="21"/>
                <w:szCs w:val="21"/>
                <w:highlight w:val="none"/>
                <w:lang w:val="en-US" w:eastAsia="zh-CN"/>
              </w:rPr>
              <w:t>投标报价</w:t>
            </w:r>
            <w:r>
              <w:rPr>
                <w:rFonts w:hint="eastAsia" w:ascii="宋体" w:hAnsi="宋体" w:eastAsia="宋体" w:cs="宋体"/>
                <w:color w:val="auto"/>
                <w:sz w:val="21"/>
                <w:szCs w:val="21"/>
                <w:highlight w:val="none"/>
              </w:rPr>
              <w:t>评审阶段投标人数量的确定方式</w:t>
            </w:r>
          </w:p>
        </w:tc>
        <w:tc>
          <w:tcPr>
            <w:tcW w:w="6720" w:type="dxa"/>
            <w:noWrap w:val="0"/>
            <w:vAlign w:val="center"/>
          </w:tcPr>
          <w:p w14:paraId="294CC178">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1.采</w:t>
            </w:r>
            <w:r>
              <w:rPr>
                <w:rFonts w:hint="eastAsia" w:ascii="宋体" w:hAnsi="宋体" w:eastAsia="宋体" w:cs="宋体"/>
                <w:bCs/>
                <w:color w:val="auto"/>
                <w:sz w:val="21"/>
                <w:szCs w:val="21"/>
                <w:highlight w:val="none"/>
              </w:rPr>
              <w:t>用经评审的最低投标价法评标的：</w:t>
            </w:r>
          </w:p>
          <w:p w14:paraId="7ACF1DA6">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bCs/>
                <w:color w:val="auto"/>
                <w:sz w:val="21"/>
                <w:szCs w:val="21"/>
                <w:highlight w:val="none"/>
              </w:rPr>
            </w:pPr>
            <w:r>
              <w:rPr>
                <w:rFonts w:hint="eastAsia" w:ascii="宋体" w:hAnsi="宋体" w:cs="宋体"/>
                <w:bCs/>
                <w:color w:val="auto"/>
                <w:sz w:val="21"/>
                <w:szCs w:val="21"/>
                <w:highlight w:val="none"/>
                <w:lang w:eastAsia="zh-CN"/>
              </w:rPr>
              <w:t>□</w:t>
            </w:r>
            <w:r>
              <w:rPr>
                <w:rFonts w:hint="eastAsia" w:ascii="宋体" w:hAnsi="宋体" w:eastAsia="宋体" w:cs="宋体"/>
                <w:bCs/>
                <w:color w:val="auto"/>
                <w:kern w:val="2"/>
                <w:sz w:val="21"/>
                <w:szCs w:val="21"/>
                <w:highlight w:val="none"/>
              </w:rPr>
              <w:t>对所有</w:t>
            </w:r>
            <w:r>
              <w:rPr>
                <w:rFonts w:hint="eastAsia" w:ascii="宋体" w:hAnsi="宋体" w:eastAsia="宋体" w:cs="宋体"/>
                <w:bCs/>
                <w:color w:val="auto"/>
                <w:kern w:val="2"/>
                <w:sz w:val="21"/>
                <w:szCs w:val="21"/>
                <w:highlight w:val="none"/>
                <w:lang w:val="en-US" w:eastAsia="zh-CN"/>
              </w:rPr>
              <w:t>合格</w:t>
            </w:r>
            <w:r>
              <w:rPr>
                <w:rFonts w:hint="eastAsia" w:ascii="宋体" w:hAnsi="宋体" w:eastAsia="宋体" w:cs="宋体"/>
                <w:bCs/>
                <w:color w:val="auto"/>
                <w:kern w:val="2"/>
                <w:sz w:val="21"/>
                <w:szCs w:val="21"/>
                <w:highlight w:val="none"/>
              </w:rPr>
              <w:t>投标人</w:t>
            </w:r>
            <w:r>
              <w:rPr>
                <w:rFonts w:hint="eastAsia" w:ascii="宋体" w:hAnsi="宋体" w:eastAsia="宋体" w:cs="宋体"/>
                <w:bCs/>
                <w:color w:val="auto"/>
                <w:sz w:val="21"/>
                <w:szCs w:val="21"/>
                <w:highlight w:val="none"/>
              </w:rPr>
              <w:t>进入</w:t>
            </w:r>
            <w:r>
              <w:rPr>
                <w:rFonts w:hint="eastAsia" w:ascii="宋体" w:hAnsi="宋体" w:eastAsia="宋体" w:cs="宋体"/>
                <w:bCs/>
                <w:color w:val="auto"/>
                <w:kern w:val="2"/>
                <w:sz w:val="21"/>
                <w:szCs w:val="21"/>
                <w:highlight w:val="none"/>
                <w:lang w:val="en-US" w:eastAsia="zh-CN"/>
              </w:rPr>
              <w:t>下一步评审</w:t>
            </w:r>
            <w:r>
              <w:rPr>
                <w:rFonts w:hint="eastAsia" w:ascii="宋体" w:hAnsi="宋体" w:eastAsia="宋体" w:cs="宋体"/>
                <w:bCs/>
                <w:color w:val="auto"/>
                <w:sz w:val="21"/>
                <w:szCs w:val="21"/>
                <w:highlight w:val="none"/>
              </w:rPr>
              <w:t>；</w:t>
            </w:r>
          </w:p>
          <w:p w14:paraId="4A7AFEAF">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cs="宋体"/>
                <w:bCs/>
                <w:color w:val="auto"/>
                <w:sz w:val="21"/>
                <w:szCs w:val="21"/>
                <w:highlight w:val="none"/>
                <w:lang w:eastAsia="zh-CN"/>
              </w:rPr>
              <w:t>☑</w:t>
            </w:r>
            <w:r>
              <w:rPr>
                <w:rFonts w:hint="eastAsia" w:ascii="宋体" w:hAnsi="宋体" w:eastAsia="宋体" w:cs="宋体"/>
                <w:bCs/>
                <w:color w:val="auto"/>
                <w:sz w:val="21"/>
                <w:szCs w:val="21"/>
                <w:highlight w:val="none"/>
              </w:rPr>
              <w:t>合格投标人超过</w:t>
            </w:r>
            <w:r>
              <w:rPr>
                <w:rFonts w:hint="eastAsia" w:ascii="宋体" w:hAnsi="宋体" w:eastAsia="宋体" w:cs="宋体"/>
                <w:bCs/>
                <w:color w:val="auto"/>
                <w:sz w:val="21"/>
                <w:szCs w:val="21"/>
                <w:highlight w:val="none"/>
                <w:lang w:val="en-US" w:eastAsia="zh-CN"/>
              </w:rPr>
              <w:t>25</w:t>
            </w:r>
            <w:r>
              <w:rPr>
                <w:rFonts w:hint="eastAsia" w:ascii="宋体" w:hAnsi="宋体" w:eastAsia="宋体" w:cs="宋体"/>
                <w:bCs/>
                <w:color w:val="auto"/>
                <w:sz w:val="21"/>
                <w:szCs w:val="21"/>
                <w:highlight w:val="none"/>
              </w:rPr>
              <w:t>个的（不足</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5个时，全部进入投标报价评审），按照投标报价由低至高的顺序确定</w:t>
            </w:r>
            <w:r>
              <w:rPr>
                <w:rFonts w:hint="eastAsia" w:ascii="宋体" w:hAnsi="宋体" w:eastAsia="宋体" w:cs="宋体"/>
                <w:bCs/>
                <w:color w:val="auto"/>
                <w:sz w:val="21"/>
                <w:szCs w:val="21"/>
                <w:highlight w:val="none"/>
                <w:lang w:val="en-US" w:eastAsia="zh-CN"/>
              </w:rPr>
              <w:t>25</w:t>
            </w:r>
            <w:r>
              <w:rPr>
                <w:rFonts w:hint="eastAsia" w:ascii="宋体" w:hAnsi="宋体" w:eastAsia="宋体" w:cs="宋体"/>
                <w:bCs/>
                <w:color w:val="auto"/>
                <w:sz w:val="21"/>
                <w:szCs w:val="21"/>
                <w:highlight w:val="none"/>
              </w:rPr>
              <w:t>个投标人进入</w:t>
            </w:r>
            <w:r>
              <w:rPr>
                <w:rFonts w:hint="eastAsia" w:ascii="宋体" w:hAnsi="宋体" w:eastAsia="宋体" w:cs="宋体"/>
                <w:bCs/>
                <w:color w:val="auto"/>
                <w:kern w:val="2"/>
                <w:sz w:val="21"/>
                <w:szCs w:val="21"/>
                <w:highlight w:val="none"/>
                <w:lang w:val="en-US" w:eastAsia="zh-CN"/>
              </w:rPr>
              <w:t>下一步</w:t>
            </w:r>
            <w:r>
              <w:rPr>
                <w:rFonts w:hint="eastAsia" w:ascii="宋体" w:hAnsi="宋体" w:eastAsia="宋体" w:cs="宋体"/>
                <w:bCs/>
                <w:color w:val="auto"/>
                <w:sz w:val="21"/>
                <w:szCs w:val="21"/>
                <w:highlight w:val="none"/>
              </w:rPr>
              <w:t>评审，</w:t>
            </w:r>
            <w:r>
              <w:rPr>
                <w:rFonts w:hint="eastAsia" w:ascii="宋体" w:hAnsi="宋体" w:eastAsia="宋体" w:cs="宋体"/>
                <w:bCs/>
                <w:color w:val="auto"/>
                <w:kern w:val="2"/>
                <w:sz w:val="21"/>
                <w:szCs w:val="21"/>
                <w:highlight w:val="none"/>
              </w:rPr>
              <w:t>报价相同无法确定前</w:t>
            </w:r>
            <w:r>
              <w:rPr>
                <w:rFonts w:hint="eastAsia" w:ascii="宋体" w:hAnsi="宋体" w:eastAsia="宋体" w:cs="宋体"/>
                <w:bCs/>
                <w:color w:val="auto"/>
                <w:kern w:val="2"/>
                <w:sz w:val="21"/>
                <w:szCs w:val="21"/>
                <w:highlight w:val="none"/>
                <w:lang w:eastAsia="zh-CN"/>
              </w:rPr>
              <w:t>2</w:t>
            </w:r>
            <w:r>
              <w:rPr>
                <w:rFonts w:hint="eastAsia" w:ascii="宋体" w:hAnsi="宋体" w:eastAsia="宋体"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rPr>
              <w:t>个投标人时，</w:t>
            </w:r>
            <w:r>
              <w:rPr>
                <w:rFonts w:hint="eastAsia" w:ascii="宋体" w:hAnsi="宋体" w:eastAsia="宋体" w:cs="宋体"/>
                <w:bCs/>
                <w:color w:val="auto"/>
                <w:sz w:val="21"/>
                <w:szCs w:val="21"/>
                <w:highlight w:val="none"/>
              </w:rPr>
              <w:t>其末位投标人报价相同的全部进入</w:t>
            </w:r>
            <w:r>
              <w:rPr>
                <w:rFonts w:hint="eastAsia" w:ascii="宋体" w:hAnsi="宋体" w:eastAsia="宋体" w:cs="宋体"/>
                <w:bCs/>
                <w:color w:val="auto"/>
                <w:kern w:val="2"/>
                <w:sz w:val="21"/>
                <w:szCs w:val="21"/>
                <w:highlight w:val="none"/>
                <w:lang w:val="en-US" w:eastAsia="zh-CN"/>
              </w:rPr>
              <w:t>下一步</w:t>
            </w:r>
            <w:r>
              <w:rPr>
                <w:rFonts w:hint="eastAsia" w:ascii="宋体" w:hAnsi="宋体" w:eastAsia="宋体" w:cs="宋体"/>
                <w:bCs/>
                <w:color w:val="auto"/>
                <w:kern w:val="2"/>
                <w:sz w:val="21"/>
                <w:szCs w:val="21"/>
                <w:highlight w:val="none"/>
              </w:rPr>
              <w:t>评审。</w:t>
            </w:r>
          </w:p>
        </w:tc>
      </w:tr>
      <w:tr w14:paraId="6190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417D3B62">
            <w:pPr>
              <w:keepNext w:val="0"/>
              <w:keepLines w:val="0"/>
              <w:suppressLineNumbers w:val="0"/>
              <w:spacing w:before="0" w:beforeAutospacing="0" w:after="0" w:afterAutospacing="0" w:line="240" w:lineRule="auto"/>
              <w:ind w:left="0" w:right="0"/>
              <w:jc w:val="center"/>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rPr>
              <w:t>10.3</w:t>
            </w:r>
          </w:p>
        </w:tc>
        <w:tc>
          <w:tcPr>
            <w:tcW w:w="1725" w:type="dxa"/>
            <w:noWrap w:val="0"/>
            <w:vAlign w:val="center"/>
          </w:tcPr>
          <w:p w14:paraId="227E5D5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施工组织设计的评审</w:t>
            </w:r>
          </w:p>
        </w:tc>
        <w:tc>
          <w:tcPr>
            <w:tcW w:w="6720" w:type="dxa"/>
            <w:noWrap w:val="0"/>
            <w:vAlign w:val="center"/>
          </w:tcPr>
          <w:p w14:paraId="2F4E8F3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施工组织设计编制要求</w:t>
            </w:r>
          </w:p>
          <w:p w14:paraId="14571105">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不要求编制施工组织设计。</w:t>
            </w:r>
          </w:p>
          <w:p w14:paraId="07151F29">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要求编制施工组织设计，采用合格性评审方式，投标人应按照第八章投标文件格式第三节“施工组织设计格式（明标）的编制要求”进行编制。</w:t>
            </w:r>
          </w:p>
          <w:p w14:paraId="48C69289">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要求编制施工组织设计，采用计分评审方式，投标人应按照第八章投标文件格式第三节“施工组织设计格式（暗标）的要求”进行编制。</w:t>
            </w:r>
          </w:p>
          <w:p w14:paraId="4DB8C6B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施工组织设计</w:t>
            </w:r>
            <w:r>
              <w:rPr>
                <w:rFonts w:hint="eastAsia" w:ascii="宋体" w:hAnsi="宋体" w:eastAsia="宋体" w:cs="宋体"/>
                <w:color w:val="auto"/>
                <w:sz w:val="21"/>
                <w:szCs w:val="21"/>
                <w:highlight w:val="none"/>
                <w:lang w:val="en-US" w:eastAsia="zh-CN"/>
              </w:rPr>
              <w:t>页数：不超过</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lang w:val="en-US" w:eastAsia="zh-CN"/>
              </w:rPr>
              <w:t>页。</w:t>
            </w:r>
          </w:p>
        </w:tc>
      </w:tr>
      <w:tr w14:paraId="39CF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15B902B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4</w:t>
            </w:r>
          </w:p>
        </w:tc>
        <w:tc>
          <w:tcPr>
            <w:tcW w:w="1725" w:type="dxa"/>
            <w:noWrap w:val="0"/>
            <w:vAlign w:val="center"/>
          </w:tcPr>
          <w:p w14:paraId="2A32923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是否实行</w:t>
            </w:r>
          </w:p>
          <w:p w14:paraId="10B910D6">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计算机辅助评标</w:t>
            </w:r>
          </w:p>
        </w:tc>
        <w:tc>
          <w:tcPr>
            <w:tcW w:w="6720" w:type="dxa"/>
            <w:noWrap w:val="0"/>
            <w:vAlign w:val="center"/>
          </w:tcPr>
          <w:p w14:paraId="5F434E90">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否</w:t>
            </w:r>
          </w:p>
          <w:p w14:paraId="7C04B1CA">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□是，按投标人须知附件2-1“电子投标文件编制及报送要求”编制及报送电子投标文件。计算机辅助评标方法见投标人须知附件2-4。</w:t>
            </w:r>
          </w:p>
        </w:tc>
      </w:tr>
      <w:tr w14:paraId="2FA30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6918E0F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5</w:t>
            </w:r>
          </w:p>
        </w:tc>
        <w:tc>
          <w:tcPr>
            <w:tcW w:w="1725" w:type="dxa"/>
            <w:noWrap w:val="0"/>
            <w:vAlign w:val="center"/>
          </w:tcPr>
          <w:p w14:paraId="5E43F4B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是否要求投标人代表出席开标会</w:t>
            </w:r>
          </w:p>
        </w:tc>
        <w:tc>
          <w:tcPr>
            <w:tcW w:w="6720" w:type="dxa"/>
            <w:noWrap w:val="0"/>
            <w:vAlign w:val="center"/>
          </w:tcPr>
          <w:p w14:paraId="1BD6A38B">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投标人必须派法定代表人持法定代表人身份证明原件或法定代表人的委托代理人(项目负责人)持授权委托书原件(格式详见第八章投标文件格式“3.授权委托书")及其身份证原件参加开标会议。</w:t>
            </w:r>
          </w:p>
        </w:tc>
      </w:tr>
      <w:tr w14:paraId="1E061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22509B3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6</w:t>
            </w:r>
          </w:p>
        </w:tc>
        <w:tc>
          <w:tcPr>
            <w:tcW w:w="1725" w:type="dxa"/>
            <w:noWrap w:val="0"/>
            <w:vAlign w:val="center"/>
          </w:tcPr>
          <w:p w14:paraId="62A406C2">
            <w:pPr>
              <w:keepNext w:val="0"/>
              <w:keepLines w:val="0"/>
              <w:widowControl/>
              <w:suppressLineNumbers w:val="0"/>
              <w:spacing w:before="0" w:beforeAutospacing="0" w:after="0" w:afterAutospacing="0" w:line="24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中标公示</w:t>
            </w:r>
          </w:p>
        </w:tc>
        <w:tc>
          <w:tcPr>
            <w:tcW w:w="6720" w:type="dxa"/>
            <w:noWrap w:val="0"/>
            <w:vAlign w:val="center"/>
          </w:tcPr>
          <w:p w14:paraId="1FC7C5F6">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招标人收到评标报告之日起3日内，将中标候选人的情况在本招标项目招标公告发布的同一媒介予以公示，公示期不少于3个工作日。</w:t>
            </w:r>
          </w:p>
        </w:tc>
      </w:tr>
      <w:tr w14:paraId="05BC8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3B3F035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10.7</w:t>
            </w:r>
          </w:p>
        </w:tc>
        <w:tc>
          <w:tcPr>
            <w:tcW w:w="1725" w:type="dxa"/>
            <w:noWrap w:val="0"/>
            <w:vAlign w:val="center"/>
          </w:tcPr>
          <w:p w14:paraId="09CAB00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省外入湘登记</w:t>
            </w:r>
          </w:p>
          <w:p w14:paraId="1C5FBC6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要求</w:t>
            </w:r>
          </w:p>
        </w:tc>
        <w:tc>
          <w:tcPr>
            <w:tcW w:w="6720" w:type="dxa"/>
            <w:noWrap w:val="0"/>
            <w:vAlign w:val="center"/>
          </w:tcPr>
          <w:p w14:paraId="4DC1CB26">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省外施工入湘企业在“湖南省住房和城乡建设网”进行基本信息登记（按照招标文件第七章投标文件格式第一节“投标函</w:t>
            </w:r>
            <w:r>
              <w:rPr>
                <w:rFonts w:hint="eastAsia" w:ascii="宋体" w:hAnsi="宋体" w:eastAsia="宋体" w:cs="宋体"/>
                <w:color w:val="auto"/>
                <w:sz w:val="21"/>
                <w:szCs w:val="21"/>
                <w:highlight w:val="none"/>
                <w:lang w:val="en-US" w:eastAsia="zh-CN"/>
              </w:rPr>
              <w:t>及附录</w:t>
            </w:r>
            <w:r>
              <w:rPr>
                <w:rFonts w:hint="eastAsia" w:ascii="宋体" w:hAnsi="宋体" w:eastAsia="宋体" w:cs="宋体"/>
                <w:color w:val="auto"/>
                <w:sz w:val="21"/>
                <w:szCs w:val="21"/>
                <w:highlight w:val="none"/>
              </w:rPr>
              <w:t>格式”规定提供查询网页截图）。</w:t>
            </w:r>
          </w:p>
        </w:tc>
      </w:tr>
      <w:tr w14:paraId="668DE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68D43196">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.8</w:t>
            </w:r>
          </w:p>
        </w:tc>
        <w:tc>
          <w:tcPr>
            <w:tcW w:w="1725" w:type="dxa"/>
            <w:noWrap w:val="0"/>
            <w:vAlign w:val="center"/>
          </w:tcPr>
          <w:p w14:paraId="6A8F447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知识产权</w:t>
            </w:r>
          </w:p>
        </w:tc>
        <w:tc>
          <w:tcPr>
            <w:tcW w:w="6720" w:type="dxa"/>
            <w:noWrap w:val="0"/>
            <w:vAlign w:val="center"/>
          </w:tcPr>
          <w:p w14:paraId="045A022E">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招标人全部或者部分使用未中标人投标文件中的</w:t>
            </w:r>
            <w:r>
              <w:rPr>
                <w:rFonts w:hint="eastAsia" w:ascii="宋体" w:hAnsi="宋体" w:eastAsia="宋体" w:cs="宋体"/>
                <w:bCs/>
                <w:color w:val="auto"/>
                <w:sz w:val="21"/>
                <w:szCs w:val="21"/>
                <w:highlight w:val="none"/>
              </w:rPr>
              <w:t>技术</w:t>
            </w:r>
            <w:r>
              <w:rPr>
                <w:rFonts w:hint="eastAsia" w:ascii="宋体" w:hAnsi="宋体" w:eastAsia="宋体" w:cs="宋体"/>
                <w:color w:val="auto"/>
                <w:sz w:val="21"/>
                <w:szCs w:val="21"/>
                <w:highlight w:val="none"/>
              </w:rPr>
              <w:t>成果或技术方案时，需征得其书面同意，并不得擅自复印或提供给第三人。</w:t>
            </w:r>
          </w:p>
        </w:tc>
      </w:tr>
      <w:tr w14:paraId="31376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6A0B220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9</w:t>
            </w:r>
          </w:p>
        </w:tc>
        <w:tc>
          <w:tcPr>
            <w:tcW w:w="1725" w:type="dxa"/>
            <w:noWrap w:val="0"/>
            <w:vAlign w:val="center"/>
          </w:tcPr>
          <w:p w14:paraId="51905C4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同义词语</w:t>
            </w:r>
          </w:p>
        </w:tc>
        <w:tc>
          <w:tcPr>
            <w:tcW w:w="6720" w:type="dxa"/>
            <w:noWrap w:val="0"/>
            <w:vAlign w:val="center"/>
          </w:tcPr>
          <w:p w14:paraId="02954B2B">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构成招标文件组成部分的“通用合同条款”、“专用合同条款”、“技术标准和要求”和“工程量清单”等章节中出现的措辞“发包人”和“承包人”，在招标投标阶段应当分别按“招标人”和“投标人”进行理解。</w:t>
            </w:r>
          </w:p>
        </w:tc>
      </w:tr>
      <w:tr w14:paraId="6C6B0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5524E21D">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10</w:t>
            </w:r>
          </w:p>
        </w:tc>
        <w:tc>
          <w:tcPr>
            <w:tcW w:w="1725" w:type="dxa"/>
            <w:noWrap w:val="0"/>
            <w:vAlign w:val="center"/>
          </w:tcPr>
          <w:p w14:paraId="5083BA31">
            <w:pPr>
              <w:keepNext w:val="0"/>
              <w:keepLines w:val="0"/>
              <w:widowControl/>
              <w:suppressLineNumbers w:val="0"/>
              <w:spacing w:before="0" w:beforeAutospacing="0" w:after="0" w:afterAutospacing="0" w:line="24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  督</w:t>
            </w:r>
          </w:p>
        </w:tc>
        <w:tc>
          <w:tcPr>
            <w:tcW w:w="6720" w:type="dxa"/>
            <w:noWrap w:val="0"/>
            <w:vAlign w:val="center"/>
          </w:tcPr>
          <w:p w14:paraId="06080251">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本项目的</w:t>
            </w:r>
            <w:r>
              <w:rPr>
                <w:rFonts w:hint="eastAsia" w:ascii="宋体" w:hAnsi="宋体" w:eastAsia="宋体" w:cs="宋体"/>
                <w:bCs/>
                <w:color w:val="auto"/>
                <w:sz w:val="21"/>
                <w:szCs w:val="21"/>
                <w:highlight w:val="none"/>
              </w:rPr>
              <w:t>招标</w:t>
            </w:r>
            <w:r>
              <w:rPr>
                <w:rFonts w:hint="eastAsia" w:ascii="宋体" w:hAnsi="宋体" w:eastAsia="宋体" w:cs="宋体"/>
                <w:color w:val="auto"/>
                <w:sz w:val="21"/>
                <w:szCs w:val="21"/>
                <w:highlight w:val="none"/>
              </w:rPr>
              <w:t>投标活动及其相关当事人应当接受有管辖权的建设工程招标投标行政监督部门依法实施的监督。</w:t>
            </w:r>
          </w:p>
        </w:tc>
      </w:tr>
      <w:tr w14:paraId="78DEA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3D396348">
            <w:pPr>
              <w:keepNext w:val="0"/>
              <w:keepLines w:val="0"/>
              <w:suppressLineNumbers w:val="0"/>
              <w:spacing w:before="0" w:beforeAutospacing="0" w:after="0" w:afterAutospacing="0" w:line="240" w:lineRule="auto"/>
              <w:ind w:left="0" w:right="0" w:firstLine="105" w:firstLineChars="5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1</w:t>
            </w:r>
          </w:p>
        </w:tc>
        <w:tc>
          <w:tcPr>
            <w:tcW w:w="1725" w:type="dxa"/>
            <w:noWrap w:val="0"/>
            <w:vAlign w:val="center"/>
          </w:tcPr>
          <w:p w14:paraId="752D27D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解释权</w:t>
            </w:r>
          </w:p>
        </w:tc>
        <w:tc>
          <w:tcPr>
            <w:tcW w:w="6720" w:type="dxa"/>
            <w:noWrap w:val="0"/>
            <w:vAlign w:val="center"/>
          </w:tcPr>
          <w:p w14:paraId="2DCDCB99">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构成本招标文件的各个组成文件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章，下同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互为解释，互为说明；如有不明确或不一致，构成合同文件组成内容，以合同文件约定内容为准，且以专用合同条款约定的合同文件优先顺序解释；除招标文件中有特别规定外，仅适用于招标投标阶段的规定，按招标公告（投标邀请书）、投标人须知、评标办法、投标文件格式的先后顺序</w:t>
            </w:r>
            <w:r>
              <w:rPr>
                <w:rFonts w:hint="eastAsia" w:ascii="宋体" w:hAnsi="宋体" w:eastAsia="宋体" w:cs="宋体"/>
                <w:bCs/>
                <w:color w:val="auto"/>
                <w:sz w:val="21"/>
                <w:szCs w:val="21"/>
                <w:highlight w:val="none"/>
              </w:rPr>
              <w:t>解释</w:t>
            </w:r>
            <w:r>
              <w:rPr>
                <w:rFonts w:hint="eastAsia" w:ascii="宋体" w:hAnsi="宋体" w:eastAsia="宋体" w:cs="宋体"/>
                <w:color w:val="auto"/>
                <w:sz w:val="21"/>
                <w:szCs w:val="21"/>
                <w:highlight w:val="none"/>
              </w:rPr>
              <w:t>；同一组成文件中就同一事项的规定或约定不一致的，以编排顺序在后者为准；同一组成文件不同版本之间有不一致的，以形成时间在后者为准。按本款前述规定仍不能形成结论的，由招标人负责解释。</w:t>
            </w:r>
          </w:p>
        </w:tc>
      </w:tr>
      <w:tr w14:paraId="25BEA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85" w:type="dxa"/>
            <w:gridSpan w:val="3"/>
            <w:noWrap w:val="0"/>
            <w:vAlign w:val="center"/>
          </w:tcPr>
          <w:p w14:paraId="18FFDFBC">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其他补充内容</w:t>
            </w:r>
          </w:p>
        </w:tc>
      </w:tr>
      <w:tr w14:paraId="49559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4D91D4EE">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.1</w:t>
            </w:r>
          </w:p>
        </w:tc>
        <w:tc>
          <w:tcPr>
            <w:tcW w:w="8445" w:type="dxa"/>
            <w:gridSpan w:val="2"/>
            <w:noWrap w:val="0"/>
            <w:vAlign w:val="center"/>
          </w:tcPr>
          <w:p w14:paraId="7D940463">
            <w:pPr>
              <w:keepNext w:val="0"/>
              <w:keepLines w:val="0"/>
              <w:suppressLineNumbers w:val="0"/>
              <w:spacing w:before="0" w:beforeAutospacing="0" w:after="0" w:afterAutospacing="0" w:line="240" w:lineRule="auto"/>
              <w:ind w:left="0" w:right="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以暂估价形式包括在总承包范围内的工程、货物、服务属于依法必须进行招标的项目范围且达到国家规定规模标准的，应当依法进行招标。</w:t>
            </w:r>
          </w:p>
        </w:tc>
      </w:tr>
      <w:tr w14:paraId="3AC3C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74292545">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.2</w:t>
            </w:r>
          </w:p>
        </w:tc>
        <w:tc>
          <w:tcPr>
            <w:tcW w:w="8445" w:type="dxa"/>
            <w:gridSpan w:val="2"/>
            <w:noWrap w:val="0"/>
            <w:vAlign w:val="center"/>
          </w:tcPr>
          <w:p w14:paraId="270D2ED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1.招标文件中所设置的内容、条款及未尽事宜，以国家或省有关规定为准；</w:t>
            </w:r>
          </w:p>
          <w:p w14:paraId="651627C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2.其它：</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p>
        </w:tc>
      </w:tr>
      <w:tr w14:paraId="35B0C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7971865B">
            <w:pPr>
              <w:keepNext w:val="0"/>
              <w:keepLines w:val="0"/>
              <w:suppressLineNumbers w:val="0"/>
              <w:snapToGrid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.3</w:t>
            </w:r>
          </w:p>
        </w:tc>
        <w:tc>
          <w:tcPr>
            <w:tcW w:w="8445" w:type="dxa"/>
            <w:gridSpan w:val="2"/>
            <w:noWrap w:val="0"/>
            <w:vAlign w:val="center"/>
          </w:tcPr>
          <w:p w14:paraId="4C03016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本招标文件要求的复印件是指复印件或扫描件或影印件。</w:t>
            </w:r>
          </w:p>
        </w:tc>
      </w:tr>
      <w:tr w14:paraId="368C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7FF52776">
            <w:pPr>
              <w:keepNext w:val="0"/>
              <w:keepLines w:val="0"/>
              <w:suppressLineNumbers w:val="0"/>
              <w:snapToGrid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.4</w:t>
            </w:r>
          </w:p>
        </w:tc>
        <w:tc>
          <w:tcPr>
            <w:tcW w:w="8445" w:type="dxa"/>
            <w:gridSpan w:val="2"/>
            <w:noWrap w:val="0"/>
            <w:vAlign w:val="center"/>
          </w:tcPr>
          <w:p w14:paraId="5BFEE0C6">
            <w:pPr>
              <w:pStyle w:val="82"/>
              <w:keepNext w:val="0"/>
              <w:keepLines w:val="0"/>
              <w:suppressLineNumbers w:val="0"/>
              <w:spacing w:before="0" w:beforeAutospacing="0" w:after="0" w:afterAutospacing="0" w:line="360" w:lineRule="auto"/>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招标代理服务费：</w:t>
            </w:r>
            <w:r>
              <w:rPr>
                <w:rFonts w:hint="eastAsia" w:ascii="宋体" w:hAnsi="宋体" w:eastAsia="宋体" w:cs="宋体"/>
                <w:color w:val="auto"/>
                <w:sz w:val="21"/>
                <w:szCs w:val="21"/>
                <w:highlight w:val="none"/>
                <w:lang w:val="en-US" w:eastAsia="zh-CN"/>
              </w:rPr>
              <w:t>参照湘招协[2015]6号《湖南省招标代理服务收费标准》文件</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收取</w:t>
            </w:r>
            <w:r>
              <w:rPr>
                <w:rFonts w:hint="eastAsia" w:ascii="宋体" w:hAnsi="宋体" w:cs="宋体"/>
                <w:color w:val="auto"/>
                <w:sz w:val="21"/>
                <w:szCs w:val="21"/>
                <w:highlight w:val="none"/>
                <w:lang w:val="en-US" w:eastAsia="zh-CN"/>
              </w:rPr>
              <w:t>代理服务费为人民币</w:t>
            </w:r>
            <w:r>
              <w:rPr>
                <w:rFonts w:hint="eastAsia" w:ascii="宋体" w:hAnsi="宋体" w:cs="宋体"/>
                <w:color w:val="auto"/>
                <w:sz w:val="21"/>
                <w:szCs w:val="21"/>
                <w:highlight w:val="none"/>
                <w:u w:val="single"/>
                <w:lang w:val="en-US" w:eastAsia="zh-CN"/>
              </w:rPr>
              <w:t xml:space="preserve"> </w:t>
            </w:r>
            <w:r>
              <w:rPr>
                <w:rFonts w:hint="default" w:ascii="宋体" w:hAnsi="宋体" w:cs="宋体"/>
                <w:color w:val="auto"/>
                <w:sz w:val="21"/>
                <w:szCs w:val="21"/>
                <w:highlight w:val="none"/>
                <w:u w:val="single"/>
                <w:lang w:val="en-US" w:eastAsia="zh-CN"/>
              </w:rPr>
              <w:t>32370.00</w:t>
            </w:r>
            <w:r>
              <w:rPr>
                <w:rFonts w:hint="eastAsia" w:ascii="宋体" w:hAnsi="宋体" w:cs="宋体"/>
                <w:color w:val="auto"/>
                <w:sz w:val="21"/>
                <w:szCs w:val="21"/>
                <w:highlight w:val="none"/>
                <w:u w:val="single"/>
                <w:lang w:val="en-US" w:eastAsia="zh-CN"/>
              </w:rPr>
              <w:t>元 ，</w:t>
            </w:r>
            <w:r>
              <w:rPr>
                <w:rFonts w:hint="eastAsia" w:ascii="宋体" w:hAnsi="宋体" w:eastAsia="宋体" w:cs="宋体"/>
                <w:color w:val="auto"/>
                <w:kern w:val="0"/>
                <w:sz w:val="21"/>
                <w:szCs w:val="21"/>
                <w:highlight w:val="none"/>
                <w:lang w:val="en-US" w:eastAsia="zh-CN" w:bidi="ar-SA"/>
              </w:rPr>
              <w:t>在领取中标通知书前由中标人采用现金或转账方式一次性支付给招标代理机构。</w:t>
            </w:r>
          </w:p>
        </w:tc>
      </w:tr>
      <w:tr w14:paraId="0716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569110F7">
            <w:pPr>
              <w:keepNext w:val="0"/>
              <w:keepLines w:val="0"/>
              <w:suppressLineNumbers w:val="0"/>
              <w:snapToGrid w:val="0"/>
              <w:spacing w:before="0" w:beforeAutospacing="0" w:after="0" w:afterAutospacing="0" w:line="240" w:lineRule="auto"/>
              <w:ind w:left="0" w:right="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p>
        </w:tc>
        <w:tc>
          <w:tcPr>
            <w:tcW w:w="8445" w:type="dxa"/>
            <w:gridSpan w:val="2"/>
            <w:noWrap w:val="0"/>
            <w:vAlign w:val="center"/>
          </w:tcPr>
          <w:p w14:paraId="7C20A15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□本项目属于园林绿化工程。</w:t>
            </w:r>
          </w:p>
        </w:tc>
      </w:tr>
      <w:tr w14:paraId="53905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534AD207">
            <w:pPr>
              <w:keepNext w:val="0"/>
              <w:keepLines w:val="0"/>
              <w:suppressLineNumbers w:val="0"/>
              <w:snapToGrid w:val="0"/>
              <w:spacing w:before="0" w:beforeAutospacing="0" w:after="0" w:afterAutospacing="0" w:line="240" w:lineRule="auto"/>
              <w:ind w:left="0" w:right="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p>
        </w:tc>
        <w:tc>
          <w:tcPr>
            <w:tcW w:w="8445" w:type="dxa"/>
            <w:gridSpan w:val="2"/>
            <w:noWrap w:val="0"/>
            <w:vAlign w:val="center"/>
          </w:tcPr>
          <w:p w14:paraId="0810467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拟任项目经理在建情况以投标截止时在“湖南省建筑工程监管信息平台”查询信息为准，有在其他项目任关键岗位人员情形的，评标委员会应当否决其投标。</w:t>
            </w:r>
          </w:p>
          <w:p w14:paraId="3B4F7A0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截止时，拟任项目经理在“湖南省建筑工程监管信息平台”之外有在其他项目任关键岗位人员情形的，其奖项、业绩不予计分，且应当在投标文件中如实注明，并承诺中标后能够从该项目按期撤离。评标期间，投标文件中注明有在建，但没有承诺能够按期撤离的，评标委员会应当否决其投标；中标候选公示期间，发现未如实注明有平台之外的在建情况的，招标人取消其中标候选人资格，并提请住房和城乡建设主管部门按规定予以信用评价扣分。</w:t>
            </w:r>
          </w:p>
          <w:p w14:paraId="07F44E3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候选人公示期满，拟任项目经理不能按时到岗履职的（含不能从其他项目按期撤离的），招标人取消其中标候选人资格，并提请住房和城乡建设主管部门按规定予以信用评价扣分。中标通知书发放后，拟任项目经理不能按时到岗履职的（含不能从其他项目按期撤离的），招标人取消其中标人资格，并提请住房和城乡建设主管部门按规定记录一般不良行为。</w:t>
            </w:r>
          </w:p>
        </w:tc>
      </w:tr>
      <w:tr w14:paraId="07945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7B511F5D">
            <w:pPr>
              <w:keepNext w:val="0"/>
              <w:keepLines w:val="0"/>
              <w:suppressLineNumbers w:val="0"/>
              <w:snapToGrid w:val="0"/>
              <w:spacing w:before="0" w:beforeAutospacing="0" w:after="0" w:afterAutospacing="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10.12.7</w:t>
            </w:r>
          </w:p>
        </w:tc>
        <w:tc>
          <w:tcPr>
            <w:tcW w:w="8445" w:type="dxa"/>
            <w:gridSpan w:val="2"/>
            <w:noWrap w:val="0"/>
            <w:vAlign w:val="center"/>
          </w:tcPr>
          <w:p w14:paraId="5C027700">
            <w:pPr>
              <w:keepNext w:val="0"/>
              <w:keepLines w:val="0"/>
              <w:widowControl/>
              <w:suppressLineNumbers w:val="0"/>
              <w:adjustRightInd w:val="0"/>
              <w:snapToGrid w:val="0"/>
              <w:spacing w:before="0" w:beforeAutospacing="0" w:after="0" w:afterAutospacing="0" w:line="240" w:lineRule="auto"/>
              <w:ind w:left="0" w:right="0"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拟任项目经理在建情况以投标截止时在“湖南省建筑工程监管信息平台”查询信息为准，有在其他项目任关键岗位人员情形的，评标委员会应当否决其投标。</w:t>
            </w:r>
          </w:p>
          <w:p w14:paraId="216EE50D">
            <w:pPr>
              <w:keepNext w:val="0"/>
              <w:keepLines w:val="0"/>
              <w:widowControl/>
              <w:suppressLineNumbers w:val="0"/>
              <w:adjustRightInd w:val="0"/>
              <w:snapToGrid w:val="0"/>
              <w:spacing w:before="0" w:beforeAutospacing="0" w:after="0" w:afterAutospacing="0" w:line="240" w:lineRule="auto"/>
              <w:ind w:left="0" w:right="0"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投标截止时，拟任项目经理在“湖南省建筑工程监管信息平台”之外有在其他项目任关键岗位人员情形的，应当在投标文件中如实注明，并承诺中标后能够从该项目按期撤离。评标期间，投标文件中注明有在建，但没有承诺能够按期撤离的，评标委员会应当否决其投标；中标候选公示期间，发现未如实注明有平台之外的在建情况的，招标人提请住房和城乡建设主管部门按规定予以信用评价扣分。</w:t>
            </w:r>
          </w:p>
          <w:p w14:paraId="20B0D081">
            <w:pPr>
              <w:pStyle w:val="82"/>
              <w:keepNext w:val="0"/>
              <w:keepLines w:val="0"/>
              <w:suppressLineNumbers w:val="0"/>
              <w:spacing w:before="0" w:beforeAutospacing="0" w:after="0" w:afterAutospacing="0" w:line="240" w:lineRule="auto"/>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000000"/>
                <w:sz w:val="21"/>
                <w:szCs w:val="21"/>
              </w:rPr>
              <w:t>中标候选人公示期满，拟任项目经理不能按时到岗履职的（含不能从其他项目按期撤离的），招标人取消其中标候选人资格，并提请住房和城乡建设主管部门按规定予以信用评价扣分。</w:t>
            </w:r>
          </w:p>
        </w:tc>
      </w:tr>
      <w:tr w14:paraId="01DCB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40" w:type="dxa"/>
            <w:noWrap w:val="0"/>
            <w:vAlign w:val="center"/>
          </w:tcPr>
          <w:p w14:paraId="29654896">
            <w:pPr>
              <w:keepNext w:val="0"/>
              <w:keepLines w:val="0"/>
              <w:suppressLineNumbers w:val="0"/>
              <w:snapToGrid w:val="0"/>
              <w:spacing w:before="0" w:beforeAutospacing="0" w:after="0" w:afterAutospacing="0" w:line="240" w:lineRule="auto"/>
              <w:ind w:left="0" w:right="0"/>
              <w:jc w:val="center"/>
              <w:rPr>
                <w:rFonts w:hint="default" w:ascii="宋体" w:hAnsi="宋体" w:eastAsia="宋体" w:cs="宋体"/>
                <w:color w:val="auto"/>
                <w:sz w:val="21"/>
                <w:szCs w:val="21"/>
                <w:highlight w:val="none"/>
                <w:lang w:val="en-US" w:eastAsia="zh-CN"/>
              </w:rPr>
            </w:pPr>
            <w:bookmarkStart w:id="58" w:name="_Toc300677998"/>
            <w:r>
              <w:rPr>
                <w:rFonts w:hint="eastAsia" w:ascii="宋体" w:hAnsi="宋体" w:cs="宋体"/>
                <w:color w:val="auto"/>
                <w:sz w:val="21"/>
                <w:szCs w:val="21"/>
                <w:highlight w:val="none"/>
                <w:lang w:val="en-US" w:eastAsia="zh-CN"/>
              </w:rPr>
              <w:t>10.13</w:t>
            </w:r>
          </w:p>
        </w:tc>
        <w:tc>
          <w:tcPr>
            <w:tcW w:w="8445" w:type="dxa"/>
            <w:gridSpan w:val="2"/>
            <w:noWrap w:val="0"/>
            <w:vAlign w:val="center"/>
          </w:tcPr>
          <w:p w14:paraId="608C7900">
            <w:pPr>
              <w:keepNext w:val="0"/>
              <w:keepLines w:val="0"/>
              <w:widowControl/>
              <w:numPr>
                <w:ilvl w:val="0"/>
                <w:numId w:val="2"/>
              </w:numPr>
              <w:suppressLineNumbers w:val="0"/>
              <w:spacing w:before="0" w:beforeAutospacing="0" w:after="0" w:afterAutospacing="0"/>
              <w:ind w:left="0" w:right="0" w:firstLine="420" w:firstLineChars="200"/>
              <w:jc w:val="both"/>
              <w:rPr>
                <w:rFonts w:hint="eastAsia" w:ascii="宋体" w:hAnsi="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付款方式：工程款按施工进度支付，具体以</w:t>
            </w:r>
            <w:r>
              <w:rPr>
                <w:rFonts w:hint="eastAsia" w:ascii="宋体" w:hAnsi="宋体" w:cs="宋体"/>
                <w:kern w:val="2"/>
                <w:sz w:val="21"/>
                <w:szCs w:val="21"/>
                <w:highlight w:val="none"/>
                <w:lang w:val="en-US" w:eastAsia="zh-CN" w:bidi="ar-SA"/>
              </w:rPr>
              <w:t>签订合同时</w:t>
            </w:r>
            <w:r>
              <w:rPr>
                <w:rFonts w:hint="eastAsia" w:ascii="宋体" w:hAnsi="宋体" w:eastAsia="宋体" w:cs="宋体"/>
                <w:kern w:val="2"/>
                <w:sz w:val="21"/>
                <w:szCs w:val="21"/>
                <w:highlight w:val="none"/>
                <w:lang w:val="en-US" w:eastAsia="zh-CN" w:bidi="ar-SA"/>
              </w:rPr>
              <w:t>约定为准</w:t>
            </w:r>
            <w:r>
              <w:rPr>
                <w:rFonts w:hint="eastAsia" w:ascii="宋体" w:hAnsi="宋体" w:cs="宋体"/>
                <w:kern w:val="2"/>
                <w:sz w:val="21"/>
                <w:szCs w:val="21"/>
                <w:highlight w:val="none"/>
                <w:lang w:val="en-US" w:eastAsia="zh-CN" w:bidi="ar-SA"/>
              </w:rPr>
              <w:t>。</w:t>
            </w:r>
          </w:p>
          <w:p w14:paraId="7D9089CD">
            <w:pPr>
              <w:keepNext w:val="0"/>
              <w:keepLines w:val="0"/>
              <w:widowControl/>
              <w:numPr>
                <w:ilvl w:val="0"/>
                <w:numId w:val="0"/>
              </w:numPr>
              <w:suppressLineNumbers w:val="0"/>
              <w:spacing w:before="0" w:beforeAutospacing="0" w:after="0" w:afterAutospacing="0"/>
              <w:ind w:left="420" w:leftChars="200" w:right="0" w:rightChars="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投标单位中标后应按照国家和省有关法律法规、规范标准和湘建建[2020]208号文《湖南省建设工程施工项目部和现场监理部关键岗位人员配备管理办法》规定配备施工项目部关键岗位人员。其中施工项目部关键岗位人员数量不得低于湘建建[2020]208号文规定的最低配备标准，即至少项目负责人1人、项目技术负责人1人、施工员1人、安全员1人、质量员1人（除项目负责人外其他人员在投标阶段实行承诺制）。</w:t>
            </w:r>
          </w:p>
          <w:p w14:paraId="60F0D7B1">
            <w:pPr>
              <w:keepNext w:val="0"/>
              <w:keepLines w:val="0"/>
              <w:widowControl/>
              <w:suppressLineNumbers w:val="0"/>
              <w:spacing w:before="0" w:beforeAutospacing="0" w:after="0" w:afterAutospacing="0"/>
              <w:ind w:left="0" w:right="0"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施工项目部关键岗位人员不得同时在其它建设工程项目中任职。中标单位应该按响应文件中的关键岗位人员承诺书，安排相应人员持证上岗，并按规定常驻现场对工程施工进行全程管理，违反上述规定，建设单位有权取消施工单位中标资格。</w:t>
            </w:r>
          </w:p>
          <w:p w14:paraId="33D7CCB5">
            <w:pPr>
              <w:keepNext w:val="0"/>
              <w:keepLines w:val="0"/>
              <w:widowControl/>
              <w:suppressLineNumbers w:val="0"/>
              <w:spacing w:before="0" w:beforeAutospacing="0" w:after="0" w:afterAutospacing="0"/>
              <w:ind w:left="0" w:right="0"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省外企业关键岗位人员如持有外省住房和城乡建设主管部门颁发的岗位资格证书，提供其证书真伪官方查询网址【无法提供有关证书真伪官方查询网址的，可以提供证件颁发机关出具的证件真实性证明原件（加盖颁证机关公章）并在投标文件中附证明的复印件】。省外企业应提供施工项目部关键岗位人员无在建工程官方查询网址及查询结果；【未建立关键岗位人员无在建工程相关查询网站的，可以提供市级或以上建设行政主管部门开具的无在建证明（加盖开具证明单位公章并注明开具人和联系电话）】。</w:t>
            </w:r>
          </w:p>
          <w:p w14:paraId="2625E385">
            <w:pPr>
              <w:pStyle w:val="82"/>
              <w:keepNext w:val="0"/>
              <w:keepLines w:val="0"/>
              <w:suppressLineNumbers w:val="0"/>
              <w:spacing w:before="0" w:beforeAutospacing="0" w:after="0" w:afterAutospacing="0" w:line="240" w:lineRule="auto"/>
              <w:ind w:left="0" w:right="0" w:firstLine="420" w:firstLineChars="200"/>
              <w:rPr>
                <w:rFonts w:hint="eastAsia" w:ascii="宋体" w:hAnsi="宋体" w:eastAsia="宋体" w:cs="宋体"/>
                <w:color w:val="000000"/>
                <w:sz w:val="21"/>
                <w:szCs w:val="21"/>
              </w:rPr>
            </w:pPr>
            <w:r>
              <w:rPr>
                <w:rFonts w:hint="eastAsia" w:ascii="宋体" w:hAnsi="宋体" w:eastAsia="宋体" w:cs="宋体"/>
                <w:kern w:val="2"/>
                <w:sz w:val="21"/>
                <w:szCs w:val="21"/>
                <w:lang w:val="en-US" w:eastAsia="zh-CN" w:bidi="ar-SA"/>
              </w:rPr>
              <w:t>5、省内企业关键岗位人员在建工程情况和省外企业关键岗位人员在湖南省内在建工程情况以湖南省建筑工程监管信息平台查询为准。（1）中标通知书发出以前，中标候选人及其拟任项目负责人的情况发生变化，致使其达不到合格投标单位资格条件的，取消其中标候选人资格；（2）投标参与单位在投标文件中有隐瞒事实、弄虚作假的行为，或有不按招标文件的要求如实提供有关情况、文件、证明等资料的行为，或有所提供的有关情况、文件、证明等资料与经查实的事实不符的行为，按照不合格投标参与单位处理。已被列为中标候选人的，取消其中标候选人资格。已中标的，依据有关法律法规规章的规定处理；（3）招标文件中所设置的内容、条款及未尽事宜，均以国家、省、市或建设行政主管部门颁发的招投标有关规定为准。</w:t>
            </w:r>
          </w:p>
        </w:tc>
      </w:tr>
    </w:tbl>
    <w:p w14:paraId="0CE57764">
      <w:pPr>
        <w:snapToGrid w:val="0"/>
        <w:rPr>
          <w:rFonts w:eastAsia="黑体"/>
          <w:color w:val="auto"/>
          <w:sz w:val="28"/>
          <w:szCs w:val="28"/>
          <w:highlight w:val="none"/>
        </w:rPr>
      </w:pPr>
    </w:p>
    <w:p w14:paraId="177AE137">
      <w:pPr>
        <w:snapToGrid w:val="0"/>
        <w:rPr>
          <w:rFonts w:eastAsia="黑体"/>
          <w:color w:val="auto"/>
          <w:sz w:val="28"/>
          <w:szCs w:val="28"/>
          <w:highlight w:val="none"/>
        </w:rPr>
      </w:pPr>
    </w:p>
    <w:p w14:paraId="14E0AD97">
      <w:pPr>
        <w:widowControl/>
        <w:jc w:val="left"/>
        <w:rPr>
          <w:rFonts w:eastAsia="黑体"/>
          <w:color w:val="auto"/>
          <w:sz w:val="28"/>
          <w:szCs w:val="28"/>
          <w:highlight w:val="none"/>
        </w:rPr>
      </w:pPr>
    </w:p>
    <w:p w14:paraId="235E332F">
      <w:pPr>
        <w:snapToGrid w:val="0"/>
        <w:jc w:val="center"/>
        <w:rPr>
          <w:rFonts w:eastAsia="黑体"/>
          <w:color w:val="auto"/>
          <w:sz w:val="28"/>
          <w:szCs w:val="28"/>
          <w:highlight w:val="none"/>
        </w:rPr>
      </w:pPr>
      <w:r>
        <w:rPr>
          <w:rFonts w:eastAsia="黑体"/>
          <w:color w:val="auto"/>
          <w:sz w:val="28"/>
          <w:szCs w:val="28"/>
          <w:highlight w:val="none"/>
        </w:rPr>
        <w:br w:type="page"/>
      </w:r>
      <w:r>
        <w:rPr>
          <w:rFonts w:eastAsia="黑体"/>
          <w:color w:val="auto"/>
          <w:sz w:val="28"/>
          <w:szCs w:val="28"/>
          <w:highlight w:val="none"/>
        </w:rPr>
        <w:t>投标人须知</w:t>
      </w:r>
      <w:bookmarkEnd w:id="58"/>
    </w:p>
    <w:p w14:paraId="17E9FC7B">
      <w:pPr>
        <w:pStyle w:val="82"/>
        <w:rPr>
          <w:rFonts w:eastAsia="黑体"/>
          <w:color w:val="auto"/>
          <w:highlight w:val="none"/>
        </w:rPr>
      </w:pPr>
    </w:p>
    <w:p w14:paraId="3E24AE98">
      <w:pPr>
        <w:pStyle w:val="5"/>
        <w:pageBreakBefore w:val="0"/>
        <w:kinsoku/>
        <w:wordWrap/>
        <w:overflowPunct/>
        <w:topLinePunct w:val="0"/>
        <w:autoSpaceDE/>
        <w:autoSpaceDN/>
        <w:bidi w:val="0"/>
        <w:textAlignment w:val="auto"/>
        <w:rPr>
          <w:rFonts w:hint="eastAsia" w:ascii="宋体" w:hAnsi="宋体" w:eastAsia="宋体" w:cs="宋体"/>
          <w:sz w:val="24"/>
          <w:szCs w:val="24"/>
        </w:rPr>
      </w:pPr>
      <w:bookmarkStart w:id="59" w:name="_Toc300677999"/>
      <w:bookmarkStart w:id="60" w:name="_Toc80006089"/>
      <w:bookmarkStart w:id="61" w:name="_Toc9178518"/>
      <w:bookmarkStart w:id="62" w:name="_Toc12515"/>
      <w:bookmarkStart w:id="63" w:name="_Toc27416"/>
      <w:r>
        <w:rPr>
          <w:rFonts w:hint="eastAsia" w:ascii="宋体" w:hAnsi="宋体" w:eastAsia="宋体" w:cs="宋体"/>
          <w:sz w:val="24"/>
          <w:szCs w:val="24"/>
        </w:rPr>
        <w:t>1.总则</w:t>
      </w:r>
      <w:bookmarkEnd w:id="59"/>
      <w:bookmarkEnd w:id="60"/>
      <w:bookmarkEnd w:id="61"/>
      <w:bookmarkEnd w:id="62"/>
      <w:bookmarkEnd w:id="63"/>
    </w:p>
    <w:p w14:paraId="0F0E7084">
      <w:pPr>
        <w:pStyle w:val="6"/>
        <w:pageBreakBefore w:val="0"/>
        <w:kinsoku/>
        <w:wordWrap/>
        <w:overflowPunct/>
        <w:topLinePunct w:val="0"/>
        <w:autoSpaceDE/>
        <w:autoSpaceDN/>
        <w:bidi w:val="0"/>
        <w:textAlignment w:val="auto"/>
        <w:rPr>
          <w:rFonts w:hint="eastAsia" w:ascii="宋体" w:hAnsi="宋体" w:eastAsia="宋体" w:cs="宋体"/>
          <w:b w:val="0"/>
          <w:bCs w:val="0"/>
          <w:color w:val="auto"/>
          <w:kern w:val="2"/>
          <w:sz w:val="24"/>
          <w:szCs w:val="24"/>
          <w:highlight w:val="none"/>
          <w:lang w:val="en-US" w:eastAsia="zh-CN" w:bidi="ar-SA"/>
        </w:rPr>
      </w:pPr>
      <w:bookmarkStart w:id="64" w:name="_Toc300678000"/>
      <w:r>
        <w:rPr>
          <w:rFonts w:hint="eastAsia" w:ascii="宋体" w:hAnsi="宋体" w:eastAsia="宋体" w:cs="宋体"/>
          <w:b w:val="0"/>
          <w:bCs w:val="0"/>
          <w:color w:val="auto"/>
          <w:sz w:val="24"/>
          <w:szCs w:val="24"/>
          <w:highlight w:val="none"/>
        </w:rPr>
        <w:t>1.1 项目概况</w:t>
      </w:r>
      <w:bookmarkEnd w:id="64"/>
    </w:p>
    <w:p w14:paraId="09440BE0">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kern w:val="2"/>
          <w:sz w:val="24"/>
          <w:szCs w:val="24"/>
          <w:highlight w:val="none"/>
          <w:lang w:val="en-US" w:eastAsia="zh-CN" w:bidi="ar-SA"/>
        </w:rPr>
        <w:t xml:space="preserve">1.1.1  根据《 中华人民共和国招标投标法》、《中华人民共和国招标投标法实施条例》 </w:t>
      </w:r>
      <w:r>
        <w:rPr>
          <w:rFonts w:hint="eastAsia" w:ascii="宋体" w:hAnsi="宋体" w:eastAsia="宋体" w:cs="宋体"/>
          <w:color w:val="auto"/>
          <w:sz w:val="24"/>
          <w:szCs w:val="24"/>
          <w:highlight w:val="none"/>
        </w:rPr>
        <w:t>等有关法律、法规和规章的规定，本招标项目已具备招标条件，现对施工进行招标。</w:t>
      </w:r>
    </w:p>
    <w:p w14:paraId="0C04DF02">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招标人：见投标人须知前附表。</w:t>
      </w:r>
    </w:p>
    <w:p w14:paraId="37968747">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  招标代理机构：见投标人须知前附表。</w:t>
      </w:r>
    </w:p>
    <w:p w14:paraId="6FE8AE42">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  招标项目名称：见投标人须知前附表。</w:t>
      </w:r>
    </w:p>
    <w:p w14:paraId="75EFF35F">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  建设地点：见投标人须知前附表。</w:t>
      </w:r>
    </w:p>
    <w:p w14:paraId="575BC9D1">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65" w:name="_Toc300678001"/>
      <w:r>
        <w:rPr>
          <w:rFonts w:hint="eastAsia" w:ascii="宋体" w:hAnsi="宋体" w:eastAsia="宋体" w:cs="宋体"/>
          <w:b w:val="0"/>
          <w:bCs w:val="0"/>
          <w:color w:val="auto"/>
          <w:sz w:val="24"/>
          <w:szCs w:val="24"/>
          <w:highlight w:val="none"/>
        </w:rPr>
        <w:t>1.2 资金来源和落实情况</w:t>
      </w:r>
      <w:bookmarkEnd w:id="65"/>
    </w:p>
    <w:p w14:paraId="1E92B4BD">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详见招标公告或投标邀请书 。</w:t>
      </w:r>
    </w:p>
    <w:p w14:paraId="6688D83D">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66" w:name="_Toc300678002"/>
      <w:r>
        <w:rPr>
          <w:rFonts w:hint="eastAsia" w:ascii="宋体" w:hAnsi="宋体" w:eastAsia="宋体" w:cs="宋体"/>
          <w:b w:val="0"/>
          <w:bCs w:val="0"/>
          <w:color w:val="auto"/>
          <w:sz w:val="24"/>
          <w:szCs w:val="24"/>
          <w:highlight w:val="none"/>
        </w:rPr>
        <w:t>1.3 招标范围、计划工期和质量要求</w:t>
      </w:r>
      <w:bookmarkEnd w:id="66"/>
    </w:p>
    <w:p w14:paraId="55182B0E">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招标范围：见投标人须知前附表。</w:t>
      </w:r>
    </w:p>
    <w:p w14:paraId="17657774">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  计划工期：见投标人须知前附表。</w:t>
      </w:r>
    </w:p>
    <w:p w14:paraId="43C16515">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质量标准和保修要求：见投标人须知前附表。</w:t>
      </w:r>
    </w:p>
    <w:p w14:paraId="1442DF87">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67" w:name="_Toc300678003"/>
      <w:r>
        <w:rPr>
          <w:rFonts w:hint="eastAsia" w:ascii="宋体" w:hAnsi="宋体" w:eastAsia="宋体" w:cs="宋体"/>
          <w:b w:val="0"/>
          <w:bCs w:val="0"/>
          <w:color w:val="auto"/>
          <w:sz w:val="24"/>
          <w:szCs w:val="24"/>
          <w:highlight w:val="none"/>
        </w:rPr>
        <w:t>1.4 投标人资格要求</w:t>
      </w:r>
    </w:p>
    <w:p w14:paraId="3FDEDFEE">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trike/>
          <w:color w:val="auto"/>
          <w:sz w:val="24"/>
          <w:szCs w:val="24"/>
          <w:highlight w:val="none"/>
        </w:rPr>
      </w:pPr>
      <w:bookmarkStart w:id="68" w:name="_Toc300678004"/>
      <w:r>
        <w:rPr>
          <w:rFonts w:hint="eastAsia" w:ascii="宋体" w:hAnsi="宋体" w:eastAsia="宋体" w:cs="宋体"/>
          <w:color w:val="auto"/>
          <w:sz w:val="24"/>
          <w:szCs w:val="24"/>
          <w:highlight w:val="none"/>
        </w:rPr>
        <w:t>□采用资格预审方式，投标人应是收到招标人发出投标邀请书的单位。</w:t>
      </w:r>
      <w:bookmarkEnd w:id="68"/>
    </w:p>
    <w:p w14:paraId="4AE4C2C7">
      <w:pPr>
        <w:pStyle w:val="6"/>
        <w:pageBreakBefore w:val="0"/>
        <w:kinsoku/>
        <w:wordWrap/>
        <w:overflowPunct/>
        <w:topLinePunct w:val="0"/>
        <w:autoSpaceDE/>
        <w:autoSpaceDN/>
        <w:bidi w:val="0"/>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color w:val="auto"/>
          <w:sz w:val="24"/>
          <w:szCs w:val="24"/>
          <w:highlight w:val="none"/>
          <w:lang w:eastAsia="zh-CN"/>
        </w:rPr>
        <w:t>☑</w:t>
      </w:r>
      <w:r>
        <w:rPr>
          <w:rFonts w:hint="eastAsia" w:ascii="宋体" w:hAnsi="宋体" w:eastAsia="宋体" w:cs="宋体"/>
          <w:b w:val="0"/>
          <w:color w:val="auto"/>
          <w:sz w:val="24"/>
          <w:szCs w:val="24"/>
          <w:highlight w:val="none"/>
        </w:rPr>
        <w:t>采用资格后审方式，</w:t>
      </w:r>
      <w:r>
        <w:rPr>
          <w:rFonts w:hint="eastAsia" w:ascii="宋体" w:hAnsi="宋体" w:eastAsia="宋体" w:cs="宋体"/>
          <w:b w:val="0"/>
          <w:bCs w:val="0"/>
          <w:color w:val="auto"/>
          <w:sz w:val="24"/>
          <w:szCs w:val="24"/>
          <w:highlight w:val="none"/>
        </w:rPr>
        <w:t>投标人资格要求</w:t>
      </w:r>
      <w:bookmarkEnd w:id="67"/>
    </w:p>
    <w:p w14:paraId="73EA8FC5">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投标人应具备承担本项目施工的资质条件：见投标人须知前附表；</w:t>
      </w:r>
    </w:p>
    <w:p w14:paraId="78A98133">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投标人须知前附表规定接受联合体投标的，除应符合本须知第1.4.1项和投标人须知前附表的要求外，还应遵守以下规定：</w:t>
      </w:r>
    </w:p>
    <w:p w14:paraId="1930E795">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（1）联合体各方应按招标文件提供的格式签订</w:t>
      </w:r>
      <w:r>
        <w:rPr>
          <w:rFonts w:hint="eastAsia" w:ascii="宋体" w:hAnsi="宋体" w:eastAsia="宋体" w:cs="宋体"/>
          <w:bCs/>
          <w:color w:val="auto"/>
          <w:sz w:val="24"/>
          <w:szCs w:val="24"/>
          <w:highlight w:val="none"/>
          <w:lang w:eastAsia="zh-CN"/>
        </w:rPr>
        <w:t>共同投标协议</w:t>
      </w:r>
      <w:r>
        <w:rPr>
          <w:rFonts w:hint="eastAsia" w:ascii="宋体" w:hAnsi="宋体" w:eastAsia="宋体" w:cs="宋体"/>
          <w:bCs/>
          <w:color w:val="auto"/>
          <w:sz w:val="24"/>
          <w:szCs w:val="24"/>
          <w:highlight w:val="none"/>
        </w:rPr>
        <w:t>，明确联合体牵头人和各方权利义务；</w:t>
      </w:r>
    </w:p>
    <w:p w14:paraId="0F75FA4C">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（2）由同一专业的单位组成的联合体，按照资质等级较低的单位确定资质等级；</w:t>
      </w:r>
    </w:p>
    <w:p w14:paraId="6D6432C7">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（3）联合体各方不得再以自己名义单独或参加其他联合体在同一标段中投标。</w:t>
      </w:r>
    </w:p>
    <w:p w14:paraId="24BCEF57">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1.4.3 投标人不得存在下列情形之一：</w:t>
      </w:r>
    </w:p>
    <w:p w14:paraId="10A5131B">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（l）为招标人的不具有独立法人资格的附属机构（单位）；</w:t>
      </w:r>
    </w:p>
    <w:p w14:paraId="6165F590">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（2）为本招标项目前期准备提供设计或咨询服务的；</w:t>
      </w:r>
    </w:p>
    <w:p w14:paraId="351DAEF5">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（3）为本招标项目的监理人；</w:t>
      </w:r>
    </w:p>
    <w:p w14:paraId="7C2E90CB">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（4）为本招标项目的代建人；</w:t>
      </w:r>
    </w:p>
    <w:p w14:paraId="60FD97D0">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（5）为本招标项目的招标代理机构；</w:t>
      </w:r>
    </w:p>
    <w:p w14:paraId="56CC608E">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（6）与本招标项目的监理人或代建人或招标代理机构同为一个法定代表人的；</w:t>
      </w:r>
    </w:p>
    <w:p w14:paraId="0B00B33C">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（7）与本招标项目的监理人或代建人或招标代理机构相互控股或参股的；</w:t>
      </w:r>
    </w:p>
    <w:p w14:paraId="53F4D64C">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（8）与本招标项目的监理人或代建人或招标代理机构相互任职或工作的；</w:t>
      </w:r>
    </w:p>
    <w:p w14:paraId="24F4E470">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（9）被责令停业的；</w:t>
      </w:r>
    </w:p>
    <w:p w14:paraId="0E3FEC3E">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（10）被住房城乡建设主管部门取消参加本地区依法必须招标项目投标资格的；</w:t>
      </w:r>
    </w:p>
    <w:p w14:paraId="3BD8BB3E">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（11）与招标人存在利害关系可能影响招标公正性的法人、其他组织或者个人；</w:t>
      </w:r>
    </w:p>
    <w:p w14:paraId="69315EB6">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（12）单位负责人为同一人或者存在控股、管理关系的不同单位参加同一标段或者未划分标段的同一招标项目投标的；</w:t>
      </w:r>
    </w:p>
    <w:p w14:paraId="6DBDC23A">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（13）法律、法规规定的其他情形。</w:t>
      </w:r>
    </w:p>
    <w:p w14:paraId="0EDABF7D">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69" w:name="_Toc300678005"/>
      <w:r>
        <w:rPr>
          <w:rFonts w:hint="eastAsia" w:ascii="宋体" w:hAnsi="宋体" w:eastAsia="宋体" w:cs="宋体"/>
          <w:b w:val="0"/>
          <w:bCs w:val="0"/>
          <w:color w:val="auto"/>
          <w:sz w:val="24"/>
          <w:szCs w:val="24"/>
          <w:highlight w:val="none"/>
        </w:rPr>
        <w:t>1.5 费用承担</w:t>
      </w:r>
      <w:bookmarkEnd w:id="69"/>
    </w:p>
    <w:p w14:paraId="2D5500FF">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投标人准备和参加投标活动发生的费用自理。</w:t>
      </w:r>
    </w:p>
    <w:p w14:paraId="5F132050">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70" w:name="_Toc300678006"/>
      <w:r>
        <w:rPr>
          <w:rFonts w:hint="eastAsia" w:ascii="宋体" w:hAnsi="宋体" w:eastAsia="宋体" w:cs="宋体"/>
          <w:b w:val="0"/>
          <w:bCs w:val="0"/>
          <w:color w:val="auto"/>
          <w:sz w:val="24"/>
          <w:szCs w:val="24"/>
          <w:highlight w:val="none"/>
        </w:rPr>
        <w:t>1.6 保密</w:t>
      </w:r>
      <w:bookmarkEnd w:id="70"/>
    </w:p>
    <w:p w14:paraId="670EBC7F">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参与招标投标活动的各方应对招标文件和投标文件中的商业和技术等秘密保密，违者应对由此造成的后果承担法律责任。</w:t>
      </w:r>
    </w:p>
    <w:p w14:paraId="02FF3C85">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71" w:name="_Toc300678007"/>
      <w:r>
        <w:rPr>
          <w:rFonts w:hint="eastAsia" w:ascii="宋体" w:hAnsi="宋体" w:eastAsia="宋体" w:cs="宋体"/>
          <w:b w:val="0"/>
          <w:bCs w:val="0"/>
          <w:color w:val="auto"/>
          <w:sz w:val="24"/>
          <w:szCs w:val="24"/>
          <w:highlight w:val="none"/>
        </w:rPr>
        <w:t>1.7 语言文字</w:t>
      </w:r>
      <w:bookmarkEnd w:id="71"/>
    </w:p>
    <w:p w14:paraId="4612B590">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除专用术语外，与招标投标有关的语言均使用中文。必要时专用术语应附有中文注释。</w:t>
      </w:r>
    </w:p>
    <w:p w14:paraId="42C0F844">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72" w:name="_Toc300678008"/>
      <w:r>
        <w:rPr>
          <w:rFonts w:hint="eastAsia" w:ascii="宋体" w:hAnsi="宋体" w:eastAsia="宋体" w:cs="宋体"/>
          <w:b w:val="0"/>
          <w:bCs w:val="0"/>
          <w:color w:val="auto"/>
          <w:sz w:val="24"/>
          <w:szCs w:val="24"/>
          <w:highlight w:val="none"/>
        </w:rPr>
        <w:t>1.8 计量单位</w:t>
      </w:r>
      <w:bookmarkEnd w:id="72"/>
    </w:p>
    <w:p w14:paraId="35FF791C">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所有计量均采用中华人民共和国法定计量单位。</w:t>
      </w:r>
    </w:p>
    <w:p w14:paraId="341B1B14">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73" w:name="_Toc300678009"/>
      <w:r>
        <w:rPr>
          <w:rFonts w:hint="eastAsia" w:ascii="宋体" w:hAnsi="宋体" w:eastAsia="宋体" w:cs="宋体"/>
          <w:b w:val="0"/>
          <w:bCs w:val="0"/>
          <w:color w:val="auto"/>
          <w:sz w:val="24"/>
          <w:szCs w:val="24"/>
          <w:highlight w:val="none"/>
        </w:rPr>
        <w:t>1.9 踏勘现场</w:t>
      </w:r>
      <w:bookmarkEnd w:id="73"/>
    </w:p>
    <w:p w14:paraId="1745E751">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  按投标人须知前附表的规定执行。</w:t>
      </w:r>
    </w:p>
    <w:p w14:paraId="51FB3EEA">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  投标人踏勘现场发生的费用自理。</w:t>
      </w:r>
    </w:p>
    <w:p w14:paraId="715B7B78">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1.9.3  除招标人的原因外，投标人自行负责在踏勘现场中所发生的人员伤亡和财产损失。</w:t>
      </w:r>
    </w:p>
    <w:p w14:paraId="2C2B73DF">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  招标人在踏勘现场有关工程场地和相关环境等情况的介绍，供投标人参考。投标人对自身的判断和决策负责。</w:t>
      </w:r>
    </w:p>
    <w:p w14:paraId="3FD50CF9">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74" w:name="_Toc300678011"/>
      <w:r>
        <w:rPr>
          <w:rFonts w:hint="eastAsia" w:ascii="宋体" w:hAnsi="宋体" w:eastAsia="宋体" w:cs="宋体"/>
          <w:b w:val="0"/>
          <w:bCs w:val="0"/>
          <w:color w:val="auto"/>
          <w:sz w:val="24"/>
          <w:szCs w:val="24"/>
          <w:highlight w:val="none"/>
        </w:rPr>
        <w:t>1.10 分包</w:t>
      </w:r>
      <w:bookmarkEnd w:id="74"/>
    </w:p>
    <w:p w14:paraId="4284F908">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投标人拟在中标后将中标项目的部分非主体、非关键性工作进行分包的，应符合投标人须知前附表规定的分包内容、分包金额和接受分包的第三人资质要求等限制性条件。</w:t>
      </w:r>
    </w:p>
    <w:p w14:paraId="539EC0C1">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75" w:name="_Toc300678012"/>
      <w:r>
        <w:rPr>
          <w:rFonts w:hint="eastAsia" w:ascii="宋体" w:hAnsi="宋体" w:eastAsia="宋体" w:cs="宋体"/>
          <w:b w:val="0"/>
          <w:bCs w:val="0"/>
          <w:color w:val="auto"/>
          <w:sz w:val="24"/>
          <w:szCs w:val="24"/>
          <w:highlight w:val="none"/>
        </w:rPr>
        <w:t>1.11 偏离</w:t>
      </w:r>
      <w:bookmarkEnd w:id="75"/>
    </w:p>
    <w:p w14:paraId="46E11569">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投标人须知前附表允许投标文件偏离招标文件某些要求的，偏离应当符合招标文件规定的偏离范围和幅度。</w:t>
      </w:r>
    </w:p>
    <w:p w14:paraId="48EFE0FD">
      <w:pPr>
        <w:pStyle w:val="5"/>
        <w:pageBreakBefore w:val="0"/>
        <w:kinsoku/>
        <w:wordWrap/>
        <w:overflowPunct/>
        <w:topLinePunct w:val="0"/>
        <w:autoSpaceDE/>
        <w:autoSpaceDN/>
        <w:bidi w:val="0"/>
        <w:textAlignment w:val="auto"/>
        <w:rPr>
          <w:rFonts w:hint="eastAsia" w:ascii="宋体" w:hAnsi="宋体" w:eastAsia="宋体" w:cs="宋体"/>
          <w:sz w:val="24"/>
          <w:szCs w:val="24"/>
        </w:rPr>
      </w:pPr>
      <w:bookmarkStart w:id="76" w:name="_Toc9178519"/>
      <w:bookmarkStart w:id="77" w:name="_Toc12090"/>
      <w:bookmarkStart w:id="78" w:name="_Toc300678013"/>
      <w:bookmarkStart w:id="79" w:name="_Toc80006090"/>
      <w:bookmarkStart w:id="80" w:name="_Toc19128"/>
      <w:r>
        <w:rPr>
          <w:rFonts w:hint="eastAsia" w:ascii="宋体" w:hAnsi="宋体" w:eastAsia="宋体" w:cs="宋体"/>
          <w:sz w:val="24"/>
          <w:szCs w:val="24"/>
        </w:rPr>
        <w:t>2.招标文件</w:t>
      </w:r>
      <w:bookmarkEnd w:id="76"/>
      <w:bookmarkEnd w:id="77"/>
      <w:bookmarkEnd w:id="78"/>
      <w:bookmarkEnd w:id="79"/>
      <w:bookmarkEnd w:id="80"/>
    </w:p>
    <w:p w14:paraId="71477C51">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81" w:name="_Toc300678014"/>
      <w:r>
        <w:rPr>
          <w:rFonts w:hint="eastAsia" w:ascii="宋体" w:hAnsi="宋体" w:eastAsia="宋体" w:cs="宋体"/>
          <w:b w:val="0"/>
          <w:bCs w:val="0"/>
          <w:color w:val="auto"/>
          <w:sz w:val="24"/>
          <w:szCs w:val="24"/>
          <w:highlight w:val="none"/>
        </w:rPr>
        <w:t>2.1 招标文件的组成</w:t>
      </w:r>
      <w:bookmarkEnd w:id="81"/>
    </w:p>
    <w:p w14:paraId="7D4F1765">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本招标文件包括：</w:t>
      </w:r>
    </w:p>
    <w:p w14:paraId="1BF7A8F1">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（1）招标公告（或投标邀请书）； </w:t>
      </w:r>
    </w:p>
    <w:p w14:paraId="28ACF900">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（2）投标人须知；</w:t>
      </w:r>
    </w:p>
    <w:p w14:paraId="5C7464BA">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（3）评标办法；</w:t>
      </w:r>
    </w:p>
    <w:p w14:paraId="14F71E27">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（4）合同条款及格式；</w:t>
      </w:r>
    </w:p>
    <w:p w14:paraId="22C57206">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（5）工程量清单；</w:t>
      </w:r>
    </w:p>
    <w:p w14:paraId="6AC38942">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（6）图纸；</w:t>
      </w:r>
    </w:p>
    <w:p w14:paraId="39DB25F7">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（7）技术标准和要求；</w:t>
      </w:r>
    </w:p>
    <w:p w14:paraId="4F0ECB97">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（8）投标文件格式；</w:t>
      </w:r>
    </w:p>
    <w:p w14:paraId="1535A4CF">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（9）投标人须知前附表规定的其他材料。</w:t>
      </w:r>
    </w:p>
    <w:p w14:paraId="2CEEF3D0">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根据本须知第2.2 项对招标文件所作的澄清和修改，构成招标文件的组成部分。</w:t>
      </w:r>
    </w:p>
    <w:p w14:paraId="6966187B">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82" w:name="_Toc300678015"/>
      <w:r>
        <w:rPr>
          <w:rFonts w:hint="eastAsia" w:ascii="宋体" w:hAnsi="宋体" w:eastAsia="宋体" w:cs="宋体"/>
          <w:b w:val="0"/>
          <w:bCs w:val="0"/>
          <w:color w:val="auto"/>
          <w:sz w:val="24"/>
          <w:szCs w:val="24"/>
          <w:highlight w:val="none"/>
        </w:rPr>
        <w:t>2.2 招标文件的澄清</w:t>
      </w:r>
      <w:bookmarkEnd w:id="82"/>
      <w:r>
        <w:rPr>
          <w:rFonts w:hint="eastAsia" w:ascii="宋体" w:hAnsi="宋体" w:eastAsia="宋体" w:cs="宋体"/>
          <w:b w:val="0"/>
          <w:bCs w:val="0"/>
          <w:color w:val="auto"/>
          <w:sz w:val="24"/>
          <w:szCs w:val="24"/>
          <w:highlight w:val="none"/>
        </w:rPr>
        <w:t>和修改</w:t>
      </w:r>
    </w:p>
    <w:p w14:paraId="4C07B78C">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  投标人应仔细阅读和检查招标文件的全部内容。如有疑问，应当在投标人须知前附表规定的时间之前，按照规定的方式，要求招标人澄清。</w:t>
      </w:r>
    </w:p>
    <w:p w14:paraId="000C0BCE">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  招标文件的澄清或者修改的内容可能影响投标文件编制的，由招标人在投标人须知前附表规定的投标截止时间前，在投标人须知前附表规定的</w:t>
      </w:r>
      <w:r>
        <w:rPr>
          <w:rFonts w:hint="eastAsia" w:ascii="宋体" w:hAnsi="宋体" w:eastAsia="宋体" w:cs="宋体"/>
          <w:color w:val="auto"/>
          <w:sz w:val="24"/>
          <w:szCs w:val="24"/>
          <w:highlight w:val="none"/>
          <w:lang w:val="en-US" w:eastAsia="zh-CN"/>
        </w:rPr>
        <w:t>方式发送给投标人</w:t>
      </w:r>
      <w:r>
        <w:rPr>
          <w:rFonts w:hint="eastAsia" w:ascii="宋体" w:hAnsi="宋体" w:eastAsia="宋体" w:cs="宋体"/>
          <w:color w:val="auto"/>
          <w:sz w:val="24"/>
          <w:szCs w:val="24"/>
          <w:highlight w:val="none"/>
        </w:rPr>
        <w:t>；不足</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日，相应顺延投标截止时间。</w:t>
      </w:r>
    </w:p>
    <w:p w14:paraId="6CB03422">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2.2.3招标文件澄清或者修改的内容由投标人在投标人须知前附表规定的媒介上自行查阅。</w:t>
      </w:r>
    </w:p>
    <w:p w14:paraId="51FB7F5D">
      <w:pPr>
        <w:pStyle w:val="5"/>
        <w:pageBreakBefore w:val="0"/>
        <w:kinsoku/>
        <w:wordWrap/>
        <w:overflowPunct/>
        <w:topLinePunct w:val="0"/>
        <w:autoSpaceDE/>
        <w:autoSpaceDN/>
        <w:bidi w:val="0"/>
        <w:textAlignment w:val="auto"/>
        <w:rPr>
          <w:rFonts w:hint="eastAsia" w:ascii="宋体" w:hAnsi="宋体" w:eastAsia="宋体" w:cs="宋体"/>
          <w:sz w:val="24"/>
          <w:szCs w:val="24"/>
        </w:rPr>
      </w:pPr>
      <w:bookmarkStart w:id="83" w:name="_Toc9178520"/>
      <w:bookmarkStart w:id="84" w:name="_Toc80006091"/>
      <w:bookmarkStart w:id="85" w:name="_Toc30718"/>
      <w:bookmarkStart w:id="86" w:name="_Toc300678017"/>
      <w:bookmarkStart w:id="87" w:name="_Toc17487"/>
      <w:r>
        <w:rPr>
          <w:rFonts w:hint="eastAsia" w:ascii="宋体" w:hAnsi="宋体" w:eastAsia="宋体" w:cs="宋体"/>
          <w:sz w:val="24"/>
          <w:szCs w:val="24"/>
        </w:rPr>
        <w:t>3.投标文件</w:t>
      </w:r>
      <w:bookmarkEnd w:id="83"/>
      <w:bookmarkEnd w:id="84"/>
      <w:bookmarkEnd w:id="85"/>
      <w:bookmarkEnd w:id="86"/>
      <w:bookmarkEnd w:id="87"/>
    </w:p>
    <w:p w14:paraId="7A76D4BB">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88" w:name="_Toc300678018"/>
      <w:r>
        <w:rPr>
          <w:rFonts w:hint="eastAsia" w:ascii="宋体" w:hAnsi="宋体" w:eastAsia="宋体" w:cs="宋体"/>
          <w:b w:val="0"/>
          <w:bCs w:val="0"/>
          <w:color w:val="auto"/>
          <w:sz w:val="24"/>
          <w:szCs w:val="24"/>
          <w:highlight w:val="none"/>
        </w:rPr>
        <w:t>3.1 投标文件的组成</w:t>
      </w:r>
      <w:bookmarkEnd w:id="88"/>
    </w:p>
    <w:p w14:paraId="4F4C5D72">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3.1.1  投标文件由投标函</w:t>
      </w:r>
      <w:r>
        <w:rPr>
          <w:rFonts w:hint="eastAsia" w:ascii="宋体" w:hAnsi="宋体" w:eastAsia="宋体" w:cs="宋体"/>
          <w:color w:val="auto"/>
          <w:sz w:val="24"/>
          <w:szCs w:val="24"/>
          <w:highlight w:val="none"/>
          <w:lang w:val="en-US" w:eastAsia="zh-CN"/>
        </w:rPr>
        <w:t>及附录</w:t>
      </w:r>
      <w:r>
        <w:rPr>
          <w:rFonts w:hint="eastAsia" w:ascii="宋体" w:hAnsi="宋体" w:eastAsia="宋体" w:cs="宋体"/>
          <w:color w:val="auto"/>
          <w:sz w:val="24"/>
          <w:szCs w:val="24"/>
          <w:highlight w:val="none"/>
        </w:rPr>
        <w:t>、投标报价、施工组织设计三部分内容以及投标人须知前附表规定的其他资料组成，具体内容详见第八章投标文件格式。</w:t>
      </w:r>
    </w:p>
    <w:p w14:paraId="77233A66">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3.1.2  投标人须知前附表规定不接受联合体投标的，或投标人没有组成联合体的，投标文件不包括</w:t>
      </w:r>
      <w:r>
        <w:rPr>
          <w:rFonts w:hint="eastAsia" w:ascii="宋体" w:hAnsi="宋体" w:eastAsia="宋体" w:cs="宋体"/>
          <w:color w:val="auto"/>
          <w:sz w:val="24"/>
          <w:szCs w:val="24"/>
          <w:highlight w:val="none"/>
          <w:lang w:eastAsia="zh-CN"/>
        </w:rPr>
        <w:t>共同投标协议</w:t>
      </w:r>
      <w:r>
        <w:rPr>
          <w:rFonts w:hint="eastAsia" w:ascii="宋体" w:hAnsi="宋体" w:eastAsia="宋体" w:cs="宋体"/>
          <w:color w:val="auto"/>
          <w:sz w:val="24"/>
          <w:szCs w:val="24"/>
          <w:highlight w:val="none"/>
        </w:rPr>
        <w:t>。</w:t>
      </w:r>
    </w:p>
    <w:p w14:paraId="4173BB76">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89" w:name="_Toc300678019"/>
      <w:r>
        <w:rPr>
          <w:rFonts w:hint="eastAsia" w:ascii="宋体" w:hAnsi="宋体" w:eastAsia="宋体" w:cs="宋体"/>
          <w:b w:val="0"/>
          <w:bCs w:val="0"/>
          <w:color w:val="auto"/>
          <w:sz w:val="24"/>
          <w:szCs w:val="24"/>
          <w:highlight w:val="none"/>
        </w:rPr>
        <w:t>3.2 投标报价</w:t>
      </w:r>
      <w:bookmarkEnd w:id="89"/>
    </w:p>
    <w:p w14:paraId="4CC3D442">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  投标人应按第五章“工程量清单”的要求填写相应表格。</w:t>
      </w:r>
    </w:p>
    <w:p w14:paraId="1C98C0CE">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3.2.2  投标人在投标截止时间前修改投标函中的投标总报价，应同时修改其按第五章“工程量清单”要求填写的相应表格中的报价。此修改应当符合本须知第4.3 项的有关要求。</w:t>
      </w:r>
    </w:p>
    <w:p w14:paraId="4AED93A6">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90" w:name="_Toc300678020"/>
      <w:r>
        <w:rPr>
          <w:rFonts w:hint="eastAsia" w:ascii="宋体" w:hAnsi="宋体" w:eastAsia="宋体" w:cs="宋体"/>
          <w:b w:val="0"/>
          <w:bCs w:val="0"/>
          <w:color w:val="auto"/>
          <w:sz w:val="24"/>
          <w:szCs w:val="24"/>
          <w:highlight w:val="none"/>
        </w:rPr>
        <w:t>3.3 投标有效期</w:t>
      </w:r>
      <w:bookmarkEnd w:id="90"/>
    </w:p>
    <w:p w14:paraId="1FE801A7">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在投标人须知前附表规定的投标有效期内，投标人不得要求撤销或修改其投标文件。</w:t>
      </w:r>
    </w:p>
    <w:p w14:paraId="5F2D2218">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3.3.2  出现特殊情况需要延长投标有效期的，招标人以书面形式通知所有投标人延长投标有效期。投标人同意延长的，应相应延长其投标保证的有效期，且不得要求或被允许修改或撤销其投标文件；投标人拒绝延长的，其投标失效，投标人有权收回其投标保证。</w:t>
      </w:r>
    </w:p>
    <w:p w14:paraId="3C43C1CA">
      <w:pPr>
        <w:pStyle w:val="6"/>
        <w:pageBreakBefore w:val="0"/>
        <w:kinsoku/>
        <w:wordWrap/>
        <w:overflowPunct/>
        <w:topLinePunct w:val="0"/>
        <w:autoSpaceDE/>
        <w:autoSpaceDN/>
        <w:bidi w:val="0"/>
        <w:ind w:firstLine="480" w:firstLineChars="200"/>
        <w:textAlignment w:val="auto"/>
        <w:rPr>
          <w:rFonts w:hint="eastAsia" w:ascii="宋体" w:hAnsi="宋体" w:eastAsia="宋体" w:cs="宋体"/>
          <w:b w:val="0"/>
          <w:bCs w:val="0"/>
          <w:color w:val="auto"/>
          <w:sz w:val="24"/>
          <w:szCs w:val="24"/>
          <w:highlight w:val="none"/>
        </w:rPr>
      </w:pPr>
      <w:bookmarkStart w:id="91" w:name="_Toc300678021"/>
      <w:r>
        <w:rPr>
          <w:rFonts w:hint="eastAsia" w:ascii="宋体" w:hAnsi="宋体" w:eastAsia="宋体" w:cs="宋体"/>
          <w:b w:val="0"/>
          <w:bCs w:val="0"/>
          <w:color w:val="auto"/>
          <w:sz w:val="24"/>
          <w:szCs w:val="24"/>
          <w:highlight w:val="none"/>
        </w:rPr>
        <w:t>3.4 投标保证</w:t>
      </w:r>
      <w:bookmarkEnd w:id="91"/>
    </w:p>
    <w:p w14:paraId="520FBA4B">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3.4.1 投标人在递交投标文件的同时，应当按照投标人须知前附表的规定递交投标担保，并作为投标文件的组成部分。</w:t>
      </w:r>
    </w:p>
    <w:p w14:paraId="58F9F17A">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3.4.2  投标人不按本须知第3.4.1 项要求提交投标担保的，应当否决其投标。</w:t>
      </w:r>
    </w:p>
    <w:p w14:paraId="664645E7">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3.4.3 </w:t>
      </w:r>
      <w:r>
        <w:rPr>
          <w:rFonts w:hint="eastAsia" w:ascii="宋体" w:hAnsi="宋体" w:eastAsia="宋体" w:cs="宋体"/>
          <w:color w:val="auto"/>
          <w:sz w:val="24"/>
          <w:szCs w:val="24"/>
          <w:highlight w:val="none"/>
          <w:shd w:val="clear" w:color="auto" w:fill="FFFFFF"/>
        </w:rPr>
        <w:t>未中标的投标人的投标担保</w:t>
      </w:r>
      <w:r>
        <w:rPr>
          <w:rFonts w:hint="eastAsia" w:ascii="宋体" w:hAnsi="宋体" w:eastAsia="宋体" w:cs="宋体"/>
          <w:color w:val="auto"/>
          <w:sz w:val="24"/>
          <w:szCs w:val="24"/>
          <w:highlight w:val="none"/>
        </w:rPr>
        <w:t>于中标通知书发出之日起5个工作日内退还。</w:t>
      </w:r>
    </w:p>
    <w:p w14:paraId="34982100">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3.4.4 中标人的投标担保在招标人与中标人签订合同后5 个工作日内退还。</w:t>
      </w:r>
    </w:p>
    <w:p w14:paraId="2D7D906B">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rPr>
        <w:t>3.4.5</w:t>
      </w:r>
      <w:r>
        <w:rPr>
          <w:rFonts w:hint="eastAsia" w:ascii="宋体" w:hAnsi="宋体" w:eastAsia="宋体" w:cs="宋体"/>
          <w:color w:val="auto"/>
          <w:sz w:val="24"/>
          <w:szCs w:val="24"/>
          <w:highlight w:val="none"/>
          <w:shd w:val="clear" w:color="auto" w:fill="FFFFFF"/>
        </w:rPr>
        <w:t>在投标截止时间前撤回已提交的投标文件的投标人的投标担保，自收到投标人书面撤回通知之日起5个工作日内退还；</w:t>
      </w:r>
    </w:p>
    <w:p w14:paraId="21F8E4A3">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rPr>
        <w:t>3.4.6 不接受招标人延长投标有效期的投标人的投标担保，自收到投标人不予接受延长投标有效期的书面通知之日起5个工作日内退还。</w:t>
      </w:r>
      <w:r>
        <w:rPr>
          <w:rFonts w:hint="eastAsia" w:ascii="宋体" w:hAnsi="宋体" w:eastAsia="宋体" w:cs="宋体"/>
          <w:color w:val="auto"/>
          <w:sz w:val="24"/>
          <w:szCs w:val="24"/>
          <w:highlight w:val="none"/>
        </w:rPr>
        <w:t xml:space="preserve">   </w:t>
      </w:r>
    </w:p>
    <w:p w14:paraId="075B7623">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3.4.7 有下列情形之一的，将对投标人以现金形式提交的投标担保不予退还；采用投标承诺的，将提请住房城乡建设主管部门给予投标人不良行为记录；采用保函的，将要求保函开立人支付经济补偿金。</w:t>
      </w:r>
    </w:p>
    <w:p w14:paraId="2A8DBEFA">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（1）投标人在规定的投标有效期内撤销或修改其投标文件；</w:t>
      </w:r>
    </w:p>
    <w:p w14:paraId="3CDDD0E9">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（2）投标人被确定为中标人后，无正当理由不与招标人订立合同，或者在签订合同时向招标人提出附加条件，或者不按招标文件要求提交履约担保。</w:t>
      </w:r>
    </w:p>
    <w:p w14:paraId="2F98D231">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92" w:name="_Toc300678022"/>
      <w:r>
        <w:rPr>
          <w:rFonts w:hint="eastAsia" w:ascii="宋体" w:hAnsi="宋体" w:eastAsia="宋体" w:cs="宋体"/>
          <w:b w:val="0"/>
          <w:bCs w:val="0"/>
          <w:color w:val="auto"/>
          <w:sz w:val="24"/>
          <w:szCs w:val="24"/>
          <w:highlight w:val="none"/>
        </w:rPr>
        <w:t>3.5资格审查资料</w:t>
      </w:r>
    </w:p>
    <w:bookmarkEnd w:id="92"/>
    <w:p w14:paraId="234FBBE6">
      <w:pPr>
        <w:pStyle w:val="6"/>
        <w:pageBreakBefore w:val="0"/>
        <w:kinsoku/>
        <w:wordWrap/>
        <w:overflowPunct/>
        <w:topLinePunct w:val="0"/>
        <w:autoSpaceDE/>
        <w:autoSpaceDN/>
        <w:bidi w:val="0"/>
        <w:ind w:firstLine="480" w:firstLineChars="200"/>
        <w:textAlignment w:val="auto"/>
        <w:rPr>
          <w:rFonts w:hint="eastAsia" w:ascii="宋体" w:hAnsi="宋体" w:eastAsia="宋体" w:cs="宋体"/>
          <w:b w:val="0"/>
          <w:bCs w:val="0"/>
          <w:color w:val="auto"/>
          <w:sz w:val="24"/>
          <w:szCs w:val="24"/>
          <w:highlight w:val="none"/>
        </w:rPr>
      </w:pPr>
      <w:bookmarkStart w:id="93" w:name="_Toc300678023"/>
      <w:r>
        <w:rPr>
          <w:rFonts w:hint="eastAsia" w:ascii="宋体" w:hAnsi="宋体" w:eastAsia="宋体" w:cs="宋体"/>
          <w:b w:val="0"/>
          <w:bCs w:val="0"/>
          <w:color w:val="auto"/>
          <w:sz w:val="24"/>
          <w:szCs w:val="24"/>
          <w:highlight w:val="none"/>
        </w:rPr>
        <w:t>采用资格预审方式的，</w:t>
      </w:r>
      <w:bookmarkEnd w:id="93"/>
      <w:r>
        <w:rPr>
          <w:rFonts w:hint="eastAsia" w:ascii="宋体" w:hAnsi="宋体" w:eastAsia="宋体" w:cs="宋体"/>
          <w:b w:val="0"/>
          <w:bCs w:val="0"/>
          <w:color w:val="auto"/>
          <w:sz w:val="24"/>
          <w:szCs w:val="24"/>
          <w:highlight w:val="none"/>
        </w:rPr>
        <w:t xml:space="preserve"> 投标人在编制投标文件时，应按新情况更新或补充其在申请资格预审时提供的资料，以证实其各项资格条件仍能继续满足资格预审文件的要求，具备承担本招标项目的资质条件、能力和信誉。</w:t>
      </w:r>
    </w:p>
    <w:p w14:paraId="640BD530">
      <w:pPr>
        <w:pStyle w:val="6"/>
        <w:pageBreakBefore w:val="0"/>
        <w:kinsoku/>
        <w:wordWrap/>
        <w:overflowPunct/>
        <w:topLinePunct w:val="0"/>
        <w:autoSpaceDE/>
        <w:autoSpaceDN/>
        <w:bidi w:val="0"/>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采用资格后审方式的，按照本须知第1.4.1项的规定提交资格审查资料，具体要求详见第八章“投标文件—投标函格式”。</w:t>
      </w:r>
    </w:p>
    <w:p w14:paraId="432A08A9">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3.6 备选投标方案</w:t>
      </w:r>
    </w:p>
    <w:p w14:paraId="78776827">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5543BF66">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94" w:name="_Toc300678025"/>
      <w:r>
        <w:rPr>
          <w:rFonts w:hint="eastAsia" w:ascii="宋体" w:hAnsi="宋体" w:eastAsia="宋体" w:cs="宋体"/>
          <w:b w:val="0"/>
          <w:bCs w:val="0"/>
          <w:color w:val="auto"/>
          <w:sz w:val="24"/>
          <w:szCs w:val="24"/>
          <w:highlight w:val="none"/>
        </w:rPr>
        <w:t>3.7 投标文件的编制</w:t>
      </w:r>
      <w:bookmarkEnd w:id="94"/>
    </w:p>
    <w:p w14:paraId="4C99EF5C">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3.7.1  投标文件应按第八章“投标文件格式”编写。可以增加附页，作为投标文件的组成部分。其中，投标函附录在满足招标文件实质性要求的基础上，可以提出比招标文件要求更有利于招标人的承诺。</w:t>
      </w:r>
    </w:p>
    <w:p w14:paraId="448A69FA">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3.7.2  投标文件应当对招标文件有关工期、投标有效期、质量要求、技术标准和要求、招标范围等内容作出实质性响应。</w:t>
      </w:r>
    </w:p>
    <w:p w14:paraId="78DC391A">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3.7.3  投标文件应用不褪色的材料书写或打印，并加盖投标人的单位公章和法定代表人或其委托代理人印章。委托代理人签字或盖章的，投标文件应附法定代表人签署的授权委托书。投标文件应尽量避免涂改、行间插字或删除。如果出现上述情况，改动之处应加盖投标人单位公章或由投标人的法定代表人或其授权的代理人签字确认。签字或盖章的具体要求见投标人须知前附表。</w:t>
      </w:r>
    </w:p>
    <w:p w14:paraId="71A711C4">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3.7.4投标文件份数见投标人须知前附表。</w:t>
      </w:r>
    </w:p>
    <w:p w14:paraId="63420336">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3.7.5投标文件装订要求见投标人须知前附表。</w:t>
      </w:r>
    </w:p>
    <w:p w14:paraId="1BCA24A7">
      <w:pPr>
        <w:pStyle w:val="5"/>
        <w:pageBreakBefore w:val="0"/>
        <w:kinsoku/>
        <w:wordWrap/>
        <w:overflowPunct/>
        <w:topLinePunct w:val="0"/>
        <w:autoSpaceDE/>
        <w:autoSpaceDN/>
        <w:bidi w:val="0"/>
        <w:textAlignment w:val="auto"/>
        <w:rPr>
          <w:rFonts w:hint="eastAsia" w:ascii="宋体" w:hAnsi="宋体" w:eastAsia="宋体" w:cs="宋体"/>
          <w:sz w:val="24"/>
          <w:szCs w:val="24"/>
        </w:rPr>
      </w:pPr>
      <w:bookmarkStart w:id="95" w:name="_Toc19269"/>
      <w:bookmarkStart w:id="96" w:name="_Toc80006092"/>
      <w:bookmarkStart w:id="97" w:name="_Toc300678026"/>
      <w:bookmarkStart w:id="98" w:name="_Toc9178521"/>
      <w:bookmarkStart w:id="99" w:name="_Toc4757"/>
      <w:r>
        <w:rPr>
          <w:rFonts w:hint="eastAsia" w:ascii="宋体" w:hAnsi="宋体" w:eastAsia="宋体" w:cs="宋体"/>
          <w:sz w:val="24"/>
          <w:szCs w:val="24"/>
        </w:rPr>
        <w:t>4.投标</w:t>
      </w:r>
      <w:bookmarkEnd w:id="95"/>
      <w:bookmarkEnd w:id="96"/>
      <w:bookmarkEnd w:id="97"/>
      <w:bookmarkEnd w:id="98"/>
      <w:bookmarkEnd w:id="99"/>
    </w:p>
    <w:p w14:paraId="62317D30">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00" w:name="_Toc300678027"/>
      <w:r>
        <w:rPr>
          <w:rFonts w:hint="eastAsia" w:ascii="宋体" w:hAnsi="宋体" w:eastAsia="宋体" w:cs="宋体"/>
          <w:b w:val="0"/>
          <w:bCs w:val="0"/>
          <w:color w:val="auto"/>
          <w:sz w:val="24"/>
          <w:szCs w:val="24"/>
          <w:highlight w:val="none"/>
        </w:rPr>
        <w:t>4.1 投标文件的密封和标记</w:t>
      </w:r>
      <w:bookmarkEnd w:id="100"/>
    </w:p>
    <w:p w14:paraId="342E97AF">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4.1.1投标文件的密封：投标文件分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两</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包包装（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投标函</w:t>
      </w:r>
      <w:r>
        <w:rPr>
          <w:rFonts w:hint="eastAsia" w:ascii="宋体" w:hAnsi="宋体" w:eastAsia="宋体" w:cs="宋体"/>
          <w:color w:val="auto"/>
          <w:sz w:val="24"/>
          <w:szCs w:val="24"/>
          <w:highlight w:val="none"/>
          <w:lang w:val="en-US" w:eastAsia="zh-CN"/>
        </w:rPr>
        <w:t>及附录</w:t>
      </w:r>
      <w:r>
        <w:rPr>
          <w:rFonts w:hint="eastAsia" w:ascii="宋体" w:hAnsi="宋体" w:eastAsia="宋体" w:cs="宋体"/>
          <w:color w:val="auto"/>
          <w:sz w:val="24"/>
          <w:szCs w:val="24"/>
          <w:highlight w:val="none"/>
        </w:rPr>
        <w:t>，正本副本一包，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投标报价，正本副本一包，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施工组织设计一包）并密封。</w:t>
      </w:r>
    </w:p>
    <w:p w14:paraId="0CC87E88">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施工组织设计采用“暗标”评审方式的，施工组织设计的密封符合招标文件第八章第三节“施工组织设计格式（暗标）”要求。</w:t>
      </w:r>
    </w:p>
    <w:p w14:paraId="5E34395E">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4.1.2 投标文件的标记：投标文件封套上载明的信息应符合投标人须知前附表的要求。</w:t>
      </w:r>
    </w:p>
    <w:p w14:paraId="3F306F27">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4.1.3  未按本须知第4.1.1 项要求密封的投标文件，招标人将予以拒收。未按本章第4.1.2 项要求加写标记的投标文件，招标人将不承担投标文件提前开封的责任。</w:t>
      </w:r>
    </w:p>
    <w:p w14:paraId="0E5B3FFE">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01" w:name="_Toc300678028"/>
      <w:r>
        <w:rPr>
          <w:rFonts w:hint="eastAsia" w:ascii="宋体" w:hAnsi="宋体" w:eastAsia="宋体" w:cs="宋体"/>
          <w:b w:val="0"/>
          <w:bCs w:val="0"/>
          <w:color w:val="auto"/>
          <w:sz w:val="24"/>
          <w:szCs w:val="24"/>
          <w:highlight w:val="none"/>
        </w:rPr>
        <w:t>4.2 投标文件的递交</w:t>
      </w:r>
      <w:bookmarkEnd w:id="101"/>
    </w:p>
    <w:p w14:paraId="7B9BA4DD">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4.2.1 投标人应当在投标人须知前附表规定的投标截止时间前递交投标文件。</w:t>
      </w:r>
    </w:p>
    <w:p w14:paraId="5971F835">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4.2.2投标人递交投标文件的地点：见投标人须知前附表。</w:t>
      </w:r>
    </w:p>
    <w:p w14:paraId="3F5697BF">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4.2.3 除投标人须知前附表另有规定外，投标人所递交的投标文件不予退还。</w:t>
      </w:r>
    </w:p>
    <w:p w14:paraId="6C54B054">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4.2.4逾期送达的或者未送达指定地点的投标文件，招标人将予以拒收。</w:t>
      </w:r>
    </w:p>
    <w:p w14:paraId="5FF06946">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4.3 投标文件的修改与撤回</w:t>
      </w:r>
    </w:p>
    <w:p w14:paraId="45514154">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在投标人须知前附表规定的投标截止时间前，投标人可以修改或撤回已递交投标文件。</w:t>
      </w:r>
    </w:p>
    <w:p w14:paraId="03C6FCB9">
      <w:pPr>
        <w:pStyle w:val="5"/>
        <w:pageBreakBefore w:val="0"/>
        <w:kinsoku/>
        <w:wordWrap/>
        <w:overflowPunct/>
        <w:topLinePunct w:val="0"/>
        <w:autoSpaceDE/>
        <w:autoSpaceDN/>
        <w:bidi w:val="0"/>
        <w:textAlignment w:val="auto"/>
        <w:rPr>
          <w:rFonts w:hint="eastAsia" w:ascii="宋体" w:hAnsi="宋体" w:eastAsia="宋体" w:cs="宋体"/>
          <w:sz w:val="24"/>
          <w:szCs w:val="24"/>
        </w:rPr>
      </w:pPr>
      <w:bookmarkStart w:id="102" w:name="_Toc10573"/>
      <w:bookmarkStart w:id="103" w:name="_Toc9178522"/>
      <w:bookmarkStart w:id="104" w:name="_Toc7655"/>
      <w:bookmarkStart w:id="105" w:name="_Toc300678029"/>
      <w:bookmarkStart w:id="106" w:name="_Toc80006093"/>
      <w:r>
        <w:rPr>
          <w:rFonts w:hint="eastAsia" w:ascii="宋体" w:hAnsi="宋体" w:eastAsia="宋体" w:cs="宋体"/>
          <w:sz w:val="24"/>
          <w:szCs w:val="24"/>
        </w:rPr>
        <w:t>5.开标</w:t>
      </w:r>
      <w:bookmarkEnd w:id="102"/>
      <w:bookmarkEnd w:id="103"/>
      <w:bookmarkEnd w:id="104"/>
      <w:bookmarkEnd w:id="105"/>
      <w:bookmarkEnd w:id="106"/>
    </w:p>
    <w:p w14:paraId="021286D7">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07" w:name="_Toc300678030"/>
      <w:r>
        <w:rPr>
          <w:rFonts w:hint="eastAsia" w:ascii="宋体" w:hAnsi="宋体" w:eastAsia="宋体" w:cs="宋体"/>
          <w:b w:val="0"/>
          <w:bCs w:val="0"/>
          <w:color w:val="auto"/>
          <w:sz w:val="24"/>
          <w:szCs w:val="24"/>
          <w:highlight w:val="none"/>
        </w:rPr>
        <w:t>5.1 开标时间和地点</w:t>
      </w:r>
      <w:bookmarkEnd w:id="107"/>
    </w:p>
    <w:p w14:paraId="34815B11">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trike/>
          <w:color w:val="auto"/>
          <w:sz w:val="24"/>
          <w:szCs w:val="24"/>
          <w:highlight w:val="none"/>
        </w:rPr>
      </w:pPr>
      <w:r>
        <w:rPr>
          <w:rFonts w:hint="eastAsia" w:ascii="宋体" w:hAnsi="宋体" w:eastAsia="宋体" w:cs="宋体"/>
          <w:sz w:val="24"/>
          <w:szCs w:val="24"/>
        </w:rPr>
        <w:t>招标人在投标人须知前附表规定的投标截止时间（开标时间）和地点公开开标，并邀请所有投标人的法定代表人或其委托代理人准时参加</w:t>
      </w:r>
      <w:r>
        <w:rPr>
          <w:rFonts w:hint="eastAsia" w:ascii="宋体" w:hAnsi="宋体" w:eastAsia="宋体" w:cs="宋体"/>
          <w:color w:val="auto"/>
          <w:sz w:val="24"/>
          <w:szCs w:val="24"/>
          <w:highlight w:val="none"/>
        </w:rPr>
        <w:t>。</w:t>
      </w:r>
    </w:p>
    <w:p w14:paraId="683F5EA1">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08" w:name="_Toc300678031"/>
      <w:r>
        <w:rPr>
          <w:rFonts w:hint="eastAsia" w:ascii="宋体" w:hAnsi="宋体" w:eastAsia="宋体" w:cs="宋体"/>
          <w:b w:val="0"/>
          <w:bCs w:val="0"/>
          <w:color w:val="auto"/>
          <w:sz w:val="24"/>
          <w:szCs w:val="24"/>
          <w:highlight w:val="none"/>
        </w:rPr>
        <w:t>5.2 开标程序</w:t>
      </w:r>
      <w:bookmarkEnd w:id="108"/>
    </w:p>
    <w:p w14:paraId="576AE062">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5.2.1招标人按下列程序进行开标：</w:t>
      </w:r>
    </w:p>
    <w:p w14:paraId="0D25F493">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（l）宣布开标纪律；</w:t>
      </w:r>
    </w:p>
    <w:p w14:paraId="5EFCC5F1">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（2）公布在投标截止时间前递交投标文件的投标人名称；</w:t>
      </w:r>
    </w:p>
    <w:p w14:paraId="5EAB954A">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（3）宣布开标人、监督人等有关人员姓名；</w:t>
      </w:r>
    </w:p>
    <w:p w14:paraId="107B45B2">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（4）由招标人在开标现场随机抽取α</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β</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P值</w:t>
      </w:r>
      <w:r>
        <w:rPr>
          <w:rFonts w:hint="eastAsia" w:ascii="宋体" w:hAnsi="宋体" w:eastAsia="宋体" w:cs="宋体"/>
          <w:color w:val="auto"/>
          <w:sz w:val="24"/>
          <w:szCs w:val="24"/>
          <w:highlight w:val="none"/>
        </w:rPr>
        <w:t>并记录在案；</w:t>
      </w:r>
    </w:p>
    <w:p w14:paraId="006178CF">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（5）按照投标人须知前附表规定检查投标文件的密封情况，当众开标，公布投标人名称、标段名称、投标保证的递交情况、投标报价、质量目标、工期及其他内容，并记录在案；</w:t>
      </w:r>
    </w:p>
    <w:p w14:paraId="03675529">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（6）投标人确认开标结果；</w:t>
      </w:r>
    </w:p>
    <w:p w14:paraId="40F11217">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（7）招标人在开标记录上确认；</w:t>
      </w:r>
    </w:p>
    <w:p w14:paraId="28F4A828">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（8）开标结束。</w:t>
      </w:r>
    </w:p>
    <w:p w14:paraId="4361C358">
      <w:pPr>
        <w:pStyle w:val="5"/>
        <w:pageBreakBefore w:val="0"/>
        <w:kinsoku/>
        <w:wordWrap/>
        <w:overflowPunct/>
        <w:topLinePunct w:val="0"/>
        <w:autoSpaceDE/>
        <w:autoSpaceDN/>
        <w:bidi w:val="0"/>
        <w:textAlignment w:val="auto"/>
        <w:rPr>
          <w:rFonts w:hint="eastAsia" w:ascii="宋体" w:hAnsi="宋体" w:eastAsia="宋体" w:cs="宋体"/>
          <w:sz w:val="24"/>
          <w:szCs w:val="24"/>
        </w:rPr>
      </w:pPr>
      <w:bookmarkStart w:id="109" w:name="_Toc9178523"/>
      <w:bookmarkStart w:id="110" w:name="_Toc2171"/>
      <w:bookmarkStart w:id="111" w:name="_Toc80006094"/>
      <w:bookmarkStart w:id="112" w:name="_Toc300678032"/>
      <w:bookmarkStart w:id="113" w:name="_Toc273"/>
      <w:r>
        <w:rPr>
          <w:rFonts w:hint="eastAsia" w:ascii="宋体" w:hAnsi="宋体" w:eastAsia="宋体" w:cs="宋体"/>
          <w:sz w:val="24"/>
          <w:szCs w:val="24"/>
        </w:rPr>
        <w:t>6.评标</w:t>
      </w:r>
      <w:bookmarkEnd w:id="109"/>
      <w:bookmarkEnd w:id="110"/>
      <w:bookmarkEnd w:id="111"/>
      <w:bookmarkEnd w:id="112"/>
      <w:bookmarkEnd w:id="113"/>
    </w:p>
    <w:p w14:paraId="58AF46FD">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14" w:name="_Toc300678033"/>
      <w:r>
        <w:rPr>
          <w:rFonts w:hint="eastAsia" w:ascii="宋体" w:hAnsi="宋体" w:eastAsia="宋体" w:cs="宋体"/>
          <w:b w:val="0"/>
          <w:bCs w:val="0"/>
          <w:color w:val="auto"/>
          <w:sz w:val="24"/>
          <w:szCs w:val="24"/>
          <w:highlight w:val="none"/>
        </w:rPr>
        <w:t>6.1 评标委员会</w:t>
      </w:r>
      <w:bookmarkEnd w:id="114"/>
    </w:p>
    <w:p w14:paraId="30FCB3FC">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评标由招标人依法组建的评标委员会负责。评标委员会成员人数以及技术、经济等方面专家的确定方式见投标人须知前附表。</w:t>
      </w:r>
    </w:p>
    <w:p w14:paraId="4FF85C25">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6.1.2  有下列情形之一的，应当回避：</w:t>
      </w:r>
    </w:p>
    <w:p w14:paraId="2258AE6F">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（1）评标委员会成员是投标人或投标人的主要负责人或拟任项目经理的近亲属；</w:t>
      </w:r>
    </w:p>
    <w:p w14:paraId="025E4C7C">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（2）评标委员会成员是本项目招标投标行政监督部门的人员；</w:t>
      </w:r>
    </w:p>
    <w:p w14:paraId="36852002">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（3）评标委员会成员是招标人或者其下属单位或者招标项目上级主管部门的人员，但招标人代表除外；</w:t>
      </w:r>
    </w:p>
    <w:p w14:paraId="7E0A9B91">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（4）评标委员会成员曾参与投标人的投标文件编制或者对投标文件的编制实施指导；</w:t>
      </w:r>
    </w:p>
    <w:p w14:paraId="562BD53A">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（5）评标委员会成员与投标人有经济利益关系，可能影响对投标公正评审的。</w:t>
      </w:r>
    </w:p>
    <w:p w14:paraId="52C1C58B">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（6）评标委员会成员被主管部门禁止参加本地区依法必须招标项目评标或者取消担任评标委员会成员资格。</w:t>
      </w:r>
    </w:p>
    <w:p w14:paraId="20F03233">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15" w:name="_Toc300678034"/>
      <w:r>
        <w:rPr>
          <w:rFonts w:hint="eastAsia" w:ascii="宋体" w:hAnsi="宋体" w:eastAsia="宋体" w:cs="宋体"/>
          <w:b w:val="0"/>
          <w:bCs w:val="0"/>
          <w:color w:val="auto"/>
          <w:sz w:val="24"/>
          <w:szCs w:val="24"/>
          <w:highlight w:val="none"/>
        </w:rPr>
        <w:t>6.2 评标原则</w:t>
      </w:r>
      <w:bookmarkEnd w:id="115"/>
    </w:p>
    <w:p w14:paraId="5522965D">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评标活动遵循公平、公正、科学和择优的原则。</w:t>
      </w:r>
    </w:p>
    <w:p w14:paraId="45F3EBE0">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16" w:name="_Toc300678035"/>
      <w:r>
        <w:rPr>
          <w:rFonts w:hint="eastAsia" w:ascii="宋体" w:hAnsi="宋体" w:eastAsia="宋体" w:cs="宋体"/>
          <w:b w:val="0"/>
          <w:bCs w:val="0"/>
          <w:color w:val="auto"/>
          <w:sz w:val="24"/>
          <w:szCs w:val="24"/>
          <w:highlight w:val="none"/>
        </w:rPr>
        <w:t>6.3 评标</w:t>
      </w:r>
      <w:bookmarkEnd w:id="116"/>
    </w:p>
    <w:p w14:paraId="216E3222">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评标委员会按照第三章“评标办法”规定的评审标准和评审程序对投标文件进行评审。第三章“评标办法”没有规定的方法、评审因素和标准，不作为评标依据。</w:t>
      </w:r>
    </w:p>
    <w:p w14:paraId="08141659">
      <w:pPr>
        <w:pStyle w:val="5"/>
        <w:pageBreakBefore w:val="0"/>
        <w:kinsoku/>
        <w:wordWrap/>
        <w:overflowPunct/>
        <w:topLinePunct w:val="0"/>
        <w:autoSpaceDE/>
        <w:autoSpaceDN/>
        <w:bidi w:val="0"/>
        <w:textAlignment w:val="auto"/>
        <w:rPr>
          <w:rFonts w:hint="eastAsia" w:ascii="宋体" w:hAnsi="宋体" w:eastAsia="宋体" w:cs="宋体"/>
          <w:sz w:val="24"/>
          <w:szCs w:val="24"/>
        </w:rPr>
      </w:pPr>
      <w:bookmarkStart w:id="117" w:name="_Toc80006095"/>
      <w:bookmarkStart w:id="118" w:name="_Toc17682"/>
      <w:bookmarkStart w:id="119" w:name="_Toc9178524"/>
      <w:bookmarkStart w:id="120" w:name="_Toc18723"/>
      <w:bookmarkStart w:id="121" w:name="_Toc300678036"/>
      <w:r>
        <w:rPr>
          <w:rFonts w:hint="eastAsia" w:ascii="宋体" w:hAnsi="宋体" w:eastAsia="宋体" w:cs="宋体"/>
          <w:sz w:val="24"/>
          <w:szCs w:val="24"/>
        </w:rPr>
        <w:t>7.合同授予</w:t>
      </w:r>
      <w:bookmarkEnd w:id="117"/>
      <w:bookmarkEnd w:id="118"/>
      <w:bookmarkEnd w:id="119"/>
      <w:bookmarkEnd w:id="120"/>
      <w:bookmarkEnd w:id="121"/>
    </w:p>
    <w:p w14:paraId="212C9635">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22" w:name="_Toc300678037"/>
      <w:r>
        <w:rPr>
          <w:rFonts w:hint="eastAsia" w:ascii="宋体" w:hAnsi="宋体" w:eastAsia="宋体" w:cs="宋体"/>
          <w:b w:val="0"/>
          <w:bCs w:val="0"/>
          <w:color w:val="auto"/>
          <w:sz w:val="24"/>
          <w:szCs w:val="24"/>
          <w:highlight w:val="none"/>
        </w:rPr>
        <w:t>7.1 定标方式</w:t>
      </w:r>
      <w:bookmarkEnd w:id="122"/>
    </w:p>
    <w:p w14:paraId="2879AAEE">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招标人依据评标委员会推荐的中标候选人确定中标人。评标委员会推荐中标候选人的数量以及招标人确定中标人的方式见投标人须知前附表。</w:t>
      </w:r>
    </w:p>
    <w:p w14:paraId="44E61FFD">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23" w:name="_Toc300678038"/>
      <w:r>
        <w:rPr>
          <w:rFonts w:hint="eastAsia" w:ascii="宋体" w:hAnsi="宋体" w:eastAsia="宋体" w:cs="宋体"/>
          <w:b w:val="0"/>
          <w:bCs w:val="0"/>
          <w:color w:val="auto"/>
          <w:sz w:val="24"/>
          <w:szCs w:val="24"/>
          <w:highlight w:val="none"/>
        </w:rPr>
        <w:t>7.2 中标通知</w:t>
      </w:r>
      <w:bookmarkEnd w:id="123"/>
    </w:p>
    <w:p w14:paraId="6965407D">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在规定的投标有效期内，招标人以书面形式向中标人发出中标通知书，同时将中标结果通知未中标的投标人。</w:t>
      </w:r>
    </w:p>
    <w:p w14:paraId="40CF6704">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24" w:name="_Toc300678039"/>
      <w:r>
        <w:rPr>
          <w:rFonts w:hint="eastAsia" w:ascii="宋体" w:hAnsi="宋体" w:eastAsia="宋体" w:cs="宋体"/>
          <w:b w:val="0"/>
          <w:bCs w:val="0"/>
          <w:color w:val="auto"/>
          <w:sz w:val="24"/>
          <w:szCs w:val="24"/>
          <w:highlight w:val="none"/>
        </w:rPr>
        <w:t>7.3 履约担保</w:t>
      </w:r>
      <w:bookmarkEnd w:id="124"/>
      <w:r>
        <w:rPr>
          <w:rFonts w:hint="eastAsia" w:ascii="宋体" w:hAnsi="宋体" w:eastAsia="宋体" w:cs="宋体"/>
          <w:b w:val="0"/>
          <w:bCs w:val="0"/>
          <w:color w:val="auto"/>
          <w:sz w:val="24"/>
          <w:szCs w:val="24"/>
          <w:highlight w:val="none"/>
        </w:rPr>
        <w:t>及工程款支付担保</w:t>
      </w:r>
    </w:p>
    <w:p w14:paraId="51D1F7CA">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  在签订合同前，中标人应按投标人须知前附表规定的金额、担保形式和招标文件第四章“合同条款及格式”规定的履约担保格式向招标人提交履约担保。联合体中标的，履约担保由牵头人递交。</w:t>
      </w:r>
    </w:p>
    <w:p w14:paraId="43497889">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7.3.1 采用经评审的最低投标价法中标的， 在签订合同前，中标人应按投标人须知前附表规定的金额、担保形式和招标文件第四章规定的履约担保格式向招标人提交履约担保。联合体中标的，履约担保由牵头人递交。</w:t>
      </w:r>
    </w:p>
    <w:p w14:paraId="4EE150DE">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  中标人不能按本须知第7.3.1 项要求提交履约担保的，视为放弃中标。给招标人造成的损失超过投标保证数额的，中标人应当对超过部分予以赔偿。</w:t>
      </w:r>
    </w:p>
    <w:p w14:paraId="18C74738">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7.3.3 招标人应当向中标人提供工程款支付担保。</w:t>
      </w:r>
    </w:p>
    <w:p w14:paraId="21CDE9E0">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25" w:name="_Toc300678040"/>
      <w:r>
        <w:rPr>
          <w:rFonts w:hint="eastAsia" w:ascii="宋体" w:hAnsi="宋体" w:eastAsia="宋体" w:cs="宋体"/>
          <w:b w:val="0"/>
          <w:bCs w:val="0"/>
          <w:color w:val="auto"/>
          <w:sz w:val="24"/>
          <w:szCs w:val="24"/>
          <w:highlight w:val="none"/>
        </w:rPr>
        <w:t>7.4 签订合同</w:t>
      </w:r>
      <w:bookmarkEnd w:id="125"/>
    </w:p>
    <w:p w14:paraId="463C4E49">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7.4.1  自中标通知书发出之日起30 天内，招标人和中标人根据招标文件和中标人的投标文件订立书面合同。中标人无正当理由拒签合同的，招标人取消其中标资格；给招标人造成的损失超过投标保证数额的，中标人应当对超过部分予以赔偿。</w:t>
      </w:r>
    </w:p>
    <w:p w14:paraId="66EC16F7">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7.4.2  发出中标通知书后，招标人无正当理由拒签合同的，招标人向中标人退还投标保证；给中标人造成损失的，还应当赔偿损失。</w:t>
      </w:r>
    </w:p>
    <w:p w14:paraId="56AE6617">
      <w:pPr>
        <w:pStyle w:val="5"/>
        <w:pageBreakBefore w:val="0"/>
        <w:kinsoku/>
        <w:wordWrap/>
        <w:overflowPunct/>
        <w:topLinePunct w:val="0"/>
        <w:autoSpaceDE/>
        <w:autoSpaceDN/>
        <w:bidi w:val="0"/>
        <w:textAlignment w:val="auto"/>
        <w:rPr>
          <w:rFonts w:hint="eastAsia" w:ascii="宋体" w:hAnsi="宋体" w:eastAsia="宋体" w:cs="宋体"/>
          <w:sz w:val="24"/>
          <w:szCs w:val="24"/>
        </w:rPr>
      </w:pPr>
      <w:bookmarkStart w:id="126" w:name="_Toc9178525"/>
      <w:bookmarkStart w:id="127" w:name="_Toc300678041"/>
      <w:bookmarkStart w:id="128" w:name="_Toc29823"/>
      <w:bookmarkStart w:id="129" w:name="_Toc21506"/>
      <w:bookmarkStart w:id="130" w:name="_Toc80006096"/>
      <w:r>
        <w:rPr>
          <w:rFonts w:hint="eastAsia" w:ascii="宋体" w:hAnsi="宋体" w:eastAsia="宋体" w:cs="宋体"/>
          <w:sz w:val="24"/>
          <w:szCs w:val="24"/>
        </w:rPr>
        <w:t>8.重新招标和不再招标</w:t>
      </w:r>
      <w:bookmarkEnd w:id="126"/>
      <w:bookmarkEnd w:id="127"/>
      <w:bookmarkEnd w:id="128"/>
      <w:bookmarkEnd w:id="129"/>
      <w:bookmarkEnd w:id="130"/>
    </w:p>
    <w:p w14:paraId="170F2AF6">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31" w:name="_Toc300678042"/>
      <w:r>
        <w:rPr>
          <w:rFonts w:hint="eastAsia" w:ascii="宋体" w:hAnsi="宋体" w:eastAsia="宋体" w:cs="宋体"/>
          <w:b w:val="0"/>
          <w:bCs w:val="0"/>
          <w:color w:val="auto"/>
          <w:sz w:val="24"/>
          <w:szCs w:val="24"/>
          <w:highlight w:val="none"/>
        </w:rPr>
        <w:t>8.1 重新招标</w:t>
      </w:r>
      <w:bookmarkEnd w:id="131"/>
    </w:p>
    <w:p w14:paraId="1C2ED35D">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有下列情形之一的，招标人将重新招标：</w:t>
      </w:r>
    </w:p>
    <w:p w14:paraId="2F414AA1">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（l）获取资格预审文件或者招标文件的潜在投标人少于3个的；</w:t>
      </w:r>
    </w:p>
    <w:p w14:paraId="546166FC">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（2）在投标截止时间之前提交投标文件的投标人少于3个的；</w:t>
      </w:r>
    </w:p>
    <w:p w14:paraId="67D34B88">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（3）通过资格预审的申请人少于3个的；</w:t>
      </w:r>
    </w:p>
    <w:p w14:paraId="2BDC32DF">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（4）经评标委员会评审，所有投标文件均被否决的；</w:t>
      </w:r>
    </w:p>
    <w:p w14:paraId="130E5EC9">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（5）有效投标人不足3个，评标委员会认为投标明显缺乏竞争，否决本次招标的；</w:t>
      </w:r>
    </w:p>
    <w:p w14:paraId="6EF445BD">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（6）所有中标候选人依法均不能确定为中标人的。</w:t>
      </w:r>
    </w:p>
    <w:p w14:paraId="69E5891F">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32" w:name="_Toc300678043"/>
      <w:r>
        <w:rPr>
          <w:rFonts w:hint="eastAsia" w:ascii="宋体" w:hAnsi="宋体" w:eastAsia="宋体" w:cs="宋体"/>
          <w:b w:val="0"/>
          <w:bCs w:val="0"/>
          <w:color w:val="auto"/>
          <w:sz w:val="24"/>
          <w:szCs w:val="24"/>
          <w:highlight w:val="none"/>
        </w:rPr>
        <w:t>8.2 不再招标</w:t>
      </w:r>
      <w:bookmarkEnd w:id="132"/>
    </w:p>
    <w:p w14:paraId="5580D165">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重新招标后投标人仍少于3 个或者所有投标被否决的，属于必须审批或核准的工程建设项目，经原审批或核准部门批准后不再进行招标。</w:t>
      </w:r>
    </w:p>
    <w:p w14:paraId="454939D5">
      <w:pPr>
        <w:pStyle w:val="5"/>
        <w:pageBreakBefore w:val="0"/>
        <w:kinsoku/>
        <w:wordWrap/>
        <w:overflowPunct/>
        <w:topLinePunct w:val="0"/>
        <w:autoSpaceDE/>
        <w:autoSpaceDN/>
        <w:bidi w:val="0"/>
        <w:textAlignment w:val="auto"/>
        <w:rPr>
          <w:rFonts w:hint="eastAsia" w:ascii="宋体" w:hAnsi="宋体" w:eastAsia="宋体" w:cs="宋体"/>
          <w:sz w:val="24"/>
          <w:szCs w:val="24"/>
        </w:rPr>
      </w:pPr>
      <w:bookmarkStart w:id="133" w:name="_Toc9178526"/>
      <w:bookmarkStart w:id="134" w:name="_Toc26649"/>
      <w:bookmarkStart w:id="135" w:name="_Toc22162"/>
      <w:bookmarkStart w:id="136" w:name="_Toc300678044"/>
      <w:bookmarkStart w:id="137" w:name="_Toc80006097"/>
      <w:r>
        <w:rPr>
          <w:rFonts w:hint="eastAsia" w:ascii="宋体" w:hAnsi="宋体" w:eastAsia="宋体" w:cs="宋体"/>
          <w:sz w:val="24"/>
          <w:szCs w:val="24"/>
        </w:rPr>
        <w:t>9.纪律和监督</w:t>
      </w:r>
      <w:bookmarkEnd w:id="133"/>
      <w:bookmarkEnd w:id="134"/>
      <w:bookmarkEnd w:id="135"/>
      <w:bookmarkEnd w:id="136"/>
      <w:bookmarkEnd w:id="137"/>
    </w:p>
    <w:p w14:paraId="76FB0697">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38" w:name="_Toc300678046"/>
      <w:r>
        <w:rPr>
          <w:rFonts w:hint="eastAsia" w:ascii="宋体" w:hAnsi="宋体" w:eastAsia="宋体" w:cs="宋体"/>
          <w:b w:val="0"/>
          <w:bCs w:val="0"/>
          <w:color w:val="auto"/>
          <w:sz w:val="24"/>
          <w:szCs w:val="24"/>
          <w:highlight w:val="none"/>
        </w:rPr>
        <w:t>9.1对投标人的纪律要求</w:t>
      </w:r>
      <w:bookmarkEnd w:id="138"/>
    </w:p>
    <w:p w14:paraId="5C188392">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65555561">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39" w:name="_Toc300678047"/>
      <w:r>
        <w:rPr>
          <w:rFonts w:hint="eastAsia" w:ascii="宋体" w:hAnsi="宋体" w:eastAsia="宋体" w:cs="宋体"/>
          <w:b w:val="0"/>
          <w:bCs w:val="0"/>
          <w:color w:val="auto"/>
          <w:sz w:val="24"/>
          <w:szCs w:val="24"/>
          <w:highlight w:val="none"/>
        </w:rPr>
        <w:t>9.2对评标委员会成员的纪律要求</w:t>
      </w:r>
      <w:bookmarkEnd w:id="139"/>
    </w:p>
    <w:p w14:paraId="64BCF9CD">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w:t>
      </w:r>
    </w:p>
    <w:p w14:paraId="4E43C6AE">
      <w:pPr>
        <w:pStyle w:val="6"/>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40" w:name="_Toc300678048"/>
      <w:r>
        <w:rPr>
          <w:rFonts w:hint="eastAsia" w:ascii="宋体" w:hAnsi="宋体" w:eastAsia="宋体" w:cs="宋体"/>
          <w:b w:val="0"/>
          <w:bCs w:val="0"/>
          <w:color w:val="auto"/>
          <w:sz w:val="24"/>
          <w:szCs w:val="24"/>
          <w:highlight w:val="none"/>
        </w:rPr>
        <w:t>9.3 对与评标活动有关的工作人员的纪律要求</w:t>
      </w:r>
      <w:bookmarkEnd w:id="140"/>
    </w:p>
    <w:p w14:paraId="77165C41">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32391E13">
      <w:pPr>
        <w:pStyle w:val="6"/>
        <w:pageBreakBefore w:val="0"/>
        <w:kinsoku/>
        <w:wordWrap/>
        <w:overflowPunct/>
        <w:topLinePunct w:val="0"/>
        <w:autoSpaceDE/>
        <w:autoSpaceDN/>
        <w:bidi w:val="0"/>
        <w:textAlignment w:val="auto"/>
        <w:rPr>
          <w:rFonts w:hint="eastAsia" w:ascii="宋体" w:hAnsi="宋体" w:eastAsia="宋体" w:cs="宋体"/>
          <w:b w:val="0"/>
          <w:color w:val="auto"/>
          <w:kern w:val="0"/>
          <w:sz w:val="24"/>
          <w:szCs w:val="24"/>
          <w:highlight w:val="none"/>
        </w:rPr>
      </w:pPr>
      <w:bookmarkStart w:id="141" w:name="_Toc300678049"/>
      <w:r>
        <w:rPr>
          <w:rFonts w:hint="eastAsia" w:ascii="宋体" w:hAnsi="宋体" w:eastAsia="宋体" w:cs="宋体"/>
          <w:b w:val="0"/>
          <w:bCs w:val="0"/>
          <w:color w:val="auto"/>
          <w:sz w:val="24"/>
          <w:szCs w:val="24"/>
          <w:highlight w:val="none"/>
        </w:rPr>
        <w:t xml:space="preserve">9.4 </w:t>
      </w:r>
      <w:r>
        <w:rPr>
          <w:rFonts w:hint="eastAsia" w:ascii="宋体" w:hAnsi="宋体" w:eastAsia="宋体" w:cs="宋体"/>
          <w:b w:val="0"/>
          <w:color w:val="auto"/>
          <w:kern w:val="0"/>
          <w:sz w:val="24"/>
          <w:szCs w:val="24"/>
          <w:highlight w:val="none"/>
        </w:rPr>
        <w:t>异议和投诉</w:t>
      </w:r>
      <w:bookmarkEnd w:id="141"/>
    </w:p>
    <w:p w14:paraId="32A5D9F7">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9.4.1投标人或者其他利害关系人就下列事项投诉的，应当按照相关规定向招标人提出异议：</w:t>
      </w:r>
    </w:p>
    <w:p w14:paraId="7142D834">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(1)认为招标文件不符合相关法律法规规范性文件规定，应当在投标截止时间10日前向招标人提出异议；</w:t>
      </w:r>
    </w:p>
    <w:p w14:paraId="5C57AC87">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(2)认为开标活动不符合相关法律法规规范性文件规定的，应当在开标现场提出异议；</w:t>
      </w:r>
    </w:p>
    <w:p w14:paraId="54A4EC30">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(3)对评标结果有异议的，在中标候选人公示期以书面形式向招标人提出；</w:t>
      </w:r>
    </w:p>
    <w:p w14:paraId="3BAA9C2B">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投标人或利害关系人不满意招标人的答复或者认为招标人处理不当的，可以向本项目的招标投标行政监督部门投诉。</w:t>
      </w:r>
      <w:bookmarkStart w:id="142" w:name="_Toc300678050"/>
    </w:p>
    <w:p w14:paraId="0C38D8E2">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9.4.2投标人或者其他利害关系人认为本次招标活动违反法律法规规范性文件规定的，可以在知道或者应当知道之日起10日内向本项目的招标投标行政监督部门投诉。</w:t>
      </w:r>
    </w:p>
    <w:p w14:paraId="5085610A">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shd w:val="clear" w:color="auto" w:fill="FFFFFF"/>
        </w:rPr>
      </w:pPr>
      <w:r>
        <w:rPr>
          <w:rFonts w:hint="eastAsia" w:ascii="宋体" w:hAnsi="宋体" w:eastAsia="宋体" w:cs="宋体"/>
          <w:bCs/>
          <w:color w:val="auto"/>
          <w:kern w:val="0"/>
          <w:sz w:val="24"/>
          <w:szCs w:val="24"/>
          <w:highlight w:val="none"/>
          <w:shd w:val="clear" w:color="auto" w:fill="FFFFFF"/>
        </w:rPr>
        <w:t xml:space="preserve">9.4.3有关信用评价信息弄虚作假的异议，按《湖南省房屋建筑和市政基础设施工程施工及监理招标投标信用评价管理暂行办法》处理。经核实后影响到中标结果的，依法取消其中标资格。 </w:t>
      </w:r>
    </w:p>
    <w:p w14:paraId="1E557088">
      <w:pPr>
        <w:pStyle w:val="5"/>
        <w:pageBreakBefore w:val="0"/>
        <w:kinsoku/>
        <w:wordWrap/>
        <w:overflowPunct/>
        <w:topLinePunct w:val="0"/>
        <w:autoSpaceDE/>
        <w:autoSpaceDN/>
        <w:bidi w:val="0"/>
        <w:textAlignment w:val="auto"/>
        <w:rPr>
          <w:rFonts w:hint="eastAsia" w:ascii="宋体" w:hAnsi="宋体" w:eastAsia="宋体" w:cs="宋体"/>
          <w:sz w:val="24"/>
          <w:szCs w:val="24"/>
        </w:rPr>
      </w:pPr>
      <w:bookmarkStart w:id="143" w:name="_Toc9178527"/>
      <w:bookmarkStart w:id="144" w:name="_Toc80006098"/>
      <w:bookmarkStart w:id="145" w:name="_Toc27414"/>
      <w:bookmarkStart w:id="146" w:name="_Toc2125"/>
      <w:r>
        <w:rPr>
          <w:rFonts w:hint="eastAsia" w:ascii="宋体" w:hAnsi="宋体" w:eastAsia="宋体" w:cs="宋体"/>
          <w:sz w:val="24"/>
          <w:szCs w:val="24"/>
        </w:rPr>
        <w:t>10.需要补充的其他内容</w:t>
      </w:r>
      <w:bookmarkEnd w:id="142"/>
      <w:bookmarkEnd w:id="143"/>
      <w:bookmarkEnd w:id="144"/>
      <w:bookmarkEnd w:id="145"/>
      <w:bookmarkEnd w:id="146"/>
    </w:p>
    <w:p w14:paraId="0AFDF0DB">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需要补充的其他内容：见投标人须知前附表。</w:t>
      </w:r>
    </w:p>
    <w:p w14:paraId="51EEAB4F">
      <w:pPr>
        <w:spacing w:line="360" w:lineRule="auto"/>
        <w:ind w:firstLine="420" w:firstLineChars="200"/>
        <w:rPr>
          <w:color w:val="auto"/>
          <w:highlight w:val="none"/>
        </w:rPr>
      </w:pPr>
    </w:p>
    <w:p w14:paraId="5EA55BBA">
      <w:pPr>
        <w:spacing w:line="400" w:lineRule="exact"/>
        <w:rPr>
          <w:color w:val="auto"/>
          <w:sz w:val="24"/>
          <w:highlight w:val="none"/>
        </w:rPr>
      </w:pPr>
      <w:bookmarkStart w:id="147" w:name="_Toc300678051"/>
    </w:p>
    <w:p w14:paraId="75D808F5">
      <w:pPr>
        <w:spacing w:line="400" w:lineRule="exact"/>
        <w:rPr>
          <w:rStyle w:val="60"/>
          <w:rFonts w:ascii="Times New Roman" w:hAnsi="Times New Roman" w:eastAsia="黑体"/>
          <w:b w:val="0"/>
          <w:color w:val="auto"/>
          <w:sz w:val="24"/>
          <w:highlight w:val="none"/>
        </w:rPr>
        <w:sectPr>
          <w:footerReference r:id="rId10" w:type="default"/>
          <w:pgSz w:w="11907" w:h="16840"/>
          <w:pgMar w:top="1418" w:right="1418" w:bottom="1418" w:left="1418" w:header="851" w:footer="850" w:gutter="0"/>
          <w:pgNumType w:fmt="decimal"/>
          <w:cols w:space="720" w:num="1"/>
          <w:docGrid w:linePitch="312" w:charSpace="0"/>
        </w:sectPr>
      </w:pPr>
    </w:p>
    <w:bookmarkEnd w:id="147"/>
    <w:p w14:paraId="7E936990">
      <w:pPr>
        <w:snapToGrid w:val="0"/>
        <w:spacing w:line="360" w:lineRule="auto"/>
        <w:jc w:val="left"/>
        <w:rPr>
          <w:rStyle w:val="60"/>
          <w:rFonts w:hint="eastAsia" w:ascii="宋体" w:hAnsi="宋体" w:eastAsia="宋体" w:cs="宋体"/>
          <w:b w:val="0"/>
          <w:color w:val="auto"/>
          <w:sz w:val="24"/>
          <w:highlight w:val="none"/>
        </w:rPr>
      </w:pPr>
      <w:bookmarkStart w:id="148" w:name="_Toc300678057"/>
      <w:bookmarkStart w:id="149" w:name="_Toc13946"/>
      <w:bookmarkStart w:id="150" w:name="_Toc300678058"/>
      <w:r>
        <w:rPr>
          <w:rStyle w:val="60"/>
          <w:rFonts w:hint="eastAsia" w:ascii="宋体" w:hAnsi="宋体" w:eastAsia="宋体" w:cs="宋体"/>
          <w:b w:val="0"/>
          <w:color w:val="auto"/>
          <w:sz w:val="24"/>
          <w:highlight w:val="none"/>
        </w:rPr>
        <w:t>附件2-1：电子投标文件编制及报送要求</w:t>
      </w:r>
      <w:bookmarkEnd w:id="148"/>
      <w:bookmarkEnd w:id="149"/>
    </w:p>
    <w:p w14:paraId="5585FC7E">
      <w:pPr>
        <w:spacing w:before="472" w:beforeLines="150" w:after="472" w:afterLines="150" w:line="420" w:lineRule="exact"/>
        <w:jc w:val="center"/>
        <w:rPr>
          <w:rFonts w:hint="eastAsia" w:ascii="宋体" w:hAnsi="宋体" w:eastAsia="宋体" w:cs="宋体"/>
          <w:color w:val="auto"/>
          <w:sz w:val="28"/>
          <w:szCs w:val="28"/>
          <w:highlight w:val="none"/>
        </w:rPr>
      </w:pPr>
      <w:bookmarkStart w:id="151" w:name="_Toc2790"/>
      <w:r>
        <w:rPr>
          <w:rFonts w:hint="eastAsia" w:ascii="宋体" w:hAnsi="宋体" w:eastAsia="宋体" w:cs="宋体"/>
          <w:color w:val="auto"/>
          <w:sz w:val="28"/>
          <w:szCs w:val="28"/>
          <w:highlight w:val="none"/>
        </w:rPr>
        <w:t>电子投标文件编制及报送要求</w:t>
      </w:r>
      <w:bookmarkEnd w:id="151"/>
      <w:r>
        <w:rPr>
          <w:rFonts w:hint="eastAsia" w:ascii="微软雅黑" w:hAnsi="微软雅黑" w:eastAsia="微软雅黑" w:cs="微软雅黑"/>
          <w:b w:val="0"/>
          <w:bCs w:val="0"/>
          <w:color w:val="auto"/>
          <w:sz w:val="30"/>
          <w:szCs w:val="30"/>
          <w:highlight w:val="none"/>
          <w:lang w:eastAsia="zh-CN"/>
        </w:rPr>
        <w:t>（</w:t>
      </w:r>
      <w:r>
        <w:rPr>
          <w:rFonts w:hint="eastAsia" w:ascii="微软雅黑" w:hAnsi="微软雅黑" w:eastAsia="微软雅黑" w:cs="微软雅黑"/>
          <w:b w:val="0"/>
          <w:bCs w:val="0"/>
          <w:color w:val="auto"/>
          <w:sz w:val="30"/>
          <w:szCs w:val="30"/>
          <w:highlight w:val="none"/>
          <w:lang w:val="en-US" w:eastAsia="zh-CN"/>
        </w:rPr>
        <w:t>本项目不适用</w:t>
      </w:r>
      <w:r>
        <w:rPr>
          <w:rFonts w:hint="eastAsia" w:ascii="微软雅黑" w:hAnsi="微软雅黑" w:eastAsia="微软雅黑" w:cs="微软雅黑"/>
          <w:b w:val="0"/>
          <w:bCs w:val="0"/>
          <w:color w:val="auto"/>
          <w:sz w:val="30"/>
          <w:szCs w:val="30"/>
          <w:highlight w:val="none"/>
          <w:lang w:eastAsia="zh-CN"/>
        </w:rPr>
        <w:t>）</w:t>
      </w:r>
    </w:p>
    <w:p w14:paraId="7B2F380A">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说明：采用计算机辅助评标，包括采用电子化招标投标的，本附表应当作为“投标人须知”的附件，由招标人根据各地和招标项目的具体情况给予规定。</w:t>
      </w:r>
    </w:p>
    <w:p w14:paraId="206801D4">
      <w:pPr>
        <w:spacing w:line="312" w:lineRule="auto"/>
        <w:rPr>
          <w:rFonts w:hint="eastAsia" w:ascii="Times New Roman" w:hAnsi="Times New Roman" w:eastAsia="黑体"/>
          <w:b w:val="0"/>
          <w:bCs w:val="0"/>
          <w:color w:val="auto"/>
          <w:sz w:val="24"/>
          <w:highlight w:val="none"/>
          <w:lang w:val="en-US" w:eastAsia="zh-CN"/>
        </w:rPr>
      </w:pPr>
    </w:p>
    <w:p w14:paraId="3ED776F6">
      <w:pPr>
        <w:spacing w:line="312" w:lineRule="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附件2-</w:t>
      </w:r>
      <w:r>
        <w:rPr>
          <w:rFonts w:hint="default" w:ascii="宋体" w:hAnsi="宋体" w:cs="宋体"/>
          <w:b w:val="0"/>
          <w:bCs w:val="0"/>
          <w:color w:val="auto"/>
          <w:sz w:val="24"/>
          <w:highlight w:val="none"/>
          <w:lang w:val="en-US"/>
        </w:rPr>
        <w:t>2</w:t>
      </w:r>
      <w:r>
        <w:rPr>
          <w:rFonts w:hint="eastAsia" w:ascii="宋体" w:hAnsi="宋体" w:eastAsia="宋体" w:cs="宋体"/>
          <w:b w:val="0"/>
          <w:bCs w:val="0"/>
          <w:color w:val="auto"/>
          <w:sz w:val="24"/>
          <w:highlight w:val="none"/>
        </w:rPr>
        <w:t>：否决投标的情形</w:t>
      </w:r>
    </w:p>
    <w:p w14:paraId="4BF80BC2">
      <w:pPr>
        <w:keepNext w:val="0"/>
        <w:keepLines w:val="0"/>
        <w:pageBreakBefore w:val="0"/>
        <w:widowControl w:val="0"/>
        <w:kinsoku/>
        <w:wordWrap/>
        <w:overflowPunct/>
        <w:topLinePunct w:val="0"/>
        <w:autoSpaceDE/>
        <w:autoSpaceDN/>
        <w:bidi w:val="0"/>
        <w:adjustRightInd/>
        <w:snapToGrid/>
        <w:spacing w:before="159" w:beforeLines="50" w:line="360" w:lineRule="auto"/>
        <w:jc w:val="center"/>
        <w:textAlignment w:val="auto"/>
        <w:rPr>
          <w:rFonts w:hint="eastAsia" w:ascii="微软雅黑" w:hAnsi="微软雅黑" w:eastAsia="微软雅黑" w:cs="微软雅黑"/>
          <w:b w:val="0"/>
          <w:bCs w:val="0"/>
          <w:color w:val="auto"/>
          <w:sz w:val="30"/>
          <w:szCs w:val="30"/>
          <w:highlight w:val="none"/>
        </w:rPr>
      </w:pPr>
      <w:r>
        <w:rPr>
          <w:rFonts w:hint="eastAsia" w:ascii="微软雅黑" w:hAnsi="微软雅黑" w:eastAsia="微软雅黑" w:cs="微软雅黑"/>
          <w:b w:val="0"/>
          <w:bCs w:val="0"/>
          <w:color w:val="auto"/>
          <w:sz w:val="30"/>
          <w:szCs w:val="30"/>
          <w:highlight w:val="none"/>
        </w:rPr>
        <w:t>否决投标的情形</w:t>
      </w:r>
    </w:p>
    <w:p w14:paraId="6EA77A8A">
      <w:pPr>
        <w:pStyle w:val="29"/>
        <w:rPr>
          <w:rFonts w:hint="eastAsia"/>
          <w:lang w:val="en-US" w:eastAsia="zh-CN"/>
        </w:rPr>
      </w:pPr>
    </w:p>
    <w:p w14:paraId="411F9800">
      <w:pPr>
        <w:adjustRightInd w:val="0"/>
        <w:snapToGrid w:val="0"/>
        <w:spacing w:line="360" w:lineRule="auto"/>
        <w:ind w:firstLine="480" w:firstLineChars="200"/>
        <w:rPr>
          <w:color w:val="auto"/>
          <w:sz w:val="24"/>
          <w:szCs w:val="24"/>
          <w:highlight w:val="none"/>
          <w:u w:val="none"/>
        </w:rPr>
      </w:pPr>
      <w:r>
        <w:rPr>
          <w:color w:val="auto"/>
          <w:sz w:val="24"/>
          <w:szCs w:val="24"/>
          <w:highlight w:val="none"/>
        </w:rPr>
        <w:t>本附件所集中列示的否决投标情形，是“评标办法”的组成部分，是对“投标人须知”和评标办法规定的否决投</w:t>
      </w:r>
      <w:r>
        <w:rPr>
          <w:color w:val="auto"/>
          <w:sz w:val="24"/>
          <w:szCs w:val="24"/>
          <w:highlight w:val="none"/>
          <w:u w:val="none"/>
        </w:rPr>
        <w:t>标情形的总结和补充，如果出现相互矛盾的情况，以本附件所集中列示</w:t>
      </w:r>
      <w:r>
        <w:rPr>
          <w:rFonts w:hint="eastAsia"/>
          <w:color w:val="auto"/>
          <w:sz w:val="24"/>
          <w:szCs w:val="24"/>
          <w:highlight w:val="none"/>
          <w:u w:val="none"/>
        </w:rPr>
        <w:t>的</w:t>
      </w:r>
      <w:r>
        <w:rPr>
          <w:color w:val="auto"/>
          <w:sz w:val="24"/>
          <w:szCs w:val="24"/>
          <w:highlight w:val="none"/>
          <w:u w:val="none"/>
        </w:rPr>
        <w:t>为准。</w:t>
      </w:r>
      <w:r>
        <w:rPr>
          <w:rFonts w:hint="eastAsia"/>
          <w:color w:val="auto"/>
          <w:sz w:val="24"/>
          <w:szCs w:val="24"/>
          <w:highlight w:val="none"/>
          <w:u w:val="none"/>
          <w:lang w:val="en-US" w:eastAsia="zh-CN"/>
        </w:rPr>
        <w:t>未列入本附件所列情形的，不得作为否决投标的依据。</w:t>
      </w:r>
    </w:p>
    <w:p w14:paraId="5AEE4EF9">
      <w:pPr>
        <w:pStyle w:val="142"/>
        <w:adjustRightInd w:val="0"/>
        <w:snapToGrid w:val="0"/>
        <w:spacing w:line="360" w:lineRule="auto"/>
        <w:ind w:firstLineChars="0"/>
        <w:rPr>
          <w:rFonts w:ascii="Times New Roman" w:hAnsi="Times New Roman"/>
          <w:color w:val="auto"/>
          <w:sz w:val="24"/>
          <w:szCs w:val="24"/>
          <w:highlight w:val="none"/>
        </w:rPr>
      </w:pPr>
      <w:r>
        <w:rPr>
          <w:rFonts w:ascii="Times New Roman" w:hAnsi="Times New Roman"/>
          <w:color w:val="auto"/>
          <w:sz w:val="24"/>
          <w:szCs w:val="24"/>
          <w:highlight w:val="none"/>
          <w:u w:val="none"/>
        </w:rPr>
        <w:t>投标人或其投标文件有下列情形之一</w:t>
      </w:r>
      <w:r>
        <w:rPr>
          <w:rFonts w:ascii="Times New Roman" w:hAnsi="Times New Roman"/>
          <w:color w:val="auto"/>
          <w:sz w:val="24"/>
          <w:szCs w:val="24"/>
          <w:highlight w:val="none"/>
        </w:rPr>
        <w:t>的，其投标应当予以否决：</w:t>
      </w:r>
    </w:p>
    <w:p w14:paraId="1CC1FA14">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1.1 有本章“投标人须知”第1.4.3项规定的任何一种情形的；</w:t>
      </w:r>
    </w:p>
    <w:p w14:paraId="3A28D1DD">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1.2 投标人以他人名义投标、串通投标、以行贿手段谋取中标的；</w:t>
      </w:r>
    </w:p>
    <w:p w14:paraId="1C311587">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w:t>
      </w:r>
      <w:r>
        <w:rPr>
          <w:rFonts w:hint="eastAsia" w:ascii="Times New Roman" w:hAnsi="Times New Roman" w:eastAsia="宋体" w:cs="Times New Roman"/>
          <w:color w:val="auto"/>
          <w:sz w:val="24"/>
          <w:szCs w:val="24"/>
          <w:highlight w:val="none"/>
          <w:lang w:val="en-US" w:eastAsia="zh-CN"/>
        </w:rPr>
        <w:t>3</w:t>
      </w:r>
      <w:r>
        <w:rPr>
          <w:rFonts w:ascii="Times New Roman" w:hAnsi="Times New Roman" w:eastAsia="宋体" w:cs="Times New Roman"/>
          <w:color w:val="auto"/>
          <w:sz w:val="24"/>
          <w:szCs w:val="24"/>
          <w:highlight w:val="none"/>
        </w:rPr>
        <w:t xml:space="preserve"> </w:t>
      </w:r>
      <w:r>
        <w:rPr>
          <w:rFonts w:hint="eastAsia" w:ascii="Times New Roman" w:hAnsi="Times New Roman" w:eastAsia="宋体" w:cs="Times New Roman"/>
          <w:color w:val="auto"/>
          <w:sz w:val="24"/>
          <w:szCs w:val="24"/>
          <w:highlight w:val="none"/>
        </w:rPr>
        <w:t>投标人资格条件不符合国家有关规定或者招标文件要求的，或者拒不按照要求对投标文件</w:t>
      </w:r>
      <w:r>
        <w:rPr>
          <w:rFonts w:ascii="Times New Roman" w:hAnsi="Times New Roman" w:eastAsia="宋体" w:cs="Times New Roman"/>
          <w:color w:val="auto"/>
          <w:sz w:val="24"/>
          <w:szCs w:val="24"/>
          <w:highlight w:val="none"/>
        </w:rPr>
        <w:t>进行澄清、说明或补正</w:t>
      </w:r>
      <w:r>
        <w:rPr>
          <w:rFonts w:hint="eastAsia" w:cs="Times New Roman"/>
          <w:color w:val="auto"/>
          <w:sz w:val="24"/>
          <w:szCs w:val="24"/>
          <w:highlight w:val="none"/>
          <w:lang w:val="en-US" w:eastAsia="zh-CN"/>
        </w:rPr>
        <w:t>的</w:t>
      </w:r>
      <w:r>
        <w:rPr>
          <w:rFonts w:ascii="Times New Roman" w:hAnsi="Times New Roman" w:eastAsia="宋体" w:cs="Times New Roman"/>
          <w:color w:val="auto"/>
          <w:sz w:val="24"/>
          <w:szCs w:val="24"/>
          <w:highlight w:val="none"/>
        </w:rPr>
        <w:t>，或者其说明补正无法证明其为合格投标人的；</w:t>
      </w:r>
    </w:p>
    <w:p w14:paraId="478416F0">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1.4</w:t>
      </w:r>
      <w:r>
        <w:rPr>
          <w:rFonts w:ascii="Times New Roman" w:hAnsi="Times New Roman" w:eastAsia="宋体" w:cs="Times New Roman"/>
          <w:color w:val="auto"/>
          <w:sz w:val="24"/>
          <w:szCs w:val="24"/>
          <w:highlight w:val="none"/>
        </w:rPr>
        <w:t>在形式评审、资格评审、响应性评审中，评标委员会认定投标文件不符合评标办法前附表规定</w:t>
      </w:r>
      <w:r>
        <w:rPr>
          <w:rFonts w:hint="eastAsia" w:ascii="Times New Roman" w:hAnsi="Times New Roman" w:eastAsia="宋体" w:cs="Times New Roman"/>
          <w:color w:val="auto"/>
          <w:sz w:val="24"/>
          <w:szCs w:val="24"/>
          <w:highlight w:val="none"/>
        </w:rPr>
        <w:t>的任何一项</w:t>
      </w:r>
      <w:r>
        <w:rPr>
          <w:rFonts w:ascii="Times New Roman" w:hAnsi="Times New Roman" w:eastAsia="宋体" w:cs="Times New Roman"/>
          <w:color w:val="auto"/>
          <w:sz w:val="24"/>
          <w:szCs w:val="24"/>
          <w:highlight w:val="none"/>
        </w:rPr>
        <w:t>评审标准的</w:t>
      </w:r>
      <w:r>
        <w:rPr>
          <w:rFonts w:hint="eastAsia" w:ascii="Times New Roman" w:hAnsi="Times New Roman" w:eastAsia="宋体" w:cs="Times New Roman"/>
          <w:color w:val="auto"/>
          <w:sz w:val="24"/>
          <w:szCs w:val="24"/>
          <w:highlight w:val="none"/>
          <w:lang w:eastAsia="zh-CN"/>
        </w:rPr>
        <w:t>；</w:t>
      </w:r>
    </w:p>
    <w:p w14:paraId="3B74AD6C">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1.5 已进行资格预审的，当投标人资格申请文件的内容发生重大变化时，其在投标文件中更新的资料，未能通过资格评审的；</w:t>
      </w:r>
    </w:p>
    <w:p w14:paraId="6DBC1980">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w:t>
      </w:r>
      <w:r>
        <w:rPr>
          <w:rFonts w:hint="eastAsia" w:ascii="Times New Roman" w:hAnsi="Times New Roman" w:eastAsia="宋体" w:cs="Times New Roman"/>
          <w:color w:val="auto"/>
          <w:sz w:val="24"/>
          <w:szCs w:val="24"/>
          <w:highlight w:val="none"/>
          <w:lang w:val="en-US" w:eastAsia="zh-CN"/>
        </w:rPr>
        <w:t>6</w:t>
      </w:r>
      <w:r>
        <w:rPr>
          <w:rFonts w:ascii="Times New Roman" w:hAnsi="Times New Roman" w:eastAsia="宋体" w:cs="Times New Roman"/>
          <w:color w:val="auto"/>
          <w:sz w:val="24"/>
          <w:szCs w:val="24"/>
          <w:highlight w:val="none"/>
        </w:rPr>
        <w:t>评标委员会认定投标人以低于成本报价竞标的；</w:t>
      </w:r>
    </w:p>
    <w:p w14:paraId="1F0ED925">
      <w:pPr>
        <w:adjustRightInd w:val="0"/>
        <w:snapToGrid w:val="0"/>
        <w:spacing w:line="360" w:lineRule="auto"/>
        <w:ind w:firstLine="480" w:firstLineChars="200"/>
        <w:rPr>
          <w:rFonts w:hint="eastAsia" w:ascii="Times New Roman" w:hAnsi="Times New Roman" w:eastAsia="宋体" w:cs="Times New Roman"/>
          <w:bCs/>
          <w:color w:val="auto"/>
          <w:sz w:val="24"/>
          <w:szCs w:val="24"/>
          <w:highlight w:val="none"/>
          <w:lang w:val="en-US" w:eastAsia="zh-CN"/>
        </w:rPr>
      </w:pPr>
      <w:r>
        <w:rPr>
          <w:rFonts w:hint="eastAsia" w:ascii="Times New Roman" w:hAnsi="Times New Roman" w:eastAsia="宋体" w:cs="Times New Roman"/>
          <w:bCs/>
          <w:color w:val="auto"/>
          <w:sz w:val="24"/>
          <w:szCs w:val="24"/>
          <w:highlight w:val="none"/>
          <w:lang w:val="en-US" w:eastAsia="zh-CN"/>
        </w:rPr>
        <w:t xml:space="preserve">1.7 </w:t>
      </w:r>
      <w:r>
        <w:rPr>
          <w:rFonts w:hint="eastAsia"/>
          <w:bCs/>
          <w:color w:val="auto"/>
          <w:sz w:val="24"/>
          <w:szCs w:val="24"/>
          <w:highlight w:val="none"/>
          <w:lang w:val="en-US" w:eastAsia="zh-CN"/>
        </w:rPr>
        <w:t>施工组织设计采用合格性评审，</w:t>
      </w:r>
      <w:r>
        <w:rPr>
          <w:rFonts w:hint="eastAsia" w:ascii="Times New Roman" w:hAnsi="Times New Roman" w:eastAsia="宋体" w:cs="Times New Roman"/>
          <w:bCs/>
          <w:color w:val="auto"/>
          <w:sz w:val="24"/>
          <w:szCs w:val="24"/>
          <w:highlight w:val="none"/>
          <w:lang w:val="en-US" w:eastAsia="zh-CN"/>
        </w:rPr>
        <w:t>被评标委员会认定为不合格的；</w:t>
      </w:r>
    </w:p>
    <w:p w14:paraId="67E3C6DF">
      <w:pPr>
        <w:adjustRightInd w:val="0"/>
        <w:snapToGrid w:val="0"/>
        <w:spacing w:line="360" w:lineRule="auto"/>
        <w:ind w:firstLine="480" w:firstLineChars="200"/>
        <w:rPr>
          <w:color w:val="auto"/>
          <w:sz w:val="24"/>
          <w:szCs w:val="24"/>
          <w:highlight w:val="none"/>
        </w:rPr>
      </w:pPr>
      <w:r>
        <w:rPr>
          <w:color w:val="auto"/>
          <w:sz w:val="24"/>
          <w:szCs w:val="24"/>
          <w:highlight w:val="none"/>
        </w:rPr>
        <w:t>1.</w:t>
      </w:r>
      <w:r>
        <w:rPr>
          <w:rFonts w:hint="eastAsia"/>
          <w:color w:val="auto"/>
          <w:sz w:val="24"/>
          <w:szCs w:val="24"/>
          <w:highlight w:val="none"/>
          <w:lang w:val="en-US" w:eastAsia="zh-CN"/>
        </w:rPr>
        <w:t>8</w:t>
      </w:r>
      <w:r>
        <w:rPr>
          <w:color w:val="auto"/>
          <w:sz w:val="24"/>
          <w:szCs w:val="24"/>
          <w:highlight w:val="none"/>
        </w:rPr>
        <w:t>投标报价有错误的，评标委员会按评标办法</w:t>
      </w:r>
      <w:r>
        <w:rPr>
          <w:rFonts w:hint="eastAsia"/>
          <w:color w:val="auto"/>
          <w:sz w:val="24"/>
          <w:szCs w:val="24"/>
          <w:highlight w:val="none"/>
        </w:rPr>
        <w:t>“</w:t>
      </w:r>
      <w:r>
        <w:rPr>
          <w:color w:val="auto"/>
          <w:sz w:val="24"/>
          <w:szCs w:val="24"/>
          <w:highlight w:val="none"/>
        </w:rPr>
        <w:t>附件3-1评标详细程序</w:t>
      </w:r>
      <w:r>
        <w:rPr>
          <w:rFonts w:hint="eastAsia"/>
          <w:color w:val="auto"/>
          <w:sz w:val="24"/>
          <w:szCs w:val="24"/>
          <w:highlight w:val="none"/>
        </w:rPr>
        <w:t>”</w:t>
      </w:r>
      <w:r>
        <w:rPr>
          <w:color w:val="auto"/>
          <w:sz w:val="24"/>
          <w:szCs w:val="24"/>
          <w:highlight w:val="none"/>
        </w:rPr>
        <w:t>的有关规定对投标报价进行修正，</w:t>
      </w:r>
      <w:r>
        <w:rPr>
          <w:bCs/>
          <w:color w:val="auto"/>
          <w:sz w:val="24"/>
          <w:szCs w:val="24"/>
          <w:highlight w:val="none"/>
        </w:rPr>
        <w:t>并要求投标人</w:t>
      </w:r>
      <w:r>
        <w:rPr>
          <w:rFonts w:hint="eastAsia"/>
          <w:bCs/>
          <w:color w:val="auto"/>
          <w:sz w:val="24"/>
          <w:szCs w:val="24"/>
          <w:highlight w:val="none"/>
        </w:rPr>
        <w:t>作出</w:t>
      </w:r>
      <w:r>
        <w:rPr>
          <w:bCs/>
          <w:color w:val="auto"/>
          <w:sz w:val="24"/>
          <w:szCs w:val="24"/>
          <w:highlight w:val="none"/>
        </w:rPr>
        <w:t>澄清</w:t>
      </w:r>
      <w:r>
        <w:rPr>
          <w:rFonts w:hint="eastAsia"/>
          <w:bCs/>
          <w:color w:val="auto"/>
          <w:sz w:val="24"/>
          <w:szCs w:val="24"/>
          <w:highlight w:val="none"/>
        </w:rPr>
        <w:t>说明和</w:t>
      </w:r>
      <w:r>
        <w:rPr>
          <w:bCs/>
          <w:color w:val="auto"/>
          <w:sz w:val="24"/>
          <w:szCs w:val="24"/>
          <w:highlight w:val="none"/>
        </w:rPr>
        <w:t>确认</w:t>
      </w:r>
      <w:r>
        <w:rPr>
          <w:rFonts w:hint="eastAsia"/>
          <w:bCs/>
          <w:color w:val="auto"/>
          <w:sz w:val="24"/>
          <w:szCs w:val="24"/>
          <w:highlight w:val="none"/>
        </w:rPr>
        <w:t>，</w:t>
      </w:r>
      <w:r>
        <w:rPr>
          <w:bCs/>
          <w:color w:val="auto"/>
          <w:sz w:val="24"/>
          <w:szCs w:val="24"/>
          <w:highlight w:val="none"/>
        </w:rPr>
        <w:t>投标人拒不</w:t>
      </w:r>
      <w:r>
        <w:rPr>
          <w:rFonts w:hint="eastAsia"/>
          <w:bCs/>
          <w:color w:val="auto"/>
          <w:sz w:val="24"/>
          <w:szCs w:val="24"/>
          <w:highlight w:val="none"/>
        </w:rPr>
        <w:t>作出</w:t>
      </w:r>
      <w:r>
        <w:rPr>
          <w:bCs/>
          <w:color w:val="auto"/>
          <w:sz w:val="24"/>
          <w:szCs w:val="24"/>
          <w:highlight w:val="none"/>
        </w:rPr>
        <w:t>澄清</w:t>
      </w:r>
      <w:r>
        <w:rPr>
          <w:rFonts w:hint="eastAsia"/>
          <w:bCs/>
          <w:color w:val="auto"/>
          <w:sz w:val="24"/>
          <w:szCs w:val="24"/>
          <w:highlight w:val="none"/>
        </w:rPr>
        <w:t>说明和</w:t>
      </w:r>
      <w:r>
        <w:rPr>
          <w:bCs/>
          <w:color w:val="auto"/>
          <w:sz w:val="24"/>
          <w:szCs w:val="24"/>
          <w:highlight w:val="none"/>
        </w:rPr>
        <w:t>确认的</w:t>
      </w:r>
      <w:r>
        <w:rPr>
          <w:color w:val="auto"/>
          <w:sz w:val="24"/>
          <w:szCs w:val="24"/>
          <w:highlight w:val="none"/>
        </w:rPr>
        <w:t>；</w:t>
      </w:r>
    </w:p>
    <w:p w14:paraId="7E7092FA">
      <w:pPr>
        <w:adjustRightInd w:val="0"/>
        <w:snapToGrid w:val="0"/>
        <w:spacing w:line="360" w:lineRule="auto"/>
        <w:ind w:firstLine="480" w:firstLineChars="200"/>
        <w:rPr>
          <w:rFonts w:hint="eastAsia"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w:t>
      </w:r>
      <w:r>
        <w:rPr>
          <w:rFonts w:hint="eastAsia" w:ascii="Times New Roman" w:hAnsi="Times New Roman" w:eastAsia="宋体" w:cs="Times New Roman"/>
          <w:color w:val="auto"/>
          <w:sz w:val="24"/>
          <w:szCs w:val="24"/>
          <w:highlight w:val="none"/>
          <w:lang w:val="en-US" w:eastAsia="zh-CN"/>
        </w:rPr>
        <w:t>9</w:t>
      </w:r>
      <w:r>
        <w:rPr>
          <w:rFonts w:ascii="Times New Roman" w:hAnsi="Times New Roman" w:eastAsia="宋体" w:cs="Times New Roman"/>
          <w:color w:val="auto"/>
          <w:sz w:val="24"/>
          <w:szCs w:val="24"/>
          <w:highlight w:val="none"/>
        </w:rPr>
        <w:t xml:space="preserve"> </w:t>
      </w:r>
      <w:r>
        <w:rPr>
          <w:rFonts w:hint="eastAsia" w:ascii="Times New Roman" w:hAnsi="Times New Roman" w:eastAsia="宋体" w:cs="Times New Roman"/>
          <w:color w:val="auto"/>
          <w:sz w:val="24"/>
          <w:szCs w:val="24"/>
          <w:highlight w:val="none"/>
        </w:rPr>
        <w:t>投标文件存在弄虚作假或者隐瞒事实，或者未按照招标文件要求如实提供有关情况和文件。被列为中标候选人的，应当取消其中标候选人资格。</w:t>
      </w:r>
    </w:p>
    <w:p w14:paraId="0B5F5DE9">
      <w:pPr>
        <w:snapToGrid w:val="0"/>
        <w:spacing w:line="360" w:lineRule="auto"/>
        <w:jc w:val="left"/>
        <w:rPr>
          <w:rFonts w:eastAsia="黑体"/>
          <w:bCs/>
          <w:color w:val="auto"/>
          <w:sz w:val="24"/>
          <w:highlight w:val="none"/>
        </w:rPr>
      </w:pPr>
      <w:r>
        <w:rPr>
          <w:rFonts w:eastAsia="楷体_GB2312"/>
          <w:color w:val="auto"/>
          <w:szCs w:val="21"/>
          <w:highlight w:val="none"/>
        </w:rPr>
        <w:br w:type="page"/>
      </w:r>
      <w:bookmarkStart w:id="152" w:name="_Toc300678073"/>
      <w:r>
        <w:rPr>
          <w:rStyle w:val="60"/>
          <w:rFonts w:hint="eastAsia" w:ascii="宋体" w:hAnsi="宋体" w:eastAsia="宋体" w:cs="宋体"/>
          <w:b w:val="0"/>
          <w:color w:val="auto"/>
          <w:sz w:val="24"/>
          <w:highlight w:val="none"/>
        </w:rPr>
        <w:t>附件2-</w:t>
      </w:r>
      <w:r>
        <w:rPr>
          <w:rStyle w:val="60"/>
          <w:rFonts w:hint="default" w:ascii="宋体" w:hAnsi="宋体" w:cs="宋体"/>
          <w:b w:val="0"/>
          <w:color w:val="auto"/>
          <w:sz w:val="24"/>
          <w:highlight w:val="none"/>
          <w:lang w:val="en-US"/>
        </w:rPr>
        <w:t>3</w:t>
      </w:r>
      <w:r>
        <w:rPr>
          <w:rStyle w:val="60"/>
          <w:rFonts w:hint="eastAsia" w:ascii="宋体" w:hAnsi="宋体" w:eastAsia="宋体" w:cs="宋体"/>
          <w:b w:val="0"/>
          <w:color w:val="auto"/>
          <w:sz w:val="24"/>
          <w:highlight w:val="none"/>
        </w:rPr>
        <w:t>：投标报价成本评审办法</w:t>
      </w:r>
      <w:bookmarkEnd w:id="152"/>
    </w:p>
    <w:p w14:paraId="0AB3A0B2">
      <w:pPr>
        <w:keepNext w:val="0"/>
        <w:keepLines w:val="0"/>
        <w:pageBreakBefore w:val="0"/>
        <w:widowControl w:val="0"/>
        <w:kinsoku/>
        <w:wordWrap/>
        <w:overflowPunct/>
        <w:topLinePunct w:val="0"/>
        <w:autoSpaceDE/>
        <w:autoSpaceDN/>
        <w:bidi w:val="0"/>
        <w:adjustRightInd/>
        <w:snapToGrid/>
        <w:spacing w:before="159" w:beforeLines="50" w:line="360" w:lineRule="auto"/>
        <w:jc w:val="center"/>
        <w:textAlignment w:val="auto"/>
        <w:rPr>
          <w:rFonts w:hint="eastAsia" w:ascii="微软雅黑" w:hAnsi="微软雅黑" w:eastAsia="微软雅黑" w:cs="微软雅黑"/>
          <w:b w:val="0"/>
          <w:bCs w:val="0"/>
          <w:color w:val="auto"/>
          <w:sz w:val="30"/>
          <w:szCs w:val="30"/>
          <w:highlight w:val="none"/>
        </w:rPr>
      </w:pPr>
      <w:r>
        <w:rPr>
          <w:rFonts w:hint="eastAsia" w:ascii="微软雅黑" w:hAnsi="微软雅黑" w:eastAsia="微软雅黑" w:cs="微软雅黑"/>
          <w:b w:val="0"/>
          <w:bCs w:val="0"/>
          <w:color w:val="auto"/>
          <w:sz w:val="30"/>
          <w:szCs w:val="30"/>
          <w:highlight w:val="none"/>
        </w:rPr>
        <w:t>投标报价成本评审办法</w:t>
      </w:r>
    </w:p>
    <w:p w14:paraId="76E5D63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本附件是“评标办法”的组成部分，评标委员会对投标人投标报价成本评审比较时，适用本办法。</w:t>
      </w:r>
    </w:p>
    <w:p w14:paraId="79A0570C">
      <w:pPr>
        <w:keepNext w:val="0"/>
        <w:keepLines w:val="0"/>
        <w:pageBreakBefore w:val="0"/>
        <w:tabs>
          <w:tab w:val="left" w:pos="312"/>
        </w:tabs>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1.启动成本评审工作的前提条件</w:t>
      </w:r>
    </w:p>
    <w:p w14:paraId="08A320E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在满足下列</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项条件的前提下，评标委员会应当启动成本评审，以判断投标人的投标报价是否低于其成本：</w:t>
      </w:r>
    </w:p>
    <w:p w14:paraId="48EEE47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投标人的投标文件已经通过“</w:t>
      </w:r>
      <w:r>
        <w:rPr>
          <w:rFonts w:hint="eastAsia" w:ascii="宋体" w:hAnsi="宋体" w:eastAsia="宋体" w:cs="宋体"/>
          <w:color w:val="auto"/>
          <w:sz w:val="24"/>
          <w:szCs w:val="24"/>
          <w:highlight w:val="none"/>
          <w:lang w:val="en-US" w:eastAsia="zh-CN"/>
        </w:rPr>
        <w:t>形式、资格、响应性评审</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p>
    <w:p w14:paraId="3034427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1.2 </w:t>
      </w:r>
      <w:r>
        <w:rPr>
          <w:rFonts w:hint="eastAsia" w:ascii="宋体" w:hAnsi="宋体" w:eastAsia="宋体" w:cs="宋体"/>
          <w:color w:val="auto"/>
          <w:sz w:val="24"/>
          <w:szCs w:val="24"/>
          <w:highlight w:val="none"/>
        </w:rPr>
        <w:t>投标人的施工组织设计</w:t>
      </w:r>
      <w:r>
        <w:rPr>
          <w:rFonts w:hint="eastAsia" w:ascii="宋体" w:hAnsi="宋体" w:eastAsia="宋体" w:cs="宋体"/>
          <w:color w:val="auto"/>
          <w:sz w:val="24"/>
          <w:szCs w:val="24"/>
          <w:highlight w:val="none"/>
          <w:lang w:val="en-US" w:eastAsia="zh-CN"/>
        </w:rPr>
        <w:t>通过合格制</w:t>
      </w:r>
      <w:r>
        <w:rPr>
          <w:rFonts w:hint="eastAsia" w:ascii="宋体" w:hAnsi="宋体" w:eastAsia="宋体" w:cs="宋体"/>
          <w:color w:val="auto"/>
          <w:sz w:val="24"/>
          <w:szCs w:val="24"/>
          <w:highlight w:val="none"/>
        </w:rPr>
        <w:t>评审</w:t>
      </w:r>
      <w:r>
        <w:rPr>
          <w:rFonts w:hint="eastAsia" w:ascii="宋体" w:hAnsi="宋体" w:eastAsia="宋体" w:cs="宋体"/>
          <w:color w:val="auto"/>
          <w:sz w:val="24"/>
          <w:szCs w:val="24"/>
          <w:highlight w:val="none"/>
          <w:lang w:val="en-US" w:eastAsia="zh-CN"/>
        </w:rPr>
        <w:t>的（如有）；</w:t>
      </w:r>
    </w:p>
    <w:p w14:paraId="7FD671E8">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投标人的投标报价低于</w:t>
      </w:r>
      <w:r>
        <w:rPr>
          <w:rFonts w:hint="eastAsia" w:ascii="宋体" w:hAnsi="宋体" w:eastAsia="宋体" w:cs="宋体"/>
          <w:color w:val="auto"/>
          <w:sz w:val="24"/>
          <w:szCs w:val="24"/>
          <w:highlight w:val="none"/>
          <w:lang w:val="en-US" w:eastAsia="zh-CN"/>
        </w:rPr>
        <w:t>报价评审警戒线的，报价评审警戒线为</w:t>
      </w:r>
      <w:r>
        <w:rPr>
          <w:rFonts w:hint="eastAsia" w:ascii="宋体" w:hAnsi="宋体" w:eastAsia="宋体" w:cs="宋体"/>
          <w:color w:val="auto"/>
          <w:sz w:val="24"/>
          <w:szCs w:val="24"/>
          <w:highlight w:val="none"/>
        </w:rPr>
        <w:t>进入报价评审的合格投标人投标报价算术平均值的95%</w:t>
      </w:r>
      <w:r>
        <w:rPr>
          <w:rFonts w:hint="eastAsia" w:ascii="宋体" w:hAnsi="宋体" w:eastAsia="宋体" w:cs="宋体"/>
          <w:color w:val="auto"/>
          <w:kern w:val="0"/>
          <w:sz w:val="24"/>
          <w:szCs w:val="24"/>
          <w:highlight w:val="none"/>
          <w:lang w:eastAsia="zh-CN"/>
        </w:rPr>
        <w:t>。</w:t>
      </w:r>
    </w:p>
    <w:p w14:paraId="6B24A28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2.评审组织工作</w:t>
      </w:r>
    </w:p>
    <w:p w14:paraId="10C395E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由评标委员会经济类专家组织实施</w:t>
      </w:r>
    </w:p>
    <w:p w14:paraId="339F491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3.评审方法及标准</w:t>
      </w:r>
    </w:p>
    <w:p w14:paraId="4B5C34C7">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对低于报价评审警戒线的投标报价按照招标文件规定的重点评审的工程量清单综合单价（含能计量的措施项目）和材料、设备单价（以下简称“重点评审单价”）的评审标准进行评审。</w:t>
      </w:r>
    </w:p>
    <w:p w14:paraId="1F5A368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重点评审单价评审标准如下：</w:t>
      </w:r>
    </w:p>
    <w:p w14:paraId="533B7EB7">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（一）房屋建筑总承包工程为最高投标限价的</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9</w:t>
      </w:r>
      <w:r>
        <w:rPr>
          <w:rFonts w:hint="eastAsia" w:ascii="宋体" w:hAnsi="宋体" w:cs="宋体"/>
          <w:color w:val="auto"/>
          <w:kern w:val="0"/>
          <w:sz w:val="24"/>
          <w:szCs w:val="24"/>
          <w:highlight w:val="none"/>
          <w:u w:val="single"/>
          <w:lang w:val="en-US" w:eastAsia="zh-CN"/>
        </w:rPr>
        <w:t>0</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（90%以上92%以下，具体取值由招标人明确，下同）；</w:t>
      </w:r>
    </w:p>
    <w:p w14:paraId="57144BE4">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含有装配式建筑的，房屋建筑总承包工程为最高投标限价的</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u w:val="none"/>
        </w:rPr>
        <w:t>（</w:t>
      </w:r>
      <w:r>
        <w:rPr>
          <w:rFonts w:hint="eastAsia" w:ascii="宋体" w:hAnsi="宋体" w:eastAsia="宋体" w:cs="宋体"/>
          <w:color w:val="auto"/>
          <w:kern w:val="0"/>
          <w:sz w:val="24"/>
          <w:szCs w:val="24"/>
          <w:highlight w:val="none"/>
        </w:rPr>
        <w:t>92%以上94%以下）；</w:t>
      </w:r>
    </w:p>
    <w:p w14:paraId="004CBA2E">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（二）市政基础设施总承包工程（轨道交通工程除外）为最高投标限价的</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（85%以上87%以下）；</w:t>
      </w:r>
    </w:p>
    <w:p w14:paraId="57B27365">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（三）轨道交通工程为最高投标限价的</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rPr>
        <w:t>（88%以上90%以下）；</w:t>
      </w:r>
    </w:p>
    <w:p w14:paraId="53E48C6B">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（四）单独招标的装饰装修工程为最高投标限价的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（92%以上94%以下）；</w:t>
      </w:r>
    </w:p>
    <w:p w14:paraId="19CD115E">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（五）单独招标的园林景观绿化工程、仿古建筑工程为最高投标限价的</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rPr>
        <w:t>（88%以上90%以下）；</w:t>
      </w:r>
    </w:p>
    <w:p w14:paraId="3EEFD33E">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（六）单独招标的安装工程为最高投标限价的</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rPr>
        <w:t>（90%以上92%以下）</w:t>
      </w:r>
      <w:r>
        <w:rPr>
          <w:rFonts w:hint="eastAsia" w:ascii="宋体" w:hAnsi="宋体" w:eastAsia="宋体" w:cs="宋体"/>
          <w:color w:val="auto"/>
          <w:kern w:val="0"/>
          <w:sz w:val="24"/>
          <w:szCs w:val="24"/>
          <w:highlight w:val="none"/>
          <w:lang w:eastAsia="zh-CN"/>
        </w:rPr>
        <w:t>；</w:t>
      </w:r>
    </w:p>
    <w:p w14:paraId="27A1BF04">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七</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其他工程（未包含在上述工程中的其他工程）为最高投标限价的</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rPr>
        <w:t>（招标人</w:t>
      </w:r>
      <w:r>
        <w:rPr>
          <w:rFonts w:hint="eastAsia" w:ascii="宋体" w:hAnsi="宋体" w:eastAsia="宋体" w:cs="宋体"/>
          <w:color w:val="auto"/>
          <w:kern w:val="0"/>
          <w:sz w:val="24"/>
          <w:szCs w:val="24"/>
          <w:highlight w:val="none"/>
          <w:lang w:val="en-US" w:eastAsia="zh-CN"/>
        </w:rPr>
        <w:t>根据项目具体情况</w:t>
      </w:r>
      <w:r>
        <w:rPr>
          <w:rFonts w:hint="eastAsia" w:ascii="宋体" w:hAnsi="宋体" w:eastAsia="宋体" w:cs="宋体"/>
          <w:color w:val="auto"/>
          <w:kern w:val="0"/>
          <w:sz w:val="24"/>
          <w:szCs w:val="24"/>
          <w:highlight w:val="none"/>
        </w:rPr>
        <w:t>明确）。</w:t>
      </w:r>
    </w:p>
    <w:p w14:paraId="48A7D1A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4.低于投标成本报价竞争行为的确认</w:t>
      </w:r>
    </w:p>
    <w:p w14:paraId="30003AB1">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（一）重点评审单价中，任意一项低于评审标准（不含本数）的，应当认定该投标人以低于成本报价竞争，否决其投标。</w:t>
      </w:r>
    </w:p>
    <w:p w14:paraId="0C31A99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（二）有下列情形之一的，应当判定为以低于成本报价竞争，否决其投标。</w:t>
      </w:r>
    </w:p>
    <w:p w14:paraId="5114357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rPr>
        <w:t>经评审论证，认定该投标人的报价低于成本的；</w:t>
      </w:r>
    </w:p>
    <w:p w14:paraId="62FEEA19">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en-US" w:eastAsia="zh-CN"/>
        </w:rPr>
        <w:t>②</w:t>
      </w:r>
      <w:r>
        <w:rPr>
          <w:rFonts w:hint="eastAsia" w:ascii="宋体" w:hAnsi="宋体" w:eastAsia="宋体" w:cs="宋体"/>
          <w:color w:val="auto"/>
          <w:sz w:val="24"/>
          <w:szCs w:val="24"/>
          <w:highlight w:val="none"/>
        </w:rPr>
        <w:t>投标报价明显低于其他投标报价，有可能低于成本的，应当要求投标人</w:t>
      </w:r>
      <w:r>
        <w:rPr>
          <w:rFonts w:hint="eastAsia" w:ascii="宋体" w:hAnsi="宋体" w:eastAsia="宋体" w:cs="宋体"/>
          <w:color w:val="auto"/>
          <w:sz w:val="24"/>
          <w:szCs w:val="24"/>
          <w:highlight w:val="none"/>
          <w:lang w:val="en-US" w:eastAsia="zh-CN"/>
        </w:rPr>
        <w:t>在开标现场</w:t>
      </w:r>
      <w:r>
        <w:rPr>
          <w:rFonts w:hint="eastAsia" w:ascii="宋体" w:hAnsi="宋体" w:eastAsia="宋体" w:cs="宋体"/>
          <w:color w:val="auto"/>
          <w:sz w:val="24"/>
          <w:szCs w:val="24"/>
          <w:highlight w:val="none"/>
        </w:rPr>
        <w:t>作出说明并提供相关材料。投标人不能合理说明或者不能提供相关证明材料的，应当认定该投标人的报价低于成本。</w:t>
      </w:r>
    </w:p>
    <w:p w14:paraId="7ABC53A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评标委员会将认定投标人以低于成本报价竞争等情况作出详细说明并记录在案。</w:t>
      </w:r>
      <w:bookmarkEnd w:id="150"/>
      <w:bookmarkStart w:id="153" w:name="_Toc300678059"/>
    </w:p>
    <w:p w14:paraId="3F4F4BA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5.本方法所称的“以下”、“以上”均含本数。</w:t>
      </w:r>
    </w:p>
    <w:p w14:paraId="1DE90713">
      <w:pPr>
        <w:widowControl/>
        <w:jc w:val="left"/>
        <w:rPr>
          <w:rStyle w:val="60"/>
          <w:rFonts w:ascii="Times New Roman" w:hAnsi="Times New Roman" w:eastAsia="黑体"/>
          <w:b w:val="0"/>
          <w:color w:val="auto"/>
          <w:sz w:val="24"/>
          <w:highlight w:val="none"/>
        </w:rPr>
      </w:pPr>
    </w:p>
    <w:p w14:paraId="78F60CEA">
      <w:pPr>
        <w:widowControl/>
        <w:jc w:val="left"/>
        <w:rPr>
          <w:rStyle w:val="60"/>
          <w:rFonts w:ascii="Times New Roman" w:hAnsi="Times New Roman" w:eastAsia="黑体"/>
          <w:b w:val="0"/>
          <w:color w:val="auto"/>
          <w:sz w:val="24"/>
          <w:highlight w:val="none"/>
        </w:rPr>
      </w:pPr>
    </w:p>
    <w:p w14:paraId="2E999FAE">
      <w:pPr>
        <w:snapToGrid w:val="0"/>
        <w:spacing w:line="360" w:lineRule="auto"/>
        <w:jc w:val="left"/>
        <w:rPr>
          <w:rFonts w:eastAsia="黑体"/>
          <w:color w:val="auto"/>
          <w:sz w:val="30"/>
          <w:szCs w:val="30"/>
          <w:highlight w:val="none"/>
        </w:rPr>
      </w:pPr>
      <w:r>
        <w:rPr>
          <w:rStyle w:val="60"/>
          <w:rFonts w:hint="eastAsia" w:ascii="宋体" w:hAnsi="宋体" w:eastAsia="宋体" w:cs="宋体"/>
          <w:b w:val="0"/>
          <w:color w:val="auto"/>
          <w:sz w:val="24"/>
          <w:highlight w:val="none"/>
        </w:rPr>
        <w:t>附件2-</w:t>
      </w:r>
      <w:r>
        <w:rPr>
          <w:rStyle w:val="60"/>
          <w:rFonts w:hint="default" w:ascii="宋体" w:hAnsi="宋体" w:cs="宋体"/>
          <w:b w:val="0"/>
          <w:color w:val="auto"/>
          <w:sz w:val="24"/>
          <w:highlight w:val="none"/>
          <w:lang w:val="en-US"/>
        </w:rPr>
        <w:t>4</w:t>
      </w:r>
      <w:r>
        <w:rPr>
          <w:rStyle w:val="60"/>
          <w:rFonts w:hint="eastAsia" w:ascii="宋体" w:hAnsi="宋体" w:eastAsia="宋体" w:cs="宋体"/>
          <w:b w:val="0"/>
          <w:color w:val="auto"/>
          <w:sz w:val="24"/>
          <w:highlight w:val="none"/>
        </w:rPr>
        <w:t>：计算机辅助评标办法</w:t>
      </w:r>
    </w:p>
    <w:p w14:paraId="3CCEB0AD">
      <w:pPr>
        <w:keepNext w:val="0"/>
        <w:keepLines w:val="0"/>
        <w:pageBreakBefore w:val="0"/>
        <w:widowControl w:val="0"/>
        <w:kinsoku/>
        <w:wordWrap/>
        <w:overflowPunct/>
        <w:topLinePunct w:val="0"/>
        <w:autoSpaceDE/>
        <w:autoSpaceDN/>
        <w:bidi w:val="0"/>
        <w:adjustRightInd/>
        <w:snapToGrid/>
        <w:spacing w:before="159" w:beforeLines="50" w:line="360" w:lineRule="auto"/>
        <w:jc w:val="center"/>
        <w:textAlignment w:val="auto"/>
        <w:rPr>
          <w:rFonts w:hint="eastAsia" w:ascii="微软雅黑" w:hAnsi="微软雅黑" w:eastAsia="微软雅黑" w:cs="微软雅黑"/>
          <w:b w:val="0"/>
          <w:bCs w:val="0"/>
          <w:color w:val="auto"/>
          <w:sz w:val="30"/>
          <w:szCs w:val="30"/>
          <w:highlight w:val="none"/>
          <w:lang w:eastAsia="zh-CN"/>
        </w:rPr>
      </w:pPr>
      <w:r>
        <w:rPr>
          <w:rFonts w:hint="eastAsia" w:ascii="微软雅黑" w:hAnsi="微软雅黑" w:eastAsia="微软雅黑" w:cs="微软雅黑"/>
          <w:b w:val="0"/>
          <w:bCs w:val="0"/>
          <w:color w:val="auto"/>
          <w:sz w:val="30"/>
          <w:szCs w:val="30"/>
          <w:highlight w:val="none"/>
        </w:rPr>
        <w:t>计算机辅助评标办法</w:t>
      </w:r>
      <w:r>
        <w:rPr>
          <w:rFonts w:hint="eastAsia" w:ascii="微软雅黑" w:hAnsi="微软雅黑" w:eastAsia="微软雅黑" w:cs="微软雅黑"/>
          <w:b w:val="0"/>
          <w:bCs w:val="0"/>
          <w:color w:val="auto"/>
          <w:sz w:val="30"/>
          <w:szCs w:val="30"/>
          <w:highlight w:val="none"/>
          <w:lang w:eastAsia="zh-CN"/>
        </w:rPr>
        <w:t>（</w:t>
      </w:r>
      <w:r>
        <w:rPr>
          <w:rFonts w:hint="eastAsia" w:ascii="微软雅黑" w:hAnsi="微软雅黑" w:eastAsia="微软雅黑" w:cs="微软雅黑"/>
          <w:b w:val="0"/>
          <w:bCs w:val="0"/>
          <w:color w:val="auto"/>
          <w:sz w:val="30"/>
          <w:szCs w:val="30"/>
          <w:highlight w:val="none"/>
          <w:lang w:val="en-US" w:eastAsia="zh-CN"/>
        </w:rPr>
        <w:t>本项目不适用</w:t>
      </w:r>
      <w:r>
        <w:rPr>
          <w:rFonts w:hint="eastAsia" w:ascii="微软雅黑" w:hAnsi="微软雅黑" w:eastAsia="微软雅黑" w:cs="微软雅黑"/>
          <w:b w:val="0"/>
          <w:bCs w:val="0"/>
          <w:color w:val="auto"/>
          <w:sz w:val="30"/>
          <w:szCs w:val="30"/>
          <w:highlight w:val="none"/>
          <w:lang w:eastAsia="zh-CN"/>
        </w:rPr>
        <w:t>）</w:t>
      </w:r>
    </w:p>
    <w:p w14:paraId="0EB7EFF5">
      <w:pPr>
        <w:snapToGrid w:val="0"/>
        <w:spacing w:line="360" w:lineRule="auto"/>
        <w:jc w:val="left"/>
        <w:rPr>
          <w:rStyle w:val="60"/>
          <w:rFonts w:eastAsia="黑体"/>
          <w:b w:val="0"/>
          <w:color w:val="auto"/>
          <w:sz w:val="28"/>
          <w:highlight w:val="none"/>
        </w:rPr>
      </w:pPr>
    </w:p>
    <w:p w14:paraId="5D2699BD">
      <w:pPr>
        <w:snapToGrid w:val="0"/>
        <w:spacing w:line="360" w:lineRule="auto"/>
        <w:ind w:firstLine="480" w:firstLineChars="200"/>
        <w:jc w:val="left"/>
        <w:rPr>
          <w:rStyle w:val="60"/>
          <w:rFonts w:eastAsia="黑体"/>
          <w:b w:val="0"/>
          <w:color w:val="auto"/>
          <w:sz w:val="28"/>
          <w:highlight w:val="none"/>
        </w:rPr>
      </w:pPr>
      <w:r>
        <w:rPr>
          <w:rStyle w:val="60"/>
          <w:rFonts w:hint="eastAsia" w:ascii="宋体" w:hAnsi="宋体" w:cs="宋体"/>
          <w:b w:val="0"/>
          <w:bCs w:val="0"/>
          <w:color w:val="auto"/>
          <w:szCs w:val="21"/>
          <w:highlight w:val="none"/>
        </w:rPr>
        <w:t>说明：</w:t>
      </w:r>
      <w:r>
        <w:rPr>
          <w:rStyle w:val="60"/>
          <w:rFonts w:hint="eastAsia" w:ascii="宋体" w:hAnsi="宋体" w:cs="宋体"/>
          <w:b w:val="0"/>
          <w:color w:val="auto"/>
          <w:szCs w:val="21"/>
          <w:highlight w:val="none"/>
        </w:rPr>
        <w:t>本附件的具体内容根据招标项目的具体情况自行编写</w:t>
      </w:r>
    </w:p>
    <w:p w14:paraId="563D44A8">
      <w:pPr>
        <w:widowControl/>
        <w:jc w:val="left"/>
        <w:rPr>
          <w:rFonts w:eastAsia="黑体"/>
          <w:color w:val="auto"/>
          <w:sz w:val="30"/>
          <w:szCs w:val="30"/>
          <w:highlight w:val="none"/>
        </w:rPr>
      </w:pPr>
    </w:p>
    <w:p w14:paraId="7F9D25BC">
      <w:pPr>
        <w:snapToGrid w:val="0"/>
        <w:spacing w:line="360" w:lineRule="auto"/>
        <w:jc w:val="left"/>
        <w:rPr>
          <w:rStyle w:val="60"/>
          <w:rFonts w:hint="eastAsia" w:ascii="宋体" w:hAnsi="宋体" w:eastAsia="宋体" w:cs="宋体"/>
          <w:b w:val="0"/>
          <w:color w:val="auto"/>
          <w:sz w:val="24"/>
          <w:highlight w:val="none"/>
        </w:rPr>
      </w:pPr>
      <w:r>
        <w:rPr>
          <w:rStyle w:val="60"/>
          <w:rFonts w:hint="eastAsia" w:ascii="宋体" w:hAnsi="宋体" w:eastAsia="宋体" w:cs="宋体"/>
          <w:b w:val="0"/>
          <w:color w:val="auto"/>
          <w:sz w:val="24"/>
          <w:highlight w:val="none"/>
        </w:rPr>
        <w:t>附件2-</w:t>
      </w:r>
      <w:r>
        <w:rPr>
          <w:rStyle w:val="60"/>
          <w:rFonts w:hint="default" w:ascii="宋体" w:hAnsi="宋体" w:cs="宋体"/>
          <w:b w:val="0"/>
          <w:color w:val="auto"/>
          <w:sz w:val="24"/>
          <w:highlight w:val="none"/>
          <w:lang w:val="en-US"/>
        </w:rPr>
        <w:t>5</w:t>
      </w:r>
      <w:r>
        <w:rPr>
          <w:rStyle w:val="60"/>
          <w:rFonts w:hint="eastAsia" w:ascii="宋体" w:hAnsi="宋体" w:eastAsia="宋体" w:cs="宋体"/>
          <w:b w:val="0"/>
          <w:color w:val="auto"/>
          <w:sz w:val="24"/>
          <w:highlight w:val="none"/>
        </w:rPr>
        <w:t>：评定分离工作方案</w:t>
      </w:r>
    </w:p>
    <w:p w14:paraId="2387956A">
      <w:pPr>
        <w:keepNext w:val="0"/>
        <w:keepLines w:val="0"/>
        <w:pageBreakBefore w:val="0"/>
        <w:widowControl w:val="0"/>
        <w:kinsoku/>
        <w:wordWrap/>
        <w:overflowPunct/>
        <w:topLinePunct w:val="0"/>
        <w:autoSpaceDE/>
        <w:autoSpaceDN/>
        <w:bidi w:val="0"/>
        <w:adjustRightInd/>
        <w:snapToGrid/>
        <w:spacing w:before="159" w:beforeLines="50" w:line="360" w:lineRule="auto"/>
        <w:jc w:val="center"/>
        <w:textAlignment w:val="auto"/>
        <w:rPr>
          <w:rFonts w:hint="eastAsia" w:ascii="微软雅黑" w:hAnsi="微软雅黑" w:eastAsia="微软雅黑" w:cs="微软雅黑"/>
          <w:b w:val="0"/>
          <w:bCs w:val="0"/>
          <w:color w:val="auto"/>
          <w:sz w:val="30"/>
          <w:szCs w:val="30"/>
          <w:highlight w:val="none"/>
        </w:rPr>
      </w:pPr>
      <w:r>
        <w:rPr>
          <w:rFonts w:hint="eastAsia" w:ascii="微软雅黑" w:hAnsi="微软雅黑" w:eastAsia="微软雅黑" w:cs="微软雅黑"/>
          <w:b w:val="0"/>
          <w:bCs w:val="0"/>
          <w:color w:val="auto"/>
          <w:sz w:val="30"/>
          <w:szCs w:val="30"/>
          <w:highlight w:val="none"/>
        </w:rPr>
        <w:t>□评定分离工作方案</w:t>
      </w:r>
    </w:p>
    <w:p w14:paraId="2E327FDC">
      <w:pPr>
        <w:snapToGrid w:val="0"/>
        <w:spacing w:line="360" w:lineRule="auto"/>
        <w:jc w:val="center"/>
        <w:rPr>
          <w:rFonts w:hint="eastAsia" w:ascii="宋体" w:hAnsi="宋体" w:eastAsia="宋体" w:cs="宋体"/>
          <w:color w:val="auto"/>
          <w:sz w:val="24"/>
          <w:szCs w:val="24"/>
          <w:highlight w:val="none"/>
        </w:rPr>
      </w:pPr>
    </w:p>
    <w:p w14:paraId="0213B4C6">
      <w:pPr>
        <w:snapToGrid w:val="0"/>
        <w:spacing w:line="360" w:lineRule="auto"/>
        <w:jc w:val="center"/>
        <w:rPr>
          <w:rStyle w:val="60"/>
          <w:rFonts w:hint="eastAsia" w:ascii="宋体" w:hAnsi="宋体" w:eastAsia="宋体" w:cs="宋体"/>
          <w:b w:val="0"/>
          <w:color w:val="auto"/>
          <w:sz w:val="24"/>
          <w:szCs w:val="22"/>
          <w:highlight w:val="none"/>
        </w:rPr>
      </w:pPr>
      <w:r>
        <w:rPr>
          <w:rFonts w:hint="eastAsia" w:ascii="宋体" w:hAnsi="宋体" w:eastAsia="宋体" w:cs="宋体"/>
          <w:color w:val="auto"/>
          <w:sz w:val="24"/>
          <w:szCs w:val="24"/>
          <w:highlight w:val="none"/>
        </w:rPr>
        <w:t>（适用采用评定分离方式确定中标人的项目）</w:t>
      </w:r>
    </w:p>
    <w:p w14:paraId="7BB7252E">
      <w:pPr>
        <w:snapToGrid w:val="0"/>
        <w:spacing w:line="360" w:lineRule="auto"/>
        <w:ind w:firstLine="480" w:firstLineChars="200"/>
        <w:jc w:val="left"/>
        <w:rPr>
          <w:rFonts w:eastAsia="黑体"/>
          <w:color w:val="auto"/>
          <w:sz w:val="30"/>
          <w:szCs w:val="30"/>
          <w:highlight w:val="none"/>
        </w:rPr>
      </w:pPr>
      <w:r>
        <w:rPr>
          <w:rStyle w:val="60"/>
          <w:rFonts w:hint="eastAsia" w:ascii="宋体" w:hAnsi="宋体" w:cs="宋体"/>
          <w:b w:val="0"/>
          <w:bCs w:val="0"/>
          <w:color w:val="auto"/>
          <w:szCs w:val="21"/>
          <w:highlight w:val="none"/>
        </w:rPr>
        <w:t>说明：</w:t>
      </w:r>
      <w:r>
        <w:rPr>
          <w:rStyle w:val="60"/>
          <w:rFonts w:hint="eastAsia" w:ascii="宋体" w:hAnsi="宋体" w:cs="宋体"/>
          <w:b w:val="0"/>
          <w:color w:val="auto"/>
          <w:szCs w:val="21"/>
          <w:highlight w:val="none"/>
        </w:rPr>
        <w:t>本附件的具体内容由招标人根据招标项目的具体情况及第三章评标办法规定的“评定分离”工作规则自行编写。</w:t>
      </w:r>
    </w:p>
    <w:p w14:paraId="3D7BDEE3">
      <w:pPr>
        <w:widowControl/>
        <w:jc w:val="left"/>
        <w:rPr>
          <w:rFonts w:eastAsia="黑体"/>
          <w:color w:val="auto"/>
          <w:sz w:val="30"/>
          <w:szCs w:val="30"/>
          <w:highlight w:val="none"/>
        </w:rPr>
      </w:pPr>
    </w:p>
    <w:p w14:paraId="6774EBC7">
      <w:pPr>
        <w:widowControl/>
        <w:jc w:val="left"/>
        <w:rPr>
          <w:rFonts w:eastAsia="黑体"/>
          <w:color w:val="auto"/>
          <w:sz w:val="30"/>
          <w:szCs w:val="30"/>
          <w:highlight w:val="none"/>
        </w:rPr>
        <w:sectPr>
          <w:footerReference r:id="rId11" w:type="first"/>
          <w:pgSz w:w="11906" w:h="16838"/>
          <w:pgMar w:top="1417" w:right="1440" w:bottom="1417" w:left="1440" w:header="850" w:footer="850" w:gutter="0"/>
          <w:pgNumType w:fmt="decimal"/>
          <w:cols w:space="720" w:num="1"/>
          <w:docGrid w:type="lines" w:linePitch="315" w:charSpace="0"/>
        </w:sectPr>
      </w:pPr>
    </w:p>
    <w:p w14:paraId="4E84EAE0">
      <w:pPr>
        <w:pStyle w:val="3"/>
        <w:bidi w:val="0"/>
        <w:rPr>
          <w:rFonts w:ascii="Times New Roman" w:hAnsi="Times New Roman" w:eastAsia="黑体"/>
          <w:b w:val="0"/>
          <w:bCs w:val="0"/>
          <w:color w:val="auto"/>
          <w:highlight w:val="none"/>
        </w:rPr>
      </w:pPr>
      <w:bookmarkStart w:id="154" w:name="_Toc24179"/>
      <w:bookmarkStart w:id="155" w:name="_Toc80006099"/>
      <w:bookmarkStart w:id="156" w:name="_Toc7689"/>
      <w:r>
        <w:t xml:space="preserve">第三章 </w:t>
      </w:r>
      <w:r>
        <w:rPr>
          <w:rFonts w:hint="eastAsia"/>
          <w:lang w:val="en-US" w:eastAsia="zh-CN"/>
        </w:rPr>
        <w:t xml:space="preserve"> </w:t>
      </w:r>
      <w:r>
        <w:t>评标办法（经评审的最低投标价法）</w:t>
      </w:r>
      <w:bookmarkEnd w:id="154"/>
      <w:bookmarkEnd w:id="155"/>
      <w:bookmarkEnd w:id="156"/>
    </w:p>
    <w:p w14:paraId="7717EC9C">
      <w:pPr>
        <w:spacing w:line="312" w:lineRule="auto"/>
        <w:jc w:val="center"/>
        <w:rPr>
          <w:rFonts w:hint="eastAsia" w:ascii="微软雅黑" w:hAnsi="微软雅黑" w:eastAsia="微软雅黑" w:cs="微软雅黑"/>
          <w:bCs/>
          <w:color w:val="auto"/>
          <w:sz w:val="30"/>
          <w:highlight w:val="none"/>
        </w:rPr>
      </w:pPr>
      <w:r>
        <w:rPr>
          <w:rFonts w:hint="eastAsia" w:ascii="微软雅黑" w:hAnsi="微软雅黑" w:eastAsia="微软雅黑" w:cs="微软雅黑"/>
          <w:bCs/>
          <w:color w:val="auto"/>
          <w:sz w:val="30"/>
          <w:highlight w:val="none"/>
        </w:rPr>
        <w:t>评标办法前附表</w:t>
      </w:r>
      <w:bookmarkEnd w:id="153"/>
    </w:p>
    <w:tbl>
      <w:tblPr>
        <w:tblStyle w:val="40"/>
        <w:tblW w:w="9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3"/>
        <w:gridCol w:w="2612"/>
        <w:gridCol w:w="5807"/>
      </w:tblGrid>
      <w:tr w14:paraId="29DE0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noWrap w:val="0"/>
            <w:vAlign w:val="center"/>
          </w:tcPr>
          <w:p w14:paraId="48016AE0">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条款号</w:t>
            </w:r>
          </w:p>
        </w:tc>
        <w:tc>
          <w:tcPr>
            <w:tcW w:w="2612" w:type="dxa"/>
            <w:noWrap w:val="0"/>
            <w:vAlign w:val="center"/>
          </w:tcPr>
          <w:p w14:paraId="64F8F764">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评审因素</w:t>
            </w:r>
          </w:p>
        </w:tc>
        <w:tc>
          <w:tcPr>
            <w:tcW w:w="5807" w:type="dxa"/>
            <w:noWrap w:val="0"/>
            <w:vAlign w:val="center"/>
          </w:tcPr>
          <w:p w14:paraId="7E56E495">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评审标准</w:t>
            </w:r>
          </w:p>
        </w:tc>
      </w:tr>
      <w:tr w14:paraId="7F501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restart"/>
            <w:noWrap w:val="0"/>
            <w:vAlign w:val="center"/>
          </w:tcPr>
          <w:p w14:paraId="0CA20925">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w:t>
            </w:r>
          </w:p>
        </w:tc>
        <w:tc>
          <w:tcPr>
            <w:tcW w:w="8419" w:type="dxa"/>
            <w:gridSpan w:val="2"/>
            <w:noWrap w:val="0"/>
            <w:vAlign w:val="center"/>
          </w:tcPr>
          <w:p w14:paraId="27C65B45">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 xml:space="preserve">形式评审  </w:t>
            </w:r>
          </w:p>
        </w:tc>
      </w:tr>
      <w:tr w14:paraId="424B7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441F02FA">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4A023719">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投标人名称</w:t>
            </w:r>
          </w:p>
        </w:tc>
        <w:tc>
          <w:tcPr>
            <w:tcW w:w="5807" w:type="dxa"/>
            <w:noWrap w:val="0"/>
            <w:vAlign w:val="center"/>
          </w:tcPr>
          <w:p w14:paraId="64905034">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与营业执照、资质证书、安全生产许可证上的名称一致；省外企业名称与在“湖南省住房和城乡建设网”登记的一致</w:t>
            </w:r>
          </w:p>
        </w:tc>
      </w:tr>
      <w:tr w14:paraId="79AF7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6D016CF0">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723A4FC1">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w:t>
            </w:r>
          </w:p>
        </w:tc>
        <w:tc>
          <w:tcPr>
            <w:tcW w:w="5807" w:type="dxa"/>
            <w:noWrap w:val="0"/>
            <w:vAlign w:val="center"/>
          </w:tcPr>
          <w:p w14:paraId="14277F7A">
            <w:pPr>
              <w:keepNext w:val="0"/>
              <w:keepLines w:val="0"/>
              <w:suppressLineNumbers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同一投标人未提交两份以上不同内容的投标文件，但招标文件要求提交备选投标的除外</w:t>
            </w:r>
          </w:p>
        </w:tc>
      </w:tr>
      <w:tr w14:paraId="199D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56A635D7">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023D4FDD">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w:t>
            </w:r>
          </w:p>
        </w:tc>
        <w:tc>
          <w:tcPr>
            <w:tcW w:w="5807" w:type="dxa"/>
            <w:noWrap w:val="0"/>
            <w:vAlign w:val="center"/>
          </w:tcPr>
          <w:p w14:paraId="4F19F9DF">
            <w:pPr>
              <w:keepNext w:val="0"/>
              <w:keepLines w:val="0"/>
              <w:suppressLineNumbers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同一投标人未提交两份以上不同内容的投标报价，但招标文件要求提交备选投标的除外</w:t>
            </w:r>
          </w:p>
        </w:tc>
      </w:tr>
      <w:tr w14:paraId="6CE20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728190ED">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186F3CC0">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法定代表人身份证明</w:t>
            </w:r>
          </w:p>
        </w:tc>
        <w:tc>
          <w:tcPr>
            <w:tcW w:w="5807" w:type="dxa"/>
            <w:noWrap w:val="0"/>
            <w:vAlign w:val="center"/>
          </w:tcPr>
          <w:p w14:paraId="16B5D09B">
            <w:pPr>
              <w:keepNext w:val="0"/>
              <w:keepLines w:val="0"/>
              <w:suppressLineNumbers w:val="0"/>
              <w:spacing w:before="0" w:beforeAutospacing="0" w:after="0" w:afterAutospacing="0"/>
              <w:ind w:left="0" w:right="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提交盖投标人单位章的法定代表人身份证明</w:t>
            </w:r>
          </w:p>
        </w:tc>
      </w:tr>
      <w:tr w14:paraId="73275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1D14C16A">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49E0F658">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授权委托书（如有）</w:t>
            </w:r>
          </w:p>
        </w:tc>
        <w:tc>
          <w:tcPr>
            <w:tcW w:w="5807" w:type="dxa"/>
            <w:noWrap w:val="0"/>
            <w:vAlign w:val="center"/>
          </w:tcPr>
          <w:p w14:paraId="7FFCC096">
            <w:pPr>
              <w:keepNext w:val="0"/>
              <w:keepLines w:val="0"/>
              <w:suppressLineNumbers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提交法定代表人签字或盖章的授权委托书</w:t>
            </w:r>
          </w:p>
        </w:tc>
      </w:tr>
      <w:tr w14:paraId="16D35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034E0B90">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1EA34C4F">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共同投标协议</w:t>
            </w:r>
            <w:r>
              <w:rPr>
                <w:rFonts w:hint="eastAsia" w:ascii="宋体" w:hAnsi="宋体" w:eastAsia="宋体" w:cs="宋体"/>
                <w:color w:val="auto"/>
                <w:sz w:val="21"/>
                <w:szCs w:val="21"/>
                <w:highlight w:val="none"/>
                <w:lang w:val="en-US" w:eastAsia="zh-CN"/>
              </w:rPr>
              <w:t>（如有）</w:t>
            </w:r>
          </w:p>
        </w:tc>
        <w:tc>
          <w:tcPr>
            <w:tcW w:w="5807" w:type="dxa"/>
            <w:noWrap w:val="0"/>
            <w:vAlign w:val="center"/>
          </w:tcPr>
          <w:p w14:paraId="0EE04A44">
            <w:pPr>
              <w:keepNext w:val="0"/>
              <w:keepLines w:val="0"/>
              <w:suppressLineNumbers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提交共同投标协议，且明确了牵头人</w:t>
            </w:r>
          </w:p>
        </w:tc>
      </w:tr>
      <w:tr w14:paraId="683F1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5696B309">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7607A343">
            <w:pPr>
              <w:keepNext w:val="0"/>
              <w:keepLines w:val="0"/>
              <w:suppressLineNumbers w:val="0"/>
              <w:snapToGrid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投标文件</w:t>
            </w:r>
            <w:r>
              <w:rPr>
                <w:rFonts w:hint="eastAsia" w:ascii="宋体" w:hAnsi="宋体" w:eastAsia="宋体" w:cs="宋体"/>
                <w:color w:val="auto"/>
                <w:sz w:val="21"/>
                <w:szCs w:val="21"/>
                <w:highlight w:val="none"/>
              </w:rPr>
              <w:t>签字盖章</w:t>
            </w:r>
          </w:p>
        </w:tc>
        <w:tc>
          <w:tcPr>
            <w:tcW w:w="5807" w:type="dxa"/>
            <w:noWrap w:val="0"/>
            <w:vAlign w:val="center"/>
          </w:tcPr>
          <w:p w14:paraId="339503B4">
            <w:pPr>
              <w:keepNext w:val="0"/>
              <w:keepLines w:val="0"/>
              <w:suppressLineNumbers w:val="0"/>
              <w:snapToGrid w:val="0"/>
              <w:spacing w:before="0" w:beforeAutospacing="0" w:after="0" w:afterAutospacing="0"/>
              <w:ind w:left="0" w:right="0"/>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投标文件中的投标函和共同投标协议（如有）</w:t>
            </w:r>
            <w:r>
              <w:rPr>
                <w:rFonts w:hint="eastAsia" w:ascii="宋体" w:hAnsi="宋体" w:eastAsia="宋体" w:cs="宋体"/>
                <w:color w:val="auto"/>
                <w:sz w:val="21"/>
                <w:szCs w:val="21"/>
                <w:highlight w:val="none"/>
              </w:rPr>
              <w:t>签字盖章</w:t>
            </w:r>
            <w:r>
              <w:rPr>
                <w:rFonts w:hint="eastAsia" w:ascii="宋体" w:hAnsi="宋体" w:eastAsia="宋体" w:cs="宋体"/>
                <w:color w:val="auto"/>
                <w:sz w:val="21"/>
                <w:szCs w:val="21"/>
                <w:highlight w:val="none"/>
                <w:lang w:val="en-US" w:eastAsia="zh-CN"/>
              </w:rPr>
              <w:t>应符合以下情形之一：</w:t>
            </w:r>
          </w:p>
          <w:p w14:paraId="0CA3D33A">
            <w:pPr>
              <w:keepNext w:val="0"/>
              <w:keepLines w:val="0"/>
              <w:numPr>
                <w:ilvl w:val="0"/>
                <w:numId w:val="0"/>
              </w:numPr>
              <w:suppressLineNumbers w:val="0"/>
              <w:snapToGrid w:val="0"/>
              <w:spacing w:before="0" w:beforeAutospacing="0" w:after="0" w:afterAutospacing="0"/>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sz w:val="21"/>
                <w:szCs w:val="21"/>
                <w:highlight w:val="none"/>
                <w:lang w:val="en-US" w:eastAsia="zh-CN"/>
              </w:rPr>
              <w:t>盖投标人单位章</w:t>
            </w:r>
          </w:p>
          <w:p w14:paraId="24DFAE18">
            <w:pPr>
              <w:keepNext w:val="0"/>
              <w:keepLines w:val="0"/>
              <w:numPr>
                <w:ilvl w:val="0"/>
                <w:numId w:val="0"/>
              </w:numPr>
              <w:suppressLineNumbers w:val="0"/>
              <w:snapToGrid w:val="0"/>
              <w:spacing w:before="0" w:beforeAutospacing="0" w:after="0" w:afterAutospacing="0"/>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（2）法定代表人或其委托代理人签字或盖章</w:t>
            </w:r>
          </w:p>
        </w:tc>
      </w:tr>
      <w:tr w14:paraId="1C826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1E7D59E9">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66F6F699">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5807" w:type="dxa"/>
            <w:noWrap w:val="0"/>
            <w:vAlign w:val="center"/>
          </w:tcPr>
          <w:p w14:paraId="2F3874CD">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r>
      <w:tr w14:paraId="2FCD5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restart"/>
            <w:noWrap w:val="0"/>
            <w:vAlign w:val="center"/>
          </w:tcPr>
          <w:p w14:paraId="5790D697">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2.1.2 </w:t>
            </w:r>
          </w:p>
        </w:tc>
        <w:tc>
          <w:tcPr>
            <w:tcW w:w="8419" w:type="dxa"/>
            <w:gridSpan w:val="2"/>
            <w:noWrap w:val="0"/>
            <w:vAlign w:val="center"/>
          </w:tcPr>
          <w:p w14:paraId="1AEE8BC7">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资格评审</w:t>
            </w:r>
          </w:p>
        </w:tc>
      </w:tr>
      <w:tr w14:paraId="402BE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4313138A">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1B247DF3">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营业执照</w:t>
            </w:r>
          </w:p>
        </w:tc>
        <w:tc>
          <w:tcPr>
            <w:tcW w:w="5807" w:type="dxa"/>
            <w:noWrap w:val="0"/>
            <w:vAlign w:val="center"/>
          </w:tcPr>
          <w:p w14:paraId="714F880B">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具备有效的营业执照</w:t>
            </w:r>
          </w:p>
        </w:tc>
      </w:tr>
      <w:tr w14:paraId="51A43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7E5D8ACB">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7B1C4680">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资质等级</w:t>
            </w:r>
          </w:p>
        </w:tc>
        <w:tc>
          <w:tcPr>
            <w:tcW w:w="5807" w:type="dxa"/>
            <w:noWrap w:val="0"/>
            <w:vAlign w:val="center"/>
          </w:tcPr>
          <w:p w14:paraId="0EE6E61C">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符合第二章“投标人须知”的规定</w:t>
            </w:r>
          </w:p>
        </w:tc>
      </w:tr>
      <w:tr w14:paraId="6D9A6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5A711245">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36F93F51">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安全生产许可证</w:t>
            </w:r>
          </w:p>
        </w:tc>
        <w:tc>
          <w:tcPr>
            <w:tcW w:w="5807" w:type="dxa"/>
            <w:noWrap w:val="0"/>
            <w:vAlign w:val="center"/>
          </w:tcPr>
          <w:p w14:paraId="2B613F6B">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具备有效的安全生产许可证</w:t>
            </w:r>
          </w:p>
        </w:tc>
      </w:tr>
      <w:tr w14:paraId="42622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18908E60">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4D932A4B">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拟任项目经理资格</w:t>
            </w:r>
          </w:p>
        </w:tc>
        <w:tc>
          <w:tcPr>
            <w:tcW w:w="5807" w:type="dxa"/>
            <w:noWrap w:val="0"/>
            <w:vAlign w:val="center"/>
          </w:tcPr>
          <w:p w14:paraId="30EBC5AF">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符合第二章“投标人须知”的规定</w:t>
            </w:r>
          </w:p>
        </w:tc>
      </w:tr>
      <w:tr w14:paraId="526BE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3C6A422E">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54A384CC">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其他要求</w:t>
            </w:r>
          </w:p>
        </w:tc>
        <w:tc>
          <w:tcPr>
            <w:tcW w:w="5807" w:type="dxa"/>
            <w:noWrap w:val="0"/>
            <w:vAlign w:val="center"/>
          </w:tcPr>
          <w:p w14:paraId="790BDA58">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符合第二章“投标人须知”的规定</w:t>
            </w:r>
          </w:p>
        </w:tc>
      </w:tr>
      <w:tr w14:paraId="63829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7703987E">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02A85B53">
            <w:pPr>
              <w:keepNext w:val="0"/>
              <w:keepLines w:val="0"/>
              <w:suppressLineNumbers w:val="0"/>
              <w:spacing w:before="0" w:beforeAutospacing="0" w:after="0" w:afterAutospacing="0"/>
              <w:ind w:left="0" w:right="0" w:firstLine="1260" w:firstLineChars="6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5807" w:type="dxa"/>
            <w:noWrap w:val="0"/>
            <w:vAlign w:val="center"/>
          </w:tcPr>
          <w:p w14:paraId="3F656927">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r>
      <w:tr w14:paraId="17FD7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6DB89BD4">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8419" w:type="dxa"/>
            <w:gridSpan w:val="2"/>
            <w:noWrap w:val="0"/>
            <w:vAlign w:val="center"/>
          </w:tcPr>
          <w:p w14:paraId="7A8A3162">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已进行资格预审的，评标委员会一般不再对投标人资格进行评审。投标人资格预审申请文件的内容发生了重大变化的，由评标委员会依据资格预审文件中规定的标准和方法，对照投标人资格预审申请文件中的资料以及开标前更新的资料，对其更新的资料进行评审，其变化后的资格条件不得低于原有资格条件要求。</w:t>
            </w:r>
          </w:p>
          <w:p w14:paraId="5D685CA5">
            <w:pPr>
              <w:keepNext w:val="0"/>
              <w:keepLines w:val="0"/>
              <w:suppressLineNumbers w:val="0"/>
              <w:spacing w:before="0" w:beforeAutospacing="0" w:after="0" w:afterAutospacing="0"/>
              <w:ind w:left="0" w:right="0"/>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2.未进行资格预审的，由评标委员会根据评审标准，对投标人资格进行评审。</w:t>
            </w:r>
          </w:p>
        </w:tc>
      </w:tr>
    </w:tbl>
    <w:p w14:paraId="089651A6">
      <w:pPr>
        <w:widowControl/>
        <w:jc w:val="left"/>
        <w:rPr>
          <w:color w:val="auto"/>
          <w:highlight w:val="none"/>
        </w:rPr>
        <w:sectPr>
          <w:footerReference r:id="rId12" w:type="first"/>
          <w:pgSz w:w="11906" w:h="16838"/>
          <w:pgMar w:top="1417" w:right="1417" w:bottom="1417" w:left="1417" w:header="850" w:footer="850" w:gutter="0"/>
          <w:pgNumType w:fmt="decimal"/>
          <w:cols w:space="720" w:num="1"/>
          <w:titlePg/>
          <w:docGrid w:type="lines" w:linePitch="315" w:charSpace="0"/>
        </w:sectPr>
      </w:pPr>
    </w:p>
    <w:p w14:paraId="36C64F57">
      <w:pPr>
        <w:widowControl/>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承前页</w:t>
      </w:r>
    </w:p>
    <w:tbl>
      <w:tblPr>
        <w:tblStyle w:val="40"/>
        <w:tblW w:w="97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2373"/>
        <w:gridCol w:w="6094"/>
      </w:tblGrid>
      <w:tr w14:paraId="7D9A7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noWrap w:val="0"/>
            <w:vAlign w:val="center"/>
          </w:tcPr>
          <w:p w14:paraId="6864F276">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2.2条款号</w:t>
            </w:r>
          </w:p>
        </w:tc>
        <w:tc>
          <w:tcPr>
            <w:tcW w:w="2373" w:type="dxa"/>
            <w:noWrap w:val="0"/>
            <w:vAlign w:val="center"/>
          </w:tcPr>
          <w:p w14:paraId="68C5D484">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评审因素</w:t>
            </w:r>
          </w:p>
        </w:tc>
        <w:tc>
          <w:tcPr>
            <w:tcW w:w="6094" w:type="dxa"/>
            <w:noWrap w:val="0"/>
            <w:vAlign w:val="center"/>
          </w:tcPr>
          <w:p w14:paraId="3ABCA660">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评审标准</w:t>
            </w:r>
          </w:p>
        </w:tc>
      </w:tr>
      <w:tr w14:paraId="6266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restart"/>
            <w:noWrap w:val="0"/>
            <w:vAlign w:val="center"/>
          </w:tcPr>
          <w:p w14:paraId="750FCB4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w:t>
            </w:r>
          </w:p>
        </w:tc>
        <w:tc>
          <w:tcPr>
            <w:tcW w:w="8467" w:type="dxa"/>
            <w:gridSpan w:val="2"/>
            <w:noWrap w:val="0"/>
            <w:vAlign w:val="center"/>
          </w:tcPr>
          <w:p w14:paraId="4A26E70B">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响应性评审</w:t>
            </w:r>
          </w:p>
        </w:tc>
      </w:tr>
      <w:tr w14:paraId="4DA3A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14:paraId="713112F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14:paraId="5B0E731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投标内容</w:t>
            </w:r>
          </w:p>
        </w:tc>
        <w:tc>
          <w:tcPr>
            <w:tcW w:w="6094" w:type="dxa"/>
            <w:noWrap w:val="0"/>
            <w:vAlign w:val="center"/>
          </w:tcPr>
          <w:p w14:paraId="6B173819">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投标文件载明的投标范围不小于招标文件规定的招标范围</w:t>
            </w:r>
          </w:p>
        </w:tc>
      </w:tr>
      <w:tr w14:paraId="12A6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14:paraId="2C60439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14:paraId="5DDB317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w:t>
            </w:r>
          </w:p>
        </w:tc>
        <w:tc>
          <w:tcPr>
            <w:tcW w:w="6094" w:type="dxa"/>
            <w:noWrap w:val="0"/>
            <w:vAlign w:val="center"/>
          </w:tcPr>
          <w:p w14:paraId="04D22CE3">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投标报价未超过招标文件规定的最高投标限价</w:t>
            </w:r>
            <w:r>
              <w:rPr>
                <w:rFonts w:hint="eastAsia" w:ascii="宋体" w:hAnsi="宋体" w:eastAsia="宋体" w:cs="宋体"/>
                <w:color w:val="auto"/>
                <w:sz w:val="21"/>
                <w:szCs w:val="21"/>
                <w:highlight w:val="none"/>
                <w:lang w:eastAsia="zh-CN"/>
              </w:rPr>
              <w:t>；</w:t>
            </w:r>
          </w:p>
          <w:p w14:paraId="443C61D2">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bCs w:val="0"/>
                <w:color w:val="auto"/>
                <w:sz w:val="21"/>
                <w:szCs w:val="21"/>
                <w:highlight w:val="none"/>
                <w:lang w:eastAsia="zh-CN"/>
              </w:rPr>
            </w:pPr>
            <w:r>
              <w:rPr>
                <w:rFonts w:hint="eastAsia" w:ascii="宋体" w:hAnsi="宋体" w:eastAsia="宋体" w:cs="宋体"/>
                <w:bCs w:val="0"/>
                <w:color w:val="auto"/>
                <w:sz w:val="21"/>
                <w:szCs w:val="21"/>
                <w:highlight w:val="none"/>
              </w:rPr>
              <w:t>投标报价中的绿色施工安全防护措施项目费按照省住房城乡建设主管部门的规定计算</w:t>
            </w:r>
            <w:r>
              <w:rPr>
                <w:rFonts w:hint="eastAsia" w:ascii="宋体" w:hAnsi="宋体" w:eastAsia="宋体" w:cs="宋体"/>
                <w:bCs w:val="0"/>
                <w:color w:val="auto"/>
                <w:sz w:val="21"/>
                <w:szCs w:val="21"/>
                <w:highlight w:val="none"/>
                <w:lang w:eastAsia="zh-CN"/>
              </w:rPr>
              <w:t>；</w:t>
            </w:r>
          </w:p>
          <w:p w14:paraId="060161CD">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bCs w:val="0"/>
                <w:color w:val="auto"/>
                <w:sz w:val="21"/>
                <w:szCs w:val="21"/>
                <w:highlight w:val="none"/>
                <w:lang w:eastAsia="zh-CN"/>
              </w:rPr>
            </w:pPr>
            <w:r>
              <w:rPr>
                <w:rFonts w:hint="eastAsia" w:ascii="宋体" w:hAnsi="宋体" w:eastAsia="宋体" w:cs="宋体"/>
                <w:bCs w:val="0"/>
                <w:color w:val="auto"/>
                <w:sz w:val="21"/>
                <w:szCs w:val="21"/>
                <w:highlight w:val="none"/>
              </w:rPr>
              <w:t>投标报价中的安全责任险按照省住房城乡建设主管部门的规定计算</w:t>
            </w:r>
            <w:r>
              <w:rPr>
                <w:rFonts w:hint="eastAsia" w:ascii="宋体" w:hAnsi="宋体" w:eastAsia="宋体" w:cs="宋体"/>
                <w:bCs w:val="0"/>
                <w:color w:val="auto"/>
                <w:sz w:val="21"/>
                <w:szCs w:val="21"/>
                <w:highlight w:val="none"/>
                <w:lang w:eastAsia="zh-CN"/>
              </w:rPr>
              <w:t>；</w:t>
            </w:r>
          </w:p>
          <w:p w14:paraId="1DA2CB0E">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color w:val="auto"/>
                <w:sz w:val="21"/>
                <w:szCs w:val="21"/>
                <w:highlight w:val="none"/>
                <w:lang w:eastAsia="zh-CN"/>
              </w:rPr>
            </w:pPr>
            <w:r>
              <w:rPr>
                <w:rFonts w:hint="eastAsia" w:ascii="宋体" w:hAnsi="宋体" w:eastAsia="宋体" w:cs="宋体"/>
                <w:bCs w:val="0"/>
                <w:color w:val="auto"/>
                <w:sz w:val="21"/>
                <w:szCs w:val="21"/>
                <w:highlight w:val="none"/>
              </w:rPr>
              <w:t>投标报价中的环境保护税按照省住房城乡建设主管部门的规定计算</w:t>
            </w:r>
            <w:r>
              <w:rPr>
                <w:rFonts w:hint="eastAsia" w:ascii="宋体" w:hAnsi="宋体" w:eastAsia="宋体" w:cs="宋体"/>
                <w:bCs w:val="0"/>
                <w:color w:val="auto"/>
                <w:sz w:val="21"/>
                <w:szCs w:val="21"/>
                <w:highlight w:val="none"/>
                <w:lang w:eastAsia="zh-CN"/>
              </w:rPr>
              <w:t>；</w:t>
            </w:r>
          </w:p>
          <w:p w14:paraId="152C6631">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color w:val="auto"/>
                <w:sz w:val="21"/>
                <w:szCs w:val="21"/>
                <w:highlight w:val="none"/>
                <w:lang w:eastAsia="zh-CN"/>
              </w:rPr>
            </w:pPr>
            <w:r>
              <w:rPr>
                <w:rFonts w:hint="eastAsia" w:ascii="宋体" w:hAnsi="宋体" w:eastAsia="宋体" w:cs="宋体"/>
                <w:bCs w:val="0"/>
                <w:color w:val="auto"/>
                <w:sz w:val="21"/>
                <w:szCs w:val="21"/>
                <w:highlight w:val="none"/>
              </w:rPr>
              <w:t>投标报价中的增值税按照政府有关主管部门的规定计算费用</w:t>
            </w:r>
            <w:r>
              <w:rPr>
                <w:rFonts w:hint="eastAsia" w:ascii="宋体" w:hAnsi="宋体" w:eastAsia="宋体" w:cs="宋体"/>
                <w:bCs w:val="0"/>
                <w:color w:val="auto"/>
                <w:sz w:val="21"/>
                <w:szCs w:val="21"/>
                <w:highlight w:val="none"/>
                <w:lang w:eastAsia="zh-CN"/>
              </w:rPr>
              <w:t>；</w:t>
            </w:r>
          </w:p>
          <w:p w14:paraId="17D9E3F5">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bCs w:val="0"/>
                <w:color w:val="auto"/>
                <w:sz w:val="21"/>
                <w:szCs w:val="21"/>
                <w:highlight w:val="none"/>
              </w:rPr>
              <w:t>投标报价中的暂估价或暂列金额与招标人公布的暂估价或暂列金额保持一致的。</w:t>
            </w:r>
          </w:p>
        </w:tc>
      </w:tr>
      <w:tr w14:paraId="153E6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14:paraId="668BA44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14:paraId="7ECEFB0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工期</w:t>
            </w:r>
          </w:p>
        </w:tc>
        <w:tc>
          <w:tcPr>
            <w:tcW w:w="6094" w:type="dxa"/>
            <w:noWrap w:val="0"/>
            <w:vAlign w:val="center"/>
          </w:tcPr>
          <w:p w14:paraId="6DAAC512">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投标文件载明的招标项目完成期限未超过招标文件要求的期限</w:t>
            </w:r>
          </w:p>
        </w:tc>
      </w:tr>
      <w:tr w14:paraId="1CCA1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14:paraId="5CB88D8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14:paraId="669E8770">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工程质量和保修</w:t>
            </w:r>
          </w:p>
        </w:tc>
        <w:tc>
          <w:tcPr>
            <w:tcW w:w="6094" w:type="dxa"/>
            <w:noWrap w:val="0"/>
            <w:vAlign w:val="center"/>
          </w:tcPr>
          <w:p w14:paraId="777E855F">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投标文件载明的质量标准</w:t>
            </w:r>
            <w:r>
              <w:rPr>
                <w:rFonts w:hint="eastAsia" w:ascii="宋体" w:hAnsi="宋体" w:eastAsia="宋体" w:cs="宋体"/>
                <w:color w:val="auto"/>
                <w:kern w:val="0"/>
                <w:sz w:val="21"/>
                <w:szCs w:val="21"/>
                <w:highlight w:val="none"/>
                <w:lang w:val="en-US" w:eastAsia="zh-CN"/>
              </w:rPr>
              <w:t>和</w:t>
            </w:r>
            <w:r>
              <w:rPr>
                <w:rFonts w:hint="eastAsia" w:ascii="宋体" w:hAnsi="宋体" w:eastAsia="宋体" w:cs="宋体"/>
                <w:color w:val="auto"/>
                <w:kern w:val="0"/>
                <w:sz w:val="21"/>
                <w:szCs w:val="21"/>
                <w:highlight w:val="none"/>
              </w:rPr>
              <w:t>保修承诺不低于招标文件的要求</w:t>
            </w:r>
          </w:p>
        </w:tc>
      </w:tr>
      <w:tr w14:paraId="6FCD8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14:paraId="779E452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14:paraId="66A1E7E0">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省外入湘企业基本信息登记</w:t>
            </w:r>
          </w:p>
        </w:tc>
        <w:tc>
          <w:tcPr>
            <w:tcW w:w="6094" w:type="dxa"/>
            <w:noWrap w:val="0"/>
            <w:vAlign w:val="center"/>
          </w:tcPr>
          <w:p w14:paraId="5A2AB682">
            <w:pPr>
              <w:keepNext w:val="0"/>
              <w:keepLines w:val="0"/>
              <w:suppressLineNumbers w:val="0"/>
              <w:spacing w:before="0" w:beforeAutospacing="0" w:after="0" w:afterAutospacing="0" w:line="240" w:lineRule="auto"/>
              <w:ind w:left="0" w:right="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符合第二章“投标人须知”的规定</w:t>
            </w:r>
          </w:p>
        </w:tc>
      </w:tr>
      <w:tr w14:paraId="56A94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14:paraId="7F8E53C6">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14:paraId="45C7A22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拟任</w:t>
            </w:r>
            <w:r>
              <w:rPr>
                <w:rFonts w:hint="eastAsia" w:ascii="宋体" w:hAnsi="宋体" w:eastAsia="宋体" w:cs="宋体"/>
                <w:bCs/>
                <w:color w:val="auto"/>
                <w:sz w:val="21"/>
                <w:szCs w:val="21"/>
                <w:highlight w:val="none"/>
                <w:lang w:val="en-US" w:eastAsia="zh-CN"/>
              </w:rPr>
              <w:t>项目经理</w:t>
            </w:r>
            <w:r>
              <w:rPr>
                <w:rFonts w:hint="eastAsia" w:ascii="宋体" w:hAnsi="宋体" w:eastAsia="宋体" w:cs="宋体"/>
                <w:bCs/>
                <w:color w:val="auto"/>
                <w:sz w:val="21"/>
                <w:szCs w:val="21"/>
                <w:highlight w:val="none"/>
              </w:rPr>
              <w:t>在建情况</w:t>
            </w:r>
          </w:p>
        </w:tc>
        <w:tc>
          <w:tcPr>
            <w:tcW w:w="6094" w:type="dxa"/>
            <w:noWrap w:val="0"/>
            <w:vAlign w:val="center"/>
          </w:tcPr>
          <w:p w14:paraId="3BDA6F19">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符合第二章“投标人须知”的规定</w:t>
            </w:r>
          </w:p>
        </w:tc>
      </w:tr>
      <w:tr w14:paraId="748C0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14:paraId="579F1BD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14:paraId="7F73F606">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投标保证</w:t>
            </w:r>
          </w:p>
        </w:tc>
        <w:tc>
          <w:tcPr>
            <w:tcW w:w="6094" w:type="dxa"/>
            <w:noWrap w:val="0"/>
            <w:vAlign w:val="center"/>
          </w:tcPr>
          <w:p w14:paraId="3A951F53">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符合第二章“投标人须知”第3.4.1项规定，保函受益人和投标人的全称与招标人和投标人名称一致；保函有效期起始时间应为本项目投标截止时间之前；保函有效期应不短于投标有效期。</w:t>
            </w:r>
          </w:p>
        </w:tc>
      </w:tr>
      <w:tr w14:paraId="5EF84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14:paraId="0336FCD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14:paraId="37BBCFC6">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投标有效期</w:t>
            </w:r>
          </w:p>
        </w:tc>
        <w:tc>
          <w:tcPr>
            <w:tcW w:w="6094" w:type="dxa"/>
            <w:noWrap w:val="0"/>
            <w:vAlign w:val="center"/>
          </w:tcPr>
          <w:p w14:paraId="38334325">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投标有效期不短于投标人须知前附表的</w:t>
            </w:r>
            <w:r>
              <w:rPr>
                <w:rFonts w:hint="eastAsia" w:ascii="宋体" w:hAnsi="宋体" w:eastAsia="宋体" w:cs="宋体"/>
                <w:color w:val="auto"/>
                <w:kern w:val="0"/>
                <w:sz w:val="21"/>
                <w:szCs w:val="21"/>
                <w:highlight w:val="none"/>
              </w:rPr>
              <w:t>规定</w:t>
            </w:r>
          </w:p>
        </w:tc>
      </w:tr>
      <w:tr w14:paraId="41376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14:paraId="39E929C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14:paraId="03E3EE80">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权利义务</w:t>
            </w:r>
          </w:p>
        </w:tc>
        <w:tc>
          <w:tcPr>
            <w:tcW w:w="6094" w:type="dxa"/>
            <w:noWrap w:val="0"/>
            <w:vAlign w:val="center"/>
          </w:tcPr>
          <w:p w14:paraId="11E24E1F">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符合第四章“合同条款及格式”规定</w:t>
            </w:r>
          </w:p>
        </w:tc>
      </w:tr>
      <w:tr w14:paraId="63359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14:paraId="4501E10B">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14:paraId="299157C4">
            <w:pPr>
              <w:keepNext w:val="0"/>
              <w:keepLines w:val="0"/>
              <w:suppressLineNumbers w:val="0"/>
              <w:spacing w:before="0" w:beforeAutospacing="0" w:after="0" w:afterAutospacing="0" w:line="240" w:lineRule="auto"/>
              <w:ind w:left="0" w:right="0" w:firstLine="1260" w:firstLineChars="6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6094" w:type="dxa"/>
            <w:noWrap w:val="0"/>
            <w:vAlign w:val="center"/>
          </w:tcPr>
          <w:p w14:paraId="471A4049">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r>
      <w:tr w14:paraId="208C2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noWrap w:val="0"/>
            <w:vAlign w:val="center"/>
          </w:tcPr>
          <w:p w14:paraId="5AEC1FF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条款号</w:t>
            </w:r>
          </w:p>
        </w:tc>
        <w:tc>
          <w:tcPr>
            <w:tcW w:w="2373" w:type="dxa"/>
            <w:noWrap w:val="0"/>
            <w:vAlign w:val="center"/>
          </w:tcPr>
          <w:p w14:paraId="5E1CF7E9">
            <w:pPr>
              <w:keepNext w:val="0"/>
              <w:keepLines w:val="0"/>
              <w:suppressLineNumbers w:val="0"/>
              <w:spacing w:before="0" w:beforeAutospacing="0" w:after="0" w:afterAutospacing="0" w:line="240" w:lineRule="auto"/>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条款内容</w:t>
            </w:r>
          </w:p>
        </w:tc>
        <w:tc>
          <w:tcPr>
            <w:tcW w:w="6094" w:type="dxa"/>
            <w:noWrap w:val="0"/>
            <w:vAlign w:val="center"/>
          </w:tcPr>
          <w:p w14:paraId="7D020AF7">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编列内容</w:t>
            </w:r>
          </w:p>
        </w:tc>
      </w:tr>
      <w:tr w14:paraId="0B63C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noWrap w:val="0"/>
            <w:vAlign w:val="center"/>
          </w:tcPr>
          <w:p w14:paraId="4CA81CC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w:t>
            </w:r>
          </w:p>
        </w:tc>
        <w:tc>
          <w:tcPr>
            <w:tcW w:w="2373" w:type="dxa"/>
            <w:noWrap w:val="0"/>
            <w:vAlign w:val="center"/>
          </w:tcPr>
          <w:p w14:paraId="5CFF0C27">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权值构成</w:t>
            </w:r>
          </w:p>
          <w:p w14:paraId="69332A5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（总权值1）</w:t>
            </w:r>
          </w:p>
        </w:tc>
        <w:tc>
          <w:tcPr>
            <w:tcW w:w="6094" w:type="dxa"/>
            <w:noWrap w:val="0"/>
            <w:vAlign w:val="center"/>
          </w:tcPr>
          <w:p w14:paraId="11DBAFE6">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业绩及信用评价权重（取值范围：0.</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5-0.</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0）：</w:t>
            </w:r>
            <w:r>
              <w:rPr>
                <w:rFonts w:hint="eastAsia" w:ascii="宋体" w:hAnsi="宋体" w:eastAsia="宋体" w:cs="宋体"/>
                <w:b w:val="0"/>
                <w:bCs w:val="0"/>
                <w:sz w:val="21"/>
                <w:szCs w:val="21"/>
                <w:u w:val="single"/>
                <w:lang w:val="en-US" w:eastAsia="zh-CN"/>
              </w:rPr>
              <w:t>0.15</w:t>
            </w:r>
          </w:p>
          <w:p w14:paraId="34E958D5">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投标报价权重（取值范围：0.</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0-0.</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5）：</w:t>
            </w:r>
            <w:r>
              <w:rPr>
                <w:rFonts w:hint="eastAsia" w:ascii="宋体" w:hAnsi="宋体" w:eastAsia="宋体" w:cs="宋体"/>
                <w:b w:val="0"/>
                <w:bCs w:val="0"/>
                <w:sz w:val="21"/>
                <w:szCs w:val="21"/>
                <w:u w:val="single"/>
                <w:lang w:val="en-US" w:eastAsia="zh-CN"/>
              </w:rPr>
              <w:t>0.85</w:t>
            </w:r>
          </w:p>
        </w:tc>
      </w:tr>
    </w:tbl>
    <w:p w14:paraId="794C7155">
      <w:pPr>
        <w:widowControl/>
        <w:jc w:val="left"/>
        <w:rPr>
          <w:color w:val="auto"/>
          <w:highlight w:val="none"/>
        </w:rPr>
      </w:pPr>
      <w:r>
        <w:rPr>
          <w:color w:val="auto"/>
          <w:highlight w:val="none"/>
        </w:rPr>
        <w:br w:type="page"/>
      </w:r>
    </w:p>
    <w:tbl>
      <w:tblPr>
        <w:tblStyle w:val="40"/>
        <w:tblW w:w="9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965"/>
        <w:gridCol w:w="1033"/>
        <w:gridCol w:w="101"/>
        <w:gridCol w:w="1275"/>
        <w:gridCol w:w="2552"/>
        <w:gridCol w:w="847"/>
        <w:gridCol w:w="848"/>
        <w:gridCol w:w="848"/>
      </w:tblGrid>
      <w:tr w14:paraId="32141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14:paraId="3163493A">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条款号</w:t>
            </w:r>
          </w:p>
        </w:tc>
        <w:tc>
          <w:tcPr>
            <w:tcW w:w="2099" w:type="dxa"/>
            <w:gridSpan w:val="3"/>
            <w:noWrap w:val="0"/>
            <w:vAlign w:val="center"/>
          </w:tcPr>
          <w:p w14:paraId="34DE5E12">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评审因素</w:t>
            </w:r>
          </w:p>
        </w:tc>
        <w:tc>
          <w:tcPr>
            <w:tcW w:w="3827" w:type="dxa"/>
            <w:gridSpan w:val="2"/>
            <w:noWrap w:val="0"/>
            <w:vAlign w:val="center"/>
          </w:tcPr>
          <w:p w14:paraId="58100215">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评审标准</w:t>
            </w:r>
          </w:p>
        </w:tc>
        <w:tc>
          <w:tcPr>
            <w:tcW w:w="2543" w:type="dxa"/>
            <w:gridSpan w:val="3"/>
            <w:noWrap w:val="0"/>
            <w:vAlign w:val="center"/>
          </w:tcPr>
          <w:p w14:paraId="7843F244">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计分方式</w:t>
            </w:r>
          </w:p>
        </w:tc>
      </w:tr>
      <w:tr w14:paraId="32005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restart"/>
            <w:noWrap w:val="0"/>
            <w:vAlign w:val="center"/>
          </w:tcPr>
          <w:p w14:paraId="1216C010">
            <w:pPr>
              <w:keepNext w:val="0"/>
              <w:keepLines w:val="0"/>
              <w:suppressLineNumbers w:val="0"/>
              <w:spacing w:before="0" w:beforeAutospacing="0" w:after="0" w:afterAutospacing="0"/>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2.2.4</w:t>
            </w:r>
          </w:p>
          <w:p w14:paraId="4C33221B">
            <w:pPr>
              <w:keepNext w:val="0"/>
              <w:keepLines w:val="0"/>
              <w:suppressLineNumbers w:val="0"/>
              <w:spacing w:before="0" w:beforeAutospacing="0" w:after="0" w:afterAutospacing="0"/>
              <w:ind w:left="0" w:right="0"/>
              <w:jc w:val="center"/>
              <w:rPr>
                <w:rFonts w:hint="eastAsia" w:ascii="宋体" w:hAnsi="宋体" w:eastAsia="宋体" w:cs="宋体"/>
                <w:strike/>
                <w:color w:val="auto"/>
                <w:kern w:val="0"/>
                <w:sz w:val="21"/>
                <w:szCs w:val="21"/>
                <w:highlight w:val="none"/>
              </w:rPr>
            </w:pPr>
            <w:r>
              <w:rPr>
                <w:rFonts w:hint="eastAsia" w:ascii="宋体" w:hAnsi="宋体" w:eastAsia="宋体" w:cs="宋体"/>
                <w:color w:val="auto"/>
                <w:kern w:val="0"/>
                <w:sz w:val="21"/>
                <w:szCs w:val="21"/>
                <w:highlight w:val="none"/>
              </w:rPr>
              <w:t>（4）</w:t>
            </w:r>
          </w:p>
        </w:tc>
        <w:tc>
          <w:tcPr>
            <w:tcW w:w="8469" w:type="dxa"/>
            <w:gridSpan w:val="8"/>
            <w:noWrap w:val="0"/>
            <w:vAlign w:val="center"/>
          </w:tcPr>
          <w:p w14:paraId="10EBBF1A">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业绩及信用评审</w:t>
            </w:r>
          </w:p>
        </w:tc>
      </w:tr>
      <w:tr w14:paraId="20B39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14:paraId="004B004A">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099" w:type="dxa"/>
            <w:gridSpan w:val="3"/>
            <w:noWrap w:val="0"/>
            <w:vAlign w:val="center"/>
          </w:tcPr>
          <w:p w14:paraId="7DF79A4D">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评审因素</w:t>
            </w:r>
          </w:p>
        </w:tc>
        <w:tc>
          <w:tcPr>
            <w:tcW w:w="1275" w:type="dxa"/>
            <w:noWrap w:val="0"/>
            <w:vAlign w:val="center"/>
          </w:tcPr>
          <w:p w14:paraId="41020B77">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类别</w:t>
            </w:r>
          </w:p>
        </w:tc>
        <w:tc>
          <w:tcPr>
            <w:tcW w:w="2552" w:type="dxa"/>
            <w:noWrap w:val="0"/>
            <w:vAlign w:val="center"/>
          </w:tcPr>
          <w:p w14:paraId="441E3B14">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数量和分值</w:t>
            </w:r>
          </w:p>
        </w:tc>
        <w:tc>
          <w:tcPr>
            <w:tcW w:w="847" w:type="dxa"/>
            <w:noWrap w:val="0"/>
            <w:vAlign w:val="center"/>
          </w:tcPr>
          <w:p w14:paraId="58F96646">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计分制</w:t>
            </w:r>
          </w:p>
        </w:tc>
        <w:tc>
          <w:tcPr>
            <w:tcW w:w="848" w:type="dxa"/>
            <w:noWrap w:val="0"/>
            <w:vAlign w:val="center"/>
          </w:tcPr>
          <w:p w14:paraId="6825F00D">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最低分</w:t>
            </w:r>
          </w:p>
        </w:tc>
        <w:tc>
          <w:tcPr>
            <w:tcW w:w="848" w:type="dxa"/>
            <w:noWrap w:val="0"/>
            <w:vAlign w:val="center"/>
          </w:tcPr>
          <w:p w14:paraId="51F949CF">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最高分</w:t>
            </w:r>
          </w:p>
        </w:tc>
      </w:tr>
      <w:tr w14:paraId="70464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14:paraId="12A05AE6">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965" w:type="dxa"/>
            <w:vMerge w:val="restart"/>
            <w:noWrap w:val="0"/>
            <w:vAlign w:val="center"/>
          </w:tcPr>
          <w:p w14:paraId="217E9468">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w:t>
            </w:r>
          </w:p>
        </w:tc>
        <w:tc>
          <w:tcPr>
            <w:tcW w:w="1134" w:type="dxa"/>
            <w:gridSpan w:val="2"/>
            <w:vMerge w:val="restart"/>
            <w:noWrap w:val="0"/>
            <w:vAlign w:val="center"/>
          </w:tcPr>
          <w:p w14:paraId="706DE900">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rPr>
              <w:t>优良信息</w:t>
            </w:r>
          </w:p>
        </w:tc>
        <w:tc>
          <w:tcPr>
            <w:tcW w:w="1275" w:type="dxa"/>
            <w:noWrap w:val="0"/>
            <w:vAlign w:val="center"/>
          </w:tcPr>
          <w:p w14:paraId="0CFBC266">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施工招投标信用评价</w:t>
            </w:r>
          </w:p>
        </w:tc>
        <w:tc>
          <w:tcPr>
            <w:tcW w:w="2552" w:type="dxa"/>
            <w:noWrap w:val="0"/>
            <w:vAlign w:val="center"/>
          </w:tcPr>
          <w:p w14:paraId="553E198C">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施工招标投标信用评价得分×</w:t>
            </w:r>
            <w:r>
              <w:rPr>
                <w:rFonts w:hint="eastAsia" w:ascii="宋体" w:hAnsi="宋体" w:eastAsia="宋体" w:cs="宋体"/>
                <w:color w:val="auto"/>
                <w:kern w:val="0"/>
                <w:sz w:val="21"/>
                <w:szCs w:val="21"/>
                <w:highlight w:val="none"/>
                <w:lang w:val="en-US" w:eastAsia="zh-CN"/>
              </w:rPr>
              <w:t>25</w:t>
            </w:r>
            <w:r>
              <w:rPr>
                <w:rFonts w:hint="eastAsia" w:ascii="宋体" w:hAnsi="宋体" w:eastAsia="宋体" w:cs="宋体"/>
                <w:color w:val="auto"/>
                <w:kern w:val="0"/>
                <w:sz w:val="21"/>
                <w:szCs w:val="21"/>
                <w:highlight w:val="none"/>
              </w:rPr>
              <w:t>%</w:t>
            </w:r>
          </w:p>
        </w:tc>
        <w:tc>
          <w:tcPr>
            <w:tcW w:w="847" w:type="dxa"/>
            <w:noWrap w:val="0"/>
            <w:vAlign w:val="center"/>
          </w:tcPr>
          <w:p w14:paraId="4EB1EFF4">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加分制</w:t>
            </w:r>
          </w:p>
        </w:tc>
        <w:tc>
          <w:tcPr>
            <w:tcW w:w="848" w:type="dxa"/>
            <w:noWrap w:val="0"/>
            <w:vAlign w:val="center"/>
          </w:tcPr>
          <w:p w14:paraId="53D2C4BC">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w:t>
            </w:r>
          </w:p>
        </w:tc>
        <w:tc>
          <w:tcPr>
            <w:tcW w:w="848" w:type="dxa"/>
            <w:noWrap w:val="0"/>
            <w:vAlign w:val="center"/>
          </w:tcPr>
          <w:p w14:paraId="3B5D7BAB">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w:t>
            </w:r>
          </w:p>
        </w:tc>
      </w:tr>
      <w:tr w14:paraId="31495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14:paraId="56581BC7">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965" w:type="dxa"/>
            <w:vMerge w:val="continue"/>
            <w:noWrap w:val="0"/>
            <w:vAlign w:val="center"/>
          </w:tcPr>
          <w:p w14:paraId="38F5EE89">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p>
        </w:tc>
        <w:tc>
          <w:tcPr>
            <w:tcW w:w="1134" w:type="dxa"/>
            <w:gridSpan w:val="2"/>
            <w:vMerge w:val="continue"/>
            <w:noWrap w:val="0"/>
            <w:vAlign w:val="center"/>
          </w:tcPr>
          <w:p w14:paraId="06A99F9D">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p>
        </w:tc>
        <w:tc>
          <w:tcPr>
            <w:tcW w:w="1275" w:type="dxa"/>
            <w:noWrap w:val="0"/>
            <w:vAlign w:val="center"/>
          </w:tcPr>
          <w:p w14:paraId="0A6947D6">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施工项目季度考评综合优良率</w:t>
            </w:r>
          </w:p>
        </w:tc>
        <w:tc>
          <w:tcPr>
            <w:tcW w:w="2552" w:type="dxa"/>
            <w:noWrap w:val="0"/>
            <w:vAlign w:val="center"/>
          </w:tcPr>
          <w:p w14:paraId="04CC6000">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施工项目季度考评综合优良率得分</w:t>
            </w:r>
          </w:p>
        </w:tc>
        <w:tc>
          <w:tcPr>
            <w:tcW w:w="847" w:type="dxa"/>
            <w:noWrap w:val="0"/>
            <w:vAlign w:val="center"/>
          </w:tcPr>
          <w:p w14:paraId="76922811">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加分制</w:t>
            </w:r>
          </w:p>
        </w:tc>
        <w:tc>
          <w:tcPr>
            <w:tcW w:w="848" w:type="dxa"/>
            <w:noWrap w:val="0"/>
            <w:vAlign w:val="center"/>
          </w:tcPr>
          <w:p w14:paraId="5E191B37">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0</w:t>
            </w:r>
          </w:p>
        </w:tc>
        <w:tc>
          <w:tcPr>
            <w:tcW w:w="848" w:type="dxa"/>
            <w:noWrap w:val="0"/>
            <w:vAlign w:val="center"/>
          </w:tcPr>
          <w:p w14:paraId="6A7D83EE">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r>
      <w:tr w14:paraId="0C781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14:paraId="4CBE0665">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965" w:type="dxa"/>
            <w:noWrap w:val="0"/>
            <w:vAlign w:val="center"/>
          </w:tcPr>
          <w:p w14:paraId="654448F9">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项目管理机构</w:t>
            </w:r>
          </w:p>
        </w:tc>
        <w:tc>
          <w:tcPr>
            <w:tcW w:w="1134" w:type="dxa"/>
            <w:gridSpan w:val="2"/>
            <w:noWrap w:val="0"/>
            <w:vAlign w:val="center"/>
          </w:tcPr>
          <w:p w14:paraId="65804A9A">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p>
        </w:tc>
        <w:tc>
          <w:tcPr>
            <w:tcW w:w="1275" w:type="dxa"/>
            <w:noWrap w:val="0"/>
            <w:vAlign w:val="center"/>
          </w:tcPr>
          <w:p w14:paraId="409B60CA">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不良信用信息</w:t>
            </w:r>
          </w:p>
        </w:tc>
        <w:tc>
          <w:tcPr>
            <w:tcW w:w="2552" w:type="dxa"/>
            <w:noWrap w:val="0"/>
            <w:vAlign w:val="center"/>
          </w:tcPr>
          <w:p w14:paraId="3B523455">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项目经理存在信用评价不良信用信息的，根据不良信用信息类型，按照表后注解对应的分值进行扣除。</w:t>
            </w:r>
          </w:p>
        </w:tc>
        <w:tc>
          <w:tcPr>
            <w:tcW w:w="847" w:type="dxa"/>
            <w:noWrap w:val="0"/>
            <w:vAlign w:val="center"/>
          </w:tcPr>
          <w:p w14:paraId="4846D819">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扣分制</w:t>
            </w:r>
          </w:p>
        </w:tc>
        <w:tc>
          <w:tcPr>
            <w:tcW w:w="848" w:type="dxa"/>
            <w:noWrap w:val="0"/>
            <w:vAlign w:val="center"/>
          </w:tcPr>
          <w:p w14:paraId="600CE208">
            <w:pPr>
              <w:keepNext w:val="0"/>
              <w:keepLines w:val="0"/>
              <w:widowControl/>
              <w:suppressLineNumbers w:val="0"/>
              <w:adjustRightInd w:val="0"/>
              <w:snapToGrid w:val="0"/>
              <w:spacing w:before="0" w:beforeAutospacing="0" w:after="0" w:afterAutospacing="0"/>
              <w:ind w:left="0" w:right="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-10</w:t>
            </w:r>
          </w:p>
        </w:tc>
        <w:tc>
          <w:tcPr>
            <w:tcW w:w="848" w:type="dxa"/>
            <w:noWrap w:val="0"/>
            <w:vAlign w:val="center"/>
          </w:tcPr>
          <w:p w14:paraId="0E7750FC">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0</w:t>
            </w:r>
          </w:p>
        </w:tc>
      </w:tr>
      <w:tr w14:paraId="0F9B0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14:paraId="6FDE8FB3">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8469" w:type="dxa"/>
            <w:gridSpan w:val="8"/>
            <w:noWrap w:val="0"/>
            <w:vAlign w:val="center"/>
          </w:tcPr>
          <w:p w14:paraId="417D291A">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1.类似工程业绩</w:t>
            </w:r>
          </w:p>
          <w:p w14:paraId="7F6A2331">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.1 招标人可以根据项目实际情况选取0-</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个类似工程业绩纳入评审。</w:t>
            </w:r>
          </w:p>
          <w:p w14:paraId="26508E58">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.2 评审依据：以投标文件中提供的中标通知书（招标工程提交）、 合同和竣工验收资料以及本项目答疑文件明确可以作为评审依据的资料的复印件为准，并提供“湖南省智慧住建云—湖南省建筑市场监管公共服务平台”或者“全国建筑市场监管公共服务平台”上体现其作为相应承包人的项目网页截图。相关指标不一致时，依次按照中标通知书、合同、竣工验收资料的顺序认定。竣工验收资料是指竣工验收备案表（经建设工程质量监督部门签字或盖章确认，下同）或者竣工验收证明（由建设单位、施工单位、监理单位、设计单位签字或盖章认可，下同）。</w:t>
            </w:r>
          </w:p>
          <w:p w14:paraId="578BDFD0">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投标人提供的类似工程业绩同时包含多个工程类别（专业）的，其工程类别（专业）所对应的工程量应当依次按照中标通知书、合同、竣工验收资料、项目答疑文件明确可以作为评审依据的资料进行认定。</w:t>
            </w:r>
          </w:p>
          <w:p w14:paraId="2970BF5C">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以上资料均不能明确区分的，由评标委员会进行认定。</w:t>
            </w:r>
          </w:p>
          <w:p w14:paraId="1933553B">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.3 评审期限：3年，自工程竣工验收文件中建设单位签字或盖章之日起计算。类似工程业绩评审依据中竣工验收备案表未体现建设单位签字或盖章之日的，以竣工验收备案表“竣工验收日期”栏中注明的时间为准。</w:t>
            </w:r>
          </w:p>
          <w:p w14:paraId="3D232168">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不良</w:t>
            </w:r>
            <w:r>
              <w:rPr>
                <w:rFonts w:hint="eastAsia" w:ascii="宋体" w:hAnsi="宋体" w:eastAsia="宋体" w:cs="宋体"/>
                <w:color w:val="auto"/>
                <w:sz w:val="21"/>
                <w:szCs w:val="21"/>
                <w:highlight w:val="none"/>
                <w:lang w:val="en-US" w:eastAsia="zh-CN"/>
              </w:rPr>
              <w:t>信用信息</w:t>
            </w:r>
            <w:r>
              <w:rPr>
                <w:rFonts w:hint="eastAsia" w:ascii="宋体" w:hAnsi="宋体" w:eastAsia="宋体" w:cs="宋体"/>
                <w:color w:val="auto"/>
                <w:sz w:val="21"/>
                <w:szCs w:val="21"/>
                <w:highlight w:val="none"/>
              </w:rPr>
              <w:t>：</w:t>
            </w:r>
          </w:p>
          <w:p w14:paraId="498B7991">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按照</w:t>
            </w:r>
            <w:r>
              <w:rPr>
                <w:rFonts w:hint="eastAsia" w:ascii="宋体" w:hAnsi="宋体" w:eastAsia="宋体" w:cs="宋体"/>
                <w:color w:val="auto"/>
                <w:sz w:val="21"/>
                <w:szCs w:val="21"/>
                <w:highlight w:val="none"/>
              </w:rPr>
              <w:t>以下不良信用信息</w:t>
            </w:r>
            <w:r>
              <w:rPr>
                <w:rFonts w:hint="eastAsia" w:ascii="宋体" w:hAnsi="宋体" w:eastAsia="宋体" w:cs="宋体"/>
                <w:color w:val="auto"/>
                <w:sz w:val="21"/>
                <w:szCs w:val="21"/>
                <w:highlight w:val="none"/>
                <w:lang w:val="en-US" w:eastAsia="zh-CN"/>
              </w:rPr>
              <w:t>扣分标准</w:t>
            </w:r>
            <w:r>
              <w:rPr>
                <w:rFonts w:hint="eastAsia" w:ascii="宋体" w:hAnsi="宋体" w:eastAsia="宋体" w:cs="宋体"/>
                <w:color w:val="auto"/>
                <w:sz w:val="21"/>
                <w:szCs w:val="21"/>
                <w:highlight w:val="none"/>
              </w:rPr>
              <w:t>扣分，</w:t>
            </w:r>
            <w:r>
              <w:rPr>
                <w:rFonts w:hint="eastAsia" w:ascii="宋体" w:hAnsi="宋体" w:eastAsia="宋体" w:cs="宋体"/>
                <w:color w:val="auto"/>
                <w:sz w:val="21"/>
                <w:szCs w:val="21"/>
                <w:highlight w:val="none"/>
                <w:lang w:eastAsia="zh-CN"/>
              </w:rPr>
              <w:t>严重失信行为名单（含失信黑名单，下同）</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扣8分、刑事处罚</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扣2分、失信被执行人</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扣1分、行政处罚</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扣0.5分、严重不良行为记录</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扣0.5分、一般不良行为记录</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扣0.3分。湖南省行政区域内的不良行为记录以湖南省住房和城乡建设厅发布的结果为准；湖南省行政区域外的不良行为记录以全国建筑市场监管公共服务平台发布的信息为准，按严重不良行为记录扣分。</w:t>
            </w:r>
          </w:p>
          <w:p w14:paraId="3DFB19F5">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不良信用信息扣分有效期同</w:t>
            </w:r>
            <w:r>
              <w:rPr>
                <w:rFonts w:hint="eastAsia" w:ascii="宋体" w:hAnsi="宋体" w:eastAsia="宋体" w:cs="宋体"/>
                <w:color w:val="auto"/>
                <w:kern w:val="0"/>
                <w:sz w:val="21"/>
                <w:szCs w:val="21"/>
                <w:highlight w:val="none"/>
                <w:lang w:val="en-US" w:eastAsia="zh-CN"/>
              </w:rPr>
              <w:t>综合评估法后备注。</w:t>
            </w:r>
          </w:p>
          <w:p w14:paraId="64000320">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园林绿化工程定义</w:t>
            </w:r>
          </w:p>
          <w:p w14:paraId="0547EC62">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办法所称园林绿化工程的定义按照住房城乡建设部《园林绿化工程建设管理规定》（建城〔2017〕251号）相关条款执行。园林绿化工程施工招标时，应在招标文件载明其属于园林绿化工程，招标人不得将具备原城市园林绿化企业资质、市政公用工程施工总承包资质、建筑工程施工总承包资质等其他企业资质作为园林绿化工程投标人资格条件。</w:t>
            </w:r>
          </w:p>
          <w:p w14:paraId="347B125A">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kern w:val="0"/>
                <w:sz w:val="21"/>
                <w:szCs w:val="21"/>
                <w:highlight w:val="none"/>
              </w:rPr>
              <w:t>施工</w:t>
            </w:r>
            <w:r>
              <w:rPr>
                <w:rFonts w:hint="eastAsia" w:ascii="宋体" w:hAnsi="宋体" w:eastAsia="宋体" w:cs="宋体"/>
                <w:color w:val="auto"/>
                <w:kern w:val="0"/>
                <w:sz w:val="21"/>
                <w:szCs w:val="21"/>
                <w:highlight w:val="none"/>
                <w:lang w:val="en-US" w:eastAsia="zh-CN"/>
              </w:rPr>
              <w:t>信用评价</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施工项目季度考评综合优良率</w:t>
            </w:r>
            <w:r>
              <w:rPr>
                <w:rFonts w:hint="eastAsia" w:ascii="宋体" w:hAnsi="宋体" w:eastAsia="宋体" w:cs="宋体"/>
                <w:color w:val="auto"/>
                <w:kern w:val="0"/>
                <w:sz w:val="21"/>
                <w:szCs w:val="21"/>
                <w:highlight w:val="none"/>
                <w:lang w:val="en-US" w:eastAsia="zh-CN"/>
              </w:rPr>
              <w:t>计分要求同综合评估法后备注。</w:t>
            </w:r>
          </w:p>
        </w:tc>
      </w:tr>
      <w:tr w14:paraId="58C24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restart"/>
            <w:noWrap w:val="0"/>
            <w:vAlign w:val="center"/>
          </w:tcPr>
          <w:p w14:paraId="3A883518">
            <w:pPr>
              <w:keepNext w:val="0"/>
              <w:keepLines w:val="0"/>
              <w:suppressLineNumbers w:val="0"/>
              <w:spacing w:before="0" w:beforeAutospacing="0" w:after="0" w:afterAutospacing="0"/>
              <w:ind w:left="0" w:right="0"/>
              <w:jc w:val="center"/>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rPr>
              <w:t>2.2.4   （5）</w:t>
            </w:r>
          </w:p>
        </w:tc>
        <w:tc>
          <w:tcPr>
            <w:tcW w:w="8469" w:type="dxa"/>
            <w:gridSpan w:val="8"/>
            <w:noWrap w:val="0"/>
            <w:vAlign w:val="center"/>
          </w:tcPr>
          <w:p w14:paraId="5D20F2F9">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投标报价评审 </w:t>
            </w:r>
          </w:p>
        </w:tc>
      </w:tr>
      <w:tr w14:paraId="783A9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14:paraId="4011F24F">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8469" w:type="dxa"/>
            <w:gridSpan w:val="8"/>
            <w:noWrap w:val="0"/>
            <w:vAlign w:val="center"/>
          </w:tcPr>
          <w:p w14:paraId="295E03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1．适用于经评审的最低投标</w:t>
            </w:r>
            <w:r>
              <w:rPr>
                <w:rFonts w:hint="eastAsia" w:ascii="宋体" w:hAnsi="宋体" w:eastAsia="宋体" w:cs="宋体"/>
                <w:color w:val="auto"/>
                <w:sz w:val="21"/>
                <w:szCs w:val="21"/>
                <w:highlight w:val="none"/>
                <w:lang w:val="en-US" w:eastAsia="zh-CN"/>
              </w:rPr>
              <w:t>价</w:t>
            </w:r>
            <w:r>
              <w:rPr>
                <w:rFonts w:hint="eastAsia" w:ascii="宋体" w:hAnsi="宋体" w:eastAsia="宋体" w:cs="宋体"/>
                <w:color w:val="auto"/>
                <w:sz w:val="21"/>
                <w:szCs w:val="21"/>
                <w:highlight w:val="none"/>
              </w:rPr>
              <w:t>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w:t>
            </w:r>
          </w:p>
          <w:p w14:paraId="7088CD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2．基准价：Y= A×（1-P）+B×(1-β)×P</w:t>
            </w:r>
          </w:p>
          <w:p w14:paraId="5819CB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A——进入报价评审环节</w:t>
            </w:r>
            <w:r>
              <w:rPr>
                <w:rFonts w:hint="eastAsia" w:ascii="宋体" w:hAnsi="宋体" w:eastAsia="宋体" w:cs="宋体"/>
                <w:color w:val="auto"/>
                <w:sz w:val="21"/>
                <w:szCs w:val="21"/>
                <w:highlight w:val="none"/>
                <w:lang w:val="en-US" w:eastAsia="zh-CN"/>
              </w:rPr>
              <w:t>且不低于成本的</w:t>
            </w:r>
            <w:r>
              <w:rPr>
                <w:rFonts w:hint="eastAsia" w:ascii="宋体" w:hAnsi="宋体" w:eastAsia="宋体" w:cs="宋体"/>
                <w:color w:val="auto"/>
                <w:sz w:val="21"/>
                <w:szCs w:val="21"/>
                <w:highlight w:val="none"/>
              </w:rPr>
              <w:t>最低报价</w:t>
            </w:r>
            <w:r>
              <w:rPr>
                <w:rFonts w:hint="eastAsia" w:ascii="宋体" w:hAnsi="宋体" w:eastAsia="宋体" w:cs="宋体"/>
                <w:color w:val="auto"/>
                <w:sz w:val="21"/>
                <w:szCs w:val="21"/>
                <w:highlight w:val="none"/>
                <w:lang w:eastAsia="zh-CN"/>
              </w:rPr>
              <w:t>；</w:t>
            </w:r>
          </w:p>
          <w:p w14:paraId="28CAA8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B——最高投标限价；</w:t>
            </w:r>
          </w:p>
          <w:p w14:paraId="01E9EF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P——招标人根据项目实际设定抽取区间后随机抽取，抽取区间(间隔0.5%)：60%～62.5%、62.5%～65%、65%～67.5%、67.5%～70%；</w:t>
            </w:r>
            <w:r>
              <w:rPr>
                <w:rFonts w:hint="eastAsia" w:ascii="宋体" w:hAnsi="宋体" w:eastAsia="宋体" w:cs="宋体"/>
                <w:color w:val="auto"/>
                <w:sz w:val="21"/>
                <w:szCs w:val="21"/>
                <w:highlight w:val="none"/>
                <w:lang w:val="en-US" w:eastAsia="zh-CN"/>
              </w:rPr>
              <w:t>本项目的抽取区间为</w:t>
            </w:r>
            <w:r>
              <w:rPr>
                <w:rFonts w:hint="eastAsia" w:ascii="宋体" w:hAnsi="宋体" w:eastAsia="宋体" w:cs="宋体"/>
                <w:color w:val="auto"/>
                <w:sz w:val="21"/>
                <w:szCs w:val="21"/>
                <w:highlight w:val="none"/>
                <w:u w:val="single"/>
              </w:rPr>
              <w:t>67.5%～70%</w:t>
            </w:r>
            <w:r>
              <w:rPr>
                <w:rFonts w:hint="eastAsia" w:ascii="宋体" w:hAnsi="宋体" w:eastAsia="宋体" w:cs="宋体"/>
                <w:color w:val="auto"/>
                <w:sz w:val="21"/>
                <w:szCs w:val="21"/>
                <w:highlight w:val="none"/>
                <w:u w:val="none"/>
                <w:lang w:val="en-US" w:eastAsia="zh-CN"/>
              </w:rPr>
              <w:t>。</w:t>
            </w:r>
          </w:p>
          <w:p w14:paraId="610276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Cs w:val="0"/>
                <w:color w:val="auto"/>
                <w:sz w:val="21"/>
                <w:szCs w:val="21"/>
                <w:highlight w:val="none"/>
                <w:lang w:eastAsia="zh-CN"/>
              </w:rPr>
            </w:pPr>
            <w:r>
              <w:rPr>
                <w:rFonts w:hint="eastAsia" w:ascii="宋体" w:hAnsi="宋体" w:eastAsia="宋体" w:cs="宋体"/>
                <w:color w:val="auto"/>
                <w:kern w:val="2"/>
                <w:sz w:val="21"/>
                <w:szCs w:val="21"/>
                <w:highlight w:val="none"/>
              </w:rPr>
              <w:t>β—— 4%、5%、6%、7%、8%</w:t>
            </w:r>
            <w:r>
              <w:rPr>
                <w:rFonts w:hint="eastAsia" w:ascii="宋体" w:hAnsi="宋体" w:eastAsia="宋体" w:cs="宋体"/>
                <w:color w:val="auto"/>
                <w:sz w:val="21"/>
                <w:szCs w:val="21"/>
                <w:highlight w:val="none"/>
              </w:rPr>
              <w:t xml:space="preserve"> ，</w:t>
            </w:r>
            <w:r>
              <w:rPr>
                <w:rFonts w:hint="eastAsia" w:ascii="宋体" w:hAnsi="宋体" w:eastAsia="宋体" w:cs="宋体"/>
                <w:color w:val="auto"/>
                <w:kern w:val="2"/>
                <w:sz w:val="21"/>
                <w:szCs w:val="21"/>
                <w:highlight w:val="none"/>
              </w:rPr>
              <w:t>开标时随机抽取确定</w:t>
            </w:r>
            <w:r>
              <w:rPr>
                <w:rFonts w:hint="eastAsia" w:ascii="宋体" w:hAnsi="宋体" w:eastAsia="宋体" w:cs="宋体"/>
                <w:color w:val="auto"/>
                <w:kern w:val="2"/>
                <w:sz w:val="21"/>
                <w:szCs w:val="21"/>
                <w:highlight w:val="none"/>
                <w:lang w:eastAsia="zh-CN"/>
              </w:rPr>
              <w:t>；</w:t>
            </w:r>
          </w:p>
          <w:p w14:paraId="2112A3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Cs w:val="0"/>
                <w:color w:val="auto"/>
                <w:sz w:val="21"/>
                <w:szCs w:val="21"/>
                <w:highlight w:val="none"/>
                <w:lang w:val="en-US" w:eastAsia="zh-CN"/>
              </w:rPr>
            </w:pPr>
            <w:r>
              <w:rPr>
                <w:rFonts w:hint="eastAsia" w:ascii="宋体" w:hAnsi="宋体" w:eastAsia="宋体" w:cs="宋体"/>
                <w:bCs w:val="0"/>
                <w:color w:val="auto"/>
                <w:sz w:val="21"/>
                <w:szCs w:val="21"/>
                <w:highlight w:val="none"/>
                <w:lang w:val="en-US" w:eastAsia="zh-CN"/>
              </w:rPr>
              <w:t>3．经评审的最低投标价，为进入报价评审环节的有效投标报价中大于或者等于基准价的投标报价中的最低报价。</w:t>
            </w:r>
          </w:p>
          <w:p w14:paraId="43BD6E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val="0"/>
                <w:color w:val="auto"/>
                <w:sz w:val="21"/>
                <w:szCs w:val="21"/>
                <w:highlight w:val="none"/>
                <w:lang w:val="en-US" w:eastAsia="zh-CN"/>
              </w:rPr>
              <w:t>4.如进入投标报价评审的所有投标人投标报价得分均为0分的，重新招标。</w:t>
            </w:r>
          </w:p>
        </w:tc>
      </w:tr>
      <w:tr w14:paraId="15D18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14:paraId="478F7319">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1998" w:type="dxa"/>
            <w:gridSpan w:val="2"/>
            <w:noWrap w:val="0"/>
            <w:vAlign w:val="center"/>
          </w:tcPr>
          <w:p w14:paraId="553A007C">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评审标准</w:t>
            </w:r>
          </w:p>
        </w:tc>
        <w:tc>
          <w:tcPr>
            <w:tcW w:w="1376" w:type="dxa"/>
            <w:gridSpan w:val="2"/>
            <w:noWrap w:val="0"/>
            <w:vAlign w:val="center"/>
          </w:tcPr>
          <w:p w14:paraId="48B9A880">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计分方式</w:t>
            </w:r>
          </w:p>
        </w:tc>
        <w:tc>
          <w:tcPr>
            <w:tcW w:w="5095" w:type="dxa"/>
            <w:gridSpan w:val="4"/>
            <w:noWrap w:val="0"/>
            <w:vAlign w:val="center"/>
          </w:tcPr>
          <w:p w14:paraId="478AA7EB">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52D90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14:paraId="70FF39CB">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1998" w:type="dxa"/>
            <w:gridSpan w:val="2"/>
            <w:noWrap w:val="0"/>
            <w:vAlign w:val="center"/>
          </w:tcPr>
          <w:p w14:paraId="669D822B">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投标报价＞基准价</w:t>
            </w:r>
          </w:p>
        </w:tc>
        <w:tc>
          <w:tcPr>
            <w:tcW w:w="1376" w:type="dxa"/>
            <w:gridSpan w:val="2"/>
            <w:noWrap w:val="0"/>
            <w:vAlign w:val="center"/>
          </w:tcPr>
          <w:p w14:paraId="17A3A3C9">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100-0.5L</w:t>
            </w:r>
          </w:p>
        </w:tc>
        <w:tc>
          <w:tcPr>
            <w:tcW w:w="5095" w:type="dxa"/>
            <w:gridSpan w:val="4"/>
            <w:vMerge w:val="restart"/>
            <w:noWrap w:val="0"/>
            <w:vAlign w:val="center"/>
          </w:tcPr>
          <w:p w14:paraId="73863FD4">
            <w:pPr>
              <w:keepNext w:val="0"/>
              <w:keepLines w:val="0"/>
              <w:suppressLineNumbers w:val="0"/>
              <w:spacing w:before="0" w:beforeAutospacing="0" w:after="0" w:afterAutospacing="0" w:line="320" w:lineRule="exact"/>
              <w:ind w:left="0" w:leftChars="0" w:right="0" w:firstLine="735" w:firstLineChars="3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投标报价 </w:t>
            </w: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 xml:space="preserve"> 经评审的最低投标价</w:t>
            </w:r>
          </w:p>
          <w:p w14:paraId="6E1E8ABD">
            <w:pPr>
              <w:keepNext w:val="0"/>
              <w:keepLines w:val="0"/>
              <w:suppressLineNumbers w:val="0"/>
              <w:spacing w:before="0" w:beforeAutospacing="0" w:after="0" w:afterAutospacing="0" w:line="320" w:lineRule="exact"/>
              <w:ind w:left="0" w:right="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 xml:space="preserve">L=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100</w:t>
            </w:r>
          </w:p>
          <w:p w14:paraId="6DF94D38">
            <w:pPr>
              <w:keepNext w:val="0"/>
              <w:keepLines w:val="0"/>
              <w:suppressLineNumbers w:val="0"/>
              <w:spacing w:before="0" w:beforeAutospacing="0" w:after="0" w:afterAutospacing="0"/>
              <w:ind w:left="0" w:right="0" w:firstLine="1470" w:firstLineChars="7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经评审的最低投标价</w:t>
            </w:r>
          </w:p>
        </w:tc>
      </w:tr>
      <w:tr w14:paraId="19BF3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14:paraId="50CA9830">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1998" w:type="dxa"/>
            <w:gridSpan w:val="2"/>
            <w:noWrap w:val="0"/>
            <w:vAlign w:val="center"/>
          </w:tcPr>
          <w:p w14:paraId="16526D04">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投标报价＝经评审的最低投标价</w:t>
            </w:r>
          </w:p>
        </w:tc>
        <w:tc>
          <w:tcPr>
            <w:tcW w:w="1376" w:type="dxa"/>
            <w:gridSpan w:val="2"/>
            <w:noWrap w:val="0"/>
            <w:vAlign w:val="center"/>
          </w:tcPr>
          <w:p w14:paraId="104C7C28">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w:t>
            </w:r>
          </w:p>
        </w:tc>
        <w:tc>
          <w:tcPr>
            <w:tcW w:w="5095" w:type="dxa"/>
            <w:gridSpan w:val="4"/>
            <w:noWrap w:val="0"/>
            <w:vAlign w:val="center"/>
          </w:tcPr>
          <w:p w14:paraId="57215905">
            <w:pPr>
              <w:keepNext w:val="0"/>
              <w:keepLines w:val="0"/>
              <w:suppressLineNumbers w:val="0"/>
              <w:spacing w:before="0" w:beforeAutospacing="0" w:after="0" w:afterAutospacing="0"/>
              <w:ind w:left="0" w:right="0" w:firstLine="840" w:firstLineChars="400"/>
              <w:rPr>
                <w:rFonts w:hint="eastAsia" w:ascii="宋体" w:hAnsi="宋体" w:eastAsia="宋体" w:cs="宋体"/>
                <w:color w:val="auto"/>
                <w:sz w:val="21"/>
                <w:szCs w:val="21"/>
                <w:highlight w:val="none"/>
              </w:rPr>
            </w:pPr>
          </w:p>
        </w:tc>
      </w:tr>
      <w:tr w14:paraId="2EF0A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14:paraId="66ED4A95">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1998" w:type="dxa"/>
            <w:gridSpan w:val="2"/>
            <w:noWrap w:val="0"/>
            <w:vAlign w:val="center"/>
          </w:tcPr>
          <w:p w14:paraId="68FAF51D">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投标报价＜经评审的最低投标价</w:t>
            </w:r>
          </w:p>
        </w:tc>
        <w:tc>
          <w:tcPr>
            <w:tcW w:w="1376" w:type="dxa"/>
            <w:gridSpan w:val="2"/>
            <w:noWrap w:val="0"/>
            <w:vAlign w:val="center"/>
          </w:tcPr>
          <w:p w14:paraId="0A307CC4">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w:t>
            </w:r>
          </w:p>
        </w:tc>
        <w:tc>
          <w:tcPr>
            <w:tcW w:w="5095" w:type="dxa"/>
            <w:gridSpan w:val="4"/>
            <w:noWrap w:val="0"/>
            <w:vAlign w:val="center"/>
          </w:tcPr>
          <w:p w14:paraId="6624AEAF">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p>
        </w:tc>
      </w:tr>
      <w:tr w14:paraId="3F4BD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14:paraId="4919F082">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条款号</w:t>
            </w:r>
          </w:p>
        </w:tc>
        <w:tc>
          <w:tcPr>
            <w:tcW w:w="8469" w:type="dxa"/>
            <w:gridSpan w:val="8"/>
            <w:noWrap w:val="0"/>
            <w:vAlign w:val="center"/>
          </w:tcPr>
          <w:p w14:paraId="32A5DAF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4" w:firstLineChars="2"/>
              <w:jc w:val="center"/>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编列内容</w:t>
            </w:r>
          </w:p>
        </w:tc>
      </w:tr>
      <w:tr w14:paraId="577C7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14:paraId="7B745202">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w:t>
            </w:r>
          </w:p>
        </w:tc>
        <w:tc>
          <w:tcPr>
            <w:tcW w:w="2099" w:type="dxa"/>
            <w:gridSpan w:val="3"/>
            <w:noWrap w:val="0"/>
            <w:vAlign w:val="center"/>
          </w:tcPr>
          <w:p w14:paraId="7763C37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评标详细程序</w:t>
            </w:r>
          </w:p>
        </w:tc>
        <w:tc>
          <w:tcPr>
            <w:tcW w:w="6370" w:type="dxa"/>
            <w:gridSpan w:val="5"/>
            <w:noWrap w:val="0"/>
            <w:vAlign w:val="center"/>
          </w:tcPr>
          <w:p w14:paraId="1132E2E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详见本章附件3-1</w:t>
            </w:r>
          </w:p>
        </w:tc>
      </w:tr>
      <w:tr w14:paraId="120EF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14:paraId="1521AA1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3.1.2</w:t>
            </w:r>
          </w:p>
        </w:tc>
        <w:tc>
          <w:tcPr>
            <w:tcW w:w="2099" w:type="dxa"/>
            <w:gridSpan w:val="3"/>
            <w:noWrap w:val="0"/>
            <w:vAlign w:val="center"/>
          </w:tcPr>
          <w:p w14:paraId="70E3F80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否决投标情形</w:t>
            </w:r>
          </w:p>
        </w:tc>
        <w:tc>
          <w:tcPr>
            <w:tcW w:w="6370" w:type="dxa"/>
            <w:gridSpan w:val="5"/>
            <w:noWrap w:val="0"/>
            <w:vAlign w:val="center"/>
          </w:tcPr>
          <w:p w14:paraId="20A717D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详见第二章附件2-</w:t>
            </w:r>
            <w:r>
              <w:rPr>
                <w:rFonts w:hint="default" w:ascii="宋体" w:hAnsi="宋体" w:cs="宋体"/>
                <w:color w:val="auto"/>
                <w:sz w:val="21"/>
                <w:szCs w:val="21"/>
                <w:highlight w:val="none"/>
                <w:lang w:val="en-US"/>
              </w:rPr>
              <w:t>2</w:t>
            </w:r>
          </w:p>
        </w:tc>
      </w:tr>
      <w:tr w14:paraId="4B6B7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14:paraId="7435990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3.2.2</w:t>
            </w:r>
          </w:p>
        </w:tc>
        <w:tc>
          <w:tcPr>
            <w:tcW w:w="2099" w:type="dxa"/>
            <w:gridSpan w:val="3"/>
            <w:noWrap w:val="0"/>
            <w:vAlign w:val="center"/>
          </w:tcPr>
          <w:p w14:paraId="1296F98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判断投标人是否低于成本报价</w:t>
            </w:r>
          </w:p>
        </w:tc>
        <w:tc>
          <w:tcPr>
            <w:tcW w:w="6370" w:type="dxa"/>
            <w:gridSpan w:val="5"/>
            <w:noWrap w:val="0"/>
            <w:vAlign w:val="center"/>
          </w:tcPr>
          <w:p w14:paraId="12C4571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详见第二章附件2-</w:t>
            </w:r>
            <w:r>
              <w:rPr>
                <w:rFonts w:hint="default" w:ascii="宋体" w:hAnsi="宋体" w:cs="宋体"/>
                <w:color w:val="auto"/>
                <w:sz w:val="21"/>
                <w:szCs w:val="21"/>
                <w:highlight w:val="none"/>
                <w:lang w:val="en-US"/>
              </w:rPr>
              <w:t>3</w:t>
            </w:r>
            <w:r>
              <w:rPr>
                <w:rFonts w:hint="eastAsia" w:ascii="宋体" w:hAnsi="宋体" w:eastAsia="宋体" w:cs="宋体"/>
                <w:color w:val="auto"/>
                <w:sz w:val="21"/>
                <w:szCs w:val="21"/>
                <w:highlight w:val="none"/>
              </w:rPr>
              <w:t>投标报价成本评审办法</w:t>
            </w:r>
          </w:p>
        </w:tc>
      </w:tr>
      <w:tr w14:paraId="43687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14:paraId="61971D0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3.3.2</w:t>
            </w:r>
          </w:p>
        </w:tc>
        <w:tc>
          <w:tcPr>
            <w:tcW w:w="2099" w:type="dxa"/>
            <w:gridSpan w:val="3"/>
            <w:noWrap w:val="0"/>
            <w:vAlign w:val="center"/>
          </w:tcPr>
          <w:p w14:paraId="088FC76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进入</w:t>
            </w:r>
            <w:r>
              <w:rPr>
                <w:rFonts w:hint="eastAsia" w:ascii="宋体" w:hAnsi="宋体" w:eastAsia="宋体" w:cs="宋体"/>
                <w:color w:val="auto"/>
                <w:sz w:val="21"/>
                <w:szCs w:val="21"/>
                <w:highlight w:val="none"/>
                <w:lang w:val="en-US" w:eastAsia="zh-CN"/>
              </w:rPr>
              <w:t>投标报价</w:t>
            </w:r>
            <w:r>
              <w:rPr>
                <w:rFonts w:hint="eastAsia" w:ascii="宋体" w:hAnsi="宋体" w:eastAsia="宋体" w:cs="宋体"/>
                <w:color w:val="auto"/>
                <w:sz w:val="21"/>
                <w:szCs w:val="21"/>
                <w:highlight w:val="none"/>
              </w:rPr>
              <w:t>评审阶段投标人数量的确定方式</w:t>
            </w:r>
          </w:p>
        </w:tc>
        <w:tc>
          <w:tcPr>
            <w:tcW w:w="6370" w:type="dxa"/>
            <w:gridSpan w:val="5"/>
            <w:noWrap w:val="0"/>
            <w:vAlign w:val="center"/>
          </w:tcPr>
          <w:p w14:paraId="0891013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详见投标人须知前附表</w:t>
            </w:r>
          </w:p>
        </w:tc>
      </w:tr>
    </w:tbl>
    <w:p w14:paraId="466528E1">
      <w:pPr>
        <w:widowControl/>
        <w:jc w:val="left"/>
        <w:rPr>
          <w:rFonts w:hint="eastAsia"/>
          <w:color w:val="auto"/>
          <w:highlight w:val="none"/>
        </w:rPr>
      </w:pPr>
    </w:p>
    <w:p w14:paraId="6629CBC3">
      <w:pPr>
        <w:spacing w:line="312" w:lineRule="auto"/>
        <w:jc w:val="center"/>
        <w:rPr>
          <w:rFonts w:hint="eastAsia" w:ascii="微软雅黑" w:hAnsi="微软雅黑" w:eastAsia="微软雅黑" w:cs="微软雅黑"/>
          <w:bCs/>
          <w:color w:val="auto"/>
          <w:sz w:val="30"/>
          <w:highlight w:val="none"/>
        </w:rPr>
      </w:pPr>
      <w:r>
        <w:rPr>
          <w:color w:val="auto"/>
          <w:highlight w:val="none"/>
        </w:rPr>
        <w:br w:type="page"/>
      </w:r>
      <w:r>
        <w:rPr>
          <w:rFonts w:hint="eastAsia" w:ascii="微软雅黑" w:hAnsi="微软雅黑" w:eastAsia="微软雅黑" w:cs="微软雅黑"/>
          <w:bCs/>
          <w:color w:val="auto"/>
          <w:sz w:val="30"/>
          <w:highlight w:val="none"/>
        </w:rPr>
        <w:t>评标办法（经评审的最低投标价法）</w:t>
      </w:r>
    </w:p>
    <w:p w14:paraId="78602C65">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p>
    <w:p w14:paraId="7BC5344D">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本次评标采用经评审的最低投标价法。评标委员会对满足招标文件实质要求的投标文件，根据规定的评分标准进行评审计分，并按评标总得分由高到低顺序推荐中标候选人。</w:t>
      </w:r>
    </w:p>
    <w:p w14:paraId="039A7DD0">
      <w:pPr>
        <w:pStyle w:val="5"/>
        <w:bidi w:val="0"/>
        <w:spacing w:line="360" w:lineRule="auto"/>
        <w:rPr>
          <w:rFonts w:hint="eastAsia" w:ascii="宋体" w:hAnsi="宋体" w:eastAsia="宋体" w:cs="宋体"/>
        </w:rPr>
      </w:pPr>
      <w:bookmarkStart w:id="157" w:name="_Toc80006100"/>
      <w:bookmarkStart w:id="158" w:name="_Toc9178190"/>
      <w:bookmarkStart w:id="159" w:name="_Toc3667"/>
      <w:bookmarkStart w:id="160" w:name="_Toc5762"/>
      <w:bookmarkStart w:id="161" w:name="_Toc9178332"/>
      <w:bookmarkStart w:id="162" w:name="_Toc9178529"/>
      <w:r>
        <w:rPr>
          <w:rFonts w:hint="eastAsia" w:ascii="宋体" w:hAnsi="宋体" w:eastAsia="宋体" w:cs="宋体"/>
        </w:rPr>
        <w:t>1.评审标准</w:t>
      </w:r>
      <w:bookmarkEnd w:id="157"/>
      <w:bookmarkEnd w:id="158"/>
      <w:bookmarkEnd w:id="159"/>
      <w:bookmarkEnd w:id="160"/>
      <w:bookmarkEnd w:id="161"/>
      <w:bookmarkEnd w:id="162"/>
    </w:p>
    <w:p w14:paraId="68E7E61B">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形式评审标准：见评标办法前附表。</w:t>
      </w:r>
    </w:p>
    <w:p w14:paraId="3526790E">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资格评审标准：见评标办法前附表</w:t>
      </w:r>
    </w:p>
    <w:p w14:paraId="2040C30C">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已进行资格预审的，见本招标项目资格预审文件第三章“资格审查办法”详细审查标准</w:t>
      </w:r>
    </w:p>
    <w:p w14:paraId="217789CE">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响应性评审标准：见评标办法前附表。</w:t>
      </w:r>
    </w:p>
    <w:p w14:paraId="1A2523D7">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rPr>
        <w:t>施工组织设计评审标准：见评标办法前附表；</w:t>
      </w:r>
    </w:p>
    <w:p w14:paraId="1867DB07">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业绩及信用评审评审标准：见评标办法前附表；</w:t>
      </w:r>
    </w:p>
    <w:p w14:paraId="5188EA3A">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投标报价评审标准：见评标办法前附表。</w:t>
      </w:r>
    </w:p>
    <w:p w14:paraId="07B74041">
      <w:pPr>
        <w:pStyle w:val="5"/>
        <w:bidi w:val="0"/>
        <w:spacing w:line="360" w:lineRule="auto"/>
        <w:rPr>
          <w:rFonts w:hint="eastAsia" w:ascii="宋体" w:hAnsi="宋体" w:eastAsia="宋体" w:cs="宋体"/>
          <w:lang w:val="en-US" w:eastAsia="zh-CN"/>
        </w:rPr>
      </w:pPr>
      <w:bookmarkStart w:id="163" w:name="_Toc9178333"/>
      <w:bookmarkStart w:id="164" w:name="_Toc80006101"/>
      <w:bookmarkStart w:id="165" w:name="_Toc9178530"/>
      <w:bookmarkStart w:id="166" w:name="_Toc9178191"/>
      <w:bookmarkStart w:id="167" w:name="_Toc9214"/>
      <w:bookmarkStart w:id="168" w:name="_Toc4289"/>
      <w:r>
        <w:rPr>
          <w:rFonts w:hint="eastAsia" w:ascii="宋体" w:hAnsi="宋体" w:eastAsia="宋体" w:cs="宋体"/>
        </w:rPr>
        <w:t>2.评审程序</w:t>
      </w:r>
      <w:bookmarkEnd w:id="163"/>
      <w:bookmarkEnd w:id="164"/>
      <w:bookmarkEnd w:id="165"/>
      <w:bookmarkEnd w:id="166"/>
      <w:r>
        <w:rPr>
          <w:rFonts w:hint="eastAsia" w:ascii="宋体" w:hAnsi="宋体" w:eastAsia="宋体" w:cs="宋体"/>
          <w:lang w:val="en-US" w:eastAsia="zh-CN"/>
        </w:rPr>
        <w:t>及澄清</w:t>
      </w:r>
      <w:bookmarkEnd w:id="167"/>
      <w:bookmarkEnd w:id="168"/>
    </w:p>
    <w:p w14:paraId="0A91E9DB">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2.1 评审</w:t>
      </w:r>
      <w:r>
        <w:rPr>
          <w:rFonts w:hint="eastAsia" w:ascii="宋体" w:hAnsi="宋体" w:eastAsia="宋体" w:cs="宋体"/>
          <w:color w:val="auto"/>
          <w:sz w:val="24"/>
          <w:szCs w:val="24"/>
          <w:highlight w:val="none"/>
          <w:lang w:val="en-US" w:eastAsia="zh-CN"/>
        </w:rPr>
        <w:t>程序</w:t>
      </w:r>
    </w:p>
    <w:p w14:paraId="3EB3972F">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施工组织设计</w:t>
      </w:r>
      <w:r>
        <w:rPr>
          <w:rFonts w:hint="eastAsia" w:ascii="宋体" w:hAnsi="宋体" w:eastAsia="宋体" w:cs="宋体"/>
          <w:color w:val="auto"/>
          <w:sz w:val="24"/>
          <w:szCs w:val="24"/>
          <w:highlight w:val="none"/>
        </w:rPr>
        <w:t>评审。</w:t>
      </w:r>
    </w:p>
    <w:p w14:paraId="545D1CD4">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形式、资格、响应性评审</w:t>
      </w:r>
      <w:r>
        <w:rPr>
          <w:rFonts w:hint="eastAsia" w:ascii="宋体" w:hAnsi="宋体" w:eastAsia="宋体" w:cs="宋体"/>
          <w:color w:val="auto"/>
          <w:sz w:val="24"/>
          <w:szCs w:val="24"/>
          <w:highlight w:val="none"/>
        </w:rPr>
        <w:t>。</w:t>
      </w:r>
    </w:p>
    <w:p w14:paraId="4EC20D43">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 xml:space="preserve"> 业绩及信用</w:t>
      </w:r>
      <w:r>
        <w:rPr>
          <w:rFonts w:hint="eastAsia" w:ascii="宋体" w:hAnsi="宋体" w:eastAsia="宋体" w:cs="宋体"/>
          <w:color w:val="auto"/>
          <w:sz w:val="24"/>
          <w:szCs w:val="24"/>
          <w:highlight w:val="none"/>
        </w:rPr>
        <w:t>评审。</w:t>
      </w:r>
    </w:p>
    <w:p w14:paraId="79EA0D68">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4．确定</w:t>
      </w:r>
      <w:r>
        <w:rPr>
          <w:rFonts w:hint="eastAsia" w:ascii="宋体" w:hAnsi="宋体" w:eastAsia="宋体" w:cs="宋体"/>
          <w:color w:val="auto"/>
          <w:sz w:val="24"/>
          <w:szCs w:val="24"/>
          <w:highlight w:val="none"/>
          <w:lang w:val="en-US" w:eastAsia="zh-CN"/>
        </w:rPr>
        <w:t>进入报价评审的</w:t>
      </w:r>
      <w:r>
        <w:rPr>
          <w:rFonts w:hint="eastAsia" w:ascii="宋体" w:hAnsi="宋体" w:eastAsia="宋体" w:cs="宋体"/>
          <w:color w:val="auto"/>
          <w:sz w:val="24"/>
          <w:szCs w:val="24"/>
          <w:highlight w:val="none"/>
        </w:rPr>
        <w:t>投标人。</w:t>
      </w:r>
    </w:p>
    <w:p w14:paraId="21AC9ECA">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5．报价评审。</w:t>
      </w:r>
    </w:p>
    <w:p w14:paraId="7EB93DF3">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6．汇总评分结果。</w:t>
      </w:r>
    </w:p>
    <w:p w14:paraId="7D52903C">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投标文件的澄清和补正</w:t>
      </w:r>
    </w:p>
    <w:p w14:paraId="1EDE9D74">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评标委员会可以书面形式要求投标人对所提交的投标文件中不明确的内容进行书面澄清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说明或者补正。评标委员会不接受投标人主动提出的澄清、说明或补正。</w:t>
      </w:r>
    </w:p>
    <w:p w14:paraId="70D9073E">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 澄清、说明和补正不得改变投标文件的实质性内容。投标人的书面澄清、说明和补正属于投标文件的组成部分。</w:t>
      </w:r>
    </w:p>
    <w:p w14:paraId="7490C715">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.3 评标委员会对投标人提交的澄清、说明或补正有疑问的，可以要求投标人进一步澄清、说明或补正</w:t>
      </w:r>
      <w:r>
        <w:rPr>
          <w:rFonts w:hint="eastAsia" w:ascii="宋体" w:hAnsi="宋体" w:eastAsia="宋体" w:cs="宋体"/>
          <w:color w:val="auto"/>
          <w:sz w:val="24"/>
          <w:szCs w:val="24"/>
          <w:highlight w:val="none"/>
          <w:lang w:eastAsia="zh-CN"/>
        </w:rPr>
        <w:t>。</w:t>
      </w:r>
    </w:p>
    <w:p w14:paraId="20EC5A62">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 xml:space="preserve">2.2.4 </w:t>
      </w:r>
      <w:r>
        <w:rPr>
          <w:rFonts w:hint="eastAsia" w:ascii="宋体" w:hAnsi="宋体" w:eastAsia="宋体" w:cs="宋体"/>
          <w:bCs/>
          <w:color w:val="auto"/>
          <w:sz w:val="24"/>
          <w:szCs w:val="24"/>
          <w:highlight w:val="none"/>
        </w:rPr>
        <w:t>评审过程中，评标委员会</w:t>
      </w:r>
      <w:r>
        <w:rPr>
          <w:rFonts w:hint="eastAsia" w:ascii="宋体" w:hAnsi="宋体" w:eastAsia="宋体" w:cs="宋体"/>
          <w:bCs/>
          <w:color w:val="auto"/>
          <w:sz w:val="24"/>
          <w:szCs w:val="24"/>
          <w:highlight w:val="none"/>
          <w:lang w:val="en-US" w:eastAsia="zh-CN"/>
        </w:rPr>
        <w:t>拟作出否决投标决定的</w:t>
      </w:r>
      <w:r>
        <w:rPr>
          <w:rFonts w:hint="eastAsia" w:ascii="宋体" w:hAnsi="宋体" w:eastAsia="宋体" w:cs="宋体"/>
          <w:bCs/>
          <w:color w:val="auto"/>
          <w:sz w:val="24"/>
          <w:szCs w:val="24"/>
          <w:highlight w:val="none"/>
        </w:rPr>
        <w:t>，应</w:t>
      </w:r>
      <w:r>
        <w:rPr>
          <w:rFonts w:hint="eastAsia" w:ascii="宋体" w:hAnsi="宋体" w:eastAsia="宋体" w:cs="宋体"/>
          <w:bCs/>
          <w:color w:val="auto"/>
          <w:sz w:val="24"/>
          <w:szCs w:val="24"/>
          <w:highlight w:val="none"/>
          <w:lang w:val="en-US" w:eastAsia="zh-CN"/>
        </w:rPr>
        <w:t>要求投标人进行书面澄清、说明或补正，未进行该程序的，不得作出否决投标决定，投标人未按要求进行回复的除外。</w:t>
      </w:r>
    </w:p>
    <w:p w14:paraId="17021B92">
      <w:pPr>
        <w:pStyle w:val="5"/>
        <w:bidi w:val="0"/>
        <w:spacing w:line="360" w:lineRule="auto"/>
        <w:rPr>
          <w:rFonts w:hint="eastAsia" w:ascii="宋体" w:hAnsi="宋体" w:eastAsia="宋体" w:cs="宋体"/>
        </w:rPr>
      </w:pPr>
      <w:bookmarkStart w:id="169" w:name="_Toc80006102"/>
      <w:bookmarkStart w:id="170" w:name="_Toc27019"/>
      <w:r>
        <w:rPr>
          <w:rFonts w:hint="eastAsia" w:ascii="宋体" w:hAnsi="宋体" w:eastAsia="宋体" w:cs="宋体"/>
        </w:rPr>
        <w:t>3.评标结果</w:t>
      </w:r>
      <w:bookmarkEnd w:id="169"/>
      <w:bookmarkEnd w:id="170"/>
    </w:p>
    <w:p w14:paraId="6100108B">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评标委员会按照评标总得分由高到低的顺序推荐中标候选人。投标人评标总得分相同时，按照其投标报价由低至高排序。投标报价也相同时，按照业绩及信用评审得分由高到低确定排序。以上都相同时，由评标委员会投票确定排序。</w:t>
      </w:r>
    </w:p>
    <w:p w14:paraId="762C0C38">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3.2 评标委员会完成评标后，向招标人提交书面评标报告。</w:t>
      </w:r>
    </w:p>
    <w:p w14:paraId="79EF6FAE">
      <w:pPr>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bookmarkEnd w:id="0"/>
      <w:bookmarkStart w:id="171" w:name="_Toc300678090"/>
      <w:r>
        <w:rPr>
          <w:rFonts w:hint="eastAsia" w:ascii="宋体" w:hAnsi="宋体" w:eastAsia="宋体" w:cs="宋体"/>
          <w:bCs/>
          <w:color w:val="auto"/>
          <w:sz w:val="24"/>
          <w:szCs w:val="24"/>
          <w:highlight w:val="none"/>
        </w:rPr>
        <w:t>附件3-1：评标详细程序</w:t>
      </w:r>
    </w:p>
    <w:p w14:paraId="6AE610D3">
      <w:pPr>
        <w:pageBreakBefore w:val="0"/>
        <w:kinsoku/>
        <w:wordWrap/>
        <w:overflowPunct/>
        <w:topLinePunct w:val="0"/>
        <w:autoSpaceDE/>
        <w:autoSpaceDN/>
        <w:bidi w:val="0"/>
        <w:spacing w:line="360" w:lineRule="auto"/>
        <w:ind w:firstLine="600" w:firstLineChars="200"/>
        <w:jc w:val="center"/>
        <w:textAlignment w:val="auto"/>
        <w:rPr>
          <w:rFonts w:hint="eastAsia" w:ascii="微软雅黑" w:hAnsi="微软雅黑" w:eastAsia="微软雅黑" w:cs="微软雅黑"/>
          <w:color w:val="auto"/>
          <w:sz w:val="30"/>
          <w:szCs w:val="30"/>
          <w:highlight w:val="none"/>
        </w:rPr>
      </w:pPr>
      <w:r>
        <w:rPr>
          <w:rFonts w:hint="eastAsia" w:ascii="微软雅黑" w:hAnsi="微软雅黑" w:eastAsia="微软雅黑" w:cs="微软雅黑"/>
          <w:color w:val="auto"/>
          <w:sz w:val="30"/>
          <w:szCs w:val="30"/>
          <w:highlight w:val="none"/>
        </w:rPr>
        <w:t>评标详细程序</w:t>
      </w:r>
    </w:p>
    <w:p w14:paraId="030F6605">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本附件是评标办法的组成部分，是对本评标办法规定的评审程序的进一步细化，评标委员会应当按照本附件规定开展评标工作。</w:t>
      </w:r>
    </w:p>
    <w:p w14:paraId="45EBF454">
      <w:pPr>
        <w:pStyle w:val="5"/>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2" w:name="_Toc25063"/>
      <w:r>
        <w:rPr>
          <w:rFonts w:hint="eastAsia" w:ascii="宋体" w:hAnsi="宋体" w:eastAsia="宋体" w:cs="宋体"/>
        </w:rPr>
        <w:t>1.基本程序</w:t>
      </w:r>
      <w:bookmarkEnd w:id="172"/>
    </w:p>
    <w:p w14:paraId="71860E06">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评标活动将按以下</w:t>
      </w:r>
      <w:r>
        <w:rPr>
          <w:rFonts w:hint="eastAsia" w:ascii="宋体" w:hAnsi="宋体" w:eastAsia="宋体" w:cs="宋体"/>
          <w:color w:val="auto"/>
          <w:sz w:val="24"/>
          <w:szCs w:val="24"/>
          <w:highlight w:val="none"/>
          <w:lang w:val="en-US" w:eastAsia="zh-CN"/>
        </w:rPr>
        <w:t>六</w:t>
      </w:r>
      <w:r>
        <w:rPr>
          <w:rFonts w:hint="eastAsia" w:ascii="宋体" w:hAnsi="宋体" w:eastAsia="宋体" w:cs="宋体"/>
          <w:color w:val="auto"/>
          <w:sz w:val="24"/>
          <w:szCs w:val="24"/>
          <w:highlight w:val="none"/>
        </w:rPr>
        <w:t>个步骤进行：</w:t>
      </w:r>
    </w:p>
    <w:p w14:paraId="5E30D655">
      <w:pPr>
        <w:pageBreakBefore w:val="0"/>
        <w:widowControl w:val="0"/>
        <w:numPr>
          <w:ilvl w:val="0"/>
          <w:numId w:val="3"/>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评标准备；</w:t>
      </w:r>
    </w:p>
    <w:p w14:paraId="17D7577A">
      <w:pPr>
        <w:pageBreakBefore w:val="0"/>
        <w:widowControl w:val="0"/>
        <w:numPr>
          <w:ilvl w:val="0"/>
          <w:numId w:val="3"/>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施工组织设计评审；</w:t>
      </w:r>
    </w:p>
    <w:p w14:paraId="4744D2A0">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lang w:val="en-US" w:eastAsia="zh-CN"/>
        </w:rPr>
        <w:t>形式、资格、响应性评审</w:t>
      </w:r>
      <w:r>
        <w:rPr>
          <w:rFonts w:hint="eastAsia" w:ascii="宋体" w:hAnsi="宋体" w:eastAsia="宋体" w:cs="宋体"/>
          <w:color w:val="auto"/>
          <w:kern w:val="0"/>
          <w:sz w:val="24"/>
          <w:szCs w:val="24"/>
          <w:highlight w:val="none"/>
          <w:lang w:eastAsia="zh-CN"/>
        </w:rPr>
        <w:t>；</w:t>
      </w:r>
    </w:p>
    <w:p w14:paraId="17E7D922">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4）业绩及信用评审；</w:t>
      </w:r>
    </w:p>
    <w:p w14:paraId="653D904D">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（5）投标报价</w:t>
      </w:r>
      <w:r>
        <w:rPr>
          <w:rFonts w:hint="eastAsia" w:ascii="宋体" w:hAnsi="宋体" w:eastAsia="宋体" w:cs="宋体"/>
          <w:color w:val="auto"/>
          <w:sz w:val="24"/>
          <w:szCs w:val="24"/>
          <w:highlight w:val="none"/>
        </w:rPr>
        <w:t>评审</w:t>
      </w:r>
      <w:r>
        <w:rPr>
          <w:rFonts w:hint="eastAsia" w:ascii="宋体" w:hAnsi="宋体" w:eastAsia="宋体" w:cs="宋体"/>
          <w:color w:val="auto"/>
          <w:sz w:val="24"/>
          <w:szCs w:val="24"/>
          <w:highlight w:val="none"/>
          <w:lang w:val="en-US" w:eastAsia="zh-CN"/>
        </w:rPr>
        <w:t>；</w:t>
      </w:r>
    </w:p>
    <w:p w14:paraId="2C6BBCB9">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）推荐中标候选人及提交评标报告。</w:t>
      </w:r>
    </w:p>
    <w:p w14:paraId="3DBC1C13">
      <w:pPr>
        <w:pStyle w:val="5"/>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3" w:name="_Toc18365"/>
      <w:r>
        <w:rPr>
          <w:rFonts w:hint="eastAsia" w:ascii="宋体" w:hAnsi="宋体" w:eastAsia="宋体" w:cs="宋体"/>
        </w:rPr>
        <w:t>2.评标准备</w:t>
      </w:r>
      <w:bookmarkEnd w:id="173"/>
    </w:p>
    <w:p w14:paraId="56DDEE52">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评标委员会成员签到</w:t>
      </w:r>
    </w:p>
    <w:p w14:paraId="701A9DF9">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评标委员会成员到达评标现场时应在签到表上签到以证明其出席。</w:t>
      </w:r>
    </w:p>
    <w:p w14:paraId="04A7E65F">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评标委员会的分工</w:t>
      </w:r>
    </w:p>
    <w:p w14:paraId="74D70534">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首先推举一名评标委员会主任。评标委员会主任负责主持评标活动。评标委员会主任在与其他评标委员会成员协商的基础上，可以将评标委员会划分为技术组和商务组，但最终评审结果须全体评标委员会一致认可。</w:t>
      </w:r>
    </w:p>
    <w:p w14:paraId="569D6D2D">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熟悉文件资料</w:t>
      </w:r>
    </w:p>
    <w:p w14:paraId="2C132579">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 评标委员会主任应组织评标委员会成员认真研究招标文件，了解和熟悉招标目的、招标范围、主要合同条件、技术标准和要求、质量标准和工期要求等，掌握评标标准和方法。未在招标文件中规定的标准和方法不得作为评标的依据。</w:t>
      </w:r>
    </w:p>
    <w:p w14:paraId="2281E38F">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 招标人或招标代理机构应向评标委员会提供评标所需的信息和数据，包括招标文件、未在开标会上当场拒绝的各投标文件、开标会记录、资格预审申请文件（适用于已进行资格预审的）、最高投标限价或标底（如果有）、工程所在地工程造价管理部门颁布的工程造价信息、定额（如作为计价依据时）、有关的法律、法规、规章、国家标准以及招标人或评标委员会认为必要的其他信息和数据。</w:t>
      </w:r>
    </w:p>
    <w:p w14:paraId="3EF06F72">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对投标文件进行基础性数据分析和整理工作（以下简称：清标）</w:t>
      </w:r>
    </w:p>
    <w:p w14:paraId="5D32DEE8">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在不改变投标人投标文件实质性内容的前提下，评标委员会应当进行清标，发现并提取其中可能存在的对招标范围理解的偏差、投标报价的算术性错误、错漏项、投标报价构成不合理、不平衡报价等明显异常的问题，并将这些问题整理形成清标成果。评标委员会对清标成果审议后，对于需要投标人进行澄清、说明或补正的问题，形成质疑问卷，向投标人发出问题澄清通知或者质疑问卷。</w:t>
      </w:r>
    </w:p>
    <w:p w14:paraId="0BB00E57">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投标人应当按照评标委员会的要求，</w:t>
      </w:r>
      <w:bookmarkStart w:id="174" w:name="_Hlk80002807"/>
      <w:r>
        <w:rPr>
          <w:rFonts w:hint="eastAsia" w:ascii="宋体" w:hAnsi="宋体" w:eastAsia="宋体" w:cs="宋体"/>
          <w:color w:val="auto"/>
          <w:sz w:val="24"/>
          <w:szCs w:val="24"/>
          <w:highlight w:val="none"/>
        </w:rPr>
        <w:t>在规定的时间内</w:t>
      </w:r>
      <w:r>
        <w:rPr>
          <w:rFonts w:hint="eastAsia" w:ascii="宋体" w:hAnsi="宋体" w:eastAsia="宋体" w:cs="宋体"/>
          <w:color w:val="auto"/>
          <w:sz w:val="24"/>
          <w:szCs w:val="24"/>
          <w:highlight w:val="none"/>
          <w:lang w:val="en-US" w:eastAsia="zh-CN"/>
        </w:rPr>
        <w:t>在开标现场</w:t>
      </w:r>
      <w:r>
        <w:rPr>
          <w:rFonts w:hint="eastAsia" w:ascii="宋体" w:hAnsi="宋体" w:eastAsia="宋体" w:cs="宋体"/>
          <w:color w:val="auto"/>
          <w:sz w:val="24"/>
          <w:szCs w:val="24"/>
          <w:highlight w:val="none"/>
        </w:rPr>
        <w:t>提供加盖公章或法定代表人（或其委托代理人）签署的澄清、说明或者补正资料。</w:t>
      </w:r>
      <w:bookmarkEnd w:id="174"/>
    </w:p>
    <w:p w14:paraId="3EDEFC72">
      <w:pPr>
        <w:pStyle w:val="5"/>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5" w:name="_Toc27563"/>
      <w:r>
        <w:rPr>
          <w:rFonts w:hint="eastAsia" w:ascii="宋体" w:hAnsi="宋体" w:eastAsia="宋体" w:cs="宋体"/>
        </w:rPr>
        <w:t>3.</w:t>
      </w:r>
      <w:r>
        <w:rPr>
          <w:rFonts w:hint="eastAsia" w:ascii="宋体" w:hAnsi="宋体" w:eastAsia="宋体" w:cs="宋体"/>
          <w:lang w:val="en-US" w:eastAsia="zh-CN"/>
        </w:rPr>
        <w:t>施工组织设计</w:t>
      </w:r>
      <w:r>
        <w:rPr>
          <w:rFonts w:hint="eastAsia" w:ascii="宋体" w:hAnsi="宋体" w:eastAsia="宋体" w:cs="宋体"/>
        </w:rPr>
        <w:t>评审</w:t>
      </w:r>
      <w:bookmarkEnd w:id="175"/>
    </w:p>
    <w:p w14:paraId="49DFD8A3">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评标委员会对所有投标人提交的施工组织设计进行评审。</w:t>
      </w:r>
    </w:p>
    <w:p w14:paraId="4DE8FE63">
      <w:pPr>
        <w:pStyle w:val="5"/>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6" w:name="_Toc30979"/>
      <w:r>
        <w:rPr>
          <w:rFonts w:hint="eastAsia" w:ascii="宋体" w:hAnsi="宋体" w:eastAsia="宋体" w:cs="宋体"/>
          <w:lang w:val="en-US" w:eastAsia="zh-CN"/>
        </w:rPr>
        <w:t>4.</w:t>
      </w:r>
      <w:r>
        <w:rPr>
          <w:rFonts w:hint="eastAsia" w:ascii="宋体" w:hAnsi="宋体" w:eastAsia="宋体" w:cs="宋体"/>
        </w:rPr>
        <w:t>形式、资格、响应性评审。</w:t>
      </w:r>
      <w:bookmarkEnd w:id="176"/>
    </w:p>
    <w:p w14:paraId="69DAFB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评标委员会依据评标办法的规定对投标文件进行评审。有一项不符合评审标准的，应当予以否决。</w:t>
      </w:r>
    </w:p>
    <w:p w14:paraId="1035FC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 形式评审</w:t>
      </w:r>
    </w:p>
    <w:p w14:paraId="501BB5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评标委员会根据评标办法前附表中规定的评审因素和评审标准，对投标人的投标文件进行形式评审。</w:t>
      </w:r>
    </w:p>
    <w:p w14:paraId="5F046E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资格评审</w:t>
      </w:r>
    </w:p>
    <w:p w14:paraId="178443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.2.1未进行资格预审的，由评标委员会根据评标办法前附表规定的评审因素和评审标准，对投标人的投标文件进行资格评审。</w:t>
      </w:r>
    </w:p>
    <w:p w14:paraId="767D98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2.1已进行资格预审的，评标委员会一般不再对投标人资格进行评审。投标人资格预审申请文件的内容发生重大变化的，由评标委员会依据资格预审文件规定的标准和方法，对照投标人资格预审申请文件中的资料以及开标前更新的资料，对其更新的资料进行评审，其变化后的资格条件不得低于原有资格条件要求。</w:t>
      </w:r>
    </w:p>
    <w:p w14:paraId="1F6F35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.2.2  资格评审过程中，评标委员会发现投标人提交的资格审查资料不全时，应当听取该投标人的说明。  </w:t>
      </w:r>
    </w:p>
    <w:p w14:paraId="29F691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4.3 响应性评审</w:t>
      </w:r>
    </w:p>
    <w:p w14:paraId="37039425">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.3.1 评标委员会根据评标办法前附表中规定的评审因素和评审标准，对投标人的投标文件进行响应性评审。</w:t>
      </w:r>
    </w:p>
    <w:p w14:paraId="0EE9A26C">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.3.2 招标文件设定了最高投标限价的，投标人投标价格不得超出（不含等于）“投标人须知”前附表载明的最高投标限价。</w:t>
      </w:r>
    </w:p>
    <w:p w14:paraId="3D1A2AE2">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.4 算术错误修正</w:t>
      </w:r>
    </w:p>
    <w:p w14:paraId="4C7B1C10">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评标委员会检查投标人投标报价是否有算术错误，算术性错误分析和修正按以下原则进行，修正的价格经投标人通过</w:t>
      </w:r>
      <w:r>
        <w:rPr>
          <w:rFonts w:hint="eastAsia" w:ascii="宋体" w:hAnsi="宋体" w:eastAsia="宋体" w:cs="宋体"/>
          <w:color w:val="auto"/>
          <w:sz w:val="24"/>
          <w:szCs w:val="24"/>
          <w:highlight w:val="none"/>
          <w:lang w:val="en-US" w:eastAsia="zh-CN"/>
        </w:rPr>
        <w:t>书面</w:t>
      </w:r>
      <w:r>
        <w:rPr>
          <w:rFonts w:hint="eastAsia" w:ascii="宋体" w:hAnsi="宋体" w:eastAsia="宋体" w:cs="宋体"/>
          <w:color w:val="auto"/>
          <w:sz w:val="24"/>
          <w:szCs w:val="24"/>
          <w:highlight w:val="none"/>
        </w:rPr>
        <w:t>确认后具有约束力。投标人不接受修正价格的，应当否决其投标。</w:t>
      </w:r>
    </w:p>
    <w:p w14:paraId="3BE80857">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（1）投标文件中的大写金额与小写金额不一致的，以大写金额为准；</w:t>
      </w:r>
    </w:p>
    <w:p w14:paraId="1DEECED5">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（2）总价金额与依据单价计算出的结果不一致的，以单价金额为准修正总价，但单价金额小数点有明显错误的除外。</w:t>
      </w:r>
    </w:p>
    <w:p w14:paraId="31AE44F1">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评标委员会根据算术错误修正结果计算评标价。评标委员会对算术错误的修正应向投标人作澄清。投标人对修正结果应通过</w:t>
      </w:r>
      <w:r>
        <w:rPr>
          <w:rFonts w:hint="eastAsia" w:ascii="宋体" w:hAnsi="宋体" w:eastAsia="宋体" w:cs="宋体"/>
          <w:color w:val="auto"/>
          <w:sz w:val="24"/>
          <w:szCs w:val="24"/>
          <w:highlight w:val="none"/>
          <w:lang w:val="en-US" w:eastAsia="zh-CN"/>
        </w:rPr>
        <w:t>书面形式</w:t>
      </w:r>
      <w:r>
        <w:rPr>
          <w:rFonts w:hint="eastAsia" w:ascii="宋体" w:hAnsi="宋体" w:eastAsia="宋体" w:cs="宋体"/>
          <w:color w:val="auto"/>
          <w:sz w:val="24"/>
          <w:szCs w:val="24"/>
          <w:highlight w:val="none"/>
        </w:rPr>
        <w:t>进行确认。投标人对修正结果有不同意见或未</w:t>
      </w:r>
      <w:r>
        <w:rPr>
          <w:rFonts w:hint="eastAsia" w:ascii="宋体" w:hAnsi="宋体" w:eastAsia="宋体" w:cs="宋体"/>
          <w:color w:val="auto"/>
          <w:sz w:val="24"/>
          <w:szCs w:val="24"/>
          <w:highlight w:val="none"/>
          <w:lang w:val="en-US" w:eastAsia="zh-CN"/>
        </w:rPr>
        <w:t>书面形式</w:t>
      </w:r>
      <w:r>
        <w:rPr>
          <w:rFonts w:hint="eastAsia" w:ascii="宋体" w:hAnsi="宋体" w:eastAsia="宋体" w:cs="宋体"/>
          <w:color w:val="auto"/>
          <w:sz w:val="24"/>
          <w:szCs w:val="24"/>
          <w:highlight w:val="none"/>
        </w:rPr>
        <w:t>进行确认的，评标委员会应重新复核修正结果，再次按上述程序分别进行确认、复核。</w:t>
      </w:r>
    </w:p>
    <w:p w14:paraId="251A84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4.5是否予以否决投标</w:t>
      </w:r>
    </w:p>
    <w:p w14:paraId="6EF38138">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.6.1评标委员会在评标过程中，依据第二章附件2-2中规定的否决投标情形，判断是否对投标人的投标予以否决。</w:t>
      </w:r>
    </w:p>
    <w:p w14:paraId="19B68767">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4.5</w:t>
      </w:r>
      <w:r>
        <w:rPr>
          <w:rFonts w:hint="eastAsia" w:ascii="宋体" w:hAnsi="宋体" w:eastAsia="宋体" w:cs="宋体"/>
          <w:color w:val="auto"/>
          <w:sz w:val="24"/>
          <w:szCs w:val="24"/>
          <w:highlight w:val="none"/>
        </w:rPr>
        <w:t>.2 第二章附件2-2集中列示的否决投标情形如果与第二章“投标人须知”和本章列示的否决投标条款相互抵触和矛盾时，以附件2-2集中列示的为准。</w:t>
      </w:r>
    </w:p>
    <w:p w14:paraId="77FFA458">
      <w:pPr>
        <w:pStyle w:val="5"/>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7" w:name="_Toc14662"/>
      <w:r>
        <w:rPr>
          <w:rFonts w:hint="eastAsia" w:ascii="宋体" w:hAnsi="宋体" w:eastAsia="宋体" w:cs="宋体"/>
          <w:lang w:val="en-US" w:eastAsia="zh-CN"/>
        </w:rPr>
        <w:t>5</w:t>
      </w:r>
      <w:r>
        <w:rPr>
          <w:rFonts w:hint="eastAsia" w:ascii="宋体" w:hAnsi="宋体" w:eastAsia="宋体" w:cs="宋体"/>
        </w:rPr>
        <w:t>.</w:t>
      </w:r>
      <w:r>
        <w:rPr>
          <w:rFonts w:hint="eastAsia" w:ascii="宋体" w:hAnsi="宋体" w:eastAsia="宋体" w:cs="宋体"/>
          <w:lang w:val="en-US" w:eastAsia="zh-CN"/>
        </w:rPr>
        <w:t>业绩及信用</w:t>
      </w:r>
      <w:r>
        <w:rPr>
          <w:rFonts w:hint="eastAsia" w:ascii="宋体" w:hAnsi="宋体" w:eastAsia="宋体" w:cs="宋体"/>
        </w:rPr>
        <w:t>评审</w:t>
      </w:r>
      <w:r>
        <w:rPr>
          <w:rFonts w:hint="eastAsia" w:ascii="宋体" w:hAnsi="宋体" w:eastAsia="宋体" w:cs="宋体"/>
          <w:lang w:eastAsia="zh-CN"/>
        </w:rPr>
        <w:t>、</w:t>
      </w:r>
      <w:r>
        <w:rPr>
          <w:rFonts w:hint="eastAsia" w:ascii="宋体" w:hAnsi="宋体" w:eastAsia="宋体" w:cs="宋体"/>
        </w:rPr>
        <w:t>投标报价评审</w:t>
      </w:r>
      <w:bookmarkEnd w:id="177"/>
    </w:p>
    <w:p w14:paraId="5F145745">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评标委员会按照规定的评审因素和标准进行评审计分。</w:t>
      </w:r>
    </w:p>
    <w:p w14:paraId="75005741">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 业绩及信用评审计分</w:t>
      </w:r>
    </w:p>
    <w:p w14:paraId="716A91D5">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5.2</w:t>
      </w:r>
      <w:r>
        <w:rPr>
          <w:rFonts w:hint="eastAsia" w:ascii="宋体" w:hAnsi="宋体" w:eastAsia="宋体" w:cs="宋体"/>
          <w:color w:val="auto"/>
          <w:sz w:val="24"/>
          <w:szCs w:val="24"/>
          <w:highlight w:val="none"/>
        </w:rPr>
        <w:t>投标报价评审按下列程序进行：</w:t>
      </w:r>
    </w:p>
    <w:p w14:paraId="44D6F228">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5.2.1</w:t>
      </w:r>
      <w:r>
        <w:rPr>
          <w:rFonts w:hint="eastAsia" w:ascii="宋体" w:hAnsi="宋体" w:eastAsia="宋体" w:cs="宋体"/>
          <w:color w:val="auto"/>
          <w:sz w:val="24"/>
          <w:szCs w:val="24"/>
          <w:highlight w:val="none"/>
        </w:rPr>
        <w:t>是否以低于成本报价竞争</w:t>
      </w:r>
    </w:p>
    <w:p w14:paraId="1FF64767">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评标委员会应当对低于报价评审警戒线的投标人的报价进行评审，以判断投标报价是否低于成本。投标报价成本评审按照第二章附件2-3中的规定进行，对低于成本竞标的投标人予以否决。</w:t>
      </w:r>
    </w:p>
    <w:p w14:paraId="0621824E">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5.2.2</w:t>
      </w:r>
      <w:r>
        <w:rPr>
          <w:rFonts w:hint="eastAsia" w:ascii="宋体" w:hAnsi="宋体" w:eastAsia="宋体" w:cs="宋体"/>
          <w:color w:val="auto"/>
          <w:sz w:val="24"/>
          <w:szCs w:val="24"/>
          <w:highlight w:val="none"/>
        </w:rPr>
        <w:t>对投标总报价进行评审。</w:t>
      </w:r>
    </w:p>
    <w:p w14:paraId="0E9D56F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&lt;1&gt;按照评标办法前附表的规定计算“基准价”。</w:t>
      </w:r>
    </w:p>
    <w:p w14:paraId="1DEEDAAD">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&lt;2&gt;计算报价得分</w:t>
      </w:r>
    </w:p>
    <w:p w14:paraId="4E2CE35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按照评标办法前附表的规定计算通过了</w:t>
      </w:r>
      <w:r>
        <w:rPr>
          <w:rFonts w:hint="eastAsia" w:ascii="宋体" w:hAnsi="宋体" w:eastAsia="宋体" w:cs="宋体"/>
          <w:color w:val="auto"/>
          <w:sz w:val="24"/>
          <w:szCs w:val="24"/>
          <w:highlight w:val="none"/>
          <w:lang w:val="en-US" w:eastAsia="zh-CN"/>
        </w:rPr>
        <w:t>形式、资格、响应性</w:t>
      </w:r>
      <w:r>
        <w:rPr>
          <w:rFonts w:hint="eastAsia" w:ascii="宋体" w:hAnsi="宋体" w:eastAsia="宋体" w:cs="宋体"/>
          <w:color w:val="auto"/>
          <w:sz w:val="24"/>
          <w:szCs w:val="24"/>
          <w:highlight w:val="none"/>
        </w:rPr>
        <w:t>评审、施工组织设计评审，并且未被认定为低于成本竞争的投标人投标报价的“偏差率”。</w:t>
      </w:r>
    </w:p>
    <w:p w14:paraId="1224CBC5">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按照评标办法前附表中规定的评分标准，对照投标报价的偏差率，分别对投标报价进行计分。</w:t>
      </w:r>
    </w:p>
    <w:p w14:paraId="79D3A162">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5.3</w:t>
      </w:r>
      <w:r>
        <w:rPr>
          <w:rFonts w:hint="eastAsia" w:ascii="宋体" w:hAnsi="宋体" w:eastAsia="宋体" w:cs="宋体"/>
          <w:color w:val="auto"/>
          <w:sz w:val="24"/>
          <w:szCs w:val="24"/>
          <w:highlight w:val="none"/>
        </w:rPr>
        <w:t>澄清、说明或补正</w:t>
      </w:r>
    </w:p>
    <w:p w14:paraId="5F351F6C">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在评审过程中，评标委员会应当就投标文件中不明确的内容要求投标人进行澄清、说明或者补正。投标人应当在规定的时间内</w:t>
      </w:r>
      <w:r>
        <w:rPr>
          <w:rFonts w:hint="eastAsia" w:ascii="宋体" w:hAnsi="宋体" w:eastAsia="宋体" w:cs="宋体"/>
          <w:color w:val="auto"/>
          <w:sz w:val="24"/>
          <w:szCs w:val="24"/>
          <w:highlight w:val="none"/>
          <w:lang w:val="en-US" w:eastAsia="zh-CN"/>
        </w:rPr>
        <w:t>在开标现场</w:t>
      </w:r>
      <w:r>
        <w:rPr>
          <w:rFonts w:hint="eastAsia" w:ascii="宋体" w:hAnsi="宋体" w:eastAsia="宋体" w:cs="宋体"/>
          <w:color w:val="auto"/>
          <w:sz w:val="24"/>
          <w:szCs w:val="24"/>
          <w:highlight w:val="none"/>
        </w:rPr>
        <w:t>提供加盖公章或法定代表人（或其委托代理人）签署的澄清、说明或者补正资料。澄清、说明或补正按照评标办法正文第2.3项执行。</w:t>
      </w:r>
    </w:p>
    <w:p w14:paraId="6DD32C36">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5.4</w:t>
      </w:r>
      <w:r>
        <w:rPr>
          <w:rFonts w:hint="eastAsia" w:ascii="宋体" w:hAnsi="宋体" w:eastAsia="宋体" w:cs="宋体"/>
          <w:color w:val="auto"/>
          <w:sz w:val="24"/>
          <w:szCs w:val="24"/>
          <w:highlight w:val="none"/>
        </w:rPr>
        <w:t>汇总评分结果</w:t>
      </w:r>
    </w:p>
    <w:p w14:paraId="64F019B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评审工作全部结束后，</w:t>
      </w:r>
      <w:r>
        <w:rPr>
          <w:rFonts w:hint="eastAsia" w:ascii="宋体" w:hAnsi="宋体" w:eastAsia="宋体" w:cs="宋体"/>
          <w:bCs/>
          <w:color w:val="auto"/>
          <w:sz w:val="24"/>
          <w:szCs w:val="24"/>
          <w:highlight w:val="none"/>
        </w:rPr>
        <w:t>汇总评审计分结果，</w:t>
      </w:r>
      <w:r>
        <w:rPr>
          <w:rFonts w:hint="eastAsia" w:ascii="宋体" w:hAnsi="宋体" w:eastAsia="宋体" w:cs="宋体"/>
          <w:color w:val="auto"/>
          <w:sz w:val="24"/>
          <w:szCs w:val="24"/>
          <w:highlight w:val="none"/>
        </w:rPr>
        <w:t>并按照评标总得分由高至低的次序对投标人进行排序。</w:t>
      </w:r>
    </w:p>
    <w:p w14:paraId="0CF189A6">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 J1×G+J2×H</w:t>
      </w:r>
    </w:p>
    <w:p w14:paraId="4502C1E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其中：C——评标总得分</w:t>
      </w:r>
    </w:p>
    <w:p w14:paraId="0163BFD9">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G——业绩及信用</w:t>
      </w:r>
    </w:p>
    <w:p w14:paraId="4E856E0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报价评审得分</w:t>
      </w:r>
    </w:p>
    <w:p w14:paraId="58ED328C">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J1、J2——各项评审因素的权重</w:t>
      </w:r>
    </w:p>
    <w:p w14:paraId="419197D3">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5.5</w:t>
      </w:r>
      <w:r>
        <w:rPr>
          <w:rFonts w:hint="eastAsia" w:ascii="宋体" w:hAnsi="宋体" w:eastAsia="宋体" w:cs="宋体"/>
          <w:color w:val="auto"/>
          <w:sz w:val="24"/>
          <w:szCs w:val="24"/>
          <w:highlight w:val="none"/>
        </w:rPr>
        <w:t>评分分值计算保留小数点后两位，小数点后第三位“四舍五入”。</w:t>
      </w:r>
    </w:p>
    <w:p w14:paraId="681289C6">
      <w:pPr>
        <w:pStyle w:val="5"/>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8" w:name="_Toc1158"/>
      <w:bookmarkStart w:id="179" w:name="_Toc300678071"/>
      <w:r>
        <w:rPr>
          <w:rFonts w:hint="eastAsia" w:ascii="宋体" w:hAnsi="宋体" w:eastAsia="宋体" w:cs="宋体"/>
          <w:lang w:val="en-US" w:eastAsia="zh-CN"/>
        </w:rPr>
        <w:t>6</w:t>
      </w:r>
      <w:r>
        <w:rPr>
          <w:rFonts w:hint="eastAsia" w:ascii="宋体" w:hAnsi="宋体" w:eastAsia="宋体" w:cs="宋体"/>
        </w:rPr>
        <w:t>.中标人的确定</w:t>
      </w:r>
      <w:bookmarkEnd w:id="178"/>
    </w:p>
    <w:p w14:paraId="69A34B83">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 推荐中标候选人</w:t>
      </w:r>
    </w:p>
    <w:p w14:paraId="095DB803">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.1.1评标委员会在推荐中标候选人时，应遵照以下原则:</w:t>
      </w:r>
    </w:p>
    <w:p w14:paraId="703D0588">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评标委员会按照评标总得分由高至低的次序排列，并根据第二章“投标人须知”前规定的中标候选人数量，将排序在前的投标人推荐为中标候选人。</w:t>
      </w:r>
    </w:p>
    <w:p w14:paraId="7C45B536">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评标委员会根据规定予以否决投标后，如果因有效投标不足3个使得投标明显缺乏竞争的，评标委员会可以建议招标人重新招标。</w:t>
      </w:r>
    </w:p>
    <w:p w14:paraId="0B540559">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.1.2 投标人数量少于3个或者所有投标被否决的，招标人应当依法重新招标。</w:t>
      </w:r>
    </w:p>
    <w:p w14:paraId="63A7CBF7">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.2 确定中标人</w:t>
      </w:r>
    </w:p>
    <w:p w14:paraId="20FA8CE3">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招标人对评标委员会推荐的中标候选人进行公示。公示期满，按照相关规定确定中标人。</w:t>
      </w:r>
    </w:p>
    <w:p w14:paraId="13378CFE">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.3 编制评标报告</w:t>
      </w:r>
    </w:p>
    <w:p w14:paraId="23B1B35C">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评标委员会根据评标办法的规定向招标人提交评标报告。评标报告应当由全体评标委员会成员签字。评标报告应当包括以下内容：</w:t>
      </w:r>
    </w:p>
    <w:p w14:paraId="3ECD35A2">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（1）基本情况和数据表；</w:t>
      </w:r>
    </w:p>
    <w:p w14:paraId="5940742E">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（2）评标委员会成员名单；</w:t>
      </w:r>
    </w:p>
    <w:p w14:paraId="4069AB36">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（3）开标记录；</w:t>
      </w:r>
    </w:p>
    <w:p w14:paraId="4EC6221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（4）符合要求的投标一览表；</w:t>
      </w:r>
    </w:p>
    <w:p w14:paraId="52119613">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（5）否决投标情况说明；</w:t>
      </w:r>
    </w:p>
    <w:p w14:paraId="418713C3">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（6）评标标准、评标方法或者评标因素一览表；</w:t>
      </w:r>
    </w:p>
    <w:p w14:paraId="76752476">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（7）经评审的价格一览表（包括评标委员会在评标过程中所形成的所有记载评标结果、结论的表格、说明、记录等文件）；</w:t>
      </w:r>
    </w:p>
    <w:p w14:paraId="3859F1C4">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（8）经评审的投标人排序；</w:t>
      </w:r>
    </w:p>
    <w:p w14:paraId="57F18451">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（9）推荐的中标候选人名单与签订合同前要处理的事宜；</w:t>
      </w:r>
    </w:p>
    <w:p w14:paraId="3F0BC5CF">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（10）澄清、说明、补正事项纪要。</w:t>
      </w:r>
    </w:p>
    <w:p w14:paraId="008EA870">
      <w:pPr>
        <w:pStyle w:val="5"/>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80" w:name="_Toc28631"/>
      <w:r>
        <w:rPr>
          <w:rFonts w:hint="eastAsia" w:ascii="宋体" w:hAnsi="宋体" w:eastAsia="宋体" w:cs="宋体"/>
          <w:lang w:val="en-US" w:eastAsia="zh-CN"/>
        </w:rPr>
        <w:t>7</w:t>
      </w:r>
      <w:r>
        <w:rPr>
          <w:rFonts w:hint="eastAsia" w:ascii="宋体" w:hAnsi="宋体" w:eastAsia="宋体" w:cs="宋体"/>
        </w:rPr>
        <w:t>．特殊情况的处置程序</w:t>
      </w:r>
      <w:bookmarkEnd w:id="180"/>
    </w:p>
    <w:p w14:paraId="7A4D2EA8">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关于评标活动暂停</w:t>
      </w:r>
    </w:p>
    <w:p w14:paraId="3B2CC469">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.1.1 评标委员会应当执行连续评标的原则，按评标办法中规定的程序、内容、方法、标准完成全部评标工作。除特殊情况外，评标活动不得暂停。</w:t>
      </w:r>
    </w:p>
    <w:p w14:paraId="65FFCBA3">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.1.2 发生评标暂停情况时，评标委员会应当封存全部投标文件和评标记录，待特殊情况的影响结束且具备继续评标的条件时，由原评标委员会继续评标。</w:t>
      </w:r>
    </w:p>
    <w:p w14:paraId="71ABAFAC">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关于评标中途更换评委</w:t>
      </w:r>
    </w:p>
    <w:p w14:paraId="0BD7187B">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.2.1 除非发生下列情况之一，不得在评标中途更换评标委员会成员：</w:t>
      </w:r>
    </w:p>
    <w:p w14:paraId="684A4931">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（1）因不可抗拒的原因，评标委员会成员不能到场或需在评标中途退出评标活动。</w:t>
      </w:r>
    </w:p>
    <w:p w14:paraId="2F9B8E26">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（2）根据法律法规规定，某个或某几个评标委员会成员需要回避。</w:t>
      </w:r>
    </w:p>
    <w:p w14:paraId="40D52791">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.2.2 退出评标的评标委员会成员，其完成的评标行为无效。由招标人根据有关规定另行确定替代者进行评标。</w:t>
      </w:r>
    </w:p>
    <w:p w14:paraId="667DCF17">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.3 记名投票</w:t>
      </w:r>
    </w:p>
    <w:p w14:paraId="5F8A371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在任何评标环节中，需评标委员会就某项定性的评审结论做出表决的，由评标委员会全体成员按照少数服从多数的原则，以记名投票方式表决。</w:t>
      </w:r>
    </w:p>
    <w:p w14:paraId="264CD197">
      <w:pPr>
        <w:pStyle w:val="5"/>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81" w:name="_Toc13092"/>
      <w:r>
        <w:rPr>
          <w:rFonts w:hint="eastAsia" w:ascii="宋体" w:hAnsi="宋体" w:eastAsia="宋体" w:cs="宋体"/>
          <w:lang w:val="en-US" w:eastAsia="zh-CN"/>
        </w:rPr>
        <w:t>8</w:t>
      </w:r>
      <w:r>
        <w:rPr>
          <w:rFonts w:hint="eastAsia" w:ascii="宋体" w:hAnsi="宋体" w:eastAsia="宋体" w:cs="宋体"/>
        </w:rPr>
        <w:t>.补充条款</w:t>
      </w:r>
      <w:bookmarkEnd w:id="181"/>
    </w:p>
    <w:bookmarkEnd w:id="171"/>
    <w:bookmarkEnd w:id="179"/>
    <w:p w14:paraId="7197D3EB">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.1评标过程中，评标委员会成员对法律法规及相关政策文件理解不一致或者不熟悉的问题，应当在现场提请行政监管部门解释。对招标文件中存在的其他问题应当提请招标人澄清。</w:t>
      </w:r>
    </w:p>
    <w:p w14:paraId="561B68EA">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对上述情形以外的问题，由评标委员会集体讨论决定。无法形成一致意见时，应当按照少数服从多数原则进行表决并予记录。</w:t>
      </w:r>
    </w:p>
    <w:p w14:paraId="24A78916">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.2评标专家签署评标报告前，评标委员会主任评委应当组织评标专家并邀请招标人、招标代理机构进行复核。</w:t>
      </w:r>
    </w:p>
    <w:p w14:paraId="77100276">
      <w:pPr>
        <w:adjustRightInd w:val="0"/>
        <w:snapToGrid w:val="0"/>
        <w:spacing w:line="360" w:lineRule="auto"/>
        <w:ind w:firstLine="420" w:firstLineChars="200"/>
        <w:rPr>
          <w:color w:val="auto"/>
          <w:highlight w:val="none"/>
          <w:lang w:val="zh-CN"/>
        </w:rPr>
      </w:pPr>
      <w:r>
        <w:rPr>
          <w:rFonts w:hint="eastAsia"/>
          <w:color w:val="auto"/>
          <w:szCs w:val="21"/>
          <w:highlight w:val="none"/>
        </w:rPr>
        <w:t>.......</w:t>
      </w:r>
      <w:r>
        <w:rPr>
          <w:bCs/>
          <w:color w:val="auto"/>
          <w:highlight w:val="none"/>
        </w:rPr>
        <w:br w:type="page"/>
      </w:r>
    </w:p>
    <w:p w14:paraId="11401849">
      <w:pPr>
        <w:pStyle w:val="3"/>
        <w:bidi w:val="0"/>
        <w:rPr>
          <w:lang w:val="zh-CN"/>
        </w:rPr>
      </w:pPr>
      <w:bookmarkStart w:id="182" w:name="_Toc21552"/>
      <w:bookmarkStart w:id="183" w:name="_Toc80006109"/>
      <w:bookmarkStart w:id="184" w:name="_Toc1266"/>
      <w:r>
        <w:t>第四章  合同条款及格式</w:t>
      </w:r>
      <w:bookmarkEnd w:id="182"/>
      <w:bookmarkEnd w:id="183"/>
      <w:bookmarkEnd w:id="184"/>
      <w:bookmarkStart w:id="185" w:name="_Toc337558727"/>
      <w:r>
        <w:t xml:space="preserve"> </w:t>
      </w:r>
    </w:p>
    <w:p w14:paraId="3D45B6D6">
      <w:pPr>
        <w:spacing w:line="480" w:lineRule="exact"/>
        <w:rPr>
          <w:rFonts w:hint="eastAsia"/>
          <w:color w:val="auto"/>
          <w:szCs w:val="21"/>
          <w:highlight w:val="none"/>
        </w:rPr>
      </w:pPr>
    </w:p>
    <w:p w14:paraId="3226508E">
      <w:pPr>
        <w:spacing w:line="480" w:lineRule="exact"/>
        <w:ind w:firstLine="480" w:firstLineChars="200"/>
        <w:rPr>
          <w:color w:val="auto"/>
          <w:sz w:val="24"/>
          <w:szCs w:val="24"/>
          <w:highlight w:val="none"/>
        </w:rPr>
      </w:pPr>
      <w:r>
        <w:rPr>
          <w:rFonts w:hint="eastAsia"/>
          <w:color w:val="auto"/>
          <w:sz w:val="24"/>
          <w:szCs w:val="24"/>
          <w:highlight w:val="none"/>
        </w:rPr>
        <w:t>说明：</w:t>
      </w:r>
      <w:r>
        <w:rPr>
          <w:color w:val="auto"/>
          <w:sz w:val="24"/>
          <w:szCs w:val="24"/>
          <w:highlight w:val="none"/>
        </w:rPr>
        <w:t>合同条款及格式</w:t>
      </w:r>
      <w:r>
        <w:rPr>
          <w:rFonts w:hint="eastAsia"/>
          <w:color w:val="auto"/>
          <w:sz w:val="24"/>
          <w:szCs w:val="24"/>
          <w:highlight w:val="none"/>
        </w:rPr>
        <w:t>应当作为</w:t>
      </w:r>
      <w:r>
        <w:rPr>
          <w:color w:val="auto"/>
          <w:sz w:val="24"/>
          <w:szCs w:val="24"/>
          <w:highlight w:val="none"/>
        </w:rPr>
        <w:t>招标文件的组成部分，</w:t>
      </w:r>
      <w:r>
        <w:rPr>
          <w:rFonts w:hint="eastAsia" w:ascii="宋体" w:hAnsi="宋体" w:cs="宋体"/>
          <w:color w:val="auto"/>
          <w:sz w:val="24"/>
          <w:szCs w:val="24"/>
          <w:highlight w:val="none"/>
        </w:rPr>
        <w:t>合同条款及格式推荐采用</w:t>
      </w:r>
      <w:r>
        <w:rPr>
          <w:color w:val="auto"/>
          <w:sz w:val="24"/>
          <w:szCs w:val="24"/>
          <w:highlight w:val="none"/>
        </w:rPr>
        <w:t>《建设工程施工合同（示范文本）》（GF-2017-0201）。</w:t>
      </w:r>
      <w:bookmarkEnd w:id="185"/>
      <w:bookmarkStart w:id="186" w:name="_Toc351203632"/>
    </w:p>
    <w:p w14:paraId="7C5B5A90">
      <w:pPr>
        <w:rPr>
          <w:rFonts w:ascii="Times New Roman" w:hAnsi="Times New Roman" w:eastAsia="黑体"/>
          <w:b w:val="0"/>
          <w:bCs w:val="0"/>
          <w:color w:val="auto"/>
          <w:sz w:val="24"/>
          <w:szCs w:val="24"/>
          <w:highlight w:val="none"/>
        </w:rPr>
      </w:pPr>
      <w:bookmarkStart w:id="187" w:name="_Toc351203480"/>
      <w:bookmarkStart w:id="188" w:name="_Toc296503025"/>
      <w:bookmarkStart w:id="189" w:name="_Toc296890982"/>
      <w:bookmarkStart w:id="190" w:name="_Toc5567"/>
      <w:bookmarkStart w:id="191" w:name="_Toc80006110"/>
      <w:r>
        <w:rPr>
          <w:rFonts w:ascii="Times New Roman" w:hAnsi="Times New Roman" w:eastAsia="黑体"/>
          <w:b w:val="0"/>
          <w:bCs w:val="0"/>
          <w:color w:val="auto"/>
          <w:sz w:val="24"/>
          <w:szCs w:val="24"/>
          <w:highlight w:val="none"/>
        </w:rPr>
        <w:br w:type="page"/>
      </w:r>
    </w:p>
    <w:p w14:paraId="6D7EA018">
      <w:pPr>
        <w:pStyle w:val="4"/>
        <w:bidi w:val="0"/>
        <w:rPr>
          <w:rFonts w:hint="eastAsia" w:ascii="微软雅黑" w:hAnsi="微软雅黑" w:eastAsia="微软雅黑" w:cs="微软雅黑"/>
        </w:rPr>
      </w:pPr>
      <w:bookmarkStart w:id="192" w:name="_Toc36"/>
      <w:r>
        <w:rPr>
          <w:rFonts w:hint="eastAsia" w:ascii="微软雅黑" w:hAnsi="微软雅黑" w:eastAsia="微软雅黑" w:cs="微软雅黑"/>
        </w:rPr>
        <w:t>第一节 合同协议书</w:t>
      </w:r>
      <w:bookmarkEnd w:id="187"/>
      <w:bookmarkEnd w:id="188"/>
      <w:bookmarkEnd w:id="189"/>
      <w:bookmarkEnd w:id="190"/>
      <w:bookmarkEnd w:id="191"/>
      <w:bookmarkEnd w:id="192"/>
    </w:p>
    <w:p w14:paraId="5FCA9935">
      <w:pPr>
        <w:pageBreakBefore w:val="0"/>
        <w:widowControl w:val="0"/>
        <w:kinsoku/>
        <w:wordWrap/>
        <w:overflowPunct/>
        <w:topLinePunct w:val="0"/>
        <w:bidi w:val="0"/>
        <w:snapToGrid/>
        <w:spacing w:line="360" w:lineRule="auto"/>
        <w:textAlignment w:val="auto"/>
        <w:rPr>
          <w:rFonts w:hint="eastAsia" w:ascii="宋体" w:hAnsi="宋体" w:eastAsia="宋体" w:cs="宋体"/>
          <w:b/>
          <w:color w:val="000000"/>
          <w:sz w:val="24"/>
          <w:szCs w:val="24"/>
          <w:u w:val="single"/>
        </w:rPr>
      </w:pPr>
      <w:r>
        <w:rPr>
          <w:rFonts w:hint="eastAsia" w:ascii="宋体" w:hAnsi="宋体" w:eastAsia="宋体" w:cs="宋体"/>
          <w:b/>
          <w:color w:val="000000"/>
          <w:sz w:val="24"/>
          <w:szCs w:val="24"/>
        </w:rPr>
        <w:t>发包人（全称）：</w:t>
      </w:r>
      <w:r>
        <w:rPr>
          <w:rFonts w:hint="default" w:ascii="宋体" w:hAnsi="宋体" w:cs="宋体"/>
          <w:b/>
          <w:color w:val="000000"/>
          <w:sz w:val="24"/>
          <w:szCs w:val="24"/>
          <w:u w:val="single"/>
          <w:lang w:val="en-US" w:eastAsia="zh-CN"/>
        </w:rPr>
        <w:t>江永县供销社社有资产管理有限公司</w:t>
      </w:r>
    </w:p>
    <w:p w14:paraId="50516FE7">
      <w:pPr>
        <w:pageBreakBefore w:val="0"/>
        <w:widowControl w:val="0"/>
        <w:kinsoku/>
        <w:wordWrap/>
        <w:overflowPunct/>
        <w:topLinePunct w:val="0"/>
        <w:bidi w:val="0"/>
        <w:snapToGrid/>
        <w:spacing w:line="360" w:lineRule="auto"/>
        <w:textAlignment w:val="auto"/>
        <w:rPr>
          <w:rFonts w:hint="eastAsia" w:ascii="宋体" w:hAnsi="宋体" w:eastAsia="宋体" w:cs="宋体"/>
          <w:b/>
          <w:color w:val="000000"/>
          <w:sz w:val="24"/>
          <w:szCs w:val="24"/>
          <w:u w:val="single"/>
        </w:rPr>
      </w:pPr>
      <w:r>
        <w:rPr>
          <w:rFonts w:hint="eastAsia" w:ascii="宋体" w:hAnsi="宋体" w:eastAsia="宋体" w:cs="宋体"/>
          <w:b/>
          <w:color w:val="000000"/>
          <w:sz w:val="24"/>
          <w:szCs w:val="24"/>
        </w:rPr>
        <w:t>承包人（全称）：</w:t>
      </w:r>
      <w:r>
        <w:rPr>
          <w:rFonts w:hint="eastAsia" w:ascii="宋体" w:hAnsi="宋体" w:eastAsia="宋体" w:cs="宋体"/>
          <w:b/>
          <w:color w:val="000000"/>
          <w:sz w:val="24"/>
          <w:szCs w:val="24"/>
          <w:u w:val="single"/>
        </w:rPr>
        <w:t>                      </w:t>
      </w:r>
    </w:p>
    <w:p w14:paraId="7CBADC1C">
      <w:pPr>
        <w:widowControl w:val="0"/>
        <w:wordWrap/>
        <w:adjustRightInd/>
        <w:snapToGrid/>
        <w:spacing w:before="0" w:beforeLines="0" w:line="240" w:lineRule="auto"/>
        <w:ind w:right="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w:t>
      </w:r>
      <w:r>
        <w:rPr>
          <w:rFonts w:hint="eastAsia" w:ascii="宋体" w:hAnsi="宋体" w:eastAsia="宋体" w:cs="宋体"/>
          <w:color w:val="000000"/>
          <w:sz w:val="24"/>
          <w:szCs w:val="24"/>
          <w:lang w:val="en-US" w:eastAsia="zh-CN"/>
        </w:rPr>
        <w:t>民法典</w:t>
      </w:r>
      <w:r>
        <w:rPr>
          <w:rFonts w:hint="eastAsia" w:ascii="宋体" w:hAnsi="宋体" w:eastAsia="宋体" w:cs="宋体"/>
          <w:color w:val="000000"/>
          <w:sz w:val="24"/>
          <w:szCs w:val="24"/>
        </w:rPr>
        <w:t>》、《中华人民共和国建筑法》及有关法律规定，遵循平等、自愿、公平和诚实信用的原则，双方就</w:t>
      </w:r>
      <w:r>
        <w:rPr>
          <w:rFonts w:hint="default" w:ascii="宋体" w:hAnsi="宋体" w:cs="宋体"/>
          <w:b w:val="0"/>
          <w:bCs w:val="0"/>
          <w:color w:val="000000"/>
          <w:sz w:val="24"/>
          <w:szCs w:val="24"/>
          <w:u w:val="single"/>
          <w:lang w:val="en-US" w:eastAsia="zh-CN"/>
        </w:rPr>
        <w:t>江永县供销联社烟花爆竹有限公司烟花爆竹仓库新建（搬迁）工程</w:t>
      </w:r>
      <w:r>
        <w:rPr>
          <w:rFonts w:hint="eastAsia" w:ascii="宋体" w:hAnsi="宋体" w:eastAsia="宋体" w:cs="宋体"/>
          <w:color w:val="000000"/>
          <w:sz w:val="24"/>
          <w:szCs w:val="24"/>
        </w:rPr>
        <w:t>工程施工及有关事项协商一致，共同达成如下协议：</w:t>
      </w:r>
    </w:p>
    <w:p w14:paraId="65FF8452">
      <w:pPr>
        <w:pStyle w:val="5"/>
        <w:bidi w:val="0"/>
        <w:rPr>
          <w:rFonts w:hint="eastAsia"/>
        </w:rPr>
      </w:pPr>
      <w:bookmarkStart w:id="193" w:name="_Toc351203481"/>
      <w:bookmarkStart w:id="194" w:name="_Toc11495"/>
      <w:bookmarkStart w:id="195" w:name="_Toc7988"/>
      <w:r>
        <w:rPr>
          <w:rFonts w:hint="eastAsia"/>
        </w:rPr>
        <w:t>一、工程概况</w:t>
      </w:r>
      <w:bookmarkEnd w:id="193"/>
      <w:bookmarkEnd w:id="194"/>
      <w:bookmarkEnd w:id="195"/>
    </w:p>
    <w:p w14:paraId="665C5DF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bCs/>
          <w:color w:val="000000"/>
          <w:sz w:val="24"/>
          <w:szCs w:val="24"/>
        </w:rPr>
        <w:t>1.工程名称</w:t>
      </w:r>
      <w:r>
        <w:rPr>
          <w:rFonts w:hint="eastAsia" w:ascii="宋体" w:hAnsi="宋体" w:eastAsia="宋体" w:cs="宋体"/>
          <w:color w:val="000000"/>
          <w:sz w:val="24"/>
          <w:szCs w:val="24"/>
        </w:rPr>
        <w:t>：</w:t>
      </w:r>
      <w:r>
        <w:rPr>
          <w:rFonts w:hint="default" w:ascii="宋体" w:hAnsi="宋体" w:cs="宋体"/>
          <w:b w:val="0"/>
          <w:bCs w:val="0"/>
          <w:color w:val="000000"/>
          <w:sz w:val="24"/>
          <w:szCs w:val="24"/>
          <w:u w:val="single"/>
          <w:lang w:val="en-US" w:eastAsia="zh-CN"/>
        </w:rPr>
        <w:t>江永县供销联社烟花爆竹有限公司烟花爆竹仓库新建（搬迁）工程</w:t>
      </w:r>
      <w:r>
        <w:rPr>
          <w:rFonts w:hint="eastAsia" w:ascii="宋体" w:hAnsi="宋体" w:eastAsia="宋体" w:cs="宋体"/>
          <w:color w:val="000000"/>
          <w:sz w:val="24"/>
          <w:szCs w:val="24"/>
        </w:rPr>
        <w:t>。</w:t>
      </w:r>
    </w:p>
    <w:p w14:paraId="7F20DDF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2.工程地点：</w:t>
      </w:r>
      <w:r>
        <w:rPr>
          <w:rFonts w:hint="eastAsia" w:ascii="宋体" w:hAnsi="宋体" w:cs="宋体"/>
          <w:b w:val="0"/>
          <w:bCs w:val="0"/>
          <w:color w:val="000000"/>
          <w:sz w:val="24"/>
          <w:szCs w:val="24"/>
          <w:highlight w:val="none"/>
          <w:u w:val="single"/>
          <w:lang w:val="en-US" w:eastAsia="zh-CN"/>
        </w:rPr>
        <w:t>桃川镇桃源社区</w:t>
      </w:r>
      <w:r>
        <w:rPr>
          <w:rFonts w:hint="eastAsia" w:ascii="宋体" w:hAnsi="宋体" w:eastAsia="宋体" w:cs="宋体"/>
          <w:color w:val="000000"/>
          <w:sz w:val="24"/>
          <w:szCs w:val="24"/>
          <w:highlight w:val="none"/>
        </w:rPr>
        <w:t>。</w:t>
      </w:r>
    </w:p>
    <w:p w14:paraId="5E9AC1CD">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3.工程立项批准文号：</w:t>
      </w:r>
      <w:r>
        <w:rPr>
          <w:rFonts w:hint="eastAsia" w:ascii="宋体" w:hAnsi="宋体" w:cs="宋体"/>
          <w:bCs/>
          <w:color w:val="000000"/>
          <w:sz w:val="24"/>
          <w:szCs w:val="24"/>
          <w:highlight w:val="none"/>
          <w:u w:val="single"/>
          <w:lang w:val="en-US" w:eastAsia="zh-CN"/>
        </w:rPr>
        <w:t>江永发改许准字[2026]简3号</w:t>
      </w:r>
      <w:r>
        <w:rPr>
          <w:rFonts w:hint="eastAsia" w:ascii="宋体" w:hAnsi="宋体" w:eastAsia="宋体" w:cs="宋体"/>
          <w:bCs/>
          <w:color w:val="000000"/>
          <w:sz w:val="24"/>
          <w:szCs w:val="24"/>
        </w:rPr>
        <w:t>。</w:t>
      </w:r>
    </w:p>
    <w:p w14:paraId="55ABBB6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sz w:val="24"/>
          <w:szCs w:val="24"/>
          <w:highlight w:val="yellow"/>
        </w:rPr>
      </w:pPr>
      <w:r>
        <w:rPr>
          <w:rFonts w:hint="eastAsia" w:ascii="宋体" w:hAnsi="宋体" w:eastAsia="宋体" w:cs="宋体"/>
          <w:bCs/>
          <w:color w:val="000000"/>
          <w:sz w:val="24"/>
          <w:szCs w:val="24"/>
        </w:rPr>
        <w:t>4.资金来源：</w:t>
      </w:r>
      <w:r>
        <w:rPr>
          <w:rFonts w:hint="eastAsia" w:ascii="宋体" w:hAnsi="宋体" w:eastAsia="宋体" w:cs="宋体"/>
          <w:i w:val="0"/>
          <w:iCs w:val="0"/>
          <w:caps w:val="0"/>
          <w:color w:val="000000"/>
          <w:spacing w:val="0"/>
          <w:sz w:val="21"/>
          <w:szCs w:val="21"/>
          <w:u w:val="single"/>
          <w:shd w:val="clear" w:fill="FFFFFF"/>
        </w:rPr>
        <w:t>自筹</w:t>
      </w:r>
      <w:r>
        <w:rPr>
          <w:rFonts w:hint="eastAsia" w:ascii="宋体" w:hAnsi="宋体" w:cs="宋体"/>
          <w:b w:val="0"/>
          <w:bCs w:val="0"/>
          <w:color w:val="000000"/>
          <w:sz w:val="24"/>
          <w:szCs w:val="24"/>
          <w:highlight w:val="none"/>
          <w:u w:val="single"/>
          <w:lang w:val="en-US" w:eastAsia="zh-CN"/>
        </w:rPr>
        <w:t>资金</w:t>
      </w:r>
      <w:r>
        <w:rPr>
          <w:rFonts w:eastAsia="宋体"/>
          <w:color w:val="auto"/>
          <w:highlight w:val="none"/>
          <w:u w:val="single"/>
        </w:rPr>
        <w:t xml:space="preserve"> </w:t>
      </w:r>
      <w:r>
        <w:rPr>
          <w:rFonts w:hint="eastAsia" w:ascii="宋体" w:hAnsi="宋体" w:eastAsia="宋体" w:cs="宋体"/>
          <w:bCs/>
          <w:color w:val="000000"/>
          <w:sz w:val="24"/>
          <w:szCs w:val="24"/>
          <w:highlight w:val="none"/>
        </w:rPr>
        <w:t>。</w:t>
      </w:r>
    </w:p>
    <w:p w14:paraId="4DD64CB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rPr>
        <w:t>5.工程内容：</w:t>
      </w:r>
      <w:r>
        <w:rPr>
          <w:rFonts w:hint="default" w:ascii="宋体" w:hAnsi="宋体" w:cs="宋体"/>
          <w:b w:val="0"/>
          <w:bCs w:val="0"/>
          <w:color w:val="000000"/>
          <w:sz w:val="24"/>
          <w:szCs w:val="24"/>
          <w:highlight w:val="none"/>
          <w:u w:val="single"/>
          <w:lang w:val="en-US" w:eastAsia="zh-CN"/>
        </w:rPr>
        <w:t>江永县供销联社烟花爆竹有限公司烟花爆竹仓库新建（搬迁）工程</w:t>
      </w:r>
      <w:r>
        <w:rPr>
          <w:rFonts w:hint="eastAsia" w:ascii="宋体" w:hAnsi="宋体" w:eastAsia="宋体" w:cs="宋体"/>
          <w:b w:val="0"/>
          <w:bCs w:val="0"/>
          <w:color w:val="000000"/>
          <w:sz w:val="24"/>
          <w:szCs w:val="24"/>
          <w:highlight w:val="none"/>
          <w:u w:val="single"/>
          <w:lang w:val="en-US" w:eastAsia="zh-CN"/>
        </w:rPr>
        <w:t>施工全部内容</w:t>
      </w:r>
      <w:r>
        <w:rPr>
          <w:rFonts w:hint="eastAsia" w:ascii="宋体" w:hAnsi="宋体" w:eastAsia="宋体" w:cs="宋体"/>
          <w:bCs/>
          <w:color w:val="000000"/>
          <w:sz w:val="24"/>
          <w:szCs w:val="24"/>
          <w:highlight w:val="none"/>
          <w:u w:val="single"/>
        </w:rPr>
        <w:t>，具体详见工程量清单（以江永县财政投资评审中心审定的工程量清单为准）及施工图</w:t>
      </w:r>
      <w:r>
        <w:rPr>
          <w:rFonts w:hint="eastAsia" w:ascii="宋体" w:hAnsi="宋体" w:eastAsia="宋体" w:cs="宋体"/>
          <w:bCs/>
          <w:color w:val="000000"/>
          <w:sz w:val="24"/>
          <w:szCs w:val="24"/>
          <w:highlight w:val="none"/>
        </w:rPr>
        <w:t>。</w:t>
      </w:r>
    </w:p>
    <w:p w14:paraId="6E1BFA2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color w:val="000000"/>
          <w:sz w:val="24"/>
          <w:szCs w:val="24"/>
        </w:rPr>
        <w:t>群体工程应附《承包人承揽工程项目一览表》（附件1）。</w:t>
      </w:r>
    </w:p>
    <w:p w14:paraId="3C14581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bCs/>
          <w:color w:val="000000"/>
          <w:sz w:val="24"/>
          <w:szCs w:val="24"/>
        </w:rPr>
        <w:t>6.工程承包范围：</w:t>
      </w:r>
      <w:r>
        <w:rPr>
          <w:rFonts w:hint="eastAsia" w:ascii="宋体" w:hAnsi="宋体" w:eastAsia="宋体" w:cs="宋体"/>
          <w:color w:val="auto"/>
          <w:sz w:val="24"/>
          <w:szCs w:val="24"/>
          <w:highlight w:val="none"/>
          <w:u w:val="single"/>
          <w:lang w:val="en-US" w:eastAsia="zh-CN"/>
        </w:rPr>
        <w:t>本工程施工图范围内的所有工程(具体以工程量清单为准)</w:t>
      </w:r>
      <w:r>
        <w:rPr>
          <w:rFonts w:hint="eastAsia" w:ascii="宋体" w:hAnsi="宋体" w:eastAsia="宋体" w:cs="宋体"/>
          <w:color w:val="000000"/>
          <w:sz w:val="24"/>
          <w:szCs w:val="24"/>
        </w:rPr>
        <w:t>。</w:t>
      </w:r>
    </w:p>
    <w:p w14:paraId="62F2FC71">
      <w:pPr>
        <w:pStyle w:val="5"/>
        <w:bidi w:val="0"/>
        <w:rPr>
          <w:rFonts w:hint="eastAsia"/>
        </w:rPr>
      </w:pPr>
      <w:bookmarkStart w:id="196" w:name="_Toc10412"/>
      <w:bookmarkStart w:id="197" w:name="_Toc351203482"/>
      <w:bookmarkStart w:id="198" w:name="_Toc16051"/>
      <w:r>
        <w:rPr>
          <w:rFonts w:hint="eastAsia"/>
        </w:rPr>
        <w:t>二、合同工期</w:t>
      </w:r>
      <w:bookmarkEnd w:id="196"/>
      <w:bookmarkEnd w:id="197"/>
      <w:bookmarkEnd w:id="198"/>
    </w:p>
    <w:p w14:paraId="5981DB4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计划开工日期：</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日。</w:t>
      </w:r>
    </w:p>
    <w:p w14:paraId="175DAF3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计划竣工日期：</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日。</w:t>
      </w:r>
    </w:p>
    <w:p w14:paraId="1D6B5E0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工期总日历天数：</w:t>
      </w:r>
      <w:r>
        <w:rPr>
          <w:rFonts w:hint="eastAsia" w:ascii="宋体" w:hAnsi="宋体" w:cs="宋体"/>
          <w:color w:val="000000"/>
          <w:sz w:val="24"/>
          <w:szCs w:val="24"/>
          <w:highlight w:val="none"/>
          <w:u w:val="single"/>
          <w:lang w:val="en-US" w:eastAsia="zh-CN"/>
        </w:rPr>
        <w:t>85</w:t>
      </w:r>
      <w:r>
        <w:rPr>
          <w:rFonts w:hint="eastAsia" w:ascii="宋体" w:hAnsi="宋体" w:eastAsia="宋体" w:cs="宋体"/>
          <w:color w:val="000000"/>
          <w:sz w:val="24"/>
          <w:szCs w:val="24"/>
          <w:highlight w:val="none"/>
          <w:u w:val="single"/>
        </w:rPr>
        <w:t>天</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rPr>
        <w:t>工期总日历天数与根据前述计划开竣工日期计算的工期天数不一致的，以工期总日历天数为准。</w:t>
      </w:r>
    </w:p>
    <w:p w14:paraId="5600DA6E">
      <w:pPr>
        <w:pStyle w:val="5"/>
        <w:bidi w:val="0"/>
        <w:rPr>
          <w:rFonts w:hint="eastAsia"/>
        </w:rPr>
      </w:pPr>
      <w:bookmarkStart w:id="199" w:name="_Toc10747"/>
      <w:bookmarkStart w:id="200" w:name="_Toc13571"/>
      <w:bookmarkStart w:id="201" w:name="_Toc351203483"/>
      <w:r>
        <w:rPr>
          <w:rFonts w:hint="eastAsia"/>
        </w:rPr>
        <w:t>三、质量标准</w:t>
      </w:r>
      <w:bookmarkEnd w:id="199"/>
      <w:bookmarkEnd w:id="200"/>
      <w:bookmarkEnd w:id="201"/>
    </w:p>
    <w:p w14:paraId="2E7D5BD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工程质量符合</w:t>
      </w:r>
      <w:r>
        <w:rPr>
          <w:rFonts w:hint="eastAsia" w:ascii="宋体" w:hAnsi="宋体" w:eastAsia="宋体" w:cs="宋体"/>
          <w:color w:val="000000"/>
          <w:sz w:val="24"/>
          <w:szCs w:val="24"/>
          <w:u w:val="single"/>
        </w:rPr>
        <w:t>现行国家有关工程施工验收规范，达到国家合格工程验收</w:t>
      </w:r>
      <w:r>
        <w:rPr>
          <w:rFonts w:hint="eastAsia" w:ascii="宋体" w:hAnsi="宋体" w:eastAsia="宋体" w:cs="宋体"/>
          <w:color w:val="000000"/>
          <w:sz w:val="24"/>
          <w:szCs w:val="24"/>
        </w:rPr>
        <w:t>标准。</w:t>
      </w:r>
    </w:p>
    <w:p w14:paraId="395D2E5C">
      <w:pPr>
        <w:pStyle w:val="5"/>
        <w:bidi w:val="0"/>
        <w:rPr>
          <w:rFonts w:hint="eastAsia"/>
        </w:rPr>
      </w:pPr>
      <w:bookmarkStart w:id="202" w:name="_Toc6108"/>
      <w:bookmarkStart w:id="203" w:name="_Toc28650"/>
      <w:bookmarkStart w:id="204" w:name="_Toc351203484"/>
      <w:r>
        <w:rPr>
          <w:rFonts w:hint="eastAsia"/>
        </w:rPr>
        <w:t>四、签约合同价与合同价格形式</w:t>
      </w:r>
      <w:bookmarkEnd w:id="202"/>
      <w:bookmarkEnd w:id="203"/>
      <w:bookmarkEnd w:id="204"/>
    </w:p>
    <w:p w14:paraId="45CE926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1.签约合同价为：</w:t>
      </w:r>
    </w:p>
    <w:p w14:paraId="7CBA8E65">
      <w:pPr>
        <w:pageBreakBefore w:val="0"/>
        <w:widowControl w:val="0"/>
        <w:kinsoku/>
        <w:wordWrap/>
        <w:overflowPunct/>
        <w:topLinePunct w:val="0"/>
        <w:bidi w:val="0"/>
        <w:snapToGrid/>
        <w:spacing w:line="360" w:lineRule="auto"/>
        <w:ind w:firstLine="600" w:firstLineChars="2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4BCD4CD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其中：</w:t>
      </w:r>
    </w:p>
    <w:p w14:paraId="3F636B8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（1）安全文明施工费：</w:t>
      </w:r>
    </w:p>
    <w:p w14:paraId="3A935968">
      <w:pPr>
        <w:pageBreakBefore w:val="0"/>
        <w:widowControl w:val="0"/>
        <w:kinsoku/>
        <w:wordWrap/>
        <w:overflowPunct/>
        <w:topLinePunct w:val="0"/>
        <w:bidi w:val="0"/>
        <w:snapToGrid/>
        <w:spacing w:line="360" w:lineRule="auto"/>
        <w:ind w:firstLine="1080" w:firstLineChars="4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54E45DA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（2）材料和工程设备暂估价金额：</w:t>
      </w:r>
    </w:p>
    <w:p w14:paraId="557745F6">
      <w:pPr>
        <w:pageBreakBefore w:val="0"/>
        <w:widowControl w:val="0"/>
        <w:kinsoku/>
        <w:wordWrap/>
        <w:overflowPunct/>
        <w:topLinePunct w:val="0"/>
        <w:bidi w:val="0"/>
        <w:snapToGrid/>
        <w:spacing w:line="360" w:lineRule="auto"/>
        <w:ind w:firstLine="1080" w:firstLineChars="4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392F1CB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（3）专业工程暂估价金额：</w:t>
      </w:r>
    </w:p>
    <w:p w14:paraId="022BD9F7">
      <w:pPr>
        <w:pageBreakBefore w:val="0"/>
        <w:widowControl w:val="0"/>
        <w:kinsoku/>
        <w:wordWrap/>
        <w:overflowPunct/>
        <w:topLinePunct w:val="0"/>
        <w:bidi w:val="0"/>
        <w:snapToGrid/>
        <w:spacing w:line="360" w:lineRule="auto"/>
        <w:ind w:firstLine="1080" w:firstLineChars="4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0021AD2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（4）暂列金额：</w:t>
      </w:r>
    </w:p>
    <w:p w14:paraId="6E8F55C8">
      <w:pPr>
        <w:pageBreakBefore w:val="0"/>
        <w:widowControl w:val="0"/>
        <w:kinsoku/>
        <w:wordWrap/>
        <w:overflowPunct/>
        <w:topLinePunct w:val="0"/>
        <w:bidi w:val="0"/>
        <w:snapToGrid/>
        <w:spacing w:line="360" w:lineRule="auto"/>
        <w:ind w:firstLine="1080" w:firstLineChars="4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2F32594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2.合同价格形式：</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63C6272D">
      <w:pPr>
        <w:pStyle w:val="5"/>
        <w:bidi w:val="0"/>
        <w:rPr>
          <w:rFonts w:hint="eastAsia"/>
        </w:rPr>
      </w:pPr>
      <w:bookmarkStart w:id="205" w:name="_Toc351203485"/>
      <w:bookmarkStart w:id="206" w:name="_Toc17124"/>
      <w:bookmarkStart w:id="207" w:name="_Toc22528"/>
      <w:r>
        <w:rPr>
          <w:rFonts w:hint="eastAsia"/>
        </w:rPr>
        <w:t>五、</w:t>
      </w:r>
      <w:bookmarkEnd w:id="205"/>
      <w:r>
        <w:rPr>
          <w:rFonts w:hint="eastAsia"/>
        </w:rPr>
        <w:t>项目经理</w:t>
      </w:r>
      <w:bookmarkEnd w:id="206"/>
      <w:bookmarkEnd w:id="207"/>
    </w:p>
    <w:p w14:paraId="7B45E3D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承包人项目经理：</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4EDFB18E">
      <w:pPr>
        <w:pStyle w:val="5"/>
        <w:bidi w:val="0"/>
        <w:rPr>
          <w:rFonts w:hint="eastAsia"/>
        </w:rPr>
      </w:pPr>
      <w:bookmarkStart w:id="208" w:name="_Toc7346"/>
      <w:bookmarkStart w:id="209" w:name="_Toc26455"/>
      <w:bookmarkStart w:id="210" w:name="_Toc351203486"/>
      <w:r>
        <w:rPr>
          <w:rFonts w:hint="eastAsia"/>
        </w:rPr>
        <w:t>六、合同文件构成</w:t>
      </w:r>
      <w:bookmarkEnd w:id="208"/>
      <w:bookmarkEnd w:id="209"/>
      <w:bookmarkEnd w:id="210"/>
    </w:p>
    <w:p w14:paraId="265DDB1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本协议书与下列文件一起构成合同文件：</w:t>
      </w:r>
    </w:p>
    <w:p w14:paraId="02A90CF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（1）中标通知书（如果有）；</w:t>
      </w:r>
    </w:p>
    <w:p w14:paraId="33B72F7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（2）投标函及其附录（如果有）； </w:t>
      </w:r>
    </w:p>
    <w:p w14:paraId="74F7F30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（3）专用合同条款及其附件；</w:t>
      </w:r>
    </w:p>
    <w:p w14:paraId="68B0211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（4）通用合同条款；</w:t>
      </w:r>
    </w:p>
    <w:p w14:paraId="339EBA9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（5）技术标准和要求；</w:t>
      </w:r>
    </w:p>
    <w:p w14:paraId="2DA95FB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（6）图纸；</w:t>
      </w:r>
    </w:p>
    <w:p w14:paraId="0CFFFB7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（7）已标价工程量清单或预算书；</w:t>
      </w:r>
    </w:p>
    <w:p w14:paraId="5CE24BA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（8）其他合同文件。</w:t>
      </w:r>
    </w:p>
    <w:p w14:paraId="7D17362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在合同订立及履行过程中形成的与合同有关的文件均构成合同文件组成部分。</w:t>
      </w:r>
    </w:p>
    <w:p w14:paraId="16C1CDD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上述各项合同文件包括合同当事人就该项合同文件所作出的补充和修改，属于同一类内容的文件，应以最新签署的为准。专用合同条款及其附件须经合同当事人签字或盖章。</w:t>
      </w:r>
    </w:p>
    <w:p w14:paraId="1A814F48">
      <w:pPr>
        <w:pStyle w:val="5"/>
        <w:bidi w:val="0"/>
        <w:rPr>
          <w:rFonts w:hint="eastAsia"/>
        </w:rPr>
      </w:pPr>
      <w:bookmarkStart w:id="211" w:name="_Toc351203487"/>
      <w:bookmarkStart w:id="212" w:name="_Toc26760"/>
      <w:bookmarkStart w:id="213" w:name="_Toc6127"/>
      <w:r>
        <w:rPr>
          <w:rFonts w:hint="eastAsia"/>
        </w:rPr>
        <w:t>七、承诺</w:t>
      </w:r>
      <w:bookmarkEnd w:id="211"/>
      <w:bookmarkEnd w:id="212"/>
      <w:bookmarkEnd w:id="213"/>
    </w:p>
    <w:p w14:paraId="0320686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1.发包人承诺按照法律规定履行项目审批手续、筹集工程建设资金并按照合同约定的期限和方式支付合同价款。</w:t>
      </w:r>
    </w:p>
    <w:p w14:paraId="2343095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2.承包人承诺按照法律规定及合同约定组织完成工程施工，确保工程质量和安全，不进行转包及违法分包，并在缺陷责任期及保修期内承担相应的工程维修责任。</w:t>
      </w:r>
    </w:p>
    <w:p w14:paraId="1AC4757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3.发包人和承包人通过招投标形式签订合同的，双方理解并承诺不再就同一工程另行签订与合同实质性内容相背离的协议。</w:t>
      </w:r>
    </w:p>
    <w:p w14:paraId="5B9519E5">
      <w:pPr>
        <w:pStyle w:val="5"/>
        <w:bidi w:val="0"/>
        <w:rPr>
          <w:rFonts w:hint="eastAsia"/>
        </w:rPr>
      </w:pPr>
      <w:bookmarkStart w:id="214" w:name="_Toc41"/>
      <w:bookmarkStart w:id="215" w:name="_Toc1352"/>
      <w:bookmarkStart w:id="216" w:name="_Toc351203488"/>
      <w:r>
        <w:rPr>
          <w:rFonts w:hint="eastAsia"/>
        </w:rPr>
        <w:t>八、词语含义</w:t>
      </w:r>
      <w:bookmarkEnd w:id="214"/>
      <w:bookmarkEnd w:id="215"/>
      <w:bookmarkEnd w:id="216"/>
    </w:p>
    <w:p w14:paraId="45E1E75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本协议书中词语含义与第二部分通用合同条款中赋予的含义相同。</w:t>
      </w:r>
    </w:p>
    <w:p w14:paraId="447B7E5E">
      <w:pPr>
        <w:pStyle w:val="5"/>
        <w:bidi w:val="0"/>
        <w:rPr>
          <w:rFonts w:hint="eastAsia"/>
        </w:rPr>
      </w:pPr>
      <w:bookmarkStart w:id="217" w:name="_Toc22486"/>
      <w:bookmarkStart w:id="218" w:name="_Toc351203489"/>
      <w:bookmarkStart w:id="219" w:name="_Toc19012"/>
      <w:r>
        <w:rPr>
          <w:rFonts w:hint="eastAsia"/>
        </w:rPr>
        <w:t>九、签订时间</w:t>
      </w:r>
      <w:bookmarkEnd w:id="217"/>
      <w:bookmarkEnd w:id="218"/>
      <w:bookmarkEnd w:id="219"/>
    </w:p>
    <w:p w14:paraId="1733C6A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本合同于</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年</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月</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日签订。</w:t>
      </w:r>
    </w:p>
    <w:p w14:paraId="27144D6F">
      <w:pPr>
        <w:pStyle w:val="5"/>
        <w:bidi w:val="0"/>
        <w:rPr>
          <w:rFonts w:hint="eastAsia"/>
        </w:rPr>
      </w:pPr>
      <w:bookmarkStart w:id="220" w:name="_Toc1327"/>
      <w:bookmarkStart w:id="221" w:name="_Toc29963"/>
      <w:bookmarkStart w:id="222" w:name="_Toc351203490"/>
      <w:r>
        <w:rPr>
          <w:rFonts w:hint="eastAsia"/>
        </w:rPr>
        <w:t>十、签订地点</w:t>
      </w:r>
      <w:bookmarkEnd w:id="220"/>
      <w:bookmarkEnd w:id="221"/>
      <w:bookmarkEnd w:id="222"/>
    </w:p>
    <w:p w14:paraId="343F263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本合同在</w:t>
      </w:r>
      <w:r>
        <w:rPr>
          <w:rFonts w:hint="default" w:ascii="宋体" w:hAnsi="宋体" w:cs="宋体"/>
          <w:bCs/>
          <w:color w:val="000000"/>
          <w:sz w:val="24"/>
          <w:szCs w:val="24"/>
          <w:u w:val="single"/>
          <w:lang w:val="en-US" w:eastAsia="zh-CN"/>
        </w:rPr>
        <w:t>江永县供销社社有资产管理有限公司</w:t>
      </w:r>
      <w:r>
        <w:rPr>
          <w:rFonts w:hint="eastAsia" w:ascii="宋体" w:hAnsi="宋体" w:eastAsia="宋体" w:cs="宋体"/>
          <w:bCs/>
          <w:color w:val="000000"/>
          <w:sz w:val="24"/>
          <w:szCs w:val="24"/>
        </w:rPr>
        <w:t>签订。</w:t>
      </w:r>
    </w:p>
    <w:p w14:paraId="5AD5B2E0">
      <w:pPr>
        <w:pStyle w:val="5"/>
        <w:bidi w:val="0"/>
        <w:rPr>
          <w:rFonts w:hint="eastAsia"/>
        </w:rPr>
      </w:pPr>
      <w:bookmarkStart w:id="223" w:name="_Toc25905"/>
      <w:bookmarkStart w:id="224" w:name="_Toc351203491"/>
      <w:bookmarkStart w:id="225" w:name="_Toc28598"/>
      <w:r>
        <w:rPr>
          <w:rFonts w:hint="eastAsia"/>
        </w:rPr>
        <w:t>十一、补充协议</w:t>
      </w:r>
      <w:bookmarkEnd w:id="223"/>
      <w:bookmarkEnd w:id="224"/>
      <w:bookmarkEnd w:id="225"/>
    </w:p>
    <w:p w14:paraId="44671C4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
          <w:bCs/>
          <w:color w:val="000000"/>
          <w:sz w:val="24"/>
          <w:szCs w:val="24"/>
        </w:rPr>
      </w:pPr>
      <w:r>
        <w:rPr>
          <w:rFonts w:hint="eastAsia" w:ascii="宋体" w:hAnsi="宋体" w:eastAsia="宋体" w:cs="宋体"/>
          <w:bCs/>
          <w:color w:val="000000"/>
          <w:sz w:val="24"/>
          <w:szCs w:val="24"/>
        </w:rPr>
        <w:t>合同未尽事宜，合同当事人另行签订补充协议，补充协议是合同的组成部分。</w:t>
      </w:r>
    </w:p>
    <w:p w14:paraId="22002530">
      <w:pPr>
        <w:pStyle w:val="5"/>
        <w:bidi w:val="0"/>
        <w:rPr>
          <w:rFonts w:hint="eastAsia"/>
        </w:rPr>
      </w:pPr>
      <w:bookmarkStart w:id="226" w:name="_Toc27192"/>
      <w:bookmarkStart w:id="227" w:name="_Toc26977"/>
      <w:bookmarkStart w:id="228" w:name="_Toc351203492"/>
      <w:r>
        <w:rPr>
          <w:rFonts w:hint="eastAsia"/>
        </w:rPr>
        <w:t>十二、合同生效</w:t>
      </w:r>
      <w:bookmarkEnd w:id="226"/>
      <w:bookmarkEnd w:id="227"/>
      <w:bookmarkEnd w:id="228"/>
    </w:p>
    <w:p w14:paraId="1F1CC35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本合同自</w:t>
      </w:r>
      <w:r>
        <w:rPr>
          <w:rFonts w:hint="eastAsia" w:ascii="宋体" w:hAnsi="宋体" w:eastAsia="宋体" w:cs="宋体"/>
          <w:bCs/>
          <w:color w:val="auto"/>
          <w:sz w:val="24"/>
          <w:szCs w:val="24"/>
          <w:highlight w:val="none"/>
          <w:u w:val="single"/>
          <w:lang w:val="en-US" w:eastAsia="zh-CN"/>
        </w:rPr>
        <w:t>双方签字盖章</w:t>
      </w:r>
      <w:r>
        <w:rPr>
          <w:rFonts w:hint="eastAsia" w:ascii="宋体" w:hAnsi="宋体" w:eastAsia="宋体" w:cs="宋体"/>
          <w:bCs/>
          <w:color w:val="000000"/>
          <w:sz w:val="24"/>
          <w:szCs w:val="24"/>
        </w:rPr>
        <w:t>生效。</w:t>
      </w:r>
    </w:p>
    <w:p w14:paraId="36A48C41">
      <w:pPr>
        <w:pStyle w:val="5"/>
        <w:bidi w:val="0"/>
        <w:rPr>
          <w:rFonts w:hint="eastAsia"/>
        </w:rPr>
      </w:pPr>
      <w:bookmarkStart w:id="229" w:name="_Toc9705"/>
      <w:bookmarkStart w:id="230" w:name="_Toc24011"/>
      <w:bookmarkStart w:id="231" w:name="_Toc351203493"/>
      <w:r>
        <w:rPr>
          <w:rFonts w:hint="eastAsia"/>
        </w:rPr>
        <w:t>十三、合同份数</w:t>
      </w:r>
      <w:bookmarkEnd w:id="229"/>
      <w:bookmarkEnd w:id="230"/>
      <w:bookmarkEnd w:id="231"/>
    </w:p>
    <w:p w14:paraId="4AE02BD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本合同一式</w:t>
      </w:r>
      <w:r>
        <w:rPr>
          <w:rFonts w:hint="eastAsia" w:ascii="宋体" w:hAnsi="宋体" w:eastAsia="宋体" w:cs="宋体"/>
          <w:bCs/>
          <w:color w:val="000000"/>
          <w:sz w:val="24"/>
          <w:szCs w:val="24"/>
          <w:u w:val="single"/>
          <w:lang w:val="en-US" w:eastAsia="zh-CN"/>
        </w:rPr>
        <w:t xml:space="preserve"> </w:t>
      </w:r>
      <w:r>
        <w:rPr>
          <w:rFonts w:hint="eastAsia" w:ascii="宋体" w:hAnsi="宋体" w:cs="宋体"/>
          <w:kern w:val="0"/>
          <w:sz w:val="24"/>
          <w:szCs w:val="24"/>
          <w:u w:val="single"/>
          <w:lang w:val="en-US" w:eastAsia="zh-CN"/>
        </w:rPr>
        <w:t>肆</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bCs/>
          <w:color w:val="000000"/>
          <w:sz w:val="24"/>
          <w:szCs w:val="24"/>
        </w:rPr>
        <w:t>份，均具有同等法律效力，发包人执</w:t>
      </w:r>
      <w:r>
        <w:rPr>
          <w:rFonts w:hint="eastAsia" w:ascii="宋体" w:hAnsi="宋体" w:eastAsia="宋体" w:cs="宋体"/>
          <w:bCs/>
          <w:color w:val="000000"/>
          <w:sz w:val="24"/>
          <w:szCs w:val="24"/>
          <w:u w:val="single"/>
        </w:rPr>
        <w:t xml:space="preserve"> </w:t>
      </w:r>
      <w:r>
        <w:rPr>
          <w:rFonts w:hint="eastAsia" w:ascii="宋体" w:hAnsi="宋体" w:cs="宋体"/>
          <w:bCs/>
          <w:color w:val="000000"/>
          <w:sz w:val="24"/>
          <w:szCs w:val="24"/>
          <w:u w:val="single"/>
          <w:lang w:val="en-US" w:eastAsia="zh-CN"/>
        </w:rPr>
        <w:t>贰</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份，承包人执</w:t>
      </w:r>
      <w:r>
        <w:rPr>
          <w:rFonts w:hint="eastAsia" w:ascii="宋体" w:hAnsi="宋体" w:eastAsia="宋体" w:cs="宋体"/>
          <w:bCs/>
          <w:color w:val="000000"/>
          <w:sz w:val="24"/>
          <w:szCs w:val="24"/>
          <w:u w:val="single"/>
        </w:rPr>
        <w:t xml:space="preserve"> </w:t>
      </w:r>
      <w:r>
        <w:rPr>
          <w:rFonts w:hint="eastAsia" w:ascii="宋体" w:hAnsi="宋体" w:cs="宋体"/>
          <w:bCs/>
          <w:color w:val="000000"/>
          <w:sz w:val="24"/>
          <w:szCs w:val="24"/>
          <w:u w:val="single"/>
          <w:lang w:val="en-US" w:eastAsia="zh-CN"/>
        </w:rPr>
        <w:t>贰</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份。</w:t>
      </w:r>
    </w:p>
    <w:p w14:paraId="4ADDA5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  (公章)             承包人：  (公章)</w:t>
      </w:r>
    </w:p>
    <w:p w14:paraId="239978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 xml:space="preserve">                                 </w:t>
      </w:r>
    </w:p>
    <w:p w14:paraId="46DD4A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法定代表人或其委托代理人：  法定代表人或其委托代理人：</w:t>
      </w:r>
    </w:p>
    <w:p w14:paraId="64B5BF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（签字）                    （签字）</w:t>
      </w:r>
    </w:p>
    <w:p w14:paraId="03D17E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u w:val="single"/>
        </w:rPr>
      </w:pPr>
    </w:p>
    <w:p w14:paraId="43755D97">
      <w:pPr>
        <w:keepNext w:val="0"/>
        <w:keepLines w:val="0"/>
        <w:pageBreakBefore w:val="0"/>
        <w:widowControl w:val="0"/>
        <w:tabs>
          <w:tab w:val="left" w:pos="441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组织机构代码：</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组织机构代码：</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63208B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    </w:t>
      </w:r>
    </w:p>
    <w:p w14:paraId="2E84BF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7F8D2C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5F5728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委托代理人：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委托代理人：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56AAC8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p>
    <w:p w14:paraId="797396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传  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传  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67464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xml:space="preserve">  </w:t>
      </w:r>
    </w:p>
    <w:p w14:paraId="148EA8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p>
    <w:p w14:paraId="0874DA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w:t>
      </w:r>
    </w:p>
    <w:p w14:paraId="04369229">
      <w:pPr>
        <w:pStyle w:val="4"/>
        <w:bidi w:val="0"/>
        <w:rPr>
          <w:rFonts w:hint="eastAsia"/>
        </w:rPr>
      </w:pPr>
      <w:r>
        <w:rPr>
          <w:rFonts w:ascii="宋体" w:hAnsi="宋体"/>
          <w:b w:val="0"/>
          <w:color w:val="auto"/>
          <w:szCs w:val="21"/>
          <w:highlight w:val="none"/>
        </w:rPr>
        <w:br w:type="page"/>
      </w:r>
      <w:bookmarkStart w:id="232" w:name="_Toc80006111"/>
      <w:bookmarkStart w:id="233" w:name="_Toc6311"/>
      <w:bookmarkStart w:id="234" w:name="_Toc29884"/>
      <w:bookmarkStart w:id="235" w:name="_Toc351203494"/>
      <w:r>
        <w:rPr>
          <w:rFonts w:hint="eastAsia"/>
        </w:rPr>
        <w:t>第二节 通用合同条款</w:t>
      </w:r>
      <w:bookmarkEnd w:id="232"/>
      <w:bookmarkEnd w:id="233"/>
      <w:bookmarkEnd w:id="234"/>
      <w:bookmarkEnd w:id="235"/>
    </w:p>
    <w:p w14:paraId="59112496">
      <w:pPr>
        <w:spacing w:line="480" w:lineRule="exact"/>
        <w:ind w:firstLine="560" w:firstLineChars="200"/>
        <w:rPr>
          <w:rFonts w:hint="eastAsia" w:ascii="宋体" w:hAnsi="宋体"/>
          <w:color w:val="auto"/>
          <w:sz w:val="28"/>
          <w:szCs w:val="28"/>
          <w:highlight w:val="none"/>
        </w:rPr>
      </w:pPr>
    </w:p>
    <w:p w14:paraId="5D204AD9">
      <w:pPr>
        <w:spacing w:line="480" w:lineRule="exact"/>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说明：“通用合同条款”采用《建设工程施工合同（示范文本）》（GF-2017-0201）的“通用合同条款”。</w:t>
      </w:r>
    </w:p>
    <w:p w14:paraId="17542FD3">
      <w:pPr>
        <w:spacing w:line="480" w:lineRule="exact"/>
        <w:jc w:val="center"/>
        <w:rPr>
          <w:rFonts w:hint="eastAsia"/>
          <w:color w:val="auto"/>
          <w:sz w:val="32"/>
          <w:szCs w:val="32"/>
          <w:highlight w:val="none"/>
        </w:rPr>
      </w:pPr>
    </w:p>
    <w:p w14:paraId="20593D98">
      <w:pPr>
        <w:pStyle w:val="4"/>
        <w:bidi w:val="0"/>
        <w:rPr>
          <w:rFonts w:ascii="Times New Roman" w:hAnsi="Times New Roman" w:eastAsia="黑体"/>
          <w:b w:val="0"/>
          <w:bCs w:val="0"/>
          <w:color w:val="auto"/>
          <w:sz w:val="30"/>
          <w:highlight w:val="none"/>
        </w:rPr>
      </w:pPr>
      <w:r>
        <w:rPr>
          <w:b w:val="0"/>
          <w:color w:val="auto"/>
          <w:highlight w:val="none"/>
        </w:rPr>
        <w:br w:type="page"/>
      </w:r>
      <w:bookmarkStart w:id="236" w:name="_Toc80006112"/>
      <w:bookmarkStart w:id="237" w:name="_Toc18958"/>
      <w:bookmarkStart w:id="238" w:name="_Toc14261"/>
      <w:r>
        <w:rPr>
          <w:rFonts w:ascii="Times New Roman" w:hAnsi="Times New Roman" w:eastAsia="黑体"/>
          <w:b w:val="0"/>
          <w:bCs w:val="0"/>
          <w:color w:val="auto"/>
          <w:sz w:val="30"/>
          <w:highlight w:val="none"/>
        </w:rPr>
        <w:t>第三</w:t>
      </w:r>
      <w:r>
        <w:rPr>
          <w:rFonts w:hint="eastAsia" w:ascii="Times New Roman" w:hAnsi="Times New Roman" w:eastAsia="黑体"/>
          <w:b w:val="0"/>
          <w:bCs w:val="0"/>
          <w:color w:val="auto"/>
          <w:sz w:val="30"/>
          <w:highlight w:val="none"/>
        </w:rPr>
        <w:t>节</w:t>
      </w:r>
      <w:r>
        <w:rPr>
          <w:rFonts w:ascii="Times New Roman" w:hAnsi="Times New Roman" w:eastAsia="黑体"/>
          <w:b w:val="0"/>
          <w:bCs w:val="0"/>
          <w:color w:val="auto"/>
          <w:sz w:val="30"/>
          <w:highlight w:val="none"/>
        </w:rPr>
        <w:t xml:space="preserve"> </w:t>
      </w:r>
      <w:r>
        <w:rPr>
          <w:rFonts w:hint="eastAsia" w:ascii="Times New Roman" w:hAnsi="Times New Roman" w:eastAsia="黑体"/>
          <w:b w:val="0"/>
          <w:bCs w:val="0"/>
          <w:color w:val="auto"/>
          <w:sz w:val="30"/>
          <w:highlight w:val="none"/>
        </w:rPr>
        <w:t>专用合同条款</w:t>
      </w:r>
      <w:bookmarkEnd w:id="236"/>
      <w:bookmarkEnd w:id="237"/>
      <w:bookmarkEnd w:id="238"/>
    </w:p>
    <w:bookmarkEnd w:id="186"/>
    <w:p w14:paraId="2C1022E8">
      <w:pPr>
        <w:pStyle w:val="5"/>
        <w:bidi w:val="0"/>
        <w:rPr>
          <w:rFonts w:hint="eastAsia"/>
        </w:rPr>
      </w:pPr>
      <w:bookmarkStart w:id="239" w:name="_Toc22422"/>
      <w:bookmarkStart w:id="240" w:name="_Toc351203633"/>
      <w:bookmarkStart w:id="241" w:name="_Toc12752"/>
      <w:r>
        <w:rPr>
          <w:rFonts w:hint="eastAsia"/>
        </w:rPr>
        <w:t>1</w:t>
      </w:r>
      <w:bookmarkStart w:id="242" w:name="_Toc296503156"/>
      <w:bookmarkStart w:id="243" w:name="_Toc292559361"/>
      <w:bookmarkStart w:id="244" w:name="_Toc297120456"/>
      <w:bookmarkStart w:id="245" w:name="_Toc296346657"/>
      <w:bookmarkStart w:id="246" w:name="_Toc296944495"/>
      <w:bookmarkStart w:id="247" w:name="_Toc292559866"/>
      <w:bookmarkStart w:id="248" w:name="_Toc296891196"/>
      <w:bookmarkStart w:id="249" w:name="_Toc296347155"/>
      <w:bookmarkStart w:id="250" w:name="_Toc297048342"/>
      <w:bookmarkStart w:id="251" w:name="_Toc296890984"/>
      <w:r>
        <w:rPr>
          <w:rFonts w:hint="eastAsia"/>
        </w:rPr>
        <w:t>. 一般约定</w:t>
      </w:r>
      <w:bookmarkEnd w:id="239"/>
      <w:bookmarkEnd w:id="240"/>
      <w:bookmarkEnd w:id="241"/>
    </w:p>
    <w:bookmarkEnd w:id="242"/>
    <w:bookmarkEnd w:id="243"/>
    <w:bookmarkEnd w:id="244"/>
    <w:bookmarkEnd w:id="245"/>
    <w:bookmarkEnd w:id="246"/>
    <w:bookmarkEnd w:id="247"/>
    <w:bookmarkEnd w:id="248"/>
    <w:bookmarkEnd w:id="249"/>
    <w:bookmarkEnd w:id="250"/>
    <w:bookmarkEnd w:id="251"/>
    <w:p w14:paraId="20304D15">
      <w:pPr>
        <w:pStyle w:val="6"/>
        <w:bidi w:val="0"/>
        <w:rPr>
          <w:rFonts w:hint="eastAsia"/>
        </w:rPr>
      </w:pPr>
      <w:r>
        <w:rPr>
          <w:rFonts w:hint="eastAsia"/>
        </w:rPr>
        <w:t>1.1 词语定义</w:t>
      </w:r>
    </w:p>
    <w:p w14:paraId="220F33F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合同</w:t>
      </w:r>
    </w:p>
    <w:p w14:paraId="2489BC8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1.1.1.10其他合同文件包括：</w:t>
      </w:r>
      <w:r>
        <w:rPr>
          <w:rFonts w:hint="eastAsia" w:ascii="宋体" w:hAnsi="宋体" w:eastAsia="宋体" w:cs="宋体"/>
          <w:color w:val="000000"/>
          <w:kern w:val="0"/>
          <w:sz w:val="24"/>
          <w:szCs w:val="24"/>
          <w:u w:val="single"/>
        </w:rPr>
        <w:t>含补充合同协议书（含评标期间和合同谈判过程中的澄清文件和补充资料）、设计单位签发和甲方认可的变更图纸、实际工作量变更的现场签证（发包人签证）、技术交底、图纸会审纪要和相关会议文件、经甲方审定后的施工组织设计及相关的技术资料、行业标准和现行施工验收规范、安全协议（如有）、廉政合同（如有）、保修协议、施工现场管理规定及其他双方签认的与本项目相关的书面协议或文件视为本合同的组成部分</w:t>
      </w:r>
      <w:r>
        <w:rPr>
          <w:rFonts w:hint="eastAsia" w:ascii="宋体" w:hAnsi="宋体" w:eastAsia="宋体" w:cs="宋体"/>
          <w:color w:val="000000"/>
          <w:sz w:val="24"/>
          <w:szCs w:val="24"/>
        </w:rPr>
        <w:t>。</w:t>
      </w:r>
    </w:p>
    <w:p w14:paraId="49D65FF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1.1.2 合同当事人及其他相关方</w:t>
      </w:r>
    </w:p>
    <w:p w14:paraId="10D49C6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1.1.2.4监理人：</w:t>
      </w:r>
    </w:p>
    <w:p w14:paraId="0A75949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名    称：</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14:paraId="3AA1E38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资质类别和等级：</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6455E26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46ED640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14:paraId="01A7297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7847D5F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1.1.2.5 设计人：</w:t>
      </w:r>
    </w:p>
    <w:p w14:paraId="2A38152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名    称：</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14:paraId="061D38E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资质类别和等级：</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14:paraId="4EF8549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14:paraId="4664899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14:paraId="7BF2122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508A3C8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1.1.3 工程和设备</w:t>
      </w:r>
    </w:p>
    <w:p w14:paraId="4587ED9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1.1.3.7 作为施工现场组成部分的其他场所包括：</w:t>
      </w:r>
      <w:r>
        <w:rPr>
          <w:rFonts w:hint="eastAsia" w:ascii="宋体" w:hAnsi="宋体" w:eastAsia="宋体" w:cs="宋体"/>
          <w:color w:val="000000"/>
          <w:sz w:val="24"/>
          <w:szCs w:val="24"/>
          <w:u w:val="single"/>
        </w:rPr>
        <w:t>包括永久占地、临时占地</w:t>
      </w:r>
      <w:r>
        <w:rPr>
          <w:rFonts w:hint="eastAsia" w:ascii="宋体" w:hAnsi="宋体" w:eastAsia="宋体" w:cs="宋体"/>
          <w:color w:val="000000"/>
          <w:sz w:val="24"/>
          <w:szCs w:val="24"/>
        </w:rPr>
        <w:t>。</w:t>
      </w:r>
    </w:p>
    <w:p w14:paraId="0763DFD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1.1.3.9 永久占地包括：</w:t>
      </w:r>
      <w:r>
        <w:rPr>
          <w:rFonts w:hint="eastAsia" w:ascii="宋体" w:hAnsi="宋体" w:eastAsia="宋体" w:cs="宋体"/>
          <w:color w:val="000000"/>
          <w:sz w:val="24"/>
          <w:szCs w:val="24"/>
          <w:u w:val="single"/>
        </w:rPr>
        <w:t>项目用地红线内及设计图纸确定的范围</w:t>
      </w:r>
      <w:r>
        <w:rPr>
          <w:rFonts w:hint="eastAsia" w:ascii="宋体" w:hAnsi="宋体" w:eastAsia="宋体" w:cs="宋体"/>
          <w:color w:val="000000"/>
          <w:kern w:val="0"/>
          <w:sz w:val="24"/>
          <w:szCs w:val="24"/>
        </w:rPr>
        <w:t>。</w:t>
      </w:r>
    </w:p>
    <w:p w14:paraId="646A4FB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1.1.3.10 临时占地包括：</w:t>
      </w:r>
      <w:r>
        <w:rPr>
          <w:rFonts w:hint="eastAsia" w:ascii="宋体" w:hAnsi="宋体" w:eastAsia="宋体" w:cs="宋体"/>
          <w:color w:val="000000"/>
          <w:sz w:val="24"/>
          <w:szCs w:val="24"/>
          <w:u w:val="single"/>
        </w:rPr>
        <w:t>经发包人批准的施工临时占用场地，工程开工后由发包人和承包人根据工程需要现场确定</w:t>
      </w:r>
      <w:r>
        <w:rPr>
          <w:rFonts w:hint="eastAsia" w:ascii="宋体" w:hAnsi="宋体" w:eastAsia="宋体" w:cs="宋体"/>
          <w:color w:val="000000"/>
          <w:kern w:val="0"/>
          <w:sz w:val="24"/>
          <w:szCs w:val="24"/>
        </w:rPr>
        <w:t>。</w:t>
      </w:r>
    </w:p>
    <w:p w14:paraId="4370B077">
      <w:pPr>
        <w:pStyle w:val="6"/>
        <w:bidi w:val="0"/>
        <w:rPr>
          <w:rFonts w:hint="eastAsia"/>
        </w:rPr>
      </w:pPr>
      <w:r>
        <w:rPr>
          <w:rFonts w:hint="eastAsia"/>
        </w:rPr>
        <w:t xml:space="preserve">1.3法律 </w:t>
      </w:r>
    </w:p>
    <w:p w14:paraId="44107E9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适用于合同的其他规范性文件：</w:t>
      </w:r>
      <w:r>
        <w:rPr>
          <w:rFonts w:hint="eastAsia" w:ascii="宋体" w:hAnsi="宋体" w:eastAsia="宋体" w:cs="宋体"/>
          <w:color w:val="000000"/>
          <w:sz w:val="24"/>
          <w:szCs w:val="24"/>
          <w:u w:val="single"/>
        </w:rPr>
        <w:t>中华人民共和国的现行法律、法规以及工程所在地的地方行政法规、规章制度</w:t>
      </w:r>
      <w:r>
        <w:rPr>
          <w:rFonts w:hint="eastAsia" w:ascii="宋体" w:hAnsi="宋体" w:eastAsia="宋体" w:cs="宋体"/>
          <w:color w:val="000000"/>
          <w:sz w:val="24"/>
          <w:szCs w:val="24"/>
        </w:rPr>
        <w:t>。</w:t>
      </w:r>
    </w:p>
    <w:p w14:paraId="57315CBC">
      <w:pPr>
        <w:pStyle w:val="6"/>
        <w:bidi w:val="0"/>
        <w:rPr>
          <w:rFonts w:hint="eastAsia"/>
        </w:rPr>
      </w:pPr>
      <w:r>
        <w:rPr>
          <w:rFonts w:hint="eastAsia"/>
        </w:rPr>
        <w:t>1.4 标准和规范</w:t>
      </w:r>
    </w:p>
    <w:p w14:paraId="66EBEA5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1.4.1</w:t>
      </w:r>
      <w:r>
        <w:rPr>
          <w:rFonts w:hint="eastAsia" w:ascii="宋体" w:hAnsi="宋体" w:eastAsia="宋体" w:cs="宋体"/>
          <w:color w:val="000000"/>
          <w:kern w:val="0"/>
          <w:sz w:val="24"/>
          <w:szCs w:val="24"/>
        </w:rPr>
        <w:t xml:space="preserve"> </w:t>
      </w:r>
      <w:r>
        <w:rPr>
          <w:rFonts w:hint="eastAsia" w:ascii="宋体" w:hAnsi="宋体" w:eastAsia="宋体" w:cs="宋体"/>
          <w:color w:val="000000"/>
          <w:sz w:val="24"/>
          <w:szCs w:val="24"/>
        </w:rPr>
        <w:t>适用于工程的标准规范包括：</w:t>
      </w:r>
      <w:r>
        <w:rPr>
          <w:rFonts w:hint="eastAsia" w:ascii="宋体" w:hAnsi="宋体" w:eastAsia="宋体" w:cs="宋体"/>
          <w:color w:val="000000"/>
          <w:sz w:val="24"/>
          <w:szCs w:val="24"/>
          <w:u w:val="single"/>
        </w:rPr>
        <w:t>按国家、地方、行业现行标准、规范、规程及招标文件上要求的标准规范</w:t>
      </w:r>
      <w:r>
        <w:rPr>
          <w:rFonts w:hint="eastAsia" w:ascii="宋体" w:hAnsi="宋体" w:eastAsia="宋体" w:cs="宋体"/>
          <w:color w:val="000000"/>
          <w:sz w:val="24"/>
          <w:szCs w:val="24"/>
        </w:rPr>
        <w:t>。</w:t>
      </w:r>
    </w:p>
    <w:p w14:paraId="631C533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1.4.2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发包人提供国外标准、规范的名称：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p>
    <w:p w14:paraId="3BCF5C2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发包人提供国外标准、规范的份数：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4D6DD5B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发包人提供国外标准、规范的名称：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03588A7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1.4.3</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发包人对工程的技术标准和功能要求的特殊要求：</w:t>
      </w:r>
      <w:r>
        <w:rPr>
          <w:rFonts w:hint="eastAsia" w:ascii="宋体" w:hAnsi="宋体" w:eastAsia="宋体" w:cs="宋体"/>
          <w:color w:val="000000"/>
          <w:sz w:val="24"/>
          <w:szCs w:val="24"/>
          <w:u w:val="single"/>
          <w:lang w:val="en-US" w:eastAsia="zh-CN"/>
        </w:rPr>
        <w:t xml:space="preserve">   /   </w:t>
      </w:r>
      <w:r>
        <w:rPr>
          <w:rFonts w:hint="eastAsia" w:ascii="宋体" w:hAnsi="宋体" w:eastAsia="宋体" w:cs="宋体"/>
          <w:color w:val="000000"/>
          <w:sz w:val="24"/>
          <w:szCs w:val="24"/>
          <w:u w:val="none"/>
          <w:lang w:val="en-US" w:eastAsia="zh-CN"/>
        </w:rPr>
        <w:t>。</w:t>
      </w:r>
    </w:p>
    <w:p w14:paraId="34C847F9">
      <w:pPr>
        <w:pStyle w:val="6"/>
        <w:bidi w:val="0"/>
        <w:rPr>
          <w:rFonts w:hint="eastAsia"/>
        </w:rPr>
      </w:pPr>
      <w:r>
        <w:rPr>
          <w:rFonts w:hint="eastAsia"/>
        </w:rPr>
        <w:t>1.5 合同文件的优先顺序</w:t>
      </w:r>
    </w:p>
    <w:p w14:paraId="0DB6B4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合同文件组成及优先顺序为：</w:t>
      </w:r>
    </w:p>
    <w:p w14:paraId="6AD5D3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（1）合同协议书；</w:t>
      </w:r>
    </w:p>
    <w:p w14:paraId="6DF435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（2）中标通知书；</w:t>
      </w:r>
    </w:p>
    <w:p w14:paraId="3DBAFA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（3）投标函及投标函附录；</w:t>
      </w:r>
    </w:p>
    <w:p w14:paraId="565726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（4）专用合同条款；</w:t>
      </w:r>
    </w:p>
    <w:p w14:paraId="160900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（5）通用合同条款；</w:t>
      </w:r>
    </w:p>
    <w:p w14:paraId="27ABBF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（6）技术标准和要求；</w:t>
      </w:r>
    </w:p>
    <w:p w14:paraId="16CE26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（7）图纸；</w:t>
      </w:r>
    </w:p>
    <w:p w14:paraId="664718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（8）已标价工程量清单；</w:t>
      </w:r>
    </w:p>
    <w:p w14:paraId="584700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（9）其他合同文件。</w:t>
      </w:r>
    </w:p>
    <w:p w14:paraId="1B9566DC">
      <w:pPr>
        <w:pStyle w:val="6"/>
        <w:bidi w:val="0"/>
        <w:rPr>
          <w:rFonts w:hint="eastAsia"/>
        </w:rPr>
      </w:pPr>
      <w:r>
        <w:rPr>
          <w:rFonts w:hint="eastAsia"/>
        </w:rPr>
        <w:t>1.6 图纸和承包人文件</w:t>
      </w:r>
    </w:p>
    <w:p w14:paraId="6996DBF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1.6.1 图纸的提供</w:t>
      </w:r>
    </w:p>
    <w:p w14:paraId="4B2B5C9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发包人向承包人提供图纸的期限：</w:t>
      </w:r>
      <w:r>
        <w:rPr>
          <w:rFonts w:hint="eastAsia" w:ascii="宋体" w:hAnsi="宋体" w:eastAsia="宋体" w:cs="宋体"/>
          <w:color w:val="000000"/>
          <w:sz w:val="24"/>
          <w:szCs w:val="24"/>
          <w:u w:val="single"/>
        </w:rPr>
        <w:t>签订合同后7日内</w:t>
      </w:r>
      <w:r>
        <w:rPr>
          <w:rFonts w:hint="eastAsia" w:ascii="宋体" w:hAnsi="宋体" w:eastAsia="宋体" w:cs="宋体"/>
          <w:color w:val="000000"/>
          <w:sz w:val="24"/>
          <w:szCs w:val="24"/>
        </w:rPr>
        <w:t>；</w:t>
      </w:r>
    </w:p>
    <w:p w14:paraId="184FF91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发包人向承包人提供图纸的数量：</w:t>
      </w:r>
      <w:r>
        <w:rPr>
          <w:rFonts w:hint="eastAsia" w:ascii="宋体" w:hAnsi="宋体" w:eastAsia="宋体" w:cs="宋体"/>
          <w:color w:val="000000"/>
          <w:sz w:val="24"/>
          <w:szCs w:val="24"/>
          <w:u w:val="single"/>
          <w:lang w:val="en-US" w:eastAsia="zh-CN"/>
        </w:rPr>
        <w:t>一</w:t>
      </w:r>
      <w:r>
        <w:rPr>
          <w:rFonts w:hint="eastAsia" w:ascii="宋体" w:hAnsi="宋体" w:eastAsia="宋体" w:cs="宋体"/>
          <w:color w:val="000000"/>
          <w:sz w:val="24"/>
          <w:szCs w:val="24"/>
          <w:u w:val="single"/>
        </w:rPr>
        <w:t>套</w:t>
      </w:r>
      <w:r>
        <w:rPr>
          <w:rFonts w:hint="eastAsia" w:ascii="宋体" w:hAnsi="宋体" w:eastAsia="宋体" w:cs="宋体"/>
          <w:color w:val="000000"/>
          <w:sz w:val="24"/>
          <w:szCs w:val="24"/>
        </w:rPr>
        <w:t>；</w:t>
      </w:r>
    </w:p>
    <w:p w14:paraId="1C012C6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发包人向承包人提供图纸的内容：</w:t>
      </w:r>
      <w:r>
        <w:rPr>
          <w:rFonts w:hint="eastAsia" w:ascii="宋体" w:hAnsi="宋体" w:eastAsia="宋体" w:cs="宋体"/>
          <w:color w:val="000000"/>
          <w:sz w:val="24"/>
          <w:szCs w:val="24"/>
          <w:u w:val="single"/>
        </w:rPr>
        <w:t>施工图</w:t>
      </w:r>
      <w:r>
        <w:rPr>
          <w:rFonts w:hint="eastAsia" w:ascii="宋体" w:hAnsi="宋体" w:eastAsia="宋体" w:cs="宋体"/>
          <w:color w:val="000000"/>
          <w:sz w:val="24"/>
          <w:szCs w:val="24"/>
        </w:rPr>
        <w:t>。</w:t>
      </w:r>
    </w:p>
    <w:p w14:paraId="0A8D5C5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1.6.4 承包人文件</w:t>
      </w:r>
    </w:p>
    <w:p w14:paraId="12E9E5F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需要由承包人提供的文件，包括：</w:t>
      </w:r>
      <w:r>
        <w:rPr>
          <w:rFonts w:hint="eastAsia" w:ascii="宋体" w:hAnsi="宋体" w:eastAsia="宋体" w:cs="宋体"/>
          <w:color w:val="000000"/>
          <w:sz w:val="24"/>
          <w:szCs w:val="24"/>
          <w:u w:val="single"/>
        </w:rPr>
        <w:t>开工报告</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lang w:val="en-US" w:eastAsia="zh-CN"/>
        </w:rPr>
        <w:t>如有</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rPr>
        <w:t>、施工组织设计、工程进度计划、质量保证资料、自检资料、专项安全施工方案、工程验收申请、工程款支付申请、部分工程的大样图、加工图、进场材料检验合格证明、出厂合格证书、说明书、设备、材料、成品、半成品进场计划、勘查及测量资料及其他应交的施工管理文件、施工技术文件等</w:t>
      </w:r>
      <w:r>
        <w:rPr>
          <w:rFonts w:hint="eastAsia" w:ascii="宋体" w:hAnsi="宋体" w:eastAsia="宋体" w:cs="宋体"/>
          <w:color w:val="000000"/>
          <w:sz w:val="24"/>
          <w:szCs w:val="24"/>
        </w:rPr>
        <w:t>；</w:t>
      </w:r>
    </w:p>
    <w:p w14:paraId="1699D9C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承包人提供的文件的期限为：</w:t>
      </w:r>
      <w:r>
        <w:rPr>
          <w:rFonts w:hint="eastAsia" w:ascii="宋体" w:hAnsi="宋体" w:eastAsia="宋体" w:cs="宋体"/>
          <w:color w:val="000000"/>
          <w:sz w:val="24"/>
          <w:szCs w:val="24"/>
          <w:u w:val="single"/>
        </w:rPr>
        <w:t>签订合同后以及事项发生前7日内</w:t>
      </w:r>
      <w:r>
        <w:rPr>
          <w:rFonts w:hint="eastAsia" w:ascii="宋体" w:hAnsi="宋体" w:eastAsia="宋体" w:cs="宋体"/>
          <w:color w:val="000000"/>
          <w:sz w:val="24"/>
          <w:szCs w:val="24"/>
        </w:rPr>
        <w:t>；</w:t>
      </w:r>
    </w:p>
    <w:p w14:paraId="45F1B2C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承包人提供的文件的数量为：</w:t>
      </w:r>
      <w:r>
        <w:rPr>
          <w:rFonts w:hint="eastAsia" w:ascii="宋体" w:hAnsi="宋体" w:eastAsia="宋体" w:cs="宋体"/>
          <w:color w:val="000000"/>
          <w:sz w:val="24"/>
          <w:szCs w:val="24"/>
          <w:u w:val="single"/>
        </w:rPr>
        <w:t>叁份</w:t>
      </w:r>
      <w:r>
        <w:rPr>
          <w:rFonts w:hint="eastAsia" w:ascii="宋体" w:hAnsi="宋体" w:eastAsia="宋体" w:cs="宋体"/>
          <w:color w:val="000000"/>
          <w:sz w:val="24"/>
          <w:szCs w:val="24"/>
        </w:rPr>
        <w:t>；</w:t>
      </w:r>
    </w:p>
    <w:p w14:paraId="33E1DAC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承包人提供的文件的形式为：</w:t>
      </w:r>
      <w:r>
        <w:rPr>
          <w:rFonts w:hint="eastAsia" w:ascii="宋体" w:hAnsi="宋体" w:eastAsia="宋体" w:cs="宋体"/>
          <w:color w:val="000000"/>
          <w:sz w:val="24"/>
          <w:szCs w:val="24"/>
          <w:u w:val="single"/>
        </w:rPr>
        <w:t>书面和电子文档</w:t>
      </w:r>
      <w:r>
        <w:rPr>
          <w:rFonts w:hint="eastAsia" w:ascii="宋体" w:hAnsi="宋体" w:eastAsia="宋体" w:cs="宋体"/>
          <w:color w:val="000000"/>
          <w:sz w:val="24"/>
          <w:szCs w:val="24"/>
        </w:rPr>
        <w:t>；</w:t>
      </w:r>
    </w:p>
    <w:p w14:paraId="5F08A47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发包人审批承包人文件的期限：</w:t>
      </w:r>
      <w:r>
        <w:rPr>
          <w:rFonts w:hint="eastAsia" w:ascii="宋体" w:hAnsi="宋体" w:eastAsia="宋体" w:cs="宋体"/>
          <w:color w:val="000000"/>
          <w:sz w:val="24"/>
          <w:szCs w:val="24"/>
          <w:u w:val="single"/>
        </w:rPr>
        <w:t>收到文件后7日内</w:t>
      </w:r>
      <w:r>
        <w:rPr>
          <w:rFonts w:hint="eastAsia" w:ascii="宋体" w:hAnsi="宋体" w:eastAsia="宋体" w:cs="宋体"/>
          <w:color w:val="000000"/>
          <w:sz w:val="24"/>
          <w:szCs w:val="24"/>
        </w:rPr>
        <w:t>。</w:t>
      </w:r>
    </w:p>
    <w:p w14:paraId="78D140C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1.6.5 现场图纸准备</w:t>
      </w:r>
    </w:p>
    <w:p w14:paraId="794D1C5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关于现场图纸准备的约定：</w:t>
      </w:r>
      <w:r>
        <w:rPr>
          <w:rFonts w:hint="eastAsia" w:ascii="宋体" w:hAnsi="宋体" w:eastAsia="宋体" w:cs="宋体"/>
          <w:color w:val="000000"/>
          <w:sz w:val="24"/>
          <w:szCs w:val="24"/>
          <w:u w:val="single"/>
        </w:rPr>
        <w:t>承包人应按通用条款的规定保存一套完整的图纸及承包人的文件以供工程检查时使用</w:t>
      </w:r>
      <w:r>
        <w:rPr>
          <w:rFonts w:hint="eastAsia" w:ascii="宋体" w:hAnsi="宋体" w:eastAsia="宋体" w:cs="宋体"/>
          <w:color w:val="000000"/>
          <w:sz w:val="24"/>
          <w:szCs w:val="24"/>
        </w:rPr>
        <w:t>。</w:t>
      </w:r>
    </w:p>
    <w:p w14:paraId="30DE5367">
      <w:pPr>
        <w:pStyle w:val="6"/>
        <w:bidi w:val="0"/>
        <w:rPr>
          <w:rFonts w:hint="eastAsia"/>
        </w:rPr>
      </w:pPr>
      <w:r>
        <w:rPr>
          <w:rFonts w:hint="eastAsia"/>
        </w:rPr>
        <w:t>1.7 联络</w:t>
      </w:r>
    </w:p>
    <w:p w14:paraId="6988BCE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1.7.1</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发包人和承包人应当在</w:t>
      </w:r>
      <w:r>
        <w:rPr>
          <w:rFonts w:hint="eastAsia" w:ascii="宋体" w:hAnsi="宋体" w:eastAsia="宋体" w:cs="宋体"/>
          <w:color w:val="000000"/>
          <w:sz w:val="24"/>
          <w:szCs w:val="24"/>
          <w:u w:val="single"/>
          <w:lang w:val="en-US" w:eastAsia="zh-CN"/>
        </w:rPr>
        <w:t xml:space="preserve"> 7</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天内将与合同有关的通知、批准、证明、证书、指示、指令、要求、请求、同意、意见、确定和决定等书面函件送达对方当事人。</w:t>
      </w:r>
    </w:p>
    <w:p w14:paraId="2C769B5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1.7.2 发包人接收文件的地点：</w:t>
      </w:r>
      <w:r>
        <w:rPr>
          <w:rFonts w:hint="eastAsia" w:ascii="宋体" w:hAnsi="宋体" w:eastAsia="宋体" w:cs="宋体"/>
          <w:color w:val="000000"/>
          <w:sz w:val="24"/>
          <w:szCs w:val="24"/>
          <w:u w:val="single"/>
        </w:rPr>
        <w:t>发包人办公室</w:t>
      </w:r>
      <w:r>
        <w:rPr>
          <w:rFonts w:hint="eastAsia" w:ascii="宋体" w:hAnsi="宋体" w:eastAsia="宋体" w:cs="宋体"/>
          <w:color w:val="000000"/>
          <w:kern w:val="0"/>
          <w:sz w:val="24"/>
          <w:szCs w:val="24"/>
        </w:rPr>
        <w:t>；</w:t>
      </w:r>
    </w:p>
    <w:p w14:paraId="2668E11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发包人指定的接收人为：</w:t>
      </w:r>
      <w:r>
        <w:rPr>
          <w:rFonts w:hint="eastAsia" w:ascii="宋体" w:hAnsi="宋体" w:eastAsia="宋体" w:cs="宋体"/>
          <w:color w:val="000000"/>
          <w:sz w:val="24"/>
          <w:szCs w:val="24"/>
          <w:u w:val="single"/>
        </w:rPr>
        <w:t>发包人派驻的现场代表（可委托：      ）</w:t>
      </w:r>
      <w:r>
        <w:rPr>
          <w:rFonts w:hint="eastAsia" w:ascii="宋体" w:hAnsi="宋体" w:eastAsia="宋体" w:cs="宋体"/>
          <w:color w:val="000000"/>
          <w:kern w:val="0"/>
          <w:sz w:val="24"/>
          <w:szCs w:val="24"/>
        </w:rPr>
        <w:t>。</w:t>
      </w:r>
    </w:p>
    <w:p w14:paraId="65DC0C1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承包人接收文件的地点：</w:t>
      </w:r>
      <w:r>
        <w:rPr>
          <w:rFonts w:hint="eastAsia" w:ascii="宋体" w:hAnsi="宋体" w:eastAsia="宋体" w:cs="宋体"/>
          <w:color w:val="000000"/>
          <w:sz w:val="24"/>
          <w:szCs w:val="24"/>
          <w:u w:val="single"/>
        </w:rPr>
        <w:t>承包人项目部办公室</w:t>
      </w:r>
      <w:r>
        <w:rPr>
          <w:rFonts w:hint="eastAsia" w:ascii="宋体" w:hAnsi="宋体" w:eastAsia="宋体" w:cs="宋体"/>
          <w:color w:val="000000"/>
          <w:kern w:val="0"/>
          <w:sz w:val="24"/>
          <w:szCs w:val="24"/>
        </w:rPr>
        <w:t>；</w:t>
      </w:r>
    </w:p>
    <w:p w14:paraId="31E2A60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承包人指定的接收人为：</w:t>
      </w:r>
      <w:r>
        <w:rPr>
          <w:rFonts w:hint="eastAsia" w:ascii="宋体" w:hAnsi="宋体" w:eastAsia="宋体" w:cs="宋体"/>
          <w:color w:val="000000"/>
          <w:sz w:val="24"/>
          <w:szCs w:val="24"/>
          <w:u w:val="single"/>
        </w:rPr>
        <w:t>            </w:t>
      </w:r>
      <w:r>
        <w:rPr>
          <w:rFonts w:hint="eastAsia" w:ascii="宋体" w:hAnsi="宋体" w:eastAsia="宋体" w:cs="宋体"/>
          <w:color w:val="000000"/>
          <w:kern w:val="0"/>
          <w:sz w:val="24"/>
          <w:szCs w:val="24"/>
        </w:rPr>
        <w:t>。</w:t>
      </w:r>
    </w:p>
    <w:p w14:paraId="7DFFEDC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监理人接收文件的地点：</w:t>
      </w:r>
      <w:r>
        <w:rPr>
          <w:rFonts w:hint="eastAsia" w:ascii="宋体" w:hAnsi="宋体" w:eastAsia="宋体" w:cs="宋体"/>
          <w:color w:val="000000"/>
          <w:sz w:val="24"/>
          <w:szCs w:val="24"/>
          <w:u w:val="single"/>
        </w:rPr>
        <w:t>项目监理部办公室</w:t>
      </w:r>
      <w:r>
        <w:rPr>
          <w:rFonts w:hint="eastAsia" w:ascii="宋体" w:hAnsi="宋体" w:eastAsia="宋体" w:cs="宋体"/>
          <w:color w:val="000000"/>
          <w:kern w:val="0"/>
          <w:sz w:val="24"/>
          <w:szCs w:val="24"/>
        </w:rPr>
        <w:t>；</w:t>
      </w:r>
    </w:p>
    <w:p w14:paraId="7FB1C8F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监理人指定的接收人为：</w:t>
      </w:r>
      <w:r>
        <w:rPr>
          <w:rFonts w:hint="eastAsia" w:ascii="宋体" w:hAnsi="宋体" w:eastAsia="宋体" w:cs="宋体"/>
          <w:color w:val="000000"/>
          <w:sz w:val="24"/>
          <w:szCs w:val="24"/>
          <w:u w:val="single"/>
        </w:rPr>
        <w:t>总监或总监代表（可委托：      ）</w:t>
      </w:r>
      <w:r>
        <w:rPr>
          <w:rFonts w:hint="eastAsia" w:ascii="宋体" w:hAnsi="宋体" w:eastAsia="宋体" w:cs="宋体"/>
          <w:color w:val="000000"/>
          <w:kern w:val="0"/>
          <w:sz w:val="24"/>
          <w:szCs w:val="24"/>
        </w:rPr>
        <w:t>。</w:t>
      </w:r>
    </w:p>
    <w:p w14:paraId="72BF46E9">
      <w:pPr>
        <w:pStyle w:val="6"/>
        <w:bidi w:val="0"/>
        <w:rPr>
          <w:rFonts w:hint="eastAsia"/>
        </w:rPr>
      </w:pPr>
      <w:r>
        <w:rPr>
          <w:rFonts w:hint="eastAsia"/>
        </w:rPr>
        <w:t>1.10 交通运输</w:t>
      </w:r>
    </w:p>
    <w:p w14:paraId="70DBAAD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bookmarkStart w:id="252" w:name="_Toc303539100"/>
      <w:bookmarkStart w:id="253" w:name="_Toc312677986"/>
      <w:bookmarkStart w:id="254" w:name="_Toc318581155"/>
      <w:bookmarkStart w:id="255" w:name="_Toc300934943"/>
      <w:bookmarkStart w:id="256" w:name="_Toc304295521"/>
      <w:r>
        <w:rPr>
          <w:rFonts w:hint="eastAsia" w:ascii="宋体" w:hAnsi="宋体" w:eastAsia="宋体" w:cs="宋体"/>
          <w:sz w:val="24"/>
          <w:szCs w:val="24"/>
        </w:rPr>
        <w:t>.10.1 出入现场的权利</w:t>
      </w:r>
    </w:p>
    <w:p w14:paraId="1EBAC5E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关于出入现场的权利的约定：</w:t>
      </w:r>
      <w:r>
        <w:rPr>
          <w:rFonts w:hint="eastAsia" w:ascii="宋体" w:hAnsi="宋体" w:eastAsia="宋体" w:cs="宋体"/>
          <w:color w:val="000000"/>
          <w:sz w:val="24"/>
          <w:szCs w:val="24"/>
          <w:u w:val="single"/>
        </w:rPr>
        <w:t>承包人修建的临时道路和交通设施应免费提供发包人和监理人使用。承包人车辆外出行驶所需的场外公共道路的通行费、养路费和税款等由承包人承担。承包人运输造成施工场地内外公共道路和桥梁等基础设施损坏的，由承包人承担修复损坏的全部费用和可能引起的赔偿</w:t>
      </w:r>
      <w:r>
        <w:rPr>
          <w:rFonts w:hint="eastAsia" w:ascii="宋体" w:hAnsi="宋体" w:eastAsia="宋体" w:cs="宋体"/>
          <w:sz w:val="24"/>
          <w:szCs w:val="24"/>
        </w:rPr>
        <w:t>。</w:t>
      </w:r>
    </w:p>
    <w:bookmarkEnd w:id="252"/>
    <w:bookmarkEnd w:id="253"/>
    <w:bookmarkEnd w:id="254"/>
    <w:bookmarkEnd w:id="255"/>
    <w:bookmarkEnd w:id="256"/>
    <w:p w14:paraId="3282701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bookmarkStart w:id="257" w:name="_Toc318581156"/>
      <w:bookmarkStart w:id="258" w:name="_Toc304295522"/>
      <w:bookmarkStart w:id="259" w:name="_Toc300934944"/>
      <w:bookmarkStart w:id="260" w:name="_Toc303539101"/>
      <w:bookmarkStart w:id="261" w:name="_Toc312677987"/>
      <w:r>
        <w:rPr>
          <w:rFonts w:hint="eastAsia" w:ascii="宋体" w:hAnsi="宋体" w:eastAsia="宋体" w:cs="宋体"/>
          <w:sz w:val="24"/>
          <w:szCs w:val="24"/>
        </w:rPr>
        <w:t>.10.3 场内交通</w:t>
      </w:r>
    </w:p>
    <w:p w14:paraId="3BF7B59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关于场外交通和场内交通的边界的约定：</w:t>
      </w:r>
      <w:r>
        <w:rPr>
          <w:rFonts w:hint="eastAsia" w:ascii="宋体" w:hAnsi="宋体" w:eastAsia="宋体" w:cs="宋体"/>
          <w:color w:val="000000"/>
          <w:sz w:val="24"/>
          <w:szCs w:val="24"/>
          <w:u w:val="single"/>
        </w:rPr>
        <w:t>以项目征地红线为界</w:t>
      </w:r>
      <w:r>
        <w:rPr>
          <w:rFonts w:hint="eastAsia" w:ascii="宋体" w:hAnsi="宋体" w:eastAsia="宋体" w:cs="宋体"/>
          <w:sz w:val="24"/>
          <w:szCs w:val="24"/>
        </w:rPr>
        <w:t>。</w:t>
      </w:r>
    </w:p>
    <w:p w14:paraId="6ECD90B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关于发包人向承包人免费提供满足工程施工需要的场内道路和交通设施的约定</w:t>
      </w:r>
      <w:r>
        <w:rPr>
          <w:rFonts w:hint="eastAsia" w:ascii="宋体" w:hAnsi="宋体" w:eastAsia="宋体" w:cs="宋体"/>
          <w:sz w:val="24"/>
          <w:szCs w:val="24"/>
          <w:lang w:eastAsia="zh-CN"/>
        </w:rPr>
        <w:t>：</w:t>
      </w:r>
      <w:r>
        <w:rPr>
          <w:rFonts w:hint="eastAsia" w:ascii="宋体" w:hAnsi="宋体" w:eastAsia="宋体" w:cs="宋体"/>
          <w:color w:val="000000"/>
          <w:sz w:val="24"/>
          <w:szCs w:val="24"/>
          <w:u w:val="single"/>
        </w:rPr>
        <w:t>承包人应根据合同工程的施工需要，负责办理取得出入施工场地的专用和临时道路的通行权，以及取得为工程建设所需修建场外设施的权利，并承担有关费用。需要发包人协调时，发包人应协助承包人办理相关手续。承包人应负责修建、维修、养护和管理施工所需的临时道路和交通设施，包括维修、养护和管理发包人提供的道路和交通设施，并承担相应费用</w:t>
      </w:r>
      <w:r>
        <w:rPr>
          <w:rFonts w:hint="eastAsia" w:ascii="宋体" w:hAnsi="宋体" w:eastAsia="宋体" w:cs="宋体"/>
          <w:sz w:val="24"/>
          <w:szCs w:val="24"/>
        </w:rPr>
        <w:t>。</w:t>
      </w:r>
      <w:bookmarkEnd w:id="257"/>
      <w:bookmarkEnd w:id="258"/>
      <w:bookmarkEnd w:id="259"/>
      <w:bookmarkEnd w:id="260"/>
      <w:bookmarkEnd w:id="261"/>
      <w:bookmarkStart w:id="262" w:name="_Toc318581157"/>
    </w:p>
    <w:p w14:paraId="73D687C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1.10.4</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超大件和超重件的运输</w:t>
      </w:r>
    </w:p>
    <w:p w14:paraId="661EA59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运输超大件或超重件所需的道路和桥梁临时加固改造费用和其他有关费用由</w:t>
      </w:r>
      <w:r>
        <w:rPr>
          <w:rFonts w:hint="eastAsia" w:ascii="宋体" w:hAnsi="宋体" w:eastAsia="宋体" w:cs="宋体"/>
          <w:sz w:val="24"/>
          <w:szCs w:val="24"/>
          <w:u w:val="single"/>
        </w:rPr>
        <w:t>承包人</w:t>
      </w:r>
      <w:r>
        <w:rPr>
          <w:rFonts w:hint="eastAsia" w:ascii="宋体" w:hAnsi="宋体" w:eastAsia="宋体" w:cs="宋体"/>
          <w:sz w:val="24"/>
          <w:szCs w:val="24"/>
        </w:rPr>
        <w:t>承担。</w:t>
      </w:r>
    </w:p>
    <w:bookmarkEnd w:id="262"/>
    <w:p w14:paraId="31A78402">
      <w:pPr>
        <w:pStyle w:val="6"/>
        <w:bidi w:val="0"/>
        <w:rPr>
          <w:rFonts w:hint="eastAsia"/>
        </w:rPr>
      </w:pPr>
      <w:r>
        <w:rPr>
          <w:rFonts w:hint="eastAsia"/>
        </w:rPr>
        <w:t>1.11 知识产权</w:t>
      </w:r>
    </w:p>
    <w:p w14:paraId="0E047C8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1.11.1</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24"/>
          <w:szCs w:val="24"/>
          <w:u w:val="single"/>
        </w:rPr>
        <w:t>发包人所有</w:t>
      </w:r>
      <w:r>
        <w:rPr>
          <w:rFonts w:hint="eastAsia" w:ascii="宋体" w:hAnsi="宋体" w:eastAsia="宋体" w:cs="宋体"/>
          <w:color w:val="000000"/>
          <w:sz w:val="24"/>
          <w:szCs w:val="24"/>
        </w:rPr>
        <w:t>。</w:t>
      </w:r>
    </w:p>
    <w:p w14:paraId="7D7A50A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关于发包人提供的上述文件的使用限制的要求：</w:t>
      </w:r>
      <w:r>
        <w:rPr>
          <w:rFonts w:hint="eastAsia" w:ascii="宋体" w:hAnsi="宋体" w:eastAsia="宋体" w:cs="宋体"/>
          <w:color w:val="000000"/>
          <w:sz w:val="24"/>
          <w:szCs w:val="24"/>
          <w:u w:val="single"/>
        </w:rPr>
        <w:t>承包人不得提供给第三方使用或用于非本工程的项目</w:t>
      </w:r>
      <w:r>
        <w:rPr>
          <w:rFonts w:hint="eastAsia" w:ascii="宋体" w:hAnsi="宋体" w:eastAsia="宋体" w:cs="宋体"/>
          <w:color w:val="000000"/>
          <w:sz w:val="24"/>
          <w:szCs w:val="24"/>
        </w:rPr>
        <w:t>。</w:t>
      </w:r>
    </w:p>
    <w:p w14:paraId="725D632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1.11.2 关于承包人为实施工程所编制文件的著作权的归属：</w:t>
      </w:r>
      <w:r>
        <w:rPr>
          <w:rFonts w:hint="eastAsia" w:ascii="宋体" w:hAnsi="宋体" w:eastAsia="宋体" w:cs="宋体"/>
          <w:sz w:val="24"/>
          <w:szCs w:val="24"/>
          <w:u w:val="single"/>
        </w:rPr>
        <w:t>承包人所有</w:t>
      </w:r>
      <w:r>
        <w:rPr>
          <w:rFonts w:hint="eastAsia" w:ascii="宋体" w:hAnsi="宋体" w:eastAsia="宋体" w:cs="宋体"/>
          <w:sz w:val="24"/>
          <w:szCs w:val="24"/>
        </w:rPr>
        <w:t>。</w:t>
      </w:r>
    </w:p>
    <w:p w14:paraId="24C330B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关于承包人提供的上述文件的使用限制的要求：</w:t>
      </w:r>
      <w:r>
        <w:rPr>
          <w:rFonts w:hint="eastAsia" w:ascii="宋体" w:hAnsi="宋体" w:eastAsia="宋体" w:cs="宋体"/>
          <w:color w:val="000000"/>
          <w:sz w:val="24"/>
          <w:szCs w:val="24"/>
          <w:u w:val="single"/>
        </w:rPr>
        <w:t>只限于用于本工程未经承包人允许不得用于其他或提供给第三方</w:t>
      </w:r>
      <w:r>
        <w:rPr>
          <w:rFonts w:hint="eastAsia" w:ascii="宋体" w:hAnsi="宋体" w:eastAsia="宋体" w:cs="宋体"/>
          <w:color w:val="000000"/>
          <w:sz w:val="24"/>
          <w:szCs w:val="24"/>
        </w:rPr>
        <w:t>。</w:t>
      </w:r>
    </w:p>
    <w:p w14:paraId="7F3852D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1.11.4 承包人在施工过程中所采用的专利、专有技术、技术秘密的使用费的承担方式：</w:t>
      </w:r>
      <w:r>
        <w:rPr>
          <w:rFonts w:hint="eastAsia" w:ascii="宋体" w:hAnsi="宋体" w:eastAsia="宋体" w:cs="宋体"/>
          <w:sz w:val="24"/>
          <w:szCs w:val="24"/>
          <w:u w:val="single"/>
        </w:rPr>
        <w:t>承包人承担</w:t>
      </w:r>
      <w:r>
        <w:rPr>
          <w:rFonts w:hint="eastAsia" w:ascii="宋体" w:hAnsi="宋体" w:eastAsia="宋体" w:cs="宋体"/>
          <w:sz w:val="24"/>
          <w:szCs w:val="24"/>
        </w:rPr>
        <w:t>。</w:t>
      </w:r>
    </w:p>
    <w:p w14:paraId="5E4DDDCF">
      <w:pPr>
        <w:pStyle w:val="6"/>
        <w:bidi w:val="0"/>
        <w:rPr>
          <w:rFonts w:hint="eastAsia"/>
        </w:rPr>
      </w:pPr>
      <w:r>
        <w:rPr>
          <w:rFonts w:hint="eastAsia"/>
        </w:rPr>
        <w:t>1.13</w:t>
      </w:r>
      <w:r>
        <w:rPr>
          <w:rFonts w:hint="eastAsia"/>
          <w:lang w:val="en-US" w:eastAsia="zh-CN"/>
        </w:rPr>
        <w:t xml:space="preserve"> </w:t>
      </w:r>
      <w:r>
        <w:rPr>
          <w:rFonts w:hint="eastAsia"/>
        </w:rPr>
        <w:t>工程量清单错误的修正</w:t>
      </w:r>
    </w:p>
    <w:p w14:paraId="718523F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1.13.1</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承包人进场后30日内必须完成工程量清单的复核工作；并将复核后的清单报监理和发包人批准后作为最终的工程量清单；后续不再对工程量清单的错误进行调整。</w:t>
      </w:r>
    </w:p>
    <w:p w14:paraId="4FDD59A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1.13.2</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工程计量时，若发现工程量清单中出现漏项、工程量计算偏差，以及工程变更引起工程量的增减，经发包人和监理人认可，可按承包人在履行合同义务过程中实际完成的工程量计算。</w:t>
      </w:r>
    </w:p>
    <w:p w14:paraId="206BF5F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1.13.3</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若施工中出现施工图纸（含设计变更）与工程量清单项目特征描述不符的，应按新的项目特征确定相应工程量清单项目的综合单价。</w:t>
      </w:r>
    </w:p>
    <w:p w14:paraId="3BB8B60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1.13.4</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因分部分项工程量清单漏项或非承包人原因的工程变更，造成增加新的工程量清单项目或工程量清单数量的增减，其相应的综合单价按原投标综合单价确定。</w:t>
      </w:r>
    </w:p>
    <w:p w14:paraId="2BCFF2F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1.13.5</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因分部分项工程量清单漏项或非承包人原因的工程变更，引起措施项目发生变化，造成施工组织设计或施工方案变更，原措施费中已有的措施项目，按原措施费的组价方法调整；原措施费中没有的措施项目，由承包人根据措施项目变更情况，提出适当的措施费变更，经发包人确认后调整。</w:t>
      </w:r>
    </w:p>
    <w:p w14:paraId="77C3C45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1.13.6</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工程量的变更经发包人、监理人和承包人认定后，金额超过合同暂定金额的</w:t>
      </w:r>
      <w:r>
        <w:rPr>
          <w:rFonts w:hint="eastAsia" w:ascii="宋体" w:hAnsi="宋体" w:eastAsia="宋体" w:cs="宋体"/>
          <w:b/>
          <w:bCs/>
          <w:color w:val="000000"/>
          <w:kern w:val="0"/>
          <w:sz w:val="24"/>
          <w:szCs w:val="24"/>
          <w:highlight w:val="none"/>
          <w:u w:val="single"/>
          <w:lang w:val="en-US" w:eastAsia="zh-CN"/>
        </w:rPr>
        <w:t>20</w:t>
      </w:r>
      <w:r>
        <w:rPr>
          <w:rFonts w:hint="eastAsia" w:ascii="宋体" w:hAnsi="宋体" w:eastAsia="宋体" w:cs="宋体"/>
          <w:b/>
          <w:bCs/>
          <w:color w:val="000000"/>
          <w:kern w:val="0"/>
          <w:sz w:val="24"/>
          <w:szCs w:val="24"/>
          <w:highlight w:val="none"/>
          <w:u w:val="single"/>
        </w:rPr>
        <w:t>%</w:t>
      </w:r>
      <w:r>
        <w:rPr>
          <w:rFonts w:hint="eastAsia" w:ascii="宋体" w:hAnsi="宋体" w:eastAsia="宋体" w:cs="宋体"/>
          <w:color w:val="000000"/>
          <w:kern w:val="0"/>
          <w:sz w:val="24"/>
          <w:szCs w:val="24"/>
        </w:rPr>
        <w:t>，发包人有权按照有关规定采取相应措施，包括但不限于重新招标、继续履行合同等。</w:t>
      </w:r>
    </w:p>
    <w:p w14:paraId="3E7E0E59">
      <w:pPr>
        <w:pStyle w:val="5"/>
        <w:bidi w:val="0"/>
        <w:rPr>
          <w:rFonts w:hint="eastAsia"/>
        </w:rPr>
      </w:pPr>
      <w:bookmarkStart w:id="263" w:name="_Toc351203634"/>
      <w:bookmarkStart w:id="264" w:name="_Toc12982"/>
      <w:bookmarkStart w:id="265" w:name="_Toc7077"/>
      <w:r>
        <w:rPr>
          <w:rFonts w:hint="eastAsia"/>
        </w:rPr>
        <w:t>2</w:t>
      </w:r>
      <w:bookmarkStart w:id="266" w:name="_Toc292559867"/>
      <w:bookmarkStart w:id="267" w:name="_Toc296346658"/>
      <w:bookmarkStart w:id="268" w:name="_Toc297120457"/>
      <w:bookmarkStart w:id="269" w:name="_Toc296890985"/>
      <w:bookmarkStart w:id="270" w:name="_Toc296503157"/>
      <w:bookmarkStart w:id="271" w:name="_Toc297048343"/>
      <w:bookmarkStart w:id="272" w:name="_Toc292559362"/>
      <w:bookmarkStart w:id="273" w:name="_Toc296944496"/>
      <w:bookmarkStart w:id="274" w:name="_Toc296347156"/>
      <w:bookmarkStart w:id="275" w:name="_Toc296891197"/>
      <w:r>
        <w:rPr>
          <w:rFonts w:hint="eastAsia"/>
        </w:rPr>
        <w:t>. 发包人</w:t>
      </w:r>
      <w:bookmarkEnd w:id="263"/>
      <w:bookmarkEnd w:id="264"/>
      <w:bookmarkEnd w:id="265"/>
    </w:p>
    <w:bookmarkEnd w:id="266"/>
    <w:bookmarkEnd w:id="267"/>
    <w:bookmarkEnd w:id="268"/>
    <w:bookmarkEnd w:id="269"/>
    <w:bookmarkEnd w:id="270"/>
    <w:bookmarkEnd w:id="271"/>
    <w:bookmarkEnd w:id="272"/>
    <w:bookmarkEnd w:id="273"/>
    <w:bookmarkEnd w:id="274"/>
    <w:bookmarkEnd w:id="275"/>
    <w:p w14:paraId="2E29929D">
      <w:pPr>
        <w:pStyle w:val="6"/>
        <w:bidi w:val="0"/>
        <w:rPr>
          <w:rFonts w:hint="eastAsia"/>
        </w:rPr>
      </w:pPr>
      <w:r>
        <w:rPr>
          <w:rFonts w:hint="eastAsia"/>
        </w:rPr>
        <w:t>2.2 发包人代表</w:t>
      </w:r>
    </w:p>
    <w:p w14:paraId="460A7F0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发包人代表：</w:t>
      </w:r>
    </w:p>
    <w:p w14:paraId="4F9B78E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姓    名：</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14:paraId="11A3265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身份证号：</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14:paraId="5780A12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职    务：</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14:paraId="73BE4B5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   </w:t>
      </w:r>
      <w:r>
        <w:rPr>
          <w:rFonts w:hint="eastAsia" w:ascii="宋体" w:hAnsi="宋体" w:eastAsia="宋体" w:cs="宋体"/>
          <w:color w:val="000000"/>
          <w:sz w:val="24"/>
          <w:szCs w:val="24"/>
        </w:rPr>
        <w:t>；</w:t>
      </w:r>
    </w:p>
    <w:p w14:paraId="0C5BC10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   </w:t>
      </w:r>
      <w:r>
        <w:rPr>
          <w:rFonts w:hint="eastAsia" w:ascii="宋体" w:hAnsi="宋体" w:eastAsia="宋体" w:cs="宋体"/>
          <w:color w:val="000000"/>
          <w:sz w:val="24"/>
          <w:szCs w:val="24"/>
        </w:rPr>
        <w:t>；</w:t>
      </w:r>
    </w:p>
    <w:p w14:paraId="1AA00E8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p>
    <w:p w14:paraId="5A2FC1E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
          <w:color w:val="000000"/>
          <w:sz w:val="24"/>
          <w:szCs w:val="24"/>
        </w:rPr>
      </w:pPr>
      <w:r>
        <w:rPr>
          <w:rFonts w:hint="eastAsia" w:ascii="宋体" w:hAnsi="宋体" w:eastAsia="宋体" w:cs="宋体"/>
          <w:color w:val="000000"/>
          <w:sz w:val="24"/>
          <w:szCs w:val="24"/>
        </w:rPr>
        <w:t>发包人对发包人代表的授权范围如下：</w:t>
      </w:r>
      <w:r>
        <w:rPr>
          <w:rFonts w:hint="eastAsia" w:ascii="宋体" w:hAnsi="宋体" w:eastAsia="宋体" w:cs="宋体"/>
          <w:color w:val="000000"/>
          <w:sz w:val="24"/>
          <w:szCs w:val="24"/>
          <w:u w:val="single"/>
        </w:rPr>
        <w:t>按通用条款规定</w:t>
      </w:r>
      <w:r>
        <w:rPr>
          <w:rFonts w:hint="eastAsia" w:ascii="宋体" w:hAnsi="宋体" w:eastAsia="宋体" w:cs="宋体"/>
          <w:color w:val="000000"/>
          <w:sz w:val="24"/>
          <w:szCs w:val="24"/>
        </w:rPr>
        <w:t>。</w:t>
      </w:r>
    </w:p>
    <w:p w14:paraId="22070D15">
      <w:pPr>
        <w:pStyle w:val="6"/>
        <w:bidi w:val="0"/>
        <w:rPr>
          <w:rFonts w:hint="eastAsia"/>
        </w:rPr>
      </w:pPr>
      <w:r>
        <w:rPr>
          <w:rFonts w:hint="eastAsia"/>
        </w:rPr>
        <w:t>2.4 施工现场、施工条件和基础资料的提供</w:t>
      </w:r>
    </w:p>
    <w:p w14:paraId="04928B5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2.4.1 提供施工现场</w:t>
      </w:r>
    </w:p>
    <w:p w14:paraId="0EBD616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关于发包人移交施工现场的期限要求：</w:t>
      </w:r>
      <w:r>
        <w:rPr>
          <w:rFonts w:hint="eastAsia" w:ascii="宋体" w:hAnsi="宋体" w:eastAsia="宋体" w:cs="宋体"/>
          <w:color w:val="000000"/>
          <w:sz w:val="24"/>
          <w:szCs w:val="24"/>
          <w:u w:val="single"/>
        </w:rPr>
        <w:t>开工前7天内</w:t>
      </w:r>
      <w:r>
        <w:rPr>
          <w:rFonts w:hint="eastAsia" w:ascii="宋体" w:hAnsi="宋体" w:eastAsia="宋体" w:cs="宋体"/>
          <w:color w:val="000000"/>
          <w:sz w:val="24"/>
          <w:szCs w:val="24"/>
        </w:rPr>
        <w:t>。</w:t>
      </w:r>
    </w:p>
    <w:p w14:paraId="4242915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2.4.2 提供施工条件</w:t>
      </w:r>
    </w:p>
    <w:p w14:paraId="09094C3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关于发包人应负责提供施工所需要的条件，包括：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8D686C3">
      <w:pPr>
        <w:pStyle w:val="6"/>
        <w:bidi w:val="0"/>
        <w:rPr>
          <w:rFonts w:hint="eastAsia"/>
        </w:rPr>
      </w:pPr>
      <w:r>
        <w:rPr>
          <w:rFonts w:hint="eastAsia"/>
        </w:rPr>
        <w:t>2.5 资金来源证明及支付担保</w:t>
      </w:r>
    </w:p>
    <w:p w14:paraId="69784A4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发包人提供资金来源证明的期限要求：</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457AAC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发包人是否提供支付担保：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w:t>
      </w:r>
    </w:p>
    <w:p w14:paraId="2F09ABC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发包人提供支付担保的形式：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489EC12">
      <w:pPr>
        <w:pStyle w:val="5"/>
        <w:bidi w:val="0"/>
        <w:rPr>
          <w:rFonts w:hint="eastAsia"/>
        </w:rPr>
      </w:pPr>
      <w:bookmarkStart w:id="276" w:name="_Toc351203635"/>
      <w:bookmarkStart w:id="277" w:name="_Toc20893"/>
      <w:bookmarkStart w:id="278" w:name="_Toc19577"/>
      <w:r>
        <w:rPr>
          <w:rFonts w:hint="eastAsia"/>
        </w:rPr>
        <w:t>3</w:t>
      </w:r>
      <w:bookmarkStart w:id="279" w:name="_Toc296890986"/>
      <w:bookmarkStart w:id="280" w:name="_Toc297048344"/>
      <w:bookmarkStart w:id="281" w:name="_Toc296891198"/>
      <w:bookmarkStart w:id="282" w:name="_Toc296944497"/>
      <w:bookmarkStart w:id="283" w:name="_Toc292559868"/>
      <w:bookmarkStart w:id="284" w:name="_Toc292559363"/>
      <w:bookmarkStart w:id="285" w:name="_Toc296346659"/>
      <w:bookmarkStart w:id="286" w:name="_Toc296503158"/>
      <w:bookmarkStart w:id="287" w:name="_Toc296347157"/>
      <w:bookmarkStart w:id="288" w:name="_Toc297120458"/>
      <w:r>
        <w:rPr>
          <w:rFonts w:hint="eastAsia"/>
        </w:rPr>
        <w:t>. 承包人</w:t>
      </w:r>
      <w:bookmarkEnd w:id="276"/>
      <w:bookmarkEnd w:id="277"/>
      <w:bookmarkEnd w:id="278"/>
    </w:p>
    <w:bookmarkEnd w:id="279"/>
    <w:bookmarkEnd w:id="280"/>
    <w:bookmarkEnd w:id="281"/>
    <w:bookmarkEnd w:id="282"/>
    <w:bookmarkEnd w:id="283"/>
    <w:bookmarkEnd w:id="284"/>
    <w:bookmarkEnd w:id="285"/>
    <w:bookmarkEnd w:id="286"/>
    <w:bookmarkEnd w:id="287"/>
    <w:bookmarkEnd w:id="288"/>
    <w:p w14:paraId="2B9C62F2">
      <w:pPr>
        <w:pStyle w:val="6"/>
        <w:bidi w:val="0"/>
        <w:rPr>
          <w:rFonts w:hint="eastAsia"/>
        </w:rPr>
      </w:pPr>
      <w:r>
        <w:rPr>
          <w:rFonts w:hint="eastAsia"/>
        </w:rPr>
        <w:t>3.1 承包人的一般义务</w:t>
      </w:r>
    </w:p>
    <w:p w14:paraId="44DE3E9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（9）</w:t>
      </w:r>
      <w:r>
        <w:rPr>
          <w:rFonts w:hint="eastAsia" w:ascii="宋体" w:hAnsi="宋体" w:eastAsia="宋体" w:cs="宋体"/>
          <w:color w:val="000000"/>
          <w:sz w:val="24"/>
          <w:szCs w:val="24"/>
        </w:rPr>
        <w:t>承包人提交的竣工资料的内容：</w:t>
      </w:r>
      <w:r>
        <w:rPr>
          <w:rFonts w:hint="eastAsia" w:ascii="宋体" w:hAnsi="宋体" w:eastAsia="宋体" w:cs="宋体"/>
          <w:color w:val="000000"/>
          <w:sz w:val="24"/>
          <w:szCs w:val="24"/>
          <w:u w:val="single"/>
        </w:rPr>
        <w:t>按相关规定执行</w:t>
      </w:r>
      <w:r>
        <w:rPr>
          <w:rFonts w:hint="eastAsia" w:ascii="宋体" w:hAnsi="宋体" w:eastAsia="宋体" w:cs="宋体"/>
          <w:color w:val="000000"/>
          <w:sz w:val="24"/>
          <w:szCs w:val="24"/>
        </w:rPr>
        <w:t>。</w:t>
      </w:r>
    </w:p>
    <w:p w14:paraId="1174BBD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承包人需要提交的竣工资料套数：</w:t>
      </w:r>
      <w:r>
        <w:rPr>
          <w:rFonts w:hint="eastAsia" w:ascii="宋体" w:hAnsi="宋体" w:eastAsia="宋体" w:cs="宋体"/>
          <w:color w:val="000000"/>
          <w:sz w:val="24"/>
          <w:szCs w:val="24"/>
          <w:u w:val="single"/>
        </w:rPr>
        <w:t>肆套</w:t>
      </w:r>
      <w:r>
        <w:rPr>
          <w:rFonts w:hint="eastAsia" w:ascii="宋体" w:hAnsi="宋体" w:eastAsia="宋体" w:cs="宋体"/>
          <w:color w:val="000000"/>
          <w:sz w:val="24"/>
          <w:szCs w:val="24"/>
        </w:rPr>
        <w:t>。</w:t>
      </w:r>
    </w:p>
    <w:p w14:paraId="33966AF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承包人提交的竣工资料的费用承担：</w:t>
      </w:r>
      <w:r>
        <w:rPr>
          <w:rFonts w:hint="eastAsia" w:ascii="宋体" w:hAnsi="宋体" w:eastAsia="宋体" w:cs="宋体"/>
          <w:color w:val="000000"/>
          <w:sz w:val="24"/>
          <w:szCs w:val="24"/>
          <w:u w:val="single"/>
        </w:rPr>
        <w:t>承包人承担</w:t>
      </w:r>
      <w:r>
        <w:rPr>
          <w:rFonts w:hint="eastAsia" w:ascii="宋体" w:hAnsi="宋体" w:eastAsia="宋体" w:cs="宋体"/>
          <w:color w:val="000000"/>
          <w:sz w:val="24"/>
          <w:szCs w:val="24"/>
        </w:rPr>
        <w:t>。</w:t>
      </w:r>
    </w:p>
    <w:p w14:paraId="7F26A87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承包人提交的竣工资料移交时间：</w:t>
      </w:r>
      <w:r>
        <w:rPr>
          <w:rFonts w:hint="eastAsia" w:ascii="宋体" w:hAnsi="宋体" w:eastAsia="宋体" w:cs="宋体"/>
          <w:color w:val="000000"/>
          <w:sz w:val="24"/>
          <w:szCs w:val="24"/>
          <w:u w:val="single"/>
        </w:rPr>
        <w:t>按通用条款规定</w:t>
      </w:r>
      <w:r>
        <w:rPr>
          <w:rFonts w:hint="eastAsia" w:ascii="宋体" w:hAnsi="宋体" w:eastAsia="宋体" w:cs="宋体"/>
          <w:color w:val="000000"/>
          <w:sz w:val="24"/>
          <w:szCs w:val="24"/>
        </w:rPr>
        <w:t>。</w:t>
      </w:r>
    </w:p>
    <w:p w14:paraId="202D04D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承包人提交的竣工资料形式要求：</w:t>
      </w:r>
      <w:r>
        <w:rPr>
          <w:rFonts w:hint="eastAsia" w:ascii="宋体" w:hAnsi="宋体" w:eastAsia="宋体" w:cs="宋体"/>
          <w:color w:val="000000"/>
          <w:sz w:val="24"/>
          <w:szCs w:val="24"/>
          <w:u w:val="single"/>
        </w:rPr>
        <w:t>书面和电子文档</w:t>
      </w:r>
      <w:r>
        <w:rPr>
          <w:rFonts w:hint="eastAsia" w:ascii="宋体" w:hAnsi="宋体" w:eastAsia="宋体" w:cs="宋体"/>
          <w:color w:val="000000"/>
          <w:sz w:val="24"/>
          <w:szCs w:val="24"/>
        </w:rPr>
        <w:t>。</w:t>
      </w:r>
    </w:p>
    <w:p w14:paraId="2DE6F77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000000"/>
          <w:kern w:val="0"/>
          <w:sz w:val="24"/>
          <w:szCs w:val="24"/>
        </w:rPr>
        <w:t>（10）承包人应履行的其他义务：</w:t>
      </w:r>
      <w:r>
        <w:rPr>
          <w:rFonts w:hint="eastAsia" w:ascii="宋体" w:hAnsi="宋体" w:eastAsia="宋体" w:cs="宋体"/>
          <w:color w:val="000000"/>
          <w:sz w:val="24"/>
          <w:szCs w:val="24"/>
          <w:u w:val="single"/>
        </w:rPr>
        <w:t>①项目负责人（中标的建造师，下同）、主要工程技术管理人员，必须参加由负责工程监理的监理人或发包人组织的工程例会；②承</w:t>
      </w:r>
      <w:r>
        <w:rPr>
          <w:rFonts w:hint="eastAsia" w:ascii="宋体" w:hAnsi="宋体" w:eastAsia="宋体" w:cs="宋体"/>
          <w:color w:val="auto"/>
          <w:sz w:val="24"/>
          <w:szCs w:val="24"/>
          <w:u w:val="single"/>
        </w:rPr>
        <w:t>包人必须做好与其它施工单位的配合工作，服从发包人的统一安排，并有责任对其他施工单位已完工程及产品进行保护，相关费用协商签证。③施工过程中的用水用电，由承包人装表计量按月自行向发包人缴纳，如不缴纳或延期缴纳，发包人将按水电费结算金额的十倍向承包人主张违约金。该款项发包人有权直接从工程款中扣除。④承包人应积极配合发包人办理后续报建手续，承包人应在合同签订后7日内提供相关资料并安排人员办理后续报建手续，否则，每延迟1天，发包人有权要求承包人支付1000元违约金</w:t>
      </w:r>
      <w:r>
        <w:rPr>
          <w:rFonts w:hint="eastAsia" w:ascii="宋体" w:hAnsi="宋体" w:eastAsia="宋体" w:cs="宋体"/>
          <w:color w:val="auto"/>
          <w:sz w:val="24"/>
          <w:szCs w:val="24"/>
        </w:rPr>
        <w:t>。</w:t>
      </w:r>
    </w:p>
    <w:p w14:paraId="20DFDCF7">
      <w:pPr>
        <w:pStyle w:val="6"/>
        <w:bidi w:val="0"/>
        <w:rPr>
          <w:rFonts w:hint="eastAsia"/>
        </w:rPr>
      </w:pPr>
      <w:r>
        <w:rPr>
          <w:rFonts w:hint="eastAsia"/>
        </w:rPr>
        <w:t>3.2 项目经理</w:t>
      </w:r>
    </w:p>
    <w:p w14:paraId="0D299D2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rPr>
        <w:t xml:space="preserve">3.2.1 </w:t>
      </w:r>
      <w:r>
        <w:rPr>
          <w:rFonts w:hint="eastAsia" w:ascii="宋体" w:hAnsi="宋体" w:eastAsia="宋体" w:cs="宋体"/>
          <w:color w:val="auto"/>
          <w:sz w:val="24"/>
          <w:szCs w:val="24"/>
        </w:rPr>
        <w:t>项目经理：</w:t>
      </w:r>
    </w:p>
    <w:p w14:paraId="14665B5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14:paraId="7B5D235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身份证号：</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14:paraId="1D5ECDC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建造师执业资格等级：</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5ECB86E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建造师注册证书号：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29A5A36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建造师执业印章号：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6C34AB6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安全生产考核合格证书号：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203FAE2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14:paraId="51B87F5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37E0436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61E6189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承包人对项目经理的授权范围如下：</w:t>
      </w:r>
      <w:r>
        <w:rPr>
          <w:rFonts w:hint="eastAsia" w:ascii="宋体" w:hAnsi="宋体" w:eastAsia="宋体" w:cs="宋体"/>
          <w:color w:val="auto"/>
          <w:sz w:val="24"/>
          <w:szCs w:val="24"/>
          <w:u w:val="single"/>
        </w:rPr>
        <w:t>全权处理本项目的一切事务</w:t>
      </w:r>
      <w:r>
        <w:rPr>
          <w:rFonts w:hint="eastAsia" w:ascii="宋体" w:hAnsi="宋体" w:eastAsia="宋体" w:cs="宋体"/>
          <w:color w:val="auto"/>
          <w:sz w:val="24"/>
          <w:szCs w:val="24"/>
        </w:rPr>
        <w:t>。</w:t>
      </w:r>
    </w:p>
    <w:p w14:paraId="4466514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关于项目经理每月在施工现场的时间要求：</w:t>
      </w:r>
      <w:r>
        <w:rPr>
          <w:rFonts w:hint="eastAsia" w:ascii="宋体" w:hAnsi="宋体" w:eastAsia="宋体" w:cs="宋体"/>
          <w:color w:val="auto"/>
          <w:sz w:val="24"/>
          <w:szCs w:val="24"/>
          <w:u w:val="single"/>
        </w:rPr>
        <w:t>不小于22天</w:t>
      </w:r>
      <w:r>
        <w:rPr>
          <w:rFonts w:hint="eastAsia" w:ascii="宋体" w:hAnsi="宋体" w:eastAsia="宋体" w:cs="宋体"/>
          <w:color w:val="auto"/>
          <w:sz w:val="24"/>
          <w:szCs w:val="24"/>
        </w:rPr>
        <w:t>。</w:t>
      </w:r>
    </w:p>
    <w:p w14:paraId="0452624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承包人未提交劳动合同，以及没有为项目经理缴纳社会保险证明的违约责任：</w:t>
      </w:r>
      <w:r>
        <w:rPr>
          <w:rFonts w:hint="eastAsia" w:ascii="宋体" w:hAnsi="宋体" w:eastAsia="宋体" w:cs="宋体"/>
          <w:bCs/>
          <w:color w:val="auto"/>
          <w:kern w:val="0"/>
          <w:sz w:val="24"/>
          <w:szCs w:val="24"/>
          <w:u w:val="single"/>
        </w:rPr>
        <w:t>承包人不提交上述文件的，项目经理、技术负责人无权履行职责，发包人有权要求更换项目经理、技术负责人，由此增加的费用和延误的工期由承包人承担。此外，承包人还应向发包人交纳违约金10万元/人</w:t>
      </w:r>
      <w:r>
        <w:rPr>
          <w:rFonts w:hint="eastAsia" w:ascii="宋体" w:hAnsi="宋体" w:eastAsia="宋体" w:cs="宋体"/>
          <w:color w:val="auto"/>
          <w:sz w:val="24"/>
          <w:szCs w:val="24"/>
        </w:rPr>
        <w:t>。</w:t>
      </w:r>
    </w:p>
    <w:p w14:paraId="2156144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kern w:val="0"/>
          <w:sz w:val="24"/>
          <w:szCs w:val="24"/>
        </w:rPr>
        <w:t>项目经理未经批准，擅自离开施工现场的违约责任：</w:t>
      </w:r>
      <w:r>
        <w:rPr>
          <w:rFonts w:hint="eastAsia" w:ascii="宋体" w:hAnsi="宋体" w:eastAsia="宋体" w:cs="宋体"/>
          <w:bCs/>
          <w:color w:val="auto"/>
          <w:sz w:val="24"/>
          <w:szCs w:val="24"/>
          <w:u w:val="single"/>
        </w:rPr>
        <w:t>缺勤一天支付违约金5000元</w:t>
      </w:r>
      <w:r>
        <w:rPr>
          <w:rFonts w:hint="eastAsia" w:ascii="宋体" w:hAnsi="宋体" w:eastAsia="宋体" w:cs="宋体"/>
          <w:color w:val="auto"/>
          <w:sz w:val="24"/>
          <w:szCs w:val="24"/>
        </w:rPr>
        <w:t>。</w:t>
      </w:r>
    </w:p>
    <w:p w14:paraId="06A8E82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3.2.3 承包人擅自更换项目经理的违约责任：</w:t>
      </w:r>
      <w:r>
        <w:rPr>
          <w:rFonts w:hint="eastAsia" w:ascii="宋体" w:hAnsi="宋体" w:eastAsia="宋体" w:cs="宋体"/>
          <w:bCs/>
          <w:color w:val="auto"/>
          <w:kern w:val="0"/>
          <w:sz w:val="24"/>
          <w:szCs w:val="24"/>
          <w:u w:val="single"/>
        </w:rPr>
        <w:t>不得更换，否则每更换一名项目负责人处罚承包人违约金5万元，发包人有权解除本合同，并由承包人按工程合同价格的10%承担违约责任，并上报建设行政主管部门进行处罚</w:t>
      </w:r>
      <w:r>
        <w:rPr>
          <w:rFonts w:hint="eastAsia" w:ascii="宋体" w:hAnsi="宋体" w:eastAsia="宋体" w:cs="宋体"/>
          <w:color w:val="auto"/>
          <w:sz w:val="24"/>
          <w:szCs w:val="24"/>
        </w:rPr>
        <w:t>。</w:t>
      </w:r>
    </w:p>
    <w:p w14:paraId="7EE505B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3.2.4 承包人无正当理由拒绝更换项目经理的违约责任：</w:t>
      </w:r>
      <w:r>
        <w:rPr>
          <w:rFonts w:hint="eastAsia" w:ascii="宋体" w:hAnsi="宋体" w:eastAsia="宋体" w:cs="宋体"/>
          <w:bCs/>
          <w:color w:val="auto"/>
          <w:kern w:val="0"/>
          <w:sz w:val="24"/>
          <w:szCs w:val="24"/>
          <w:u w:val="single"/>
        </w:rPr>
        <w:t>发包人有权解除合同，并由承包人按工程合同价格的10%承担违约责任</w:t>
      </w:r>
      <w:r>
        <w:rPr>
          <w:rFonts w:hint="eastAsia" w:ascii="宋体" w:hAnsi="宋体" w:eastAsia="宋体" w:cs="宋体"/>
          <w:color w:val="auto"/>
          <w:sz w:val="24"/>
          <w:szCs w:val="24"/>
        </w:rPr>
        <w:t>。</w:t>
      </w:r>
    </w:p>
    <w:p w14:paraId="4C79EFAE">
      <w:pPr>
        <w:pStyle w:val="6"/>
        <w:bidi w:val="0"/>
        <w:rPr>
          <w:rFonts w:hint="eastAsia"/>
        </w:rPr>
      </w:pPr>
      <w:r>
        <w:rPr>
          <w:rFonts w:hint="eastAsia"/>
        </w:rPr>
        <w:t>3.3 承包人人员</w:t>
      </w:r>
    </w:p>
    <w:p w14:paraId="26529FF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3.3.1 承包人提交项目管理机构及施工现场管理人员安排报告的期限：</w:t>
      </w:r>
      <w:r>
        <w:rPr>
          <w:rFonts w:hint="eastAsia" w:ascii="宋体" w:hAnsi="宋体" w:eastAsia="宋体" w:cs="宋体"/>
          <w:bCs/>
          <w:color w:val="auto"/>
          <w:sz w:val="24"/>
          <w:szCs w:val="24"/>
          <w:u w:val="single"/>
        </w:rPr>
        <w:t>承包人在合同签订7日内安排管理人员到位，并编写在施工场地的管理机构以及人员安排的报告，其内容应包括管理机构的设置、各主要岗位的技术和管理人员名单及其资格，以及各工种技术工人的安排状况，经监理人认可后及时报发包人备案。承包人应向监理人提交施工场地人员变动情况的报告。承包人未在约定时间内到位的，应按项目经理、技术负责人每天2000元、其他主要工程管理人员每人每天1000元标准支付给发包人违约金</w:t>
      </w:r>
      <w:r>
        <w:rPr>
          <w:rFonts w:hint="eastAsia" w:ascii="宋体" w:hAnsi="宋体" w:eastAsia="宋体" w:cs="宋体"/>
          <w:color w:val="auto"/>
          <w:sz w:val="24"/>
          <w:szCs w:val="24"/>
        </w:rPr>
        <w:t>。</w:t>
      </w:r>
    </w:p>
    <w:p w14:paraId="7C605E6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3.3.3</w:t>
      </w:r>
      <w:r>
        <w:rPr>
          <w:rFonts w:hint="eastAsia" w:ascii="宋体" w:hAnsi="宋体" w:eastAsia="宋体" w:cs="宋体"/>
          <w:b/>
          <w:bCs w:val="0"/>
          <w:color w:val="auto"/>
          <w:sz w:val="24"/>
          <w:szCs w:val="24"/>
          <w:lang w:val="en-US" w:eastAsia="zh-CN"/>
        </w:rPr>
        <w:t xml:space="preserve"> </w:t>
      </w:r>
      <w:r>
        <w:rPr>
          <w:rFonts w:hint="eastAsia" w:ascii="宋体" w:hAnsi="宋体" w:eastAsia="宋体" w:cs="宋体"/>
          <w:bCs/>
          <w:color w:val="auto"/>
          <w:sz w:val="24"/>
          <w:szCs w:val="24"/>
        </w:rPr>
        <w:t>承包人无正当理由拒绝撤换主要施工管理人员的违约责任：</w:t>
      </w:r>
      <w:r>
        <w:rPr>
          <w:rFonts w:hint="eastAsia" w:ascii="宋体" w:hAnsi="宋体" w:eastAsia="宋体" w:cs="宋体"/>
          <w:bCs/>
          <w:color w:val="auto"/>
          <w:sz w:val="24"/>
          <w:szCs w:val="24"/>
          <w:u w:val="single"/>
        </w:rPr>
        <w:t>发包人对不称职的项目经理和技术负责人有权要求承包人更换。承包人自接到更换通知之日起2天内另行委派具有法定资格、适合施工要求的项目经理、技术负责人、施工员（可由技术负责人兼任）、</w:t>
      </w:r>
      <w:r>
        <w:rPr>
          <w:rFonts w:hint="eastAsia" w:ascii="宋体" w:hAnsi="宋体" w:eastAsia="宋体" w:cs="宋体"/>
          <w:bCs/>
          <w:color w:val="auto"/>
          <w:sz w:val="24"/>
          <w:szCs w:val="24"/>
          <w:u w:val="single"/>
          <w:lang w:val="en-US" w:eastAsia="zh-CN"/>
        </w:rPr>
        <w:t>质量员、</w:t>
      </w:r>
      <w:r>
        <w:rPr>
          <w:rFonts w:hint="eastAsia" w:ascii="宋体" w:hAnsi="宋体" w:eastAsia="宋体" w:cs="宋体"/>
          <w:bCs/>
          <w:color w:val="auto"/>
          <w:sz w:val="24"/>
          <w:szCs w:val="24"/>
          <w:u w:val="single"/>
        </w:rPr>
        <w:t>安全员到位，否则，每延迟一天，承包人按项目经理、技术负责人2000元/人/天，施工员（可由技术负责人兼任）、</w:t>
      </w:r>
      <w:r>
        <w:rPr>
          <w:rFonts w:hint="eastAsia" w:ascii="宋体" w:hAnsi="宋体" w:eastAsia="宋体" w:cs="宋体"/>
          <w:bCs/>
          <w:color w:val="auto"/>
          <w:sz w:val="24"/>
          <w:szCs w:val="24"/>
          <w:u w:val="single"/>
          <w:lang w:val="en-US" w:eastAsia="zh-CN"/>
        </w:rPr>
        <w:t>质量员、</w:t>
      </w:r>
      <w:r>
        <w:rPr>
          <w:rFonts w:hint="eastAsia" w:ascii="宋体" w:hAnsi="宋体" w:eastAsia="宋体" w:cs="宋体"/>
          <w:bCs/>
          <w:color w:val="auto"/>
          <w:sz w:val="24"/>
          <w:szCs w:val="24"/>
          <w:u w:val="single"/>
        </w:rPr>
        <w:t>安全员1000元/人/天向发包人支付违约金；延迟时间超过30日还未委派合格的项目经理和技术负责人到位的，发包人有权解除本合同，并由承包人按工程合同价格的10%承担违约责任。）承包人无正当理由停止施工或撤离现场的，承包人不得向发包人就尚未支付的工程款取得权利，且发包人有权向承包人索赔。若因发包人原因（资金支付，各部门关系协调等）造成承包人停止施工，给承包人造成经济损失，由发包人会同市监管部门核实签证认可</w:t>
      </w:r>
      <w:r>
        <w:rPr>
          <w:rFonts w:hint="eastAsia" w:ascii="宋体" w:hAnsi="宋体" w:eastAsia="宋体" w:cs="宋体"/>
          <w:bCs/>
          <w:color w:val="auto"/>
          <w:sz w:val="24"/>
          <w:szCs w:val="24"/>
        </w:rPr>
        <w:t>。</w:t>
      </w:r>
    </w:p>
    <w:p w14:paraId="3CEB114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3.3.4 承包人主要施工管理人员离开施工现场的批准要求：</w:t>
      </w:r>
      <w:r>
        <w:rPr>
          <w:rFonts w:hint="eastAsia" w:ascii="宋体" w:hAnsi="宋体" w:eastAsia="宋体" w:cs="宋体"/>
          <w:bCs/>
          <w:color w:val="auto"/>
          <w:sz w:val="24"/>
          <w:szCs w:val="24"/>
          <w:u w:val="single"/>
        </w:rPr>
        <w:t>承包人必须按规定履行程序，项目经理、技术负责人不得兼职与外聘，不得离岗、脱岗，否则按项目经理每天2000元、技术负责人及其他主要工程管理人员每天1000元标准支付给发包人违约金</w:t>
      </w:r>
      <w:r>
        <w:rPr>
          <w:rFonts w:hint="eastAsia" w:ascii="宋体" w:hAnsi="宋体" w:eastAsia="宋体" w:cs="宋体"/>
          <w:color w:val="auto"/>
          <w:sz w:val="24"/>
          <w:szCs w:val="24"/>
        </w:rPr>
        <w:t>。</w:t>
      </w:r>
    </w:p>
    <w:p w14:paraId="382F009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3.3.5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承包人擅自更换主要施工管理人员的违约责任：</w:t>
      </w:r>
      <w:r>
        <w:rPr>
          <w:rFonts w:hint="eastAsia" w:ascii="宋体" w:hAnsi="宋体" w:eastAsia="宋体" w:cs="宋体"/>
          <w:bCs/>
          <w:color w:val="auto"/>
          <w:sz w:val="24"/>
          <w:szCs w:val="24"/>
          <w:u w:val="single"/>
        </w:rPr>
        <w:t>承包人在投标书承诺的组织机构人员（包括项目经理、主要技术负责人）必须是本单位的人员，不得更换。在进场施工时，项目经理、技术负责人与投标文件所报的项目经理、主要技术负责人不一致时，发包人有权拒绝接受与投标文件所报的项目经理、主要技术负责人不一致的人员履职，并书面通知承包人委派招标文件承诺的项目经理、主要技术负责人到场履职，承包人仍然不按照投标承诺和合同约定委派项目经理和技术负责人到场履职的，发包人有权解除合同，由承包人按工程合同价格的10%承担违约责任。并以资质挂靠行为上报建设行政主管部门进行处罚。如确有特殊情况需更换的，需经发包人同意，并上报市监管部门核备，并按每更换一名项目负责人或技术负责人处罚承包人违约金10万元，每更换一名主要施工管理人员处罚承包人违约金5万元</w:t>
      </w:r>
      <w:r>
        <w:rPr>
          <w:rFonts w:hint="eastAsia" w:ascii="宋体" w:hAnsi="宋体" w:eastAsia="宋体" w:cs="宋体"/>
          <w:color w:val="auto"/>
          <w:sz w:val="24"/>
          <w:szCs w:val="24"/>
        </w:rPr>
        <w:t>。</w:t>
      </w:r>
    </w:p>
    <w:p w14:paraId="7DEB60E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承包人主要施工管理人员擅自离开施工现场的违约责任：</w:t>
      </w:r>
      <w:r>
        <w:rPr>
          <w:rFonts w:hint="eastAsia" w:ascii="宋体" w:hAnsi="宋体" w:eastAsia="宋体" w:cs="宋体"/>
          <w:color w:val="auto"/>
          <w:sz w:val="24"/>
          <w:szCs w:val="24"/>
          <w:u w:val="single"/>
          <w:lang w:val="en-US" w:eastAsia="zh-CN"/>
        </w:rPr>
        <w:t>缺勤一天支付违约金1000元</w:t>
      </w:r>
      <w:r>
        <w:rPr>
          <w:rFonts w:hint="eastAsia" w:ascii="宋体" w:hAnsi="宋体" w:eastAsia="宋体" w:cs="宋体"/>
          <w:color w:val="auto"/>
          <w:sz w:val="24"/>
          <w:szCs w:val="24"/>
        </w:rPr>
        <w:t>。</w:t>
      </w:r>
    </w:p>
    <w:p w14:paraId="672D94CB">
      <w:pPr>
        <w:pStyle w:val="6"/>
        <w:bidi w:val="0"/>
        <w:rPr>
          <w:rFonts w:hint="eastAsia"/>
        </w:rPr>
      </w:pPr>
      <w:r>
        <w:rPr>
          <w:rFonts w:hint="eastAsia"/>
        </w:rPr>
        <w:t>3</w:t>
      </w:r>
      <w:bookmarkStart w:id="289" w:name="_Toc303539102"/>
      <w:bookmarkStart w:id="290" w:name="_Toc296503159"/>
      <w:bookmarkStart w:id="291" w:name="_Toc292559869"/>
      <w:bookmarkStart w:id="292" w:name="_Toc312677988"/>
      <w:bookmarkStart w:id="293" w:name="_Toc296944498"/>
      <w:bookmarkStart w:id="294" w:name="_Toc297120459"/>
      <w:bookmarkStart w:id="295" w:name="_Toc297048345"/>
      <w:bookmarkStart w:id="296" w:name="_Toc296891199"/>
      <w:bookmarkStart w:id="297" w:name="_Toc297123492"/>
      <w:bookmarkStart w:id="298" w:name="_Toc296890987"/>
      <w:bookmarkStart w:id="299" w:name="_Toc297216151"/>
      <w:bookmarkStart w:id="300" w:name="_Toc300934945"/>
      <w:bookmarkStart w:id="301" w:name="_Toc304295523"/>
      <w:bookmarkStart w:id="302" w:name="_Toc292559364"/>
      <w:bookmarkStart w:id="303" w:name="_Toc296347158"/>
      <w:bookmarkStart w:id="304" w:name="_Toc296346660"/>
      <w:r>
        <w:rPr>
          <w:rFonts w:hint="eastAsia"/>
        </w:rPr>
        <w:t>.5 分包</w:t>
      </w:r>
    </w:p>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14:paraId="2309E61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bookmarkStart w:id="305" w:name="_Toc297216152"/>
      <w:bookmarkStart w:id="306" w:name="_Toc296346661"/>
      <w:bookmarkStart w:id="307" w:name="_Toc296503160"/>
      <w:bookmarkStart w:id="308" w:name="_Toc303539103"/>
      <w:bookmarkStart w:id="309" w:name="_Toc297123493"/>
      <w:bookmarkStart w:id="310" w:name="_Toc304295524"/>
      <w:bookmarkStart w:id="311" w:name="_Toc297120460"/>
      <w:bookmarkStart w:id="312" w:name="_Toc296891200"/>
      <w:bookmarkStart w:id="313" w:name="_Toc297048346"/>
      <w:bookmarkStart w:id="314" w:name="_Toc292559365"/>
      <w:bookmarkStart w:id="315" w:name="_Toc292559870"/>
      <w:bookmarkStart w:id="316" w:name="_Toc296944499"/>
      <w:bookmarkStart w:id="317" w:name="_Toc296347159"/>
      <w:bookmarkStart w:id="318" w:name="_Toc300934946"/>
      <w:bookmarkStart w:id="319" w:name="_Toc296890988"/>
      <w:bookmarkStart w:id="320" w:name="_Toc312677989"/>
      <w:bookmarkStart w:id="321" w:name="_Toc318581158"/>
      <w:r>
        <w:rPr>
          <w:rFonts w:hint="eastAsia" w:ascii="宋体" w:hAnsi="宋体" w:eastAsia="宋体" w:cs="宋体"/>
          <w:color w:val="auto"/>
          <w:sz w:val="24"/>
          <w:szCs w:val="24"/>
        </w:rPr>
        <w:t>.5.1 分包的一般约定</w:t>
      </w:r>
    </w:p>
    <w:p w14:paraId="37DBC59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禁止分包的工程包括：</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14:paraId="7B035E2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主体结构、关键性工作的范围：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Start w:id="322" w:name="_Toc297120461"/>
      <w:bookmarkStart w:id="323" w:name="_Toc297216153"/>
      <w:bookmarkStart w:id="324" w:name="_Toc296346662"/>
      <w:bookmarkStart w:id="325" w:name="_Toc297123494"/>
      <w:bookmarkStart w:id="326" w:name="_Toc296347160"/>
      <w:bookmarkStart w:id="327" w:name="_Toc303539104"/>
      <w:bookmarkStart w:id="328" w:name="_Toc296891201"/>
      <w:bookmarkStart w:id="329" w:name="_Toc296944500"/>
      <w:bookmarkStart w:id="330" w:name="_Toc297048347"/>
      <w:bookmarkStart w:id="331" w:name="_Toc300934947"/>
      <w:bookmarkStart w:id="332" w:name="_Toc296890989"/>
      <w:bookmarkStart w:id="333" w:name="_Toc296503161"/>
      <w:bookmarkStart w:id="334" w:name="_Toc304295525"/>
    </w:p>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14:paraId="50423F0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bookmarkStart w:id="335" w:name="_Toc318581159"/>
      <w:bookmarkStart w:id="336" w:name="_Toc312677990"/>
      <w:r>
        <w:rPr>
          <w:rFonts w:hint="eastAsia" w:ascii="宋体" w:hAnsi="宋体" w:eastAsia="宋体" w:cs="宋体"/>
          <w:color w:val="auto"/>
          <w:sz w:val="24"/>
          <w:szCs w:val="24"/>
        </w:rPr>
        <w:t>.5.2分包的确定</w:t>
      </w:r>
    </w:p>
    <w:p w14:paraId="6009EF8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允许分包的专业工程包括：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0C1D373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其他关于分包的约定：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05FD96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3.5.4 分包合同价款</w:t>
      </w:r>
    </w:p>
    <w:p w14:paraId="7607DE6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关于分包合同价款支付的约定：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335"/>
    <w:bookmarkEnd w:id="336"/>
    <w:p w14:paraId="18D80DC8">
      <w:pPr>
        <w:pStyle w:val="6"/>
        <w:bidi w:val="0"/>
        <w:rPr>
          <w:rFonts w:hint="eastAsia"/>
        </w:rPr>
      </w:pPr>
      <w:r>
        <w:rPr>
          <w:rFonts w:hint="eastAsia"/>
        </w:rPr>
        <w:t>3.6 工程照管与成品、半成品保护</w:t>
      </w:r>
    </w:p>
    <w:p w14:paraId="1041B50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承包人负责照管工程及工程相关的材料、工程设备的起始时间：</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kern w:val="0"/>
          <w:sz w:val="24"/>
          <w:szCs w:val="24"/>
        </w:rPr>
        <w:t>。</w:t>
      </w:r>
    </w:p>
    <w:p w14:paraId="57CC7D70">
      <w:pPr>
        <w:pStyle w:val="6"/>
        <w:bidi w:val="0"/>
        <w:rPr>
          <w:rFonts w:hint="eastAsia"/>
        </w:rPr>
      </w:pPr>
      <w:r>
        <w:rPr>
          <w:rFonts w:hint="eastAsia"/>
        </w:rPr>
        <w:t>3.7 履约担保</w:t>
      </w:r>
    </w:p>
    <w:p w14:paraId="21D2840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承包人是否提供履约担保：</w:t>
      </w:r>
      <w:r>
        <w:rPr>
          <w:rFonts w:hint="eastAsia" w:ascii="宋体" w:hAnsi="宋体" w:eastAsia="宋体" w:cs="宋体"/>
          <w:bCs/>
          <w:color w:val="auto"/>
          <w:sz w:val="24"/>
          <w:szCs w:val="24"/>
          <w:u w:val="single"/>
        </w:rPr>
        <w:t>是</w:t>
      </w:r>
      <w:r>
        <w:rPr>
          <w:rFonts w:hint="eastAsia" w:ascii="宋体" w:hAnsi="宋体" w:eastAsia="宋体" w:cs="宋体"/>
          <w:color w:val="auto"/>
          <w:sz w:val="24"/>
          <w:szCs w:val="24"/>
        </w:rPr>
        <w:t>。</w:t>
      </w:r>
    </w:p>
    <w:p w14:paraId="791632A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承包人提供履约担保的形式、金额及期限的：</w:t>
      </w:r>
      <w:r>
        <w:rPr>
          <w:rFonts w:hint="eastAsia" w:ascii="宋体" w:hAnsi="宋体" w:eastAsia="宋体" w:cs="宋体"/>
          <w:color w:val="auto"/>
          <w:sz w:val="24"/>
          <w:szCs w:val="24"/>
          <w:u w:val="single"/>
        </w:rPr>
        <w:t>①保函形式：包括银行业金融机构保函、担保公司担保（</w:t>
      </w:r>
      <w:r>
        <w:rPr>
          <w:rFonts w:hint="eastAsia" w:ascii="宋体" w:hAnsi="宋体" w:cs="宋体"/>
          <w:color w:val="auto"/>
          <w:sz w:val="24"/>
          <w:szCs w:val="24"/>
          <w:u w:val="single"/>
          <w:lang w:val="en-US" w:eastAsia="zh-CN"/>
        </w:rPr>
        <w:t>非</w:t>
      </w:r>
      <w:r>
        <w:rPr>
          <w:rFonts w:hint="eastAsia" w:ascii="宋体" w:hAnsi="宋体" w:eastAsia="宋体" w:cs="宋体"/>
          <w:color w:val="auto"/>
          <w:sz w:val="24"/>
          <w:szCs w:val="24"/>
          <w:u w:val="single"/>
        </w:rPr>
        <w:t>融资性担保公司保函）、保险公司保证保险</w:t>
      </w:r>
      <w:r>
        <w:rPr>
          <w:rFonts w:hint="eastAsia" w:ascii="宋体" w:hAnsi="宋体" w:eastAsia="宋体" w:cs="宋体"/>
          <w:color w:val="auto"/>
          <w:sz w:val="24"/>
          <w:szCs w:val="24"/>
          <w:u w:val="single"/>
          <w:lang w:eastAsia="zh-CN"/>
        </w:rPr>
        <w:t>；②</w:t>
      </w:r>
      <w:r>
        <w:rPr>
          <w:rFonts w:hint="eastAsia" w:ascii="宋体" w:hAnsi="宋体" w:eastAsia="宋体" w:cs="宋体"/>
          <w:color w:val="auto"/>
          <w:sz w:val="24"/>
          <w:szCs w:val="24"/>
          <w:u w:val="single"/>
        </w:rPr>
        <w:t>担保金额：中标金额低于最高投标限价10%以内的，不超过中标合同金额的10%。中标金额低于最高投标限价10%以上的，为最高投标限价减去中标合同金额后的差额</w:t>
      </w:r>
      <w:r>
        <w:rPr>
          <w:rFonts w:hint="eastAsia" w:ascii="宋体" w:hAnsi="宋体" w:eastAsia="宋体" w:cs="宋体"/>
          <w:color w:val="auto"/>
          <w:sz w:val="24"/>
          <w:szCs w:val="24"/>
          <w:u w:val="single"/>
          <w:lang w:eastAsia="zh-CN"/>
        </w:rPr>
        <w:t>；③承包人在与发包人签订施工合同前必须向发包人提交规定金额的银行履约保函，保函有效期为合同工期再延长90日</w:t>
      </w:r>
      <w:r>
        <w:rPr>
          <w:rFonts w:hint="eastAsia" w:ascii="宋体" w:hAnsi="宋体" w:eastAsia="宋体" w:cs="宋体"/>
          <w:color w:val="auto"/>
          <w:sz w:val="24"/>
          <w:szCs w:val="24"/>
        </w:rPr>
        <w:t>。</w:t>
      </w:r>
    </w:p>
    <w:p w14:paraId="31163CA5">
      <w:pPr>
        <w:pStyle w:val="5"/>
        <w:bidi w:val="0"/>
        <w:rPr>
          <w:rFonts w:hint="eastAsia"/>
        </w:rPr>
      </w:pPr>
      <w:bookmarkStart w:id="337" w:name="_Toc2741"/>
      <w:bookmarkStart w:id="338" w:name="_Toc29121"/>
      <w:bookmarkStart w:id="339" w:name="_Toc351203636"/>
      <w:r>
        <w:rPr>
          <w:rFonts w:hint="eastAsia"/>
        </w:rPr>
        <w:t>4</w:t>
      </w:r>
      <w:bookmarkStart w:id="340" w:name="_Toc267251413"/>
      <w:bookmarkStart w:id="341" w:name="_Toc296890990"/>
      <w:bookmarkStart w:id="342" w:name="_Toc296346663"/>
      <w:bookmarkStart w:id="343" w:name="_Toc292559366"/>
      <w:bookmarkStart w:id="344" w:name="_Toc296891202"/>
      <w:bookmarkStart w:id="345" w:name="_Toc292559871"/>
      <w:bookmarkStart w:id="346" w:name="_Toc297120462"/>
      <w:bookmarkStart w:id="347" w:name="_Toc296347161"/>
      <w:bookmarkStart w:id="348" w:name="_Toc296503162"/>
      <w:bookmarkStart w:id="349" w:name="_Toc297048348"/>
      <w:bookmarkStart w:id="350" w:name="_Toc296944501"/>
      <w:r>
        <w:rPr>
          <w:rFonts w:hint="eastAsia"/>
        </w:rPr>
        <w:t>. 监</w:t>
      </w:r>
      <w:bookmarkEnd w:id="340"/>
      <w:bookmarkEnd w:id="341"/>
      <w:bookmarkEnd w:id="342"/>
      <w:bookmarkEnd w:id="343"/>
      <w:bookmarkEnd w:id="344"/>
      <w:bookmarkEnd w:id="345"/>
      <w:bookmarkEnd w:id="346"/>
      <w:bookmarkEnd w:id="347"/>
      <w:bookmarkEnd w:id="348"/>
      <w:bookmarkEnd w:id="349"/>
      <w:bookmarkEnd w:id="350"/>
      <w:r>
        <w:rPr>
          <w:rFonts w:hint="eastAsia"/>
        </w:rPr>
        <w:t>理人</w:t>
      </w:r>
      <w:bookmarkEnd w:id="337"/>
      <w:bookmarkEnd w:id="338"/>
      <w:bookmarkEnd w:id="339"/>
    </w:p>
    <w:p w14:paraId="4E248EA8">
      <w:pPr>
        <w:pStyle w:val="6"/>
        <w:bidi w:val="0"/>
        <w:rPr>
          <w:rFonts w:hint="eastAsia"/>
        </w:rPr>
      </w:pPr>
      <w:r>
        <w:rPr>
          <w:rFonts w:hint="eastAsia"/>
        </w:rPr>
        <w:t>4.1</w:t>
      </w:r>
      <w:r>
        <w:rPr>
          <w:rFonts w:hint="eastAsia"/>
          <w:lang w:val="en-US" w:eastAsia="zh-CN"/>
        </w:rPr>
        <w:t xml:space="preserve"> </w:t>
      </w:r>
      <w:r>
        <w:rPr>
          <w:rFonts w:hint="eastAsia"/>
        </w:rPr>
        <w:t>监理人的一般规定</w:t>
      </w:r>
    </w:p>
    <w:p w14:paraId="5E0FB30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关于监理人的监理内容：</w:t>
      </w:r>
      <w:r>
        <w:rPr>
          <w:rFonts w:hint="eastAsia" w:ascii="宋体" w:hAnsi="宋体" w:eastAsia="宋体" w:cs="宋体"/>
          <w:bCs/>
          <w:color w:val="auto"/>
          <w:sz w:val="24"/>
          <w:szCs w:val="24"/>
          <w:u w:val="single"/>
        </w:rPr>
        <w:t>进行工程建设合同管理，按照合同控制工程的建设投资、质量、进度、安全、环保，并协调有关各方和工作关系</w:t>
      </w:r>
      <w:r>
        <w:rPr>
          <w:rFonts w:hint="eastAsia" w:ascii="宋体" w:hAnsi="宋体" w:eastAsia="宋体" w:cs="宋体"/>
          <w:color w:val="auto"/>
          <w:sz w:val="24"/>
          <w:szCs w:val="24"/>
        </w:rPr>
        <w:t>。</w:t>
      </w:r>
    </w:p>
    <w:p w14:paraId="0603F05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关于监理人的监理权限：</w:t>
      </w:r>
      <w:r>
        <w:rPr>
          <w:rFonts w:hint="eastAsia" w:ascii="宋体" w:hAnsi="宋体" w:eastAsia="宋体" w:cs="宋体"/>
          <w:bCs/>
          <w:color w:val="auto"/>
          <w:sz w:val="24"/>
          <w:szCs w:val="24"/>
          <w:u w:val="single"/>
        </w:rPr>
        <w:t>①审批工程施工组织设计、进度计划和技术方案，向承包人提出建议，并向发包人提出书面报告；②主持工程建设中有关的参建各方的组织协调和会议；③对本工程的安全文明施工和质量进行监督、管理；④征得委托人同意，监理人有权发布开工令、停工令、复工令。如在紧急情况下未能事先报告时，则应在24小时内向委托人作出书面报告；⑤工程施工进度的检查、监督权，以及工程实际竣工日期提前或超过工程施工合同规定的竣工期限的签认权；⑥在工程施工合同约定的工程价格范围内，工程款支付的审核和签认权，以及工程结算的确认复核权与否决权等（详见本项目监理合同通用条款和专用条款相关内容）</w:t>
      </w:r>
      <w:r>
        <w:rPr>
          <w:rFonts w:hint="eastAsia" w:ascii="宋体" w:hAnsi="宋体" w:eastAsia="宋体" w:cs="宋体"/>
          <w:color w:val="auto"/>
          <w:sz w:val="24"/>
          <w:szCs w:val="24"/>
        </w:rPr>
        <w:t xml:space="preserve">。 </w:t>
      </w:r>
    </w:p>
    <w:p w14:paraId="3AE18AA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关于监理人在施工现场的办公场所、生活场所的提供和费用承担的约定：</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14:paraId="5EF92C54">
      <w:pPr>
        <w:pStyle w:val="6"/>
        <w:bidi w:val="0"/>
        <w:rPr>
          <w:rFonts w:hint="eastAsia"/>
        </w:rPr>
      </w:pPr>
      <w:r>
        <w:rPr>
          <w:rFonts w:hint="eastAsia"/>
        </w:rPr>
        <w:t>4.2 监理人员</w:t>
      </w:r>
    </w:p>
    <w:p w14:paraId="0D9709D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总监理工程师：</w:t>
      </w:r>
    </w:p>
    <w:p w14:paraId="6959823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2AC3836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职    务：</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33FC690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监理工程师执业资格证书号：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7684E6D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2263699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6F47B84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1713B43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关于监理人的其他约定：</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1B08DD91">
      <w:pPr>
        <w:pStyle w:val="6"/>
        <w:bidi w:val="0"/>
        <w:rPr>
          <w:rFonts w:hint="eastAsia"/>
        </w:rPr>
      </w:pPr>
      <w:r>
        <w:rPr>
          <w:rFonts w:hint="eastAsia"/>
        </w:rPr>
        <w:t>4.4 商定或确定</w:t>
      </w:r>
    </w:p>
    <w:p w14:paraId="41DD24D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bookmarkStart w:id="351" w:name="_Toc267251418"/>
      <w:r>
        <w:rPr>
          <w:rFonts w:hint="eastAsia" w:ascii="宋体" w:hAnsi="宋体" w:eastAsia="宋体" w:cs="宋体"/>
          <w:color w:val="auto"/>
          <w:sz w:val="24"/>
          <w:szCs w:val="24"/>
        </w:rPr>
        <w:t>在发包人和承包人不能通过协商达成一致意见时，发包人授权监理人对以下事项进行确定：</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14:paraId="3B1CA754">
      <w:pPr>
        <w:pStyle w:val="5"/>
        <w:bidi w:val="0"/>
        <w:rPr>
          <w:rFonts w:hint="eastAsia"/>
        </w:rPr>
      </w:pPr>
      <w:bookmarkStart w:id="352" w:name="_Toc351203637"/>
      <w:bookmarkStart w:id="353" w:name="_Toc19148"/>
      <w:bookmarkStart w:id="354" w:name="_Toc12730"/>
      <w:r>
        <w:rPr>
          <w:rFonts w:hint="eastAsia"/>
        </w:rPr>
        <w:t>5</w:t>
      </w:r>
      <w:bookmarkEnd w:id="351"/>
      <w:bookmarkStart w:id="355" w:name="_Toc296346664"/>
      <w:bookmarkStart w:id="356" w:name="_Toc292559367"/>
      <w:bookmarkStart w:id="357" w:name="_Toc296944502"/>
      <w:bookmarkStart w:id="358" w:name="_Toc296891203"/>
      <w:bookmarkStart w:id="359" w:name="_Toc296347162"/>
      <w:bookmarkStart w:id="360" w:name="_Toc296503163"/>
      <w:bookmarkStart w:id="361" w:name="_Toc297120463"/>
      <w:bookmarkStart w:id="362" w:name="_Toc292559872"/>
      <w:bookmarkStart w:id="363" w:name="_Toc296890991"/>
      <w:bookmarkStart w:id="364" w:name="_Toc297048349"/>
      <w:r>
        <w:rPr>
          <w:rFonts w:hint="eastAsia"/>
        </w:rPr>
        <w:t>. 工程质量</w:t>
      </w:r>
      <w:bookmarkEnd w:id="352"/>
      <w:bookmarkEnd w:id="353"/>
      <w:bookmarkEnd w:id="354"/>
    </w:p>
    <w:p w14:paraId="638F1BAB">
      <w:pPr>
        <w:pStyle w:val="6"/>
        <w:bidi w:val="0"/>
        <w:rPr>
          <w:rFonts w:hint="eastAsia"/>
        </w:rPr>
      </w:pPr>
      <w:r>
        <w:rPr>
          <w:rFonts w:hint="eastAsia"/>
        </w:rPr>
        <w:t>5.1 质量要求</w:t>
      </w:r>
    </w:p>
    <w:p w14:paraId="06D30B7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w:t>
      </w:r>
      <w:bookmarkStart w:id="365" w:name="_Toc300934949"/>
      <w:bookmarkStart w:id="366" w:name="_Toc297123496"/>
      <w:bookmarkStart w:id="367" w:name="_Toc303539106"/>
      <w:bookmarkStart w:id="368" w:name="_Toc318581164"/>
      <w:bookmarkStart w:id="369" w:name="_Toc304295527"/>
      <w:bookmarkStart w:id="370" w:name="_Toc312677997"/>
      <w:bookmarkStart w:id="371" w:name="_Toc297216155"/>
      <w:r>
        <w:rPr>
          <w:rFonts w:hint="eastAsia" w:ascii="宋体" w:hAnsi="宋体" w:eastAsia="宋体" w:cs="宋体"/>
          <w:color w:val="auto"/>
          <w:sz w:val="24"/>
          <w:szCs w:val="24"/>
        </w:rPr>
        <w:t>.1.1 特殊质量标准和要求：</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83A3AD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关于工程奖项的约定：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404584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5.1.2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承包人未按工程设计标准、相关规定和施工组织计划要求进行施工，出现工程质量、安全、文明施工等问题，受到监理人和发包人书面整改通知和通报的，应立即整改到位并书面回复，否则，第一次承包人应向发包人支付2000元的违约金，同一问题第二次承包人支付5000元的违约金，第三次承包人支付10000元的违约金，同时约谈承包人法定代表人，约谈法定代表人后问题仍然没有得到解决的，则上报建设行政主管部门给予承包人不良行为记录，给予不良行为记录后质量安全等问题仍然没有得到解决的，则终止合同，由此给发包人造成的经济损失由承包人承担。</w:t>
      </w:r>
    </w:p>
    <w:p w14:paraId="18F41B0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5.1.3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发包人或承包人因工程质量、安全、文明施工等问题受到政府建设主管部书面通报批评的，第一次承包人向发包人支付10000元的违约金，同时约谈承包人有关领导；第二次要求承包人支付50000元的违约金，同时约谈承包人法定代表人，采取包括责令承包人撤换项目经理、技术负责人等措施；第三次要求承包人支付100000元的违约金，并上报建设行政主管部门给予承包人不良行为记录，直至解除合同，由此给发包人造成的经济损失由承包人承担。</w:t>
      </w:r>
    </w:p>
    <w:p w14:paraId="56D380C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5.1.4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若因承包人原因造成工程发生质量、安全事故的（造成50万元以上经济损失的质量事故或死亡1人以上的安全事故），质量安全事故的一切损失由承包人承担，要求承包人支付50000元违约金，同时约谈承包人法定代表人并责令承包人撤换项目经理或技术负责人，造成第二次质量、安全事故的，除承包人承担事故一切损失外，发包人上报建设行政主管部门给予承包人不良行为记录，要求承包人支付100000元违约金，直至终止本合同。</w:t>
      </w:r>
    </w:p>
    <w:p w14:paraId="0508D49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5.1.5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承包人应严格执行发包人和政府建设主管部门下发的工程质量相关规定和制度要求。</w:t>
      </w:r>
    </w:p>
    <w:p w14:paraId="27DFE447">
      <w:pPr>
        <w:pStyle w:val="6"/>
        <w:bidi w:val="0"/>
        <w:rPr>
          <w:rFonts w:hint="eastAsia"/>
        </w:rPr>
      </w:pPr>
      <w:r>
        <w:rPr>
          <w:rFonts w:hint="eastAsia"/>
        </w:rPr>
        <w:t>5.3 隐蔽工程检查</w:t>
      </w:r>
    </w:p>
    <w:p w14:paraId="65AF50B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5.3.2承包人提前通知监理人隐蔽工程检查的期限的约定：</w:t>
      </w:r>
      <w:r>
        <w:rPr>
          <w:rFonts w:hint="eastAsia" w:ascii="宋体" w:hAnsi="宋体" w:eastAsia="宋体" w:cs="宋体"/>
          <w:bCs/>
          <w:color w:val="auto"/>
          <w:sz w:val="24"/>
          <w:szCs w:val="24"/>
          <w:u w:val="single"/>
        </w:rPr>
        <w:t>按通用条款规定</w:t>
      </w:r>
      <w:r>
        <w:rPr>
          <w:rFonts w:hint="eastAsia" w:ascii="宋体" w:hAnsi="宋体" w:eastAsia="宋体" w:cs="宋体"/>
          <w:color w:val="auto"/>
          <w:sz w:val="24"/>
          <w:szCs w:val="24"/>
        </w:rPr>
        <w:t>。</w:t>
      </w:r>
    </w:p>
    <w:p w14:paraId="635560C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监理人不能按时进行检查时，应提前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24</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小时提交书面延期要求。</w:t>
      </w:r>
    </w:p>
    <w:p w14:paraId="3A6973C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关于延期最长不得超过：</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48</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小时。</w:t>
      </w:r>
    </w:p>
    <w:p w14:paraId="43221C2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对已完成的隐蔽工程，不按规范要求和规定的程序自检、抽检、送检和验收，擅自覆盖和进入下一道工序的，并无影像资料和相关质量保证记录资料的，第一次，给予批评警告；第二次发包人或监理人约见承包人单位负责人责令撤换项目负责人或技术负责人，处以5000元的违约金；第三次发包人约见承包人法定代表人，处以10000元的违约金，并限期整改，由此增加的费用和（或）延误的工期由承包人承担。</w:t>
      </w:r>
    </w:p>
    <w:p w14:paraId="60ECABF6">
      <w:pPr>
        <w:pStyle w:val="5"/>
        <w:bidi w:val="0"/>
        <w:rPr>
          <w:rFonts w:hint="eastAsia"/>
        </w:rPr>
      </w:pPr>
      <w:bookmarkStart w:id="372" w:name="_Toc3023"/>
      <w:bookmarkStart w:id="373" w:name="_Toc4944"/>
      <w:bookmarkStart w:id="374" w:name="_Toc351203638"/>
      <w:r>
        <w:rPr>
          <w:rFonts w:hint="eastAsia"/>
        </w:rPr>
        <w:t>6. 安全文明施工与环境保护</w:t>
      </w:r>
      <w:bookmarkEnd w:id="372"/>
      <w:bookmarkEnd w:id="373"/>
      <w:bookmarkEnd w:id="374"/>
    </w:p>
    <w:p w14:paraId="7578CDD5">
      <w:pPr>
        <w:pStyle w:val="6"/>
        <w:bidi w:val="0"/>
        <w:rPr>
          <w:rFonts w:hint="eastAsia"/>
        </w:rPr>
      </w:pPr>
      <w:r>
        <w:rPr>
          <w:rFonts w:hint="eastAsia"/>
        </w:rPr>
        <w:t>6.1</w:t>
      </w:r>
      <w:r>
        <w:rPr>
          <w:rFonts w:hint="eastAsia"/>
          <w:lang w:val="en-US" w:eastAsia="zh-CN"/>
        </w:rPr>
        <w:t xml:space="preserve"> </w:t>
      </w:r>
      <w:r>
        <w:rPr>
          <w:rFonts w:hint="eastAsia"/>
        </w:rPr>
        <w:t>安全文明施工</w:t>
      </w:r>
    </w:p>
    <w:p w14:paraId="0601499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6.1.1 项目安全生产的达标目标及相应事项的约定：</w:t>
      </w:r>
      <w:r>
        <w:rPr>
          <w:rFonts w:hint="eastAsia" w:ascii="宋体" w:hAnsi="宋体" w:eastAsia="宋体" w:cs="宋体"/>
          <w:bCs/>
          <w:color w:val="auto"/>
          <w:sz w:val="24"/>
          <w:szCs w:val="24"/>
          <w:u w:val="single"/>
        </w:rPr>
        <w:t>须按相关部门及发包人安全文明管理办法的规定搭设安全标志及施工围档等</w:t>
      </w:r>
      <w:r>
        <w:rPr>
          <w:rFonts w:hint="eastAsia" w:ascii="宋体" w:hAnsi="宋体" w:eastAsia="宋体" w:cs="宋体"/>
          <w:color w:val="auto"/>
          <w:sz w:val="24"/>
          <w:szCs w:val="24"/>
        </w:rPr>
        <w:t>。</w:t>
      </w:r>
    </w:p>
    <w:p w14:paraId="7177E11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6.1.4 关于治安保卫的特别约定：</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14:paraId="79F6256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关于编制施工场地治安管理计划的约定：</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14:paraId="3A90266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6.1.5 文明施工</w:t>
      </w:r>
    </w:p>
    <w:p w14:paraId="6180315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6.1.5.</w:t>
      </w:r>
      <w:r>
        <w:rPr>
          <w:rFonts w:hint="eastAsia" w:ascii="宋体" w:hAnsi="宋体" w:eastAsia="宋体" w:cs="宋体"/>
          <w:bCs/>
          <w:color w:val="auto"/>
          <w:sz w:val="24"/>
          <w:szCs w:val="24"/>
          <w:lang w:val="en-US" w:eastAsia="zh-CN"/>
        </w:rPr>
        <w:t>1</w:t>
      </w:r>
      <w:r>
        <w:rPr>
          <w:rFonts w:hint="eastAsia" w:ascii="宋体" w:hAnsi="宋体" w:eastAsia="宋体" w:cs="宋体"/>
          <w:color w:val="auto"/>
          <w:sz w:val="24"/>
          <w:szCs w:val="24"/>
        </w:rPr>
        <w:t>合同当事人对文明施工的要求：</w:t>
      </w:r>
      <w:r>
        <w:rPr>
          <w:rFonts w:hint="eastAsia" w:ascii="宋体" w:hAnsi="宋体" w:eastAsia="宋体" w:cs="宋体"/>
          <w:bCs/>
          <w:color w:val="auto"/>
          <w:sz w:val="24"/>
          <w:szCs w:val="24"/>
          <w:u w:val="single"/>
        </w:rPr>
        <w:t>须按业主要求悬挂相关宣传标语，费用由承包人承担；加强环境保护，防止扬尘污染，有效控制施工噪音</w:t>
      </w:r>
      <w:r>
        <w:rPr>
          <w:rFonts w:hint="eastAsia" w:ascii="宋体" w:hAnsi="宋体" w:eastAsia="宋体" w:cs="宋体"/>
          <w:color w:val="auto"/>
          <w:sz w:val="24"/>
          <w:szCs w:val="24"/>
        </w:rPr>
        <w:t>。</w:t>
      </w:r>
    </w:p>
    <w:p w14:paraId="5EDB671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6.1.5.2承包人受到政府建设或环保主管部门因施工措施不到位污染环境问题的书面通报批评的，第一次发包人给承包人发批评整改函，并由承包人向发包人支付10000元的违约金；第二次发包人约谈承包人有关领导，要求承包人支付50000元的违约金；第三次约见承包人法定代表人，限期整改，并要求承包人支付100000元的违约金。若整改后仍达不到要求，发包人可以指定环保机构配合采取环保措施，费用由承包人承担，也可以提出终止合同，由承包人承担因此造成的一切经济损失。</w:t>
      </w:r>
    </w:p>
    <w:p w14:paraId="7EE6821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6.1.6 关于安全文明施工费支付比例和支付期限的约定：</w:t>
      </w:r>
      <w:r>
        <w:rPr>
          <w:rFonts w:hint="eastAsia" w:ascii="宋体" w:hAnsi="宋体" w:eastAsia="宋体" w:cs="宋体"/>
          <w:bCs/>
          <w:color w:val="auto"/>
          <w:sz w:val="24"/>
          <w:szCs w:val="24"/>
          <w:u w:val="single"/>
        </w:rPr>
        <w:t>承包人提供本工程实际发生的文明措施费用凭证，发包人在中标通知书确定的安全文明措施费范围内予以支付</w:t>
      </w:r>
      <w:r>
        <w:rPr>
          <w:rFonts w:hint="eastAsia" w:ascii="宋体" w:hAnsi="宋体" w:eastAsia="宋体" w:cs="宋体"/>
          <w:color w:val="auto"/>
          <w:sz w:val="24"/>
          <w:szCs w:val="24"/>
        </w:rPr>
        <w:t>。</w:t>
      </w:r>
    </w:p>
    <w:p w14:paraId="29E69B4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6.1.7</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承包人应严格执行发包人和政府建设主管部门下发的安全文明施工和环境保护相关规定和制度要求。</w:t>
      </w:r>
    </w:p>
    <w:bookmarkEnd w:id="365"/>
    <w:bookmarkEnd w:id="366"/>
    <w:bookmarkEnd w:id="367"/>
    <w:bookmarkEnd w:id="368"/>
    <w:bookmarkEnd w:id="369"/>
    <w:bookmarkEnd w:id="370"/>
    <w:bookmarkEnd w:id="371"/>
    <w:p w14:paraId="0031C3ED">
      <w:pPr>
        <w:pStyle w:val="5"/>
        <w:bidi w:val="0"/>
        <w:rPr>
          <w:rFonts w:hint="eastAsia"/>
        </w:rPr>
      </w:pPr>
      <w:bookmarkStart w:id="375" w:name="_Toc32255"/>
      <w:bookmarkStart w:id="376" w:name="_Toc29654"/>
      <w:bookmarkStart w:id="377" w:name="_Toc351203639"/>
      <w:r>
        <w:rPr>
          <w:rFonts w:hint="eastAsia"/>
        </w:rPr>
        <w:t>7. 工期和进度</w:t>
      </w:r>
      <w:bookmarkEnd w:id="375"/>
      <w:bookmarkEnd w:id="376"/>
      <w:bookmarkEnd w:id="377"/>
    </w:p>
    <w:p w14:paraId="420025E6">
      <w:pPr>
        <w:pStyle w:val="6"/>
        <w:bidi w:val="0"/>
        <w:rPr>
          <w:rFonts w:hint="eastAsia"/>
        </w:rPr>
      </w:pPr>
      <w:r>
        <w:rPr>
          <w:rFonts w:hint="eastAsia"/>
        </w:rPr>
        <w:t>7.1 施工组织设计</w:t>
      </w:r>
    </w:p>
    <w:p w14:paraId="6B9D390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sz w:val="24"/>
          <w:szCs w:val="24"/>
        </w:rPr>
        <w:t>7.1.1 合</w:t>
      </w:r>
      <w:r>
        <w:rPr>
          <w:rFonts w:hint="eastAsia" w:ascii="宋体" w:hAnsi="宋体" w:eastAsia="宋体" w:cs="宋体"/>
          <w:color w:val="auto"/>
          <w:kern w:val="0"/>
          <w:sz w:val="24"/>
          <w:szCs w:val="24"/>
        </w:rPr>
        <w:t>同当事人约定的施工组织设计应包括的其他内容：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     </w:t>
      </w:r>
      <w:r>
        <w:rPr>
          <w:rFonts w:hint="eastAsia" w:ascii="宋体" w:hAnsi="宋体" w:eastAsia="宋体" w:cs="宋体"/>
          <w:color w:val="auto"/>
          <w:sz w:val="24"/>
          <w:szCs w:val="24"/>
        </w:rPr>
        <w:t>。</w:t>
      </w:r>
    </w:p>
    <w:p w14:paraId="280DD34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sz w:val="24"/>
          <w:szCs w:val="24"/>
        </w:rPr>
        <w:t xml:space="preserve">7.1.2 </w:t>
      </w:r>
      <w:r>
        <w:rPr>
          <w:rFonts w:hint="eastAsia" w:ascii="宋体" w:hAnsi="宋体" w:eastAsia="宋体" w:cs="宋体"/>
          <w:color w:val="auto"/>
          <w:kern w:val="0"/>
          <w:sz w:val="24"/>
          <w:szCs w:val="24"/>
        </w:rPr>
        <w:t>施工组织设计的提交和修改</w:t>
      </w:r>
    </w:p>
    <w:p w14:paraId="0F9579F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rPr>
        <w:t>承包人提交详细施工组织设计的期限的约定：</w:t>
      </w:r>
      <w:r>
        <w:rPr>
          <w:rFonts w:hint="eastAsia" w:ascii="宋体" w:hAnsi="宋体" w:eastAsia="宋体" w:cs="宋体"/>
          <w:bCs/>
          <w:color w:val="auto"/>
          <w:kern w:val="0"/>
          <w:sz w:val="24"/>
          <w:szCs w:val="24"/>
          <w:u w:val="single"/>
        </w:rPr>
        <w:t>收到</w:t>
      </w:r>
      <w:r>
        <w:rPr>
          <w:rFonts w:hint="eastAsia" w:ascii="宋体" w:hAnsi="宋体" w:eastAsia="宋体" w:cs="宋体"/>
          <w:bCs/>
          <w:color w:val="auto"/>
          <w:sz w:val="24"/>
          <w:szCs w:val="24"/>
          <w:u w:val="single"/>
        </w:rPr>
        <w:t>开工通知后计划开工日期前7日内</w:t>
      </w:r>
      <w:r>
        <w:rPr>
          <w:rFonts w:hint="eastAsia" w:ascii="宋体" w:hAnsi="宋体" w:eastAsia="宋体" w:cs="宋体"/>
          <w:color w:val="auto"/>
          <w:sz w:val="24"/>
          <w:szCs w:val="24"/>
        </w:rPr>
        <w:t>。</w:t>
      </w:r>
    </w:p>
    <w:p w14:paraId="4975B7F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发包人和监理人在收到详细的施工组织设计后确认或提出修改意见的期限：</w:t>
      </w:r>
      <w:r>
        <w:rPr>
          <w:rFonts w:hint="eastAsia" w:ascii="宋体" w:hAnsi="宋体" w:eastAsia="宋体" w:cs="宋体"/>
          <w:bCs/>
          <w:color w:val="auto"/>
          <w:sz w:val="24"/>
          <w:szCs w:val="24"/>
          <w:u w:val="single"/>
        </w:rPr>
        <w:t>收到文件后7日内</w:t>
      </w:r>
      <w:r>
        <w:rPr>
          <w:rFonts w:hint="eastAsia" w:ascii="宋体" w:hAnsi="宋体" w:eastAsia="宋体" w:cs="宋体"/>
          <w:color w:val="auto"/>
          <w:sz w:val="24"/>
          <w:szCs w:val="24"/>
        </w:rPr>
        <w:t>。</w:t>
      </w:r>
    </w:p>
    <w:p w14:paraId="5F886AF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施工方开工后施工组织设计未上交发包人和监理人进行审核，并且发包人和监理人提出的修改意见未进行修改的，每发现一次处以2万元的违约金。</w:t>
      </w:r>
    </w:p>
    <w:p w14:paraId="5D3E8611">
      <w:pPr>
        <w:pStyle w:val="17"/>
        <w:pageBreakBefore w:val="0"/>
        <w:widowControl w:val="0"/>
        <w:kinsoku/>
        <w:wordWrap/>
        <w:overflowPunct/>
        <w:topLinePunct w:val="0"/>
        <w:bidi w:val="0"/>
        <w:snapToGrid/>
        <w:spacing w:after="0" w:line="360" w:lineRule="auto"/>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Cs/>
          <w:color w:val="auto"/>
          <w:sz w:val="24"/>
          <w:szCs w:val="24"/>
        </w:rPr>
        <w:t>承包人必须认真编组施工组织设计、施工日记及月报、变更和计量申请表、阶段性验收报告，发包人和监理人将不定期进行抽查，若发现不重视、不编报的，每缺一项，处以承包人2000元的违约金。</w:t>
      </w:r>
    </w:p>
    <w:p w14:paraId="52CF304B">
      <w:pPr>
        <w:pStyle w:val="6"/>
        <w:bidi w:val="0"/>
        <w:rPr>
          <w:rFonts w:hint="eastAsia"/>
        </w:rPr>
      </w:pPr>
      <w:r>
        <w:rPr>
          <w:rFonts w:hint="eastAsia"/>
        </w:rPr>
        <w:t>7</w:t>
      </w:r>
      <w:bookmarkStart w:id="378" w:name="_Toc312678005"/>
      <w:bookmarkStart w:id="379" w:name="_Toc312677479"/>
      <w:bookmarkStart w:id="380" w:name="_Toc303539123"/>
      <w:bookmarkStart w:id="381" w:name="_Toc297216173"/>
      <w:bookmarkStart w:id="382" w:name="_Toc300934966"/>
      <w:bookmarkStart w:id="383" w:name="_Toc304295541"/>
      <w:bookmarkStart w:id="384" w:name="_Toc297123514"/>
      <w:r>
        <w:rPr>
          <w:rFonts w:hint="eastAsia"/>
        </w:rPr>
        <w:t>.2 施工进度计划</w:t>
      </w:r>
    </w:p>
    <w:p w14:paraId="7E3B095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7.2.1</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承包方需在本合同签订10天内编制总体施工方案报监理认可，并按照总体施工进度计划按期编好施工分部分项专项方案经监理认可后监理认可后报送发包人。</w:t>
      </w:r>
    </w:p>
    <w:p w14:paraId="0C73A03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7.2.2 施工进度计划的修订</w:t>
      </w:r>
    </w:p>
    <w:p w14:paraId="55421C0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发包人和监理人在收到修订的施工进度计划后确认或提出修改意见的期限：</w:t>
      </w:r>
      <w:r>
        <w:rPr>
          <w:rFonts w:hint="eastAsia" w:ascii="宋体" w:hAnsi="宋体" w:eastAsia="宋体" w:cs="宋体"/>
          <w:bCs/>
          <w:color w:val="auto"/>
          <w:sz w:val="24"/>
          <w:szCs w:val="24"/>
          <w:u w:val="single"/>
        </w:rPr>
        <w:t>收到文件后3日内</w:t>
      </w:r>
      <w:r>
        <w:rPr>
          <w:rFonts w:hint="eastAsia" w:ascii="宋体" w:hAnsi="宋体" w:eastAsia="宋体" w:cs="宋体"/>
          <w:color w:val="auto"/>
          <w:sz w:val="24"/>
          <w:szCs w:val="24"/>
        </w:rPr>
        <w:t>。</w:t>
      </w:r>
    </w:p>
    <w:p w14:paraId="47B8E92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7.2.3</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违约责任</w:t>
      </w:r>
    </w:p>
    <w:p w14:paraId="595317C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7.2.3.1</w:t>
      </w:r>
      <w:r>
        <w:rPr>
          <w:rFonts w:hint="eastAsia" w:ascii="宋体" w:hAnsi="宋体" w:eastAsia="宋体" w:cs="宋体"/>
          <w:bCs/>
          <w:color w:val="auto"/>
          <w:sz w:val="24"/>
          <w:szCs w:val="24"/>
        </w:rPr>
        <w:t>计划延报责任</w:t>
      </w:r>
    </w:p>
    <w:p w14:paraId="0A3E55E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承包人不按时上报施工进度计划，每延报超过2天，发包人从第3天开始按5000元/天的标准要求承包人承担违约金，并在当期计量中予以扣除。</w:t>
      </w:r>
    </w:p>
    <w:p w14:paraId="346091E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7.2.3.</w:t>
      </w:r>
      <w:r>
        <w:rPr>
          <w:rFonts w:hint="eastAsia" w:ascii="宋体" w:hAnsi="宋体" w:eastAsia="宋体" w:cs="宋体"/>
          <w:bCs/>
          <w:color w:val="auto"/>
          <w:sz w:val="24"/>
          <w:szCs w:val="24"/>
        </w:rPr>
        <w:t>2工期延误责任</w:t>
      </w:r>
    </w:p>
    <w:p w14:paraId="718EE32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承包人没有按发包人、监理人的要求，对工作进度出现偏差采取措施及时补救，导致施工实际进度计划与确认的进度计划出现偏离，不能实现工作目标，发包人有权要求承包人承担每延误1天3万元的违约责任，并在当期计量中予以扣除。</w:t>
      </w:r>
    </w:p>
    <w:p w14:paraId="1DEAD4B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7.2.3.</w:t>
      </w:r>
      <w:r>
        <w:rPr>
          <w:rFonts w:hint="eastAsia" w:ascii="宋体" w:hAnsi="宋体" w:eastAsia="宋体" w:cs="宋体"/>
          <w:bCs/>
          <w:color w:val="auto"/>
          <w:sz w:val="24"/>
          <w:szCs w:val="24"/>
        </w:rPr>
        <w:t>3其它</w:t>
      </w:r>
    </w:p>
    <w:p w14:paraId="48933B6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实际进度计划出现延误后，承包方应采取措施进行补救。如明显不能完成阶段性进度计划，甲方有权分割乙方剩余工程量，并按乙方招投标报价的1.2倍单价支付给承担分割工程的施工方。</w:t>
      </w:r>
    </w:p>
    <w:p w14:paraId="36A4F1F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已逐月计算施工进度所延误的天数和要求承包人承担的违约金，不免除承包人在工程进度逾期竣工违约金上限内对发包方的违约责任。</w:t>
      </w:r>
    </w:p>
    <w:p w14:paraId="4F285442">
      <w:pPr>
        <w:pStyle w:val="6"/>
        <w:bidi w:val="0"/>
        <w:rPr>
          <w:rFonts w:hint="eastAsia"/>
        </w:rPr>
      </w:pPr>
      <w:r>
        <w:rPr>
          <w:rFonts w:hint="eastAsia"/>
        </w:rPr>
        <w:t>7.3 开工</w:t>
      </w:r>
    </w:p>
    <w:p w14:paraId="231DC50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7.3.1 开工准备</w:t>
      </w:r>
    </w:p>
    <w:p w14:paraId="1277F28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关于承包人提交</w:t>
      </w:r>
      <w:r>
        <w:rPr>
          <w:rFonts w:hint="eastAsia" w:ascii="宋体" w:hAnsi="宋体" w:eastAsia="宋体" w:cs="宋体"/>
          <w:color w:val="auto"/>
          <w:kern w:val="0"/>
          <w:sz w:val="24"/>
          <w:szCs w:val="24"/>
        </w:rPr>
        <w:t>工程开工报审表的期限：</w:t>
      </w:r>
      <w:r>
        <w:rPr>
          <w:rFonts w:hint="eastAsia" w:ascii="宋体" w:hAnsi="宋体" w:eastAsia="宋体" w:cs="宋体"/>
          <w:bCs/>
          <w:color w:val="auto"/>
          <w:kern w:val="0"/>
          <w:sz w:val="24"/>
          <w:szCs w:val="24"/>
          <w:u w:val="single"/>
        </w:rPr>
        <w:t>收到</w:t>
      </w:r>
      <w:r>
        <w:rPr>
          <w:rFonts w:hint="eastAsia" w:ascii="宋体" w:hAnsi="宋体" w:eastAsia="宋体" w:cs="宋体"/>
          <w:bCs/>
          <w:color w:val="auto"/>
          <w:sz w:val="24"/>
          <w:szCs w:val="24"/>
          <w:u w:val="single"/>
        </w:rPr>
        <w:t>开工通知后计划开工日期前7日内</w:t>
      </w:r>
      <w:r>
        <w:rPr>
          <w:rFonts w:hint="eastAsia" w:ascii="宋体" w:hAnsi="宋体" w:eastAsia="宋体" w:cs="宋体"/>
          <w:color w:val="auto"/>
          <w:sz w:val="24"/>
          <w:szCs w:val="24"/>
        </w:rPr>
        <w:t>。</w:t>
      </w:r>
    </w:p>
    <w:p w14:paraId="01E80EA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关于发包人应完成的其他开工准备工作及期限：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635013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关于承包人应完成的其他开工准备工作及期限：</w:t>
      </w:r>
      <w:r>
        <w:rPr>
          <w:rFonts w:hint="eastAsia" w:ascii="宋体" w:hAnsi="宋体" w:eastAsia="宋体" w:cs="宋体"/>
          <w:bCs/>
          <w:color w:val="auto"/>
          <w:sz w:val="24"/>
          <w:szCs w:val="24"/>
          <w:u w:val="single"/>
        </w:rPr>
        <w:t>驻地建设、人员到位、图纸和预算审查、现场复测等；</w:t>
      </w:r>
      <w:r>
        <w:rPr>
          <w:rFonts w:hint="eastAsia" w:ascii="宋体" w:hAnsi="宋体" w:eastAsia="宋体" w:cs="宋体"/>
          <w:bCs/>
          <w:color w:val="auto"/>
          <w:kern w:val="0"/>
          <w:sz w:val="24"/>
          <w:szCs w:val="24"/>
          <w:u w:val="single"/>
        </w:rPr>
        <w:t>收到</w:t>
      </w:r>
      <w:r>
        <w:rPr>
          <w:rFonts w:hint="eastAsia" w:ascii="宋体" w:hAnsi="宋体" w:eastAsia="宋体" w:cs="宋体"/>
          <w:bCs/>
          <w:color w:val="auto"/>
          <w:sz w:val="24"/>
          <w:szCs w:val="24"/>
          <w:u w:val="single"/>
        </w:rPr>
        <w:t>开工通知后计划开工日期前7日内</w:t>
      </w:r>
      <w:r>
        <w:rPr>
          <w:rFonts w:hint="eastAsia" w:ascii="宋体" w:hAnsi="宋体" w:eastAsia="宋体" w:cs="宋体"/>
          <w:color w:val="auto"/>
          <w:sz w:val="24"/>
          <w:szCs w:val="24"/>
        </w:rPr>
        <w:t>。</w:t>
      </w:r>
    </w:p>
    <w:p w14:paraId="070B8E5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7.3.2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开工通知</w:t>
      </w:r>
    </w:p>
    <w:p w14:paraId="1FCBA85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因发包人原因造成监理人未能在计划开工日期之日起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90</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天内发出开工通知的，承包人有权提出价格调整要求，或者解除合同。</w:t>
      </w:r>
    </w:p>
    <w:bookmarkEnd w:id="378"/>
    <w:bookmarkEnd w:id="379"/>
    <w:bookmarkEnd w:id="380"/>
    <w:bookmarkEnd w:id="381"/>
    <w:bookmarkEnd w:id="382"/>
    <w:bookmarkEnd w:id="383"/>
    <w:bookmarkEnd w:id="384"/>
    <w:p w14:paraId="4959AC8B">
      <w:pPr>
        <w:pStyle w:val="6"/>
        <w:bidi w:val="0"/>
        <w:rPr>
          <w:rFonts w:hint="eastAsia"/>
        </w:rPr>
      </w:pPr>
      <w:r>
        <w:rPr>
          <w:rFonts w:hint="eastAsia"/>
        </w:rPr>
        <w:t>7.4 测量放线</w:t>
      </w:r>
    </w:p>
    <w:p w14:paraId="3343B5A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7.4.1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发包人通过监理人向承包人提供测量基准点、基准线和水准点及其书面资料的期限：</w:t>
      </w:r>
      <w:r>
        <w:rPr>
          <w:rFonts w:hint="eastAsia" w:ascii="宋体" w:hAnsi="宋体" w:eastAsia="宋体" w:cs="宋体"/>
          <w:bCs/>
          <w:color w:val="auto"/>
          <w:sz w:val="24"/>
          <w:szCs w:val="24"/>
          <w:u w:val="single"/>
        </w:rPr>
        <w:t>合同签订后3天内</w:t>
      </w:r>
      <w:r>
        <w:rPr>
          <w:rFonts w:hint="eastAsia" w:ascii="宋体" w:hAnsi="宋体" w:eastAsia="宋体" w:cs="宋体"/>
          <w:color w:val="auto"/>
          <w:sz w:val="24"/>
          <w:szCs w:val="24"/>
        </w:rPr>
        <w:t>。</w:t>
      </w:r>
    </w:p>
    <w:p w14:paraId="4B44D59A">
      <w:pPr>
        <w:pStyle w:val="6"/>
        <w:bidi w:val="0"/>
        <w:rPr>
          <w:rFonts w:hint="eastAsia"/>
        </w:rPr>
      </w:pPr>
      <w:r>
        <w:rPr>
          <w:rFonts w:hint="eastAsia"/>
        </w:rPr>
        <w:t>7</w:t>
      </w:r>
      <w:bookmarkStart w:id="385" w:name="_Toc312678010"/>
      <w:bookmarkStart w:id="386" w:name="_Toc297216175"/>
      <w:bookmarkStart w:id="387" w:name="_Toc303539125"/>
      <w:bookmarkStart w:id="388" w:name="_Toc300934968"/>
      <w:bookmarkStart w:id="389" w:name="_Toc297123516"/>
      <w:bookmarkStart w:id="390" w:name="_Toc304295546"/>
      <w:bookmarkStart w:id="391" w:name="_Toc312677484"/>
      <w:r>
        <w:rPr>
          <w:rFonts w:hint="eastAsia"/>
        </w:rPr>
        <w:t>.5 工期延误</w:t>
      </w:r>
    </w:p>
    <w:bookmarkEnd w:id="385"/>
    <w:bookmarkEnd w:id="386"/>
    <w:bookmarkEnd w:id="387"/>
    <w:bookmarkEnd w:id="388"/>
    <w:bookmarkEnd w:id="389"/>
    <w:bookmarkEnd w:id="390"/>
    <w:bookmarkEnd w:id="391"/>
    <w:p w14:paraId="30A05E1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7.5.1 因发包人原因导致工期延误</w:t>
      </w:r>
    </w:p>
    <w:p w14:paraId="1BB8A11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（7）因发包人原因导致工期延误的其他情形：</w:t>
      </w:r>
      <w:r>
        <w:rPr>
          <w:rFonts w:hint="eastAsia" w:ascii="宋体" w:hAnsi="宋体" w:eastAsia="宋体" w:cs="宋体"/>
          <w:bCs/>
          <w:color w:val="auto"/>
          <w:sz w:val="24"/>
          <w:szCs w:val="24"/>
          <w:u w:val="single"/>
        </w:rPr>
        <w:t>政府及上级主管的批示文件</w:t>
      </w:r>
      <w:r>
        <w:rPr>
          <w:rFonts w:hint="eastAsia" w:ascii="宋体" w:hAnsi="宋体" w:eastAsia="宋体" w:cs="宋体"/>
          <w:color w:val="auto"/>
          <w:sz w:val="24"/>
          <w:szCs w:val="24"/>
        </w:rPr>
        <w:t>。</w:t>
      </w:r>
    </w:p>
    <w:p w14:paraId="5DE5F4A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w:t>
      </w:r>
      <w:bookmarkStart w:id="392" w:name="_Toc318581169"/>
      <w:bookmarkStart w:id="393" w:name="_Toc312678012"/>
      <w:bookmarkStart w:id="394" w:name="_Toc312677486"/>
      <w:bookmarkStart w:id="395" w:name="_Toc303539127"/>
      <w:bookmarkStart w:id="396" w:name="_Toc297123518"/>
      <w:bookmarkStart w:id="397" w:name="_Toc304295548"/>
      <w:bookmarkStart w:id="398" w:name="_Toc300934970"/>
      <w:bookmarkStart w:id="399" w:name="_Toc297216177"/>
      <w:r>
        <w:rPr>
          <w:rFonts w:hint="eastAsia" w:ascii="宋体" w:hAnsi="宋体" w:eastAsia="宋体" w:cs="宋体"/>
          <w:color w:val="auto"/>
          <w:sz w:val="24"/>
          <w:szCs w:val="24"/>
        </w:rPr>
        <w:t>.5.2 因承包人原因导致工期延误</w:t>
      </w:r>
    </w:p>
    <w:bookmarkEnd w:id="392"/>
    <w:bookmarkEnd w:id="393"/>
    <w:bookmarkEnd w:id="394"/>
    <w:p w14:paraId="7EA1024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因</w:t>
      </w:r>
      <w:bookmarkStart w:id="400" w:name="_Toc312678013"/>
      <w:bookmarkStart w:id="401" w:name="_Toc312677487"/>
      <w:bookmarkStart w:id="402" w:name="_Toc318581170"/>
      <w:r>
        <w:rPr>
          <w:rFonts w:hint="eastAsia" w:ascii="宋体" w:hAnsi="宋体" w:eastAsia="宋体" w:cs="宋体"/>
          <w:color w:val="auto"/>
          <w:sz w:val="24"/>
          <w:szCs w:val="24"/>
        </w:rPr>
        <w:t>承包人原因造成工期延误，逾期竣工违约金的计算方法为：</w:t>
      </w:r>
      <w:r>
        <w:rPr>
          <w:rFonts w:hint="eastAsia" w:ascii="宋体" w:hAnsi="宋体" w:eastAsia="宋体" w:cs="宋体"/>
          <w:bCs/>
          <w:color w:val="auto"/>
          <w:sz w:val="24"/>
          <w:szCs w:val="24"/>
          <w:u w:val="single"/>
        </w:rPr>
        <w:t>经发包人批准的施工组织计划承包人必须落实，如果承包人在计划工期前完不成约定的施工任务，每推迟一天处承包人人民币每推迟一天承包人支付发包人人民币2万元的违约金。如确因恶劣天气造成一些工序不能施工，经发包人报市政府批准，可采取适当的特别措施确保正常施工，由此增加相关措施费予以计量</w:t>
      </w:r>
      <w:r>
        <w:rPr>
          <w:rFonts w:hint="eastAsia" w:ascii="宋体" w:hAnsi="宋体" w:eastAsia="宋体" w:cs="宋体"/>
          <w:color w:val="auto"/>
          <w:sz w:val="24"/>
          <w:szCs w:val="24"/>
        </w:rPr>
        <w:t>。</w:t>
      </w:r>
      <w:bookmarkEnd w:id="395"/>
      <w:bookmarkEnd w:id="396"/>
      <w:bookmarkEnd w:id="397"/>
      <w:bookmarkEnd w:id="398"/>
      <w:bookmarkEnd w:id="399"/>
      <w:bookmarkEnd w:id="400"/>
      <w:bookmarkEnd w:id="401"/>
    </w:p>
    <w:bookmarkEnd w:id="402"/>
    <w:p w14:paraId="1440490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因承包人原因造成工期延误，逾</w:t>
      </w:r>
      <w:bookmarkStart w:id="403" w:name="_Toc312678014"/>
      <w:bookmarkStart w:id="404" w:name="_Toc318581171"/>
      <w:r>
        <w:rPr>
          <w:rFonts w:hint="eastAsia" w:ascii="宋体" w:hAnsi="宋体" w:eastAsia="宋体" w:cs="宋体"/>
          <w:color w:val="auto"/>
          <w:sz w:val="24"/>
          <w:szCs w:val="24"/>
        </w:rPr>
        <w:t>期竣工违约金的上限：</w:t>
      </w:r>
      <w:r>
        <w:rPr>
          <w:rFonts w:hint="eastAsia" w:ascii="宋体" w:hAnsi="宋体" w:eastAsia="宋体" w:cs="宋体"/>
          <w:bCs/>
          <w:color w:val="auto"/>
          <w:sz w:val="24"/>
          <w:szCs w:val="24"/>
          <w:u w:val="single"/>
        </w:rPr>
        <w:t>签约合同价5%</w:t>
      </w:r>
      <w:r>
        <w:rPr>
          <w:rFonts w:hint="eastAsia" w:ascii="宋体" w:hAnsi="宋体" w:eastAsia="宋体" w:cs="宋体"/>
          <w:color w:val="auto"/>
          <w:sz w:val="24"/>
          <w:szCs w:val="24"/>
        </w:rPr>
        <w:t>。</w:t>
      </w:r>
    </w:p>
    <w:p w14:paraId="0D4C281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7.5.3</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双方约定工期顺延的情况：</w:t>
      </w:r>
    </w:p>
    <w:p w14:paraId="0B22C84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7.5.3.1设计变更并导致关键线路上相应项目工程量增加10%以上：</w:t>
      </w:r>
    </w:p>
    <w:p w14:paraId="5B11C3A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7.5.3.2当每月停水或停电累计达到24h以上，则对超过24h部分的工期予以顺延。</w:t>
      </w:r>
    </w:p>
    <w:bookmarkEnd w:id="403"/>
    <w:bookmarkEnd w:id="404"/>
    <w:p w14:paraId="0A1D1607">
      <w:pPr>
        <w:pStyle w:val="6"/>
        <w:bidi w:val="0"/>
        <w:rPr>
          <w:rFonts w:hint="eastAsia"/>
        </w:rPr>
      </w:pPr>
      <w:r>
        <w:rPr>
          <w:rFonts w:hint="eastAsia"/>
        </w:rPr>
        <w:t>7</w:t>
      </w:r>
      <w:bookmarkStart w:id="405" w:name="_Toc303539128"/>
      <w:bookmarkStart w:id="406" w:name="_Toc304295549"/>
      <w:bookmarkStart w:id="407" w:name="_Toc297216178"/>
      <w:bookmarkStart w:id="408" w:name="_Toc297123519"/>
      <w:bookmarkStart w:id="409" w:name="_Toc300934971"/>
      <w:bookmarkStart w:id="410" w:name="_Toc312678015"/>
      <w:r>
        <w:rPr>
          <w:rFonts w:hint="eastAsia"/>
        </w:rPr>
        <w:t>.6 不</w:t>
      </w:r>
      <w:bookmarkEnd w:id="405"/>
      <w:bookmarkEnd w:id="406"/>
      <w:bookmarkEnd w:id="407"/>
      <w:bookmarkEnd w:id="408"/>
      <w:bookmarkEnd w:id="409"/>
      <w:bookmarkEnd w:id="410"/>
      <w:r>
        <w:rPr>
          <w:rFonts w:hint="eastAsia"/>
        </w:rPr>
        <w:t>利物质条件</w:t>
      </w:r>
    </w:p>
    <w:p w14:paraId="1571697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bookmarkStart w:id="411" w:name="_Toc300934972"/>
      <w:bookmarkStart w:id="412" w:name="_Toc297123520"/>
      <w:bookmarkStart w:id="413" w:name="_Toc297216179"/>
      <w:bookmarkStart w:id="414" w:name="_Toc318581172"/>
      <w:bookmarkStart w:id="415" w:name="_Toc312678016"/>
      <w:bookmarkStart w:id="416" w:name="_Toc303539129"/>
      <w:bookmarkStart w:id="417" w:name="_Toc304295550"/>
      <w:r>
        <w:rPr>
          <w:rFonts w:hint="eastAsia" w:ascii="宋体" w:hAnsi="宋体" w:eastAsia="宋体" w:cs="宋体"/>
          <w:color w:val="auto"/>
          <w:sz w:val="24"/>
          <w:szCs w:val="24"/>
        </w:rPr>
        <w:t>不利物质条件的其他情形和有关约定：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p>
    <w:bookmarkEnd w:id="411"/>
    <w:bookmarkEnd w:id="412"/>
    <w:bookmarkEnd w:id="413"/>
    <w:bookmarkEnd w:id="414"/>
    <w:bookmarkEnd w:id="415"/>
    <w:bookmarkEnd w:id="416"/>
    <w:bookmarkEnd w:id="417"/>
    <w:p w14:paraId="058AB440">
      <w:pPr>
        <w:pStyle w:val="6"/>
        <w:bidi w:val="0"/>
        <w:rPr>
          <w:rFonts w:hint="eastAsia"/>
        </w:rPr>
      </w:pPr>
      <w:r>
        <w:rPr>
          <w:rFonts w:hint="eastAsia"/>
        </w:rPr>
        <w:t>7</w:t>
      </w:r>
      <w:bookmarkStart w:id="418" w:name="_Toc297216180"/>
      <w:bookmarkStart w:id="419" w:name="_Toc303539130"/>
      <w:bookmarkStart w:id="420" w:name="_Toc312678017"/>
      <w:bookmarkStart w:id="421" w:name="_Toc304295551"/>
      <w:bookmarkStart w:id="422" w:name="_Toc297123521"/>
      <w:bookmarkStart w:id="423" w:name="_Toc300934973"/>
      <w:r>
        <w:rPr>
          <w:rFonts w:hint="eastAsia"/>
        </w:rPr>
        <w:t>.7</w:t>
      </w:r>
      <w:r>
        <w:rPr>
          <w:rFonts w:hint="eastAsia"/>
          <w:lang w:val="en-US" w:eastAsia="zh-CN"/>
        </w:rPr>
        <w:t xml:space="preserve"> </w:t>
      </w:r>
      <w:r>
        <w:rPr>
          <w:rFonts w:hint="eastAsia"/>
        </w:rPr>
        <w:t>异常恶劣的气候条件</w:t>
      </w:r>
    </w:p>
    <w:bookmarkEnd w:id="418"/>
    <w:bookmarkEnd w:id="419"/>
    <w:bookmarkEnd w:id="420"/>
    <w:bookmarkEnd w:id="421"/>
    <w:bookmarkEnd w:id="422"/>
    <w:bookmarkEnd w:id="423"/>
    <w:p w14:paraId="3A6040B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发包人和承包人同意以下情形视为异常恶劣的气候条件：</w:t>
      </w:r>
    </w:p>
    <w:p w14:paraId="055948B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异常气候条件是指项目所在地发生连续五天以上40℃以上高温或发生连续一周以上的冰冻天气；或五十年一遇及以上的强降雨</w:t>
      </w:r>
      <w:r>
        <w:rPr>
          <w:rFonts w:hint="eastAsia" w:ascii="宋体" w:hAnsi="宋体" w:eastAsia="宋体" w:cs="宋体"/>
          <w:color w:val="auto"/>
          <w:sz w:val="24"/>
          <w:szCs w:val="24"/>
        </w:rPr>
        <w:t>；</w:t>
      </w:r>
    </w:p>
    <w:p w14:paraId="2A81B4D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市级以上政府部门或建设行政主管部门发布或认可的雪、洪、震灾</w:t>
      </w:r>
      <w:r>
        <w:rPr>
          <w:rFonts w:hint="eastAsia" w:ascii="宋体" w:hAnsi="宋体" w:eastAsia="宋体" w:cs="宋体"/>
          <w:color w:val="auto"/>
          <w:sz w:val="24"/>
          <w:szCs w:val="24"/>
        </w:rPr>
        <w:t>。</w:t>
      </w:r>
    </w:p>
    <w:p w14:paraId="792E1167">
      <w:pPr>
        <w:pStyle w:val="6"/>
        <w:bidi w:val="0"/>
        <w:rPr>
          <w:rFonts w:hint="eastAsia"/>
        </w:rPr>
      </w:pPr>
      <w:r>
        <w:rPr>
          <w:rFonts w:hint="eastAsia"/>
        </w:rPr>
        <w:t>7.9 提前竣工的奖励</w:t>
      </w:r>
    </w:p>
    <w:p w14:paraId="76CA5F8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7.9.2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提前竣工的奖励：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E3E742E">
      <w:pPr>
        <w:pStyle w:val="5"/>
        <w:bidi w:val="0"/>
        <w:rPr>
          <w:rFonts w:hint="eastAsia"/>
        </w:rPr>
      </w:pPr>
      <w:bookmarkStart w:id="424" w:name="_Toc31447"/>
      <w:bookmarkStart w:id="425" w:name="_Toc26305"/>
      <w:bookmarkStart w:id="426" w:name="_Toc351203640"/>
      <w:r>
        <w:rPr>
          <w:rFonts w:hint="eastAsia"/>
        </w:rPr>
        <w:t>8. 材料与设备</w:t>
      </w:r>
      <w:bookmarkEnd w:id="424"/>
      <w:bookmarkEnd w:id="425"/>
      <w:bookmarkEnd w:id="426"/>
    </w:p>
    <w:bookmarkEnd w:id="355"/>
    <w:bookmarkEnd w:id="356"/>
    <w:bookmarkEnd w:id="357"/>
    <w:bookmarkEnd w:id="358"/>
    <w:bookmarkEnd w:id="359"/>
    <w:bookmarkEnd w:id="360"/>
    <w:bookmarkEnd w:id="361"/>
    <w:bookmarkEnd w:id="362"/>
    <w:bookmarkEnd w:id="363"/>
    <w:bookmarkEnd w:id="364"/>
    <w:p w14:paraId="6EA8E55D">
      <w:pPr>
        <w:pStyle w:val="6"/>
        <w:bidi w:val="0"/>
        <w:rPr>
          <w:rFonts w:hint="eastAsia"/>
        </w:rPr>
      </w:pPr>
      <w:r>
        <w:rPr>
          <w:rFonts w:hint="eastAsia"/>
        </w:rPr>
        <w:t>8.2</w:t>
      </w:r>
      <w:r>
        <w:rPr>
          <w:rFonts w:hint="eastAsia"/>
          <w:lang w:val="en-US" w:eastAsia="zh-CN"/>
        </w:rPr>
        <w:t xml:space="preserve"> </w:t>
      </w:r>
      <w:r>
        <w:rPr>
          <w:rFonts w:hint="eastAsia"/>
        </w:rPr>
        <w:t>承包人采购材料与工程设备</w:t>
      </w:r>
    </w:p>
    <w:p w14:paraId="06244E2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承包人负责采购材料、工程设备的，应按照设计和有关标准要求采购，并提供产品合格证明及出厂证明，对材料、工程设备质量负责。承包人在采购相应材料前，应提前10天提供相关样品给监理及发包人进行审定批准后方可采购，否则，自行采购造成的相关损失由承包人负责。并且每发现一次，处以2万元的违约金。相关价格调整按本合同专用条款第11条规定执行。</w:t>
      </w:r>
    </w:p>
    <w:p w14:paraId="3C6E7818">
      <w:pPr>
        <w:pStyle w:val="6"/>
        <w:bidi w:val="0"/>
        <w:rPr>
          <w:rFonts w:hint="eastAsia"/>
        </w:rPr>
      </w:pPr>
      <w:r>
        <w:rPr>
          <w:rFonts w:hint="eastAsia"/>
        </w:rPr>
        <w:t>8</w:t>
      </w:r>
      <w:bookmarkStart w:id="427" w:name="_Toc300934979"/>
      <w:bookmarkStart w:id="428" w:name="_Toc296891207"/>
      <w:bookmarkStart w:id="429" w:name="_Toc297048353"/>
      <w:bookmarkStart w:id="430" w:name="_Toc296347166"/>
      <w:bookmarkStart w:id="431" w:name="_Toc312678019"/>
      <w:bookmarkStart w:id="432" w:name="_Toc297123527"/>
      <w:bookmarkStart w:id="433" w:name="_Toc296346668"/>
      <w:bookmarkStart w:id="434" w:name="_Toc292559877"/>
      <w:bookmarkStart w:id="435" w:name="_Toc312677493"/>
      <w:bookmarkStart w:id="436" w:name="_Toc280868654"/>
      <w:bookmarkStart w:id="437" w:name="_Toc296944506"/>
      <w:bookmarkStart w:id="438" w:name="_Toc297216186"/>
      <w:bookmarkStart w:id="439" w:name="_Toc297120467"/>
      <w:bookmarkStart w:id="440" w:name="_Toc292559372"/>
      <w:bookmarkStart w:id="441" w:name="_Toc303539136"/>
      <w:bookmarkStart w:id="442" w:name="_Toc304295556"/>
      <w:bookmarkStart w:id="443" w:name="_Toc296503167"/>
      <w:bookmarkStart w:id="444" w:name="_Toc296890995"/>
      <w:bookmarkStart w:id="445" w:name="_Toc280868655"/>
      <w:bookmarkStart w:id="446" w:name="_Toc280868656"/>
      <w:bookmarkStart w:id="447" w:name="_Toc267251424"/>
      <w:r>
        <w:rPr>
          <w:rFonts w:hint="eastAsia"/>
        </w:rPr>
        <w:t>.4</w:t>
      </w:r>
      <w:r>
        <w:rPr>
          <w:rFonts w:hint="eastAsia"/>
          <w:lang w:val="en-US" w:eastAsia="zh-CN"/>
        </w:rPr>
        <w:t xml:space="preserve"> </w:t>
      </w:r>
      <w:r>
        <w:rPr>
          <w:rFonts w:hint="eastAsia"/>
        </w:rPr>
        <w:t>材料与工程设备的保管与使用</w:t>
      </w:r>
    </w:p>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14:paraId="7FF0192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w:t>
      </w:r>
      <w:bookmarkStart w:id="448" w:name="_Toc292559878"/>
      <w:bookmarkStart w:id="449" w:name="_Toc292559373"/>
      <w:bookmarkStart w:id="450" w:name="_Toc318581173"/>
      <w:bookmarkStart w:id="451" w:name="_Toc303539137"/>
      <w:bookmarkStart w:id="452" w:name="_Toc296346669"/>
      <w:bookmarkStart w:id="453" w:name="_Toc297123528"/>
      <w:bookmarkStart w:id="454" w:name="_Toc304295557"/>
      <w:bookmarkStart w:id="455" w:name="_Toc296503168"/>
      <w:bookmarkStart w:id="456" w:name="_Toc312677494"/>
      <w:bookmarkStart w:id="457" w:name="_Toc300934980"/>
      <w:bookmarkStart w:id="458" w:name="_Toc297120468"/>
      <w:bookmarkStart w:id="459" w:name="_Toc296944507"/>
      <w:bookmarkStart w:id="460" w:name="_Toc312678020"/>
      <w:bookmarkStart w:id="461" w:name="_Toc297048354"/>
      <w:bookmarkStart w:id="462" w:name="_Toc297216187"/>
      <w:bookmarkStart w:id="463" w:name="_Toc296347167"/>
      <w:bookmarkStart w:id="464" w:name="_Toc296890996"/>
      <w:bookmarkStart w:id="465" w:name="_Toc296891208"/>
      <w:r>
        <w:rPr>
          <w:rFonts w:hint="eastAsia" w:ascii="宋体" w:hAnsi="宋体" w:eastAsia="宋体" w:cs="宋体"/>
          <w:color w:val="auto"/>
          <w:sz w:val="24"/>
          <w:szCs w:val="24"/>
        </w:rPr>
        <w:t>.4.1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发包人供应的材料设备的保管费用的承担：</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bookmarkEnd w:id="448"/>
      <w:bookmarkEnd w:id="449"/>
    </w:p>
    <w:p w14:paraId="47D2F732">
      <w:pPr>
        <w:pStyle w:val="6"/>
        <w:bidi w:val="0"/>
        <w:rPr>
          <w:rFonts w:hint="eastAsia"/>
        </w:rPr>
      </w:pPr>
      <w:r>
        <w:rPr>
          <w:rFonts w:hint="eastAsia"/>
        </w:rPr>
        <w:t>8.6 样品</w:t>
      </w:r>
    </w:p>
    <w:p w14:paraId="127AE52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8.6.1</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样品的报送与封存</w:t>
      </w:r>
    </w:p>
    <w:p w14:paraId="1E0ADEF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rPr>
        <w:t>需要承包人报送样品的材料或工程设备，样品的种类、名称、规格、数量要求：</w:t>
      </w:r>
      <w:r>
        <w:rPr>
          <w:rFonts w:hint="eastAsia" w:ascii="宋体" w:hAnsi="宋体" w:eastAsia="宋体" w:cs="宋体"/>
          <w:color w:val="auto"/>
          <w:sz w:val="24"/>
          <w:szCs w:val="24"/>
          <w:u w:val="single"/>
          <w:lang w:val="en-US" w:eastAsia="zh-CN"/>
        </w:rPr>
        <w:t>无</w:t>
      </w:r>
      <w:r>
        <w:rPr>
          <w:rFonts w:hint="eastAsia" w:ascii="宋体" w:hAnsi="宋体" w:eastAsia="宋体" w:cs="宋体"/>
          <w:color w:val="auto"/>
          <w:sz w:val="24"/>
          <w:szCs w:val="24"/>
        </w:rPr>
        <w:t>。</w:t>
      </w:r>
    </w:p>
    <w:p w14:paraId="2E4386C0">
      <w:pPr>
        <w:pStyle w:val="6"/>
        <w:bidi w:val="0"/>
        <w:rPr>
          <w:rFonts w:hint="eastAsia"/>
        </w:rPr>
      </w:pPr>
      <w:r>
        <w:rPr>
          <w:rFonts w:hint="eastAsia"/>
        </w:rPr>
        <w:t>8.8 施工设备和临时设施</w:t>
      </w:r>
    </w:p>
    <w:p w14:paraId="1C3760B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8.8.1 承包人提供的施工设备和临时设施</w:t>
      </w:r>
    </w:p>
    <w:p w14:paraId="0B180F6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关于修建临时设施费用承担的约定：</w:t>
      </w:r>
      <w:r>
        <w:rPr>
          <w:rFonts w:hint="eastAsia" w:ascii="宋体" w:hAnsi="宋体" w:eastAsia="宋体" w:cs="宋体"/>
          <w:bCs/>
          <w:color w:val="auto"/>
          <w:sz w:val="24"/>
          <w:szCs w:val="24"/>
          <w:u w:val="single"/>
        </w:rPr>
        <w:t>承包人承担</w:t>
      </w:r>
      <w:r>
        <w:rPr>
          <w:rFonts w:hint="eastAsia" w:ascii="宋体" w:hAnsi="宋体" w:eastAsia="宋体" w:cs="宋体"/>
          <w:color w:val="auto"/>
          <w:sz w:val="24"/>
          <w:szCs w:val="24"/>
        </w:rPr>
        <w:t>。</w:t>
      </w:r>
    </w:p>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14:paraId="046A7480">
      <w:pPr>
        <w:pStyle w:val="5"/>
        <w:bidi w:val="0"/>
        <w:rPr>
          <w:rFonts w:hint="eastAsia"/>
        </w:rPr>
      </w:pPr>
      <w:bookmarkStart w:id="466" w:name="_Toc18553"/>
      <w:bookmarkStart w:id="467" w:name="_Toc19463"/>
      <w:bookmarkStart w:id="468" w:name="_Toc351203641"/>
      <w:r>
        <w:rPr>
          <w:rFonts w:hint="eastAsia"/>
        </w:rPr>
        <w:t>9</w:t>
      </w:r>
      <w:bookmarkEnd w:id="445"/>
      <w:bookmarkEnd w:id="446"/>
      <w:bookmarkEnd w:id="447"/>
      <w:bookmarkStart w:id="469" w:name="_Toc300934982"/>
      <w:bookmarkStart w:id="470" w:name="_Toc304295559"/>
      <w:bookmarkStart w:id="471" w:name="_Toc297123533"/>
      <w:bookmarkStart w:id="472" w:name="_Toc312678021"/>
      <w:bookmarkStart w:id="473" w:name="_Toc297216192"/>
      <w:bookmarkStart w:id="474" w:name="_Toc312677495"/>
      <w:bookmarkStart w:id="475" w:name="_Toc303539139"/>
      <w:bookmarkStart w:id="476" w:name="_Toc292559378"/>
      <w:bookmarkStart w:id="477" w:name="_Toc267251428"/>
      <w:bookmarkStart w:id="478" w:name="_Toc296944512"/>
      <w:bookmarkStart w:id="479" w:name="_Toc296346674"/>
      <w:bookmarkStart w:id="480" w:name="_Toc296891001"/>
      <w:bookmarkStart w:id="481" w:name="_Toc296503173"/>
      <w:bookmarkStart w:id="482" w:name="_Toc267251427"/>
      <w:bookmarkStart w:id="483" w:name="_Toc297120473"/>
      <w:bookmarkStart w:id="484" w:name="_Toc297048359"/>
      <w:bookmarkStart w:id="485" w:name="_Toc292559883"/>
      <w:bookmarkStart w:id="486" w:name="_Toc296891213"/>
      <w:bookmarkStart w:id="487" w:name="_Toc296347172"/>
      <w:r>
        <w:rPr>
          <w:rFonts w:hint="eastAsia"/>
        </w:rPr>
        <w:t>. 试验与检验</w:t>
      </w:r>
      <w:bookmarkEnd w:id="466"/>
      <w:bookmarkEnd w:id="467"/>
      <w:bookmarkEnd w:id="468"/>
    </w:p>
    <w:bookmarkEnd w:id="469"/>
    <w:bookmarkEnd w:id="470"/>
    <w:bookmarkEnd w:id="471"/>
    <w:bookmarkEnd w:id="472"/>
    <w:bookmarkEnd w:id="473"/>
    <w:bookmarkEnd w:id="474"/>
    <w:bookmarkEnd w:id="475"/>
    <w:p w14:paraId="7D9A04B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bookmarkStart w:id="488" w:name="_Toc303539142"/>
      <w:bookmarkStart w:id="489" w:name="_Toc297123536"/>
      <w:bookmarkStart w:id="490" w:name="_Toc304295562"/>
      <w:bookmarkStart w:id="491" w:name="_Toc318581174"/>
      <w:bookmarkStart w:id="492" w:name="_Toc300934985"/>
      <w:bookmarkStart w:id="493" w:name="_Toc312677498"/>
      <w:bookmarkStart w:id="494" w:name="_Toc297216195"/>
      <w:bookmarkStart w:id="495" w:name="_Toc312678024"/>
      <w:r>
        <w:rPr>
          <w:rFonts w:hint="eastAsia" w:ascii="宋体" w:hAnsi="宋体" w:eastAsia="宋体" w:cs="宋体"/>
          <w:color w:val="auto"/>
          <w:sz w:val="24"/>
          <w:szCs w:val="24"/>
        </w:rPr>
        <w:t>试验与检验费用的约定：工程质量检测费用中原材料、外购成品、半成品及按规定频率进行自检的试验检测费用全部由承包人承担。</w:t>
      </w:r>
    </w:p>
    <w:p w14:paraId="6FD7D55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运到工地的原材料、施工设备、已完工程半成品、成品材料质量，必须及时经自检、抽检、送检和验收，并提供合格的试验、检测和验收报告，否则，第一次发现处以2000元违约金，第二次发包人或监理人约谈承包人单位负责人并责可令撤换项目负责人或技术负责人，处以10000元违约金，第三次发包人约见承包人法定代表人责令及时整改并撤换项目负责人或技术负责人，并处以20000元违约金。造成的一切后果由承包人承担。</w:t>
      </w:r>
    </w:p>
    <w:bookmarkEnd w:id="488"/>
    <w:bookmarkEnd w:id="489"/>
    <w:bookmarkEnd w:id="490"/>
    <w:bookmarkEnd w:id="491"/>
    <w:bookmarkEnd w:id="492"/>
    <w:bookmarkEnd w:id="493"/>
    <w:bookmarkEnd w:id="494"/>
    <w:bookmarkEnd w:id="495"/>
    <w:p w14:paraId="47809E5F">
      <w:pPr>
        <w:pStyle w:val="5"/>
        <w:bidi w:val="0"/>
        <w:rPr>
          <w:rFonts w:hint="eastAsia"/>
        </w:rPr>
      </w:pPr>
      <w:bookmarkStart w:id="496" w:name="_Toc19480"/>
      <w:bookmarkStart w:id="497" w:name="_Toc351203642"/>
      <w:bookmarkStart w:id="498" w:name="_Toc31612"/>
      <w:r>
        <w:rPr>
          <w:rFonts w:hint="eastAsia"/>
        </w:rPr>
        <w:t>1</w:t>
      </w:r>
      <w:bookmarkEnd w:id="476"/>
      <w:bookmarkEnd w:id="477"/>
      <w:bookmarkEnd w:id="478"/>
      <w:bookmarkEnd w:id="479"/>
      <w:bookmarkEnd w:id="480"/>
      <w:bookmarkEnd w:id="481"/>
      <w:bookmarkEnd w:id="482"/>
      <w:bookmarkEnd w:id="483"/>
      <w:bookmarkEnd w:id="484"/>
      <w:bookmarkEnd w:id="485"/>
      <w:bookmarkEnd w:id="486"/>
      <w:bookmarkEnd w:id="487"/>
      <w:bookmarkStart w:id="499" w:name="_Toc292559903"/>
      <w:bookmarkStart w:id="500" w:name="_Toc300934989"/>
      <w:bookmarkStart w:id="501" w:name="_Toc296347192"/>
      <w:bookmarkStart w:id="502" w:name="_Toc303539146"/>
      <w:bookmarkStart w:id="503" w:name="_Toc297048379"/>
      <w:bookmarkStart w:id="504" w:name="_Toc297123540"/>
      <w:bookmarkStart w:id="505" w:name="_Toc296944532"/>
      <w:bookmarkStart w:id="506" w:name="_Toc297216199"/>
      <w:bookmarkStart w:id="507" w:name="_Toc296891021"/>
      <w:bookmarkStart w:id="508" w:name="_Toc296891233"/>
      <w:bookmarkStart w:id="509" w:name="_Toc297120493"/>
      <w:bookmarkStart w:id="510" w:name="_Toc296346694"/>
      <w:bookmarkStart w:id="511" w:name="_Toc292559398"/>
      <w:bookmarkStart w:id="512" w:name="_Toc304295566"/>
      <w:bookmarkStart w:id="513" w:name="_Toc296503193"/>
      <w:bookmarkStart w:id="514" w:name="_Toc312678025"/>
      <w:bookmarkStart w:id="515" w:name="_Toc312677499"/>
      <w:bookmarkStart w:id="516" w:name="_Toc267251441"/>
      <w:bookmarkStart w:id="517" w:name="_Toc267251435"/>
      <w:bookmarkStart w:id="518" w:name="_Toc267251439"/>
      <w:bookmarkStart w:id="519" w:name="_Toc267251437"/>
      <w:bookmarkStart w:id="520" w:name="_Toc267251440"/>
      <w:bookmarkStart w:id="521" w:name="_Toc267251433"/>
      <w:bookmarkStart w:id="522" w:name="_Toc267251442"/>
      <w:r>
        <w:rPr>
          <w:rFonts w:hint="eastAsia"/>
        </w:rPr>
        <w:t>0. 变更</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bookmarkEnd w:id="514"/>
    <w:bookmarkEnd w:id="515"/>
    <w:p w14:paraId="7911ABA4">
      <w:pPr>
        <w:pStyle w:val="6"/>
        <w:bidi w:val="0"/>
        <w:rPr>
          <w:rFonts w:hint="eastAsia"/>
        </w:rPr>
      </w:pPr>
      <w:r>
        <w:rPr>
          <w:rFonts w:hint="eastAsia"/>
        </w:rPr>
        <w:t>1</w:t>
      </w:r>
      <w:bookmarkStart w:id="523" w:name="_Toc292559904"/>
      <w:bookmarkStart w:id="524" w:name="_Toc312677500"/>
      <w:bookmarkStart w:id="525" w:name="_Toc296944533"/>
      <w:bookmarkStart w:id="526" w:name="_Toc296347193"/>
      <w:bookmarkStart w:id="527" w:name="_Toc296503194"/>
      <w:bookmarkStart w:id="528" w:name="_Toc296346695"/>
      <w:bookmarkStart w:id="529" w:name="_Toc297120494"/>
      <w:bookmarkStart w:id="530" w:name="_Toc297123541"/>
      <w:bookmarkStart w:id="531" w:name="_Toc292559399"/>
      <w:bookmarkStart w:id="532" w:name="_Toc300934990"/>
      <w:bookmarkStart w:id="533" w:name="_Toc303539147"/>
      <w:bookmarkStart w:id="534" w:name="_Toc297048380"/>
      <w:bookmarkStart w:id="535" w:name="_Toc296891022"/>
      <w:bookmarkStart w:id="536" w:name="_Toc312678026"/>
      <w:bookmarkStart w:id="537" w:name="_Toc304295567"/>
      <w:bookmarkStart w:id="538" w:name="_Toc296891234"/>
      <w:bookmarkStart w:id="539" w:name="_Toc297216200"/>
      <w:r>
        <w:rPr>
          <w:rFonts w:hint="eastAsia"/>
        </w:rPr>
        <w:t>0.1</w:t>
      </w:r>
      <w:r>
        <w:rPr>
          <w:rFonts w:hint="eastAsia"/>
          <w:lang w:val="en-US" w:eastAsia="zh-CN"/>
        </w:rPr>
        <w:t xml:space="preserve"> </w:t>
      </w:r>
      <w:r>
        <w:rPr>
          <w:rFonts w:hint="eastAsia"/>
        </w:rPr>
        <w:t>变更的范围</w:t>
      </w:r>
    </w:p>
    <w:p w14:paraId="1CA51CA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关于变更的范围的约定：</w:t>
      </w:r>
      <w:r>
        <w:rPr>
          <w:rFonts w:hint="eastAsia" w:ascii="宋体" w:hAnsi="宋体" w:eastAsia="宋体" w:cs="宋体"/>
          <w:bCs/>
          <w:color w:val="auto"/>
          <w:sz w:val="24"/>
          <w:szCs w:val="24"/>
          <w:u w:val="single"/>
        </w:rPr>
        <w:t>除专用合同条款另有约定外，在履行合同中发生以下情形之一，应按照本条规定进行变更</w:t>
      </w:r>
      <w:r>
        <w:rPr>
          <w:rFonts w:hint="eastAsia" w:ascii="宋体" w:hAnsi="宋体" w:eastAsia="宋体" w:cs="宋体"/>
          <w:color w:val="auto"/>
          <w:sz w:val="24"/>
          <w:szCs w:val="24"/>
        </w:rPr>
        <w:t>。</w:t>
      </w:r>
    </w:p>
    <w:p w14:paraId="6EA8EB5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所有施工现场的设计变更均应由发包人归口提出，经设计方书面同意，由现场监理工程师发至承包人。</w:t>
      </w:r>
    </w:p>
    <w:p w14:paraId="3BA7323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承包人应在设计变更实施前，提出施工方案并连同预算一并报现场监理工程师核实认可，经发包人审批同意后，方可实施。</w:t>
      </w:r>
    </w:p>
    <w:p w14:paraId="37166C3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由设计方现场代表书面确认的设计变更（含工程量和价格的增减）承包人必须按规定程序和要求办理。</w:t>
      </w:r>
    </w:p>
    <w:p w14:paraId="2C49151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凡没有按规定程序、要求办理的设计变更的签证和所有后补的签证均无效，不能予以计量和作为结算的依据。</w:t>
      </w:r>
    </w:p>
    <w:p w14:paraId="4A77DFB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承包人发现变更后，经监理人员、发包人现场管理人员和预算人员初核后，应及时准备好上报变更的相关资料，报公司变更审核小组审核，上报住建财政下达批复。对变更不及时上报和签证的，第一次发现处以2000元违约金，第二次处以5000元违约金，第三次发包人处以10000元违约金。造成的一切后果由承包人承担。</w:t>
      </w:r>
    </w:p>
    <w:p w14:paraId="3E6F5D4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承包人应严格执行发包人和政府建设主管部门下发的工程变更相关规定和制度要求。</w:t>
      </w:r>
    </w:p>
    <w:p w14:paraId="2E7EF4DF">
      <w:pPr>
        <w:pStyle w:val="6"/>
        <w:bidi w:val="0"/>
        <w:rPr>
          <w:rFonts w:hint="eastAsia"/>
        </w:rPr>
      </w:pPr>
      <w:r>
        <w:rPr>
          <w:rFonts w:hint="eastAsia"/>
        </w:rPr>
        <w:t>10.4 变更估价</w:t>
      </w:r>
    </w:p>
    <w:p w14:paraId="203916C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10.4.1 变更估价原则</w:t>
      </w:r>
    </w:p>
    <w:p w14:paraId="219B3DB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关于变更估价的约定:</w:t>
      </w:r>
      <w:r>
        <w:rPr>
          <w:rFonts w:hint="eastAsia" w:ascii="宋体" w:hAnsi="宋体" w:eastAsia="宋体" w:cs="宋体"/>
          <w:color w:val="auto"/>
          <w:sz w:val="24"/>
          <w:szCs w:val="24"/>
          <w:u w:val="single"/>
        </w:rPr>
        <w:t>①除专用合同条款另有约定外，因变更引起的价格调整按照本款约定处理</w:t>
      </w:r>
      <w:r>
        <w:rPr>
          <w:rFonts w:hint="eastAsia" w:ascii="宋体" w:hAnsi="宋体" w:eastAsia="宋体" w:cs="宋体"/>
          <w:color w:val="auto"/>
          <w:sz w:val="24"/>
          <w:szCs w:val="24"/>
          <w:u w:val="single"/>
          <w:lang w:eastAsia="zh-CN"/>
        </w:rPr>
        <w:t>；②</w:t>
      </w:r>
      <w:r>
        <w:rPr>
          <w:rFonts w:hint="eastAsia" w:ascii="宋体" w:hAnsi="宋体" w:eastAsia="宋体" w:cs="宋体"/>
          <w:color w:val="auto"/>
          <w:sz w:val="24"/>
          <w:szCs w:val="24"/>
          <w:u w:val="single"/>
        </w:rPr>
        <w:t>已标价工程量清单中无适用或类似子目的单价可供参考时，则按下述方法确定变更工作的单价：参照</w:t>
      </w:r>
      <w:r>
        <w:rPr>
          <w:rFonts w:hint="eastAsia" w:ascii="宋体" w:hAnsi="宋体" w:eastAsia="宋体" w:cs="宋体"/>
          <w:color w:val="auto"/>
          <w:sz w:val="24"/>
          <w:szCs w:val="24"/>
          <w:u w:val="single"/>
          <w:lang w:val="en-US" w:eastAsia="zh-CN"/>
        </w:rPr>
        <w:t>市、县</w:t>
      </w:r>
      <w:r>
        <w:rPr>
          <w:rFonts w:hint="eastAsia" w:ascii="宋体" w:hAnsi="宋体" w:eastAsia="宋体" w:cs="宋体"/>
          <w:color w:val="auto"/>
          <w:sz w:val="24"/>
          <w:szCs w:val="24"/>
          <w:u w:val="single"/>
        </w:rPr>
        <w:t>财政局预算审核办法估价，人工及材料单价，按实施时永州市同期发布价执行，没有的材料价格，以发包人认可的实际采购价为准，最终以</w:t>
      </w:r>
      <w:r>
        <w:rPr>
          <w:rFonts w:hint="eastAsia" w:ascii="宋体" w:hAnsi="宋体" w:eastAsia="宋体" w:cs="宋体"/>
          <w:color w:val="auto"/>
          <w:sz w:val="24"/>
          <w:szCs w:val="24"/>
          <w:u w:val="single"/>
          <w:lang w:val="en-US" w:eastAsia="zh-CN"/>
        </w:rPr>
        <w:t>江永县</w:t>
      </w:r>
      <w:r>
        <w:rPr>
          <w:rFonts w:hint="eastAsia" w:ascii="宋体" w:hAnsi="宋体" w:eastAsia="宋体" w:cs="宋体"/>
          <w:color w:val="auto"/>
          <w:sz w:val="24"/>
          <w:szCs w:val="24"/>
          <w:u w:val="single"/>
        </w:rPr>
        <w:t>财政局审核为准</w:t>
      </w:r>
      <w:r>
        <w:rPr>
          <w:rFonts w:hint="eastAsia" w:ascii="宋体" w:hAnsi="宋体" w:eastAsia="宋体" w:cs="宋体"/>
          <w:color w:val="auto"/>
          <w:sz w:val="24"/>
          <w:szCs w:val="24"/>
          <w:u w:val="none"/>
        </w:rPr>
        <w:t>。</w:t>
      </w:r>
    </w:p>
    <w:p w14:paraId="50AF948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u w:val="none"/>
        </w:rPr>
        <w:t>10.4.2</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u w:val="none"/>
        </w:rPr>
        <w:t>变更估价程序按国家、地方、行业现行标准、规范、规程实施，估价最终以</w:t>
      </w:r>
      <w:r>
        <w:rPr>
          <w:rFonts w:hint="eastAsia" w:ascii="宋体" w:hAnsi="宋体" w:eastAsia="宋体" w:cs="宋体"/>
          <w:color w:val="auto"/>
          <w:sz w:val="24"/>
          <w:szCs w:val="24"/>
          <w:u w:val="none"/>
          <w:lang w:val="en-US" w:eastAsia="zh-CN"/>
        </w:rPr>
        <w:t>江永县</w:t>
      </w:r>
      <w:r>
        <w:rPr>
          <w:rFonts w:hint="eastAsia" w:ascii="宋体" w:hAnsi="宋体" w:eastAsia="宋体" w:cs="宋体"/>
          <w:color w:val="auto"/>
          <w:sz w:val="24"/>
          <w:szCs w:val="24"/>
          <w:u w:val="none"/>
        </w:rPr>
        <w:t>财政局审核为准</w:t>
      </w:r>
      <w:r>
        <w:rPr>
          <w:rFonts w:hint="eastAsia" w:ascii="宋体" w:hAnsi="宋体" w:eastAsia="宋体" w:cs="宋体"/>
          <w:color w:val="auto"/>
          <w:sz w:val="24"/>
          <w:szCs w:val="24"/>
        </w:rPr>
        <w:t>。</w:t>
      </w:r>
    </w:p>
    <w:p w14:paraId="1544E2B4">
      <w:pPr>
        <w:pStyle w:val="6"/>
        <w:bidi w:val="0"/>
        <w:rPr>
          <w:rFonts w:hint="eastAsia"/>
        </w:rPr>
      </w:pPr>
      <w:r>
        <w:rPr>
          <w:rFonts w:hint="eastAsia"/>
        </w:rPr>
        <w:t>1</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Start w:id="540" w:name="_Toc296503197"/>
      <w:bookmarkStart w:id="541" w:name="_Toc296944536"/>
      <w:bookmarkStart w:id="542" w:name="_Toc297048383"/>
      <w:bookmarkStart w:id="543" w:name="_Toc297120497"/>
      <w:bookmarkStart w:id="544" w:name="_Toc297123544"/>
      <w:bookmarkStart w:id="545" w:name="_Toc296891237"/>
      <w:bookmarkStart w:id="546" w:name="_Toc296891025"/>
      <w:bookmarkStart w:id="547" w:name="_Toc292559402"/>
      <w:bookmarkStart w:id="548" w:name="_Toc296346698"/>
      <w:bookmarkStart w:id="549" w:name="_Toc300934993"/>
      <w:bookmarkStart w:id="550" w:name="_Toc297216203"/>
      <w:bookmarkStart w:id="551" w:name="_Toc296347196"/>
      <w:bookmarkStart w:id="552" w:name="_Toc292559907"/>
      <w:bookmarkStart w:id="553" w:name="_Toc303539150"/>
      <w:bookmarkStart w:id="554" w:name="_Toc312677503"/>
      <w:bookmarkStart w:id="555" w:name="_Toc312678029"/>
      <w:bookmarkStart w:id="556" w:name="_Toc304295570"/>
      <w:r>
        <w:rPr>
          <w:rFonts w:hint="eastAsia"/>
        </w:rPr>
        <w:t>0.5</w:t>
      </w:r>
      <w:r>
        <w:rPr>
          <w:rFonts w:hint="eastAsia"/>
          <w:lang w:val="en-US" w:eastAsia="zh-CN"/>
        </w:rPr>
        <w:t xml:space="preserve"> </w:t>
      </w:r>
      <w:r>
        <w:rPr>
          <w:rFonts w:hint="eastAsia"/>
        </w:rPr>
        <w:t>承</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Start w:id="557" w:name="_Toc296346704"/>
      <w:bookmarkStart w:id="558" w:name="_Toc300934994"/>
      <w:bookmarkStart w:id="559" w:name="_Toc303539151"/>
      <w:bookmarkStart w:id="560" w:name="_Toc296503203"/>
      <w:bookmarkStart w:id="561" w:name="_Toc292559913"/>
      <w:bookmarkStart w:id="562" w:name="_Toc292559408"/>
      <w:bookmarkStart w:id="563" w:name="_Toc296891031"/>
      <w:bookmarkStart w:id="564" w:name="_Toc297123545"/>
      <w:bookmarkStart w:id="565" w:name="_Toc297048389"/>
      <w:bookmarkStart w:id="566" w:name="_Toc297216204"/>
      <w:bookmarkStart w:id="567" w:name="_Toc296891243"/>
      <w:bookmarkStart w:id="568" w:name="_Toc296347202"/>
      <w:bookmarkStart w:id="569" w:name="_Toc296944542"/>
      <w:bookmarkStart w:id="570" w:name="_Toc297120503"/>
      <w:r>
        <w:rPr>
          <w:rFonts w:hint="eastAsia"/>
        </w:rPr>
        <w:t>包人的合理化建议</w:t>
      </w:r>
    </w:p>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14:paraId="63EBEBE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监理人审查承包人合理化建议的期限：</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14:paraId="5924837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发包人审批承包人合理化建议的期限：</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14:paraId="23A3246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承</w:t>
      </w:r>
      <w:bookmarkStart w:id="571" w:name="_Toc296891244"/>
      <w:bookmarkStart w:id="572" w:name="_Toc292559914"/>
      <w:bookmarkStart w:id="573" w:name="_Toc297048390"/>
      <w:bookmarkStart w:id="574" w:name="_Toc297216205"/>
      <w:bookmarkStart w:id="575" w:name="_Toc296346705"/>
      <w:bookmarkStart w:id="576" w:name="_Toc296891032"/>
      <w:bookmarkStart w:id="577" w:name="_Toc292559409"/>
      <w:bookmarkStart w:id="578" w:name="_Toc296944543"/>
      <w:bookmarkStart w:id="579" w:name="_Toc296347203"/>
      <w:bookmarkStart w:id="580" w:name="_Toc297120504"/>
      <w:bookmarkStart w:id="581" w:name="_Toc300934995"/>
      <w:bookmarkStart w:id="582" w:name="_Toc304295571"/>
      <w:bookmarkStart w:id="583" w:name="_Toc297123546"/>
      <w:bookmarkStart w:id="584" w:name="_Toc312678030"/>
      <w:bookmarkStart w:id="585" w:name="_Toc312677504"/>
      <w:bookmarkStart w:id="586" w:name="_Toc303539152"/>
      <w:bookmarkStart w:id="587" w:name="_Toc296503204"/>
      <w:bookmarkStart w:id="588" w:name="_Toc318581175"/>
      <w:r>
        <w:rPr>
          <w:rFonts w:hint="eastAsia" w:ascii="宋体" w:hAnsi="宋体" w:eastAsia="宋体" w:cs="宋体"/>
          <w:color w:val="auto"/>
          <w:sz w:val="24"/>
          <w:szCs w:val="24"/>
        </w:rPr>
        <w:t>包人提出的合理化建议降低了合同价格或者提高了工程经济效益的奖励的方法和金额为：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14:paraId="5F8125A6">
      <w:pPr>
        <w:pStyle w:val="6"/>
        <w:bidi w:val="0"/>
        <w:rPr>
          <w:rFonts w:hint="eastAsia"/>
        </w:rPr>
      </w:pPr>
      <w:r>
        <w:rPr>
          <w:rFonts w:hint="eastAsia"/>
        </w:rPr>
        <w:t>1</w:t>
      </w:r>
      <w:bookmarkStart w:id="589" w:name="_Toc303539154"/>
      <w:bookmarkStart w:id="590" w:name="_Toc296891239"/>
      <w:bookmarkStart w:id="591" w:name="_Toc296503199"/>
      <w:bookmarkStart w:id="592" w:name="_Toc296891027"/>
      <w:bookmarkStart w:id="593" w:name="_Toc292559404"/>
      <w:bookmarkStart w:id="594" w:name="_Toc296347198"/>
      <w:bookmarkStart w:id="595" w:name="_Toc312677507"/>
      <w:bookmarkStart w:id="596" w:name="_Toc297048385"/>
      <w:bookmarkStart w:id="597" w:name="_Toc304295574"/>
      <w:bookmarkStart w:id="598" w:name="_Toc292559909"/>
      <w:bookmarkStart w:id="599" w:name="_Toc297123548"/>
      <w:bookmarkStart w:id="600" w:name="_Toc296944538"/>
      <w:bookmarkStart w:id="601" w:name="_Toc297216207"/>
      <w:bookmarkStart w:id="602" w:name="_Toc300934997"/>
      <w:bookmarkStart w:id="603" w:name="_Toc312678033"/>
      <w:bookmarkStart w:id="604" w:name="_Toc296346700"/>
      <w:bookmarkStart w:id="605" w:name="_Toc297120499"/>
      <w:r>
        <w:rPr>
          <w:rFonts w:hint="eastAsia"/>
        </w:rPr>
        <w:t>0.7 暂估价</w:t>
      </w:r>
    </w:p>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14:paraId="3E0FC56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rPr>
        <w:t>暂</w:t>
      </w:r>
      <w:bookmarkStart w:id="606" w:name="_Toc318581176"/>
      <w:bookmarkStart w:id="607" w:name="_Toc312678034"/>
      <w:bookmarkStart w:id="608" w:name="_Toc312677508"/>
      <w:r>
        <w:rPr>
          <w:rFonts w:hint="eastAsia" w:ascii="宋体" w:hAnsi="宋体" w:eastAsia="宋体" w:cs="宋体"/>
          <w:color w:val="auto"/>
          <w:kern w:val="0"/>
          <w:sz w:val="24"/>
          <w:szCs w:val="24"/>
        </w:rPr>
        <w:t>估价材料和工程设备的明细详见附件11：《</w:t>
      </w:r>
      <w:r>
        <w:rPr>
          <w:rFonts w:hint="eastAsia" w:ascii="宋体" w:hAnsi="宋体" w:eastAsia="宋体" w:cs="宋体"/>
          <w:color w:val="auto"/>
          <w:sz w:val="24"/>
          <w:szCs w:val="24"/>
        </w:rPr>
        <w:t>暂估价一览表》</w:t>
      </w:r>
      <w:r>
        <w:rPr>
          <w:rFonts w:hint="eastAsia" w:ascii="宋体" w:hAnsi="宋体" w:eastAsia="宋体" w:cs="宋体"/>
          <w:color w:val="auto"/>
          <w:kern w:val="0"/>
          <w:sz w:val="24"/>
          <w:szCs w:val="24"/>
        </w:rPr>
        <w:t>。</w:t>
      </w:r>
    </w:p>
    <w:bookmarkEnd w:id="606"/>
    <w:bookmarkEnd w:id="607"/>
    <w:bookmarkEnd w:id="608"/>
    <w:p w14:paraId="56CC69D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bookmarkStart w:id="609" w:name="_Toc312677509"/>
      <w:bookmarkStart w:id="610" w:name="_Toc312678035"/>
      <w:bookmarkStart w:id="611" w:name="_Toc318581177"/>
      <w:r>
        <w:rPr>
          <w:rFonts w:hint="eastAsia" w:ascii="宋体" w:hAnsi="宋体" w:eastAsia="宋体" w:cs="宋体"/>
          <w:color w:val="auto"/>
          <w:sz w:val="24"/>
          <w:szCs w:val="24"/>
        </w:rPr>
        <w:t>0.7.1 依法必须招标的暂估价项目</w:t>
      </w:r>
    </w:p>
    <w:bookmarkEnd w:id="609"/>
    <w:bookmarkEnd w:id="610"/>
    <w:bookmarkEnd w:id="611"/>
    <w:p w14:paraId="60A82D7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对于依法必须招标的暂估价项目的确认和批准采取第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1</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种方式确定。</w:t>
      </w:r>
    </w:p>
    <w:p w14:paraId="63BF867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第1种方式：对于依法必须招标的暂估价项目，由承包人招标，对该暂估价项目的确认和批准按照以下约定执行：</w:t>
      </w:r>
    </w:p>
    <w:p w14:paraId="55AD86D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5247F33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26C2B80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41ABD2A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1A68E03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10.7.2 不属于依法必须招标的暂估价项目</w:t>
      </w:r>
    </w:p>
    <w:p w14:paraId="7772158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对于不属于依法必须招标的暂估价项目的确认和批准采取第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1</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种方式确定。</w:t>
      </w:r>
    </w:p>
    <w:p w14:paraId="037B3C9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第1种方式：对于不属于依法必须招标的暂估价项目，按本项约定确认和批准：</w:t>
      </w:r>
    </w:p>
    <w:p w14:paraId="1E37F1D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45A42F9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（2）发包人认为承包人确定的供应商、分包人无法满足工程质量或合同要求的，发包人可以要求承包人重新确定暂估价项目的供应商、分包人；</w:t>
      </w:r>
    </w:p>
    <w:p w14:paraId="6B89C2F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（3）承包人应当在签订暂估价合同后7天内，将暂估价合同副本报送发包人留存。</w:t>
      </w:r>
    </w:p>
    <w:p w14:paraId="5B2518D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第2种方式：承包人按照第10.7.1项〔依法必须招标的暂估价项目〕约定的第1种方式确定暂估价项目。</w:t>
      </w:r>
    </w:p>
    <w:p w14:paraId="2CE521C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sz w:val="24"/>
          <w:szCs w:val="24"/>
        </w:rPr>
        <w:t>第3种方式：</w:t>
      </w:r>
      <w:r>
        <w:rPr>
          <w:rFonts w:hint="eastAsia" w:ascii="宋体" w:hAnsi="宋体" w:eastAsia="宋体" w:cs="宋体"/>
          <w:color w:val="auto"/>
          <w:kern w:val="0"/>
          <w:sz w:val="24"/>
          <w:szCs w:val="24"/>
        </w:rPr>
        <w:t>承包人直接实施的暂估价项目</w:t>
      </w:r>
    </w:p>
    <w:p w14:paraId="036273D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承包人直接实施的暂估价项目的约定：</w:t>
      </w:r>
      <w:r>
        <w:rPr>
          <w:rFonts w:hint="eastAsia" w:ascii="宋体" w:hAnsi="宋体" w:eastAsia="宋体" w:cs="宋体"/>
          <w:color w:val="auto"/>
          <w:sz w:val="24"/>
          <w:szCs w:val="24"/>
          <w:u w:val="single"/>
        </w:rPr>
        <w:t>承包人具备实施暂估价项目的资格和条件的，经发包人和承包人协商一致后，可由承包人自行实施暂估价项目，合同当事人可以在专用合同条款约定具体事项</w:t>
      </w:r>
      <w:r>
        <w:rPr>
          <w:rFonts w:hint="eastAsia" w:ascii="宋体" w:hAnsi="宋体" w:eastAsia="宋体" w:cs="宋体"/>
          <w:color w:val="auto"/>
          <w:sz w:val="24"/>
          <w:szCs w:val="24"/>
        </w:rPr>
        <w:t>。</w:t>
      </w:r>
    </w:p>
    <w:p w14:paraId="196A856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10.7.3</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C1C178B">
      <w:pPr>
        <w:pStyle w:val="6"/>
        <w:bidi w:val="0"/>
        <w:rPr>
          <w:rFonts w:hint="eastAsia"/>
        </w:rPr>
      </w:pPr>
      <w:r>
        <w:rPr>
          <w:rFonts w:hint="eastAsia"/>
        </w:rPr>
        <w:t>10.8 暂列金额</w:t>
      </w:r>
    </w:p>
    <w:p w14:paraId="6D916BC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合同当事人关于暂列金额使用的约定：</w:t>
      </w:r>
      <w:r>
        <w:rPr>
          <w:rFonts w:hint="eastAsia" w:ascii="宋体" w:hAnsi="宋体" w:eastAsia="宋体" w:cs="宋体"/>
          <w:bCs/>
          <w:color w:val="auto"/>
          <w:sz w:val="24"/>
          <w:szCs w:val="24"/>
          <w:u w:val="single"/>
        </w:rPr>
        <w:t>按照发包人要求使用，未发生时不予支付</w:t>
      </w:r>
      <w:r>
        <w:rPr>
          <w:rFonts w:hint="eastAsia" w:ascii="宋体" w:hAnsi="宋体" w:eastAsia="宋体" w:cs="宋体"/>
          <w:color w:val="auto"/>
          <w:kern w:val="0"/>
          <w:sz w:val="24"/>
          <w:szCs w:val="24"/>
        </w:rPr>
        <w:t>。</w:t>
      </w:r>
    </w:p>
    <w:p w14:paraId="2217BF79">
      <w:pPr>
        <w:pStyle w:val="5"/>
        <w:bidi w:val="0"/>
        <w:rPr>
          <w:rFonts w:hint="eastAsia"/>
        </w:rPr>
      </w:pPr>
      <w:bookmarkStart w:id="612" w:name="_Toc351203643"/>
      <w:bookmarkStart w:id="613" w:name="_Toc21886"/>
      <w:bookmarkStart w:id="614" w:name="_Toc32341"/>
      <w:r>
        <w:rPr>
          <w:rFonts w:hint="eastAsia"/>
        </w:rPr>
        <w:t>11. 价格调整</w:t>
      </w:r>
      <w:bookmarkEnd w:id="612"/>
      <w:bookmarkEnd w:id="613"/>
      <w:bookmarkEnd w:id="614"/>
    </w:p>
    <w:p w14:paraId="0E3DB898">
      <w:pPr>
        <w:pStyle w:val="6"/>
        <w:bidi w:val="0"/>
        <w:rPr>
          <w:rFonts w:hint="eastAsia"/>
        </w:rPr>
      </w:pPr>
      <w:bookmarkStart w:id="615" w:name="_Toc296891029"/>
      <w:bookmarkStart w:id="616" w:name="_Toc297120501"/>
      <w:bookmarkStart w:id="617" w:name="_Toc297216209"/>
      <w:bookmarkStart w:id="618" w:name="_Toc296891241"/>
      <w:bookmarkStart w:id="619" w:name="_Toc292559911"/>
      <w:bookmarkStart w:id="620" w:name="_Toc312678039"/>
      <w:bookmarkStart w:id="621" w:name="_Toc296346702"/>
      <w:bookmarkStart w:id="622" w:name="_Toc303539157"/>
      <w:bookmarkStart w:id="623" w:name="_Toc296944540"/>
      <w:bookmarkStart w:id="624" w:name="_Toc297123550"/>
      <w:bookmarkStart w:id="625" w:name="_Toc292559406"/>
      <w:bookmarkStart w:id="626" w:name="_Toc300935000"/>
      <w:bookmarkStart w:id="627" w:name="_Toc297048387"/>
      <w:bookmarkStart w:id="628" w:name="_Toc296347200"/>
      <w:bookmarkStart w:id="629" w:name="_Toc296503201"/>
      <w:bookmarkStart w:id="630" w:name="_Toc304295577"/>
      <w:r>
        <w:rPr>
          <w:rFonts w:hint="eastAsia"/>
        </w:rPr>
        <w:t>11.1 市场价格波动引起的调整</w:t>
      </w:r>
    </w:p>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14:paraId="005D3CF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合同履行期间，因人工、材料、工程设备和机械台班价格波动超过永州市有关造价文件规定的报</w:t>
      </w:r>
      <w:r>
        <w:rPr>
          <w:rFonts w:hint="eastAsia" w:ascii="宋体" w:hAnsi="宋体" w:eastAsia="宋体" w:cs="宋体"/>
          <w:color w:val="auto"/>
          <w:sz w:val="24"/>
          <w:szCs w:val="24"/>
          <w:lang w:val="en-US" w:eastAsia="zh-CN"/>
        </w:rPr>
        <w:t>县</w:t>
      </w:r>
      <w:r>
        <w:rPr>
          <w:rFonts w:hint="eastAsia" w:ascii="宋体" w:hAnsi="宋体" w:eastAsia="宋体" w:cs="宋体"/>
          <w:color w:val="auto"/>
          <w:sz w:val="24"/>
          <w:szCs w:val="24"/>
        </w:rPr>
        <w:t>政府批准后可以对主要材料价格进行调整；施工期间如遇人工工资调整，按</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永州</w:t>
      </w:r>
      <w:r>
        <w:rPr>
          <w:rFonts w:hint="eastAsia" w:ascii="宋体" w:hAnsi="宋体" w:eastAsia="宋体" w:cs="宋体"/>
          <w:color w:val="auto"/>
          <w:sz w:val="24"/>
          <w:szCs w:val="24"/>
        </w:rPr>
        <w:t>市</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县</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住建局</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财政局公布的综合单价通知进行调整。需要进行价格调整的材料，其单价和采购数量应由发包人审批，发包人确认需调整的材料单价及数量，作为调整合同价格的依据。如没有发布的，以</w:t>
      </w:r>
      <w:r>
        <w:rPr>
          <w:rFonts w:hint="eastAsia" w:ascii="宋体" w:hAnsi="宋体" w:eastAsia="宋体" w:cs="宋体"/>
          <w:color w:val="auto"/>
          <w:sz w:val="24"/>
          <w:szCs w:val="24"/>
          <w:lang w:val="en-US" w:eastAsia="zh-CN"/>
        </w:rPr>
        <w:t>江永县</w:t>
      </w:r>
      <w:r>
        <w:rPr>
          <w:rFonts w:hint="eastAsia" w:ascii="宋体" w:hAnsi="宋体" w:eastAsia="宋体" w:cs="宋体"/>
          <w:color w:val="auto"/>
          <w:sz w:val="24"/>
          <w:szCs w:val="24"/>
        </w:rPr>
        <w:t>财政局、发包人、监理、承包人共同询价审定并报</w:t>
      </w:r>
      <w:r>
        <w:rPr>
          <w:rFonts w:hint="eastAsia" w:ascii="宋体" w:hAnsi="宋体" w:eastAsia="宋体" w:cs="宋体"/>
          <w:color w:val="auto"/>
          <w:sz w:val="24"/>
          <w:szCs w:val="24"/>
          <w:lang w:val="en-US" w:eastAsia="zh-CN"/>
        </w:rPr>
        <w:t>县</w:t>
      </w:r>
      <w:r>
        <w:rPr>
          <w:rFonts w:hint="eastAsia" w:ascii="宋体" w:hAnsi="宋体" w:eastAsia="宋体" w:cs="宋体"/>
          <w:color w:val="auto"/>
          <w:sz w:val="24"/>
          <w:szCs w:val="24"/>
        </w:rPr>
        <w:t>政府批准的价格为准。</w:t>
      </w:r>
    </w:p>
    <w:p w14:paraId="2587CB7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人工单价发生变化且符合省级或行业建设主管部门发布的人工费调整规定，合同当事人应按省级或行业建设主管部门或其授权的工程造价管理机构发布的人工费等文件调整合同价格，如</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永州</w:t>
      </w:r>
      <w:r>
        <w:rPr>
          <w:rFonts w:hint="eastAsia" w:ascii="宋体" w:hAnsi="宋体" w:eastAsia="宋体" w:cs="宋体"/>
          <w:color w:val="auto"/>
          <w:sz w:val="24"/>
          <w:szCs w:val="24"/>
        </w:rPr>
        <w:t>市</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县</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住建局、财政局另有相关规定，从其规定，但承包人对人工费或人工单价的报价高于发布价格的除外。若承包人投标时人工单价较基准价优惠，则调差时仍需按比例优惠。</w:t>
      </w:r>
    </w:p>
    <w:p w14:paraId="0D66818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材料、工程设备价格变化的价款调整按照发包人提供的基准价格，按以下风险范围规定执行：</w:t>
      </w:r>
    </w:p>
    <w:p w14:paraId="1E3428B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承包人在已标价工程量清单或预算书中载明的材料、工程设备单价，在合同履行期间涨、跌幅以基准价格为基础超过风险范围时，据实调整。若承包人投标时材料、工程设备单价较基准价优惠，则调差时仍需按比例优惠。</w:t>
      </w:r>
    </w:p>
    <w:p w14:paraId="6AC9745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承包人在投标报价中载明的材料、工程设备单价在合同履行期间涨、跌幅超过省及各市州建设行政主管部门各期间发布的预算价格的风险范围时，据实调整。承包人需提供涨、跌价依据报永州市造价管理部门备案，</w:t>
      </w:r>
      <w:r>
        <w:rPr>
          <w:rFonts w:hint="eastAsia" w:ascii="宋体" w:hAnsi="宋体" w:eastAsia="宋体" w:cs="宋体"/>
          <w:color w:val="auto"/>
          <w:sz w:val="24"/>
          <w:szCs w:val="24"/>
          <w:lang w:val="en-US" w:eastAsia="zh-CN"/>
        </w:rPr>
        <w:t>江永县</w:t>
      </w:r>
      <w:r>
        <w:rPr>
          <w:rFonts w:hint="eastAsia" w:ascii="宋体" w:hAnsi="宋体" w:eastAsia="宋体" w:cs="宋体"/>
          <w:color w:val="auto"/>
          <w:sz w:val="24"/>
          <w:szCs w:val="24"/>
        </w:rPr>
        <w:t>财政局根据已备案的价格涨、跌幅据实调整。</w:t>
      </w:r>
    </w:p>
    <w:p w14:paraId="3DB623F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风险范围及幅度，按以下幅度为准：</w:t>
      </w:r>
    </w:p>
    <w:p w14:paraId="6EB53D7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建筑工程、市政工程与仿古建筑工程的风险幅度值为±3%。</w:t>
      </w:r>
    </w:p>
    <w:p w14:paraId="5C591A5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装饰工程、安装工程与园林景观工程的风险幅度值为±5%。</w:t>
      </w:r>
    </w:p>
    <w:p w14:paraId="48F4EF6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发生合同工期延误，应按下列约定确定合同履行期的价格：</w:t>
      </w:r>
    </w:p>
    <w:p w14:paraId="7F1F664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因非承包人原因导致工期延误，计划进度日期后续工程的材料、工程设备价格，应采用计划进度日期与实际进度日期两者之间的较高者。</w:t>
      </w:r>
    </w:p>
    <w:p w14:paraId="3953351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因承包人原因导致工期延误，计划进度日期后续工程的材料、工程设备价格，应采用计划进度日期与实际进度日期两者之间的较低者。</w:t>
      </w:r>
    </w:p>
    <w:p w14:paraId="5CE881D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施工机械台班单价的调整，根据机械台班中所包括的人工和燃料、动力数量按造价信息进行价格调整。</w:t>
      </w:r>
    </w:p>
    <w:p w14:paraId="4611657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11.1.6</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基准价格是指由发包人在招标文件中给定的人工、材料、工程设备的价格。</w:t>
      </w:r>
    </w:p>
    <w:bookmarkEnd w:id="516"/>
    <w:bookmarkEnd w:id="517"/>
    <w:bookmarkEnd w:id="518"/>
    <w:bookmarkEnd w:id="519"/>
    <w:bookmarkEnd w:id="520"/>
    <w:bookmarkEnd w:id="521"/>
    <w:p w14:paraId="7F07401A">
      <w:pPr>
        <w:pStyle w:val="5"/>
        <w:bidi w:val="0"/>
        <w:rPr>
          <w:rFonts w:hint="eastAsia"/>
        </w:rPr>
      </w:pPr>
      <w:bookmarkStart w:id="631" w:name="_Toc292559915"/>
      <w:bookmarkStart w:id="632" w:name="_Toc296346706"/>
      <w:bookmarkStart w:id="633" w:name="_Toc296503205"/>
      <w:bookmarkStart w:id="634" w:name="_Toc292559410"/>
      <w:bookmarkStart w:id="635" w:name="_Toc297048391"/>
      <w:bookmarkStart w:id="636" w:name="_Toc296944544"/>
      <w:bookmarkStart w:id="637" w:name="_Toc296891245"/>
      <w:bookmarkStart w:id="638" w:name="_Toc296891033"/>
      <w:bookmarkStart w:id="639" w:name="_Toc296347204"/>
      <w:bookmarkStart w:id="640" w:name="_Toc297120505"/>
      <w:bookmarkStart w:id="641" w:name="_Toc18943"/>
      <w:bookmarkStart w:id="642" w:name="_Toc23050"/>
      <w:bookmarkStart w:id="643" w:name="_Toc351203644"/>
      <w:bookmarkStart w:id="644" w:name="_Toc297216211"/>
      <w:bookmarkStart w:id="645" w:name="_Toc297123552"/>
      <w:bookmarkStart w:id="646" w:name="_Toc312678040"/>
      <w:bookmarkStart w:id="647" w:name="_Toc300935002"/>
      <w:bookmarkStart w:id="648" w:name="_Toc303539159"/>
      <w:bookmarkStart w:id="649" w:name="_Toc304295579"/>
      <w:r>
        <w:rPr>
          <w:rFonts w:hint="eastAsia"/>
        </w:rPr>
        <w:t xml:space="preserve">12. </w:t>
      </w:r>
      <w:bookmarkEnd w:id="631"/>
      <w:bookmarkEnd w:id="632"/>
      <w:bookmarkEnd w:id="633"/>
      <w:bookmarkEnd w:id="634"/>
      <w:bookmarkEnd w:id="635"/>
      <w:bookmarkEnd w:id="636"/>
      <w:bookmarkEnd w:id="637"/>
      <w:bookmarkEnd w:id="638"/>
      <w:bookmarkEnd w:id="639"/>
      <w:bookmarkEnd w:id="640"/>
      <w:r>
        <w:rPr>
          <w:rFonts w:hint="eastAsia"/>
        </w:rPr>
        <w:t>合同价格、计量与支付</w:t>
      </w:r>
      <w:bookmarkEnd w:id="641"/>
      <w:bookmarkEnd w:id="642"/>
      <w:bookmarkEnd w:id="643"/>
    </w:p>
    <w:bookmarkEnd w:id="644"/>
    <w:bookmarkEnd w:id="645"/>
    <w:bookmarkEnd w:id="646"/>
    <w:bookmarkEnd w:id="647"/>
    <w:bookmarkEnd w:id="648"/>
    <w:bookmarkEnd w:id="649"/>
    <w:p w14:paraId="483BAFBB">
      <w:pPr>
        <w:pStyle w:val="6"/>
        <w:bidi w:val="0"/>
        <w:rPr>
          <w:rFonts w:hint="eastAsia"/>
        </w:rPr>
      </w:pPr>
      <w:bookmarkStart w:id="650" w:name="_Toc292559916"/>
      <w:bookmarkStart w:id="651" w:name="_Toc267251461"/>
      <w:bookmarkStart w:id="652" w:name="_Toc292559411"/>
      <w:bookmarkStart w:id="653" w:name="_Toc296503206"/>
      <w:bookmarkStart w:id="654" w:name="_Toc296944545"/>
      <w:bookmarkStart w:id="655" w:name="_Toc296347205"/>
      <w:bookmarkStart w:id="656" w:name="_Toc297120506"/>
      <w:bookmarkStart w:id="657" w:name="_Toc296891246"/>
      <w:bookmarkStart w:id="658" w:name="_Toc296891034"/>
      <w:bookmarkStart w:id="659" w:name="_Toc297048392"/>
      <w:bookmarkStart w:id="660" w:name="_Toc296346707"/>
      <w:bookmarkStart w:id="661" w:name="_Toc304295580"/>
      <w:bookmarkStart w:id="662" w:name="_Toc297216212"/>
      <w:bookmarkStart w:id="663" w:name="_Toc312678041"/>
      <w:bookmarkStart w:id="664" w:name="_Toc303539160"/>
      <w:bookmarkStart w:id="665" w:name="_Toc300935003"/>
      <w:bookmarkStart w:id="666" w:name="_Toc297123553"/>
      <w:r>
        <w:rPr>
          <w:rFonts w:hint="eastAsia"/>
        </w:rPr>
        <w:t>12.1 合</w:t>
      </w:r>
      <w:bookmarkEnd w:id="650"/>
      <w:bookmarkEnd w:id="651"/>
      <w:bookmarkEnd w:id="652"/>
      <w:r>
        <w:rPr>
          <w:rFonts w:hint="eastAsia"/>
        </w:rPr>
        <w:t>同价</w:t>
      </w:r>
      <w:bookmarkEnd w:id="653"/>
      <w:bookmarkEnd w:id="654"/>
      <w:bookmarkEnd w:id="655"/>
      <w:bookmarkEnd w:id="656"/>
      <w:bookmarkEnd w:id="657"/>
      <w:bookmarkEnd w:id="658"/>
      <w:bookmarkEnd w:id="659"/>
      <w:bookmarkEnd w:id="660"/>
      <w:r>
        <w:rPr>
          <w:rFonts w:hint="eastAsia"/>
        </w:rPr>
        <w:t>格形式</w:t>
      </w:r>
    </w:p>
    <w:bookmarkEnd w:id="661"/>
    <w:bookmarkEnd w:id="662"/>
    <w:bookmarkEnd w:id="663"/>
    <w:bookmarkEnd w:id="664"/>
    <w:bookmarkEnd w:id="665"/>
    <w:bookmarkEnd w:id="666"/>
    <w:p w14:paraId="3BE7B31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 xml:space="preserve">12.1.1 </w:t>
      </w:r>
      <w:r>
        <w:rPr>
          <w:rFonts w:hint="eastAsia" w:ascii="宋体" w:hAnsi="宋体" w:eastAsia="宋体" w:cs="宋体"/>
          <w:color w:val="000000"/>
          <w:sz w:val="24"/>
          <w:szCs w:val="24"/>
        </w:rPr>
        <w:t>单价合同。</w:t>
      </w:r>
    </w:p>
    <w:p w14:paraId="58AE282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综合单价包含的风险范围：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22D9C0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风险费用的计算方法：</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CC0EC4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风险范围以外合同价格的调整方法：</w:t>
      </w:r>
      <w:r>
        <w:rPr>
          <w:rFonts w:hint="eastAsia" w:ascii="宋体" w:hAnsi="宋体" w:eastAsia="宋体" w:cs="宋体"/>
          <w:bCs/>
          <w:kern w:val="0"/>
          <w:sz w:val="24"/>
          <w:szCs w:val="24"/>
          <w:u w:val="single"/>
        </w:rPr>
        <w:t>单价中材料价格调整按11.1条规定执行</w:t>
      </w:r>
      <w:r>
        <w:rPr>
          <w:rFonts w:hint="eastAsia" w:ascii="宋体" w:hAnsi="宋体" w:eastAsia="宋体" w:cs="宋体"/>
          <w:color w:val="000000"/>
          <w:sz w:val="24"/>
          <w:szCs w:val="24"/>
        </w:rPr>
        <w:t>。</w:t>
      </w:r>
    </w:p>
    <w:p w14:paraId="55D5DEC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 xml:space="preserve">12.1.2 </w:t>
      </w:r>
      <w:r>
        <w:rPr>
          <w:rFonts w:hint="eastAsia" w:ascii="宋体" w:hAnsi="宋体" w:eastAsia="宋体" w:cs="宋体"/>
          <w:color w:val="000000"/>
          <w:sz w:val="24"/>
          <w:szCs w:val="24"/>
        </w:rPr>
        <w:t>总价合同。</w:t>
      </w:r>
    </w:p>
    <w:p w14:paraId="4125036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总价包含的风险范围：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D26001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风险费用的计算方法：</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689D9A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风险范围以外合同价格的调整方法：</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467282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 xml:space="preserve">12.1.3 </w:t>
      </w:r>
      <w:r>
        <w:rPr>
          <w:rFonts w:hint="eastAsia" w:ascii="宋体" w:hAnsi="宋体" w:eastAsia="宋体" w:cs="宋体"/>
          <w:color w:val="000000"/>
          <w:sz w:val="24"/>
          <w:szCs w:val="24"/>
        </w:rPr>
        <w:t>其他价格方式：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0B7031D2">
      <w:pPr>
        <w:pStyle w:val="6"/>
        <w:bidi w:val="0"/>
        <w:rPr>
          <w:rFonts w:hint="eastAsia"/>
        </w:rPr>
      </w:pPr>
      <w:bookmarkStart w:id="667" w:name="_Toc297216213"/>
      <w:bookmarkStart w:id="668" w:name="_Toc297123554"/>
      <w:bookmarkStart w:id="669" w:name="_Toc312678042"/>
      <w:bookmarkStart w:id="670" w:name="_Toc300935004"/>
      <w:bookmarkStart w:id="671" w:name="_Toc303539161"/>
      <w:bookmarkStart w:id="672" w:name="_Toc304295581"/>
      <w:bookmarkStart w:id="673" w:name="_Toc296944546"/>
      <w:bookmarkStart w:id="674" w:name="_Toc297120507"/>
      <w:bookmarkStart w:id="675" w:name="_Toc296891035"/>
      <w:bookmarkStart w:id="676" w:name="_Toc296891247"/>
      <w:bookmarkStart w:id="677" w:name="_Toc297048393"/>
      <w:bookmarkStart w:id="678" w:name="_Toc292559917"/>
      <w:bookmarkStart w:id="679" w:name="_Toc296346708"/>
      <w:bookmarkStart w:id="680" w:name="_Toc292559412"/>
      <w:bookmarkStart w:id="681" w:name="_Toc296347206"/>
      <w:bookmarkStart w:id="682" w:name="_Toc296503207"/>
      <w:r>
        <w:rPr>
          <w:rFonts w:hint="eastAsia"/>
        </w:rPr>
        <w:t>12.2 预付款</w:t>
      </w:r>
    </w:p>
    <w:bookmarkEnd w:id="667"/>
    <w:bookmarkEnd w:id="668"/>
    <w:bookmarkEnd w:id="669"/>
    <w:bookmarkEnd w:id="670"/>
    <w:bookmarkEnd w:id="671"/>
    <w:bookmarkEnd w:id="672"/>
    <w:p w14:paraId="56E566D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12.2.1 预付款的支付</w:t>
      </w:r>
    </w:p>
    <w:p w14:paraId="300116D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预付</w:t>
      </w:r>
      <w:r>
        <w:rPr>
          <w:rFonts w:hint="eastAsia" w:ascii="宋体" w:hAnsi="宋体" w:eastAsia="宋体" w:cs="宋体"/>
          <w:color w:val="auto"/>
          <w:sz w:val="24"/>
          <w:szCs w:val="24"/>
          <w:highlight w:val="none"/>
        </w:rPr>
        <w:t>款支付比例或金额：</w:t>
      </w:r>
      <w:r>
        <w:rPr>
          <w:rFonts w:hint="eastAsia" w:ascii="宋体" w:hAnsi="宋体" w:eastAsia="宋体" w:cs="宋体"/>
          <w:color w:val="auto"/>
          <w:sz w:val="24"/>
          <w:szCs w:val="24"/>
          <w:highlight w:val="none"/>
          <w:u w:val="single"/>
          <w:lang w:val="en-US" w:eastAsia="zh-CN"/>
        </w:rPr>
        <w:t>建安工程费（不含暂列金和暂估价）的10%</w:t>
      </w:r>
      <w:r>
        <w:rPr>
          <w:rFonts w:hint="eastAsia" w:ascii="宋体" w:hAnsi="宋体" w:eastAsia="宋体" w:cs="宋体"/>
          <w:color w:val="auto"/>
          <w:sz w:val="24"/>
          <w:szCs w:val="24"/>
          <w:highlight w:val="none"/>
        </w:rPr>
        <w:t>。</w:t>
      </w:r>
    </w:p>
    <w:p w14:paraId="4C38695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预付款支付期限：</w:t>
      </w:r>
      <w:r>
        <w:rPr>
          <w:rFonts w:hint="eastAsia" w:ascii="宋体" w:hAnsi="宋体" w:cs="宋体"/>
          <w:color w:val="auto"/>
          <w:sz w:val="24"/>
          <w:szCs w:val="24"/>
          <w:highlight w:val="none"/>
          <w:u w:val="single"/>
          <w:lang w:val="en-US" w:eastAsia="zh-CN"/>
        </w:rPr>
        <w:t xml:space="preserve"> /</w:t>
      </w:r>
    </w:p>
    <w:p w14:paraId="702C843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ascii="宋体" w:hAnsi="宋体" w:cs="宋体"/>
          <w:color w:val="auto"/>
          <w:sz w:val="24"/>
          <w:szCs w:val="24"/>
          <w:highlight w:val="none"/>
          <w:u w:val="single"/>
          <w:lang w:val="en-US" w:eastAsia="zh-CN"/>
        </w:rPr>
        <w:t>/</w:t>
      </w:r>
    </w:p>
    <w:p w14:paraId="3A7A8F1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4D2CD32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E40EB3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73"/>
    <w:bookmarkEnd w:id="674"/>
    <w:bookmarkEnd w:id="675"/>
    <w:bookmarkEnd w:id="676"/>
    <w:bookmarkEnd w:id="677"/>
    <w:bookmarkEnd w:id="678"/>
    <w:bookmarkEnd w:id="679"/>
    <w:bookmarkEnd w:id="680"/>
    <w:bookmarkEnd w:id="681"/>
    <w:bookmarkEnd w:id="682"/>
    <w:p w14:paraId="0DE07829">
      <w:pPr>
        <w:pStyle w:val="6"/>
        <w:bidi w:val="0"/>
        <w:rPr>
          <w:rFonts w:hint="eastAsia"/>
          <w:color w:val="auto"/>
          <w:highlight w:val="none"/>
        </w:rPr>
      </w:pPr>
      <w:r>
        <w:rPr>
          <w:rFonts w:hint="eastAsia"/>
          <w:color w:val="auto"/>
          <w:highlight w:val="none"/>
        </w:rPr>
        <w:t>12.3 计量</w:t>
      </w:r>
    </w:p>
    <w:p w14:paraId="3600737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14:paraId="3A3341F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工程量计算规则：</w:t>
      </w:r>
      <w:r>
        <w:rPr>
          <w:rFonts w:hint="eastAsia" w:ascii="宋体" w:hAnsi="宋体" w:eastAsia="宋体" w:cs="宋体"/>
          <w:bCs/>
          <w:color w:val="auto"/>
          <w:sz w:val="24"/>
          <w:szCs w:val="24"/>
          <w:highlight w:val="none"/>
          <w:u w:val="single"/>
        </w:rPr>
        <w:t>按国家标准、行业标准的规定执行</w:t>
      </w:r>
      <w:r>
        <w:rPr>
          <w:rFonts w:hint="eastAsia" w:ascii="宋体" w:hAnsi="宋体" w:eastAsia="宋体" w:cs="宋体"/>
          <w:color w:val="auto"/>
          <w:sz w:val="24"/>
          <w:szCs w:val="24"/>
          <w:highlight w:val="none"/>
        </w:rPr>
        <w:t>。</w:t>
      </w:r>
    </w:p>
    <w:p w14:paraId="1F0307A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1A1166F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rPr>
        <w:t>关于计量周期的约定：</w:t>
      </w:r>
      <w:r>
        <w:rPr>
          <w:rFonts w:hint="eastAsia" w:ascii="宋体" w:hAnsi="宋体" w:cs="宋体"/>
          <w:color w:val="auto"/>
          <w:sz w:val="24"/>
          <w:szCs w:val="24"/>
          <w:highlight w:val="none"/>
          <w:u w:val="single"/>
          <w:lang w:val="en-US" w:eastAsia="zh-CN"/>
        </w:rPr>
        <w:t xml:space="preserve">            /       </w:t>
      </w:r>
      <w:r>
        <w:rPr>
          <w:rFonts w:hint="eastAsia" w:ascii="宋体" w:hAnsi="宋体" w:cs="宋体"/>
          <w:color w:val="auto"/>
          <w:sz w:val="24"/>
          <w:szCs w:val="24"/>
          <w:highlight w:val="none"/>
          <w:lang w:val="en-US" w:eastAsia="zh-CN"/>
        </w:rPr>
        <w:t xml:space="preserve"> 。            </w:t>
      </w:r>
    </w:p>
    <w:p w14:paraId="1F9BAD1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单价合同的计量关于单价合同计量的约定：</w:t>
      </w:r>
      <w:r>
        <w:rPr>
          <w:rFonts w:hint="eastAsia" w:ascii="宋体" w:hAnsi="宋体" w:eastAsia="宋体" w:cs="宋体"/>
          <w:color w:val="auto"/>
          <w:sz w:val="24"/>
          <w:szCs w:val="24"/>
          <w:highlight w:val="none"/>
          <w:u w:val="single"/>
        </w:rPr>
        <w:t>①已标价工程量清单中的单价子目工程量为估算工程量。结算工程量是承包人实际完成的，并按合同约定的计量方法进行计量的工程量。②承包人对已完成的工程进行计量，向监理人提交进度付款申请单、已完成工程量报表和有关计量资料（仅对合格工程进行计量）。③监理人对承包人提交的工程量报表进行复核，以确定实际完成的工程量。对数量有异议的，监理人可以指示承包人进行抽样复测，当复测中发现错误或出现超过合同约定的误差时，承包人应按监理人指示进行修正或补测，并承担相应的复测费用。承包人应协助监理人进行复核并按监理人要求提供补充计量资料。承包人未按监理人要求参加复核，监理人复核或修正的工程量视为承包人实际完成的工程量。④监理人认为有必要时，可通知承包人共同进行联合测量、计量，承包人应遵照执行。⑤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⑥监理人应在收到承包人提交的工程量报表后的7天内进行复核，监理人未在约定时间内复核的，承包人提交的工程量报表中的工程量视为承包人实际完成的工程量，据此计算工程价款</w:t>
      </w:r>
      <w:r>
        <w:rPr>
          <w:rFonts w:hint="eastAsia" w:ascii="宋体" w:hAnsi="宋体" w:eastAsia="宋体" w:cs="宋体"/>
          <w:color w:val="auto"/>
          <w:sz w:val="24"/>
          <w:szCs w:val="24"/>
          <w:highlight w:val="none"/>
        </w:rPr>
        <w:t>。</w:t>
      </w:r>
    </w:p>
    <w:p w14:paraId="731CBBF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6DC1418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①总价子目的计量和支付应以总价为基础，不因物价波动引起的价格调整款中的因素而进行调整。承包人实际完成的工程量，是进行工程目标管理和控制进度支付的依据。②承包人在合同约定的每个计量周期内，对已完成的工程进行计量，并向监理人提交进度付款申请单、专用合同条款约定的合同总价支付分解表所表示的阶段性或分项计量的支持性资料，以及所达到工程形象目标或分阶段需完成的工程量和有关计量资料。③监理人对承包人提交的上述资料进行复核，以确定分阶段实际完成的工程量和工程形象目标。对其有异议的，监理人可以指示承包人进行抽样复测，当复测中发现错误或出现超过合同约定的误差时，承包人应按监理人指示进行修正或补测，并承担相应的复测费用。④除按照变更条款约定的变更外，总价子目的工程量是承包人用于结算的最终工程量</w:t>
      </w:r>
      <w:r>
        <w:rPr>
          <w:rFonts w:hint="eastAsia" w:ascii="宋体" w:hAnsi="宋体" w:eastAsia="宋体" w:cs="宋体"/>
          <w:color w:val="auto"/>
          <w:sz w:val="24"/>
          <w:szCs w:val="24"/>
          <w:highlight w:val="none"/>
        </w:rPr>
        <w:t>。</w:t>
      </w:r>
    </w:p>
    <w:p w14:paraId="584EBF9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总价合同采用支付分解表计量支付的，是否适用第</w:t>
      </w:r>
      <w:r>
        <w:rPr>
          <w:rFonts w:hint="eastAsia" w:ascii="宋体" w:hAnsi="宋体" w:eastAsia="宋体" w:cs="宋体"/>
          <w:color w:val="auto"/>
          <w:kern w:val="0"/>
          <w:sz w:val="24"/>
          <w:szCs w:val="24"/>
          <w:highlight w:val="none"/>
        </w:rPr>
        <w:t>12.3.4</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bCs/>
          <w:color w:val="auto"/>
          <w:sz w:val="24"/>
          <w:szCs w:val="24"/>
          <w:highlight w:val="none"/>
          <w:u w:val="single"/>
        </w:rPr>
        <w:t>适用</w:t>
      </w:r>
      <w:r>
        <w:rPr>
          <w:rFonts w:hint="eastAsia" w:ascii="宋体" w:hAnsi="宋体" w:eastAsia="宋体" w:cs="宋体"/>
          <w:color w:val="auto"/>
          <w:sz w:val="24"/>
          <w:szCs w:val="24"/>
          <w:highlight w:val="none"/>
        </w:rPr>
        <w:t>。</w:t>
      </w:r>
    </w:p>
    <w:p w14:paraId="357E6DC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52B6AB2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8CB6C95">
      <w:pPr>
        <w:pStyle w:val="6"/>
        <w:bidi w:val="0"/>
        <w:rPr>
          <w:rFonts w:hint="eastAsia"/>
          <w:color w:val="auto"/>
          <w:highlight w:val="none"/>
        </w:rPr>
      </w:pPr>
      <w:r>
        <w:rPr>
          <w:rFonts w:hint="eastAsia"/>
          <w:color w:val="auto"/>
          <w:highlight w:val="none"/>
        </w:rPr>
        <w:t>12.4 工程进度款支付</w:t>
      </w:r>
    </w:p>
    <w:p w14:paraId="2A724F8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bookmarkStart w:id="683" w:name="_Toc297048397"/>
      <w:bookmarkStart w:id="684" w:name="_Toc297123556"/>
      <w:bookmarkStart w:id="685" w:name="_Toc296503211"/>
      <w:bookmarkStart w:id="686" w:name="_Toc296346712"/>
      <w:bookmarkStart w:id="687" w:name="_Toc297120511"/>
      <w:bookmarkStart w:id="688" w:name="_Toc300935006"/>
      <w:bookmarkStart w:id="689" w:name="_Toc303539163"/>
      <w:bookmarkStart w:id="690" w:name="_Toc292559416"/>
      <w:bookmarkStart w:id="691" w:name="_Toc296891039"/>
      <w:bookmarkStart w:id="692" w:name="_Toc296891251"/>
      <w:bookmarkStart w:id="693" w:name="_Toc296944550"/>
      <w:bookmarkStart w:id="694" w:name="_Toc292559921"/>
      <w:bookmarkStart w:id="695" w:name="_Toc297216215"/>
      <w:bookmarkStart w:id="696" w:name="_Toc296347210"/>
      <w:r>
        <w:rPr>
          <w:rFonts w:hint="eastAsia" w:ascii="宋体" w:hAnsi="宋体" w:eastAsia="宋体" w:cs="宋体"/>
          <w:color w:val="auto"/>
          <w:sz w:val="24"/>
          <w:szCs w:val="24"/>
          <w:highlight w:val="none"/>
        </w:rPr>
        <w:t>12.4.1 付款周期</w:t>
      </w:r>
    </w:p>
    <w:p w14:paraId="290C5E0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cs="宋体"/>
          <w:kern w:val="2"/>
          <w:sz w:val="21"/>
          <w:szCs w:val="21"/>
          <w:highlight w:val="none"/>
          <w:lang w:val="en-US" w:eastAsia="zh-CN" w:bidi="ar-SA"/>
        </w:rPr>
      </w:pPr>
      <w:r>
        <w:rPr>
          <w:rFonts w:hint="eastAsia" w:ascii="宋体" w:hAnsi="宋体" w:eastAsia="宋体" w:cs="宋体"/>
          <w:color w:val="auto"/>
          <w:sz w:val="24"/>
          <w:szCs w:val="24"/>
          <w:highlight w:val="none"/>
        </w:rPr>
        <w:t>关于付款周期的约定：</w:t>
      </w:r>
      <w:r>
        <w:rPr>
          <w:rFonts w:hint="eastAsia" w:ascii="宋体" w:hAnsi="宋体" w:eastAsia="宋体" w:cs="仿宋_GB2312"/>
          <w:bCs/>
          <w:color w:val="auto"/>
          <w:kern w:val="2"/>
          <w:sz w:val="21"/>
          <w:szCs w:val="21"/>
          <w:lang w:val="en-US" w:eastAsia="zh-CN" w:bidi="ar-SA"/>
        </w:rPr>
        <w:t>签订合同后支付总工程款的10%作为预付款，</w:t>
      </w:r>
      <w:r>
        <w:rPr>
          <w:rFonts w:hint="eastAsia" w:ascii="宋体" w:hAnsi="宋体" w:eastAsia="宋体" w:cs="宋体"/>
          <w:color w:val="auto"/>
          <w:sz w:val="24"/>
          <w:szCs w:val="24"/>
          <w:highlight w:val="none"/>
        </w:rPr>
        <w:t>付款方式：</w:t>
      </w:r>
      <w:r>
        <w:rPr>
          <w:rFonts w:hint="eastAsia" w:ascii="宋体" w:hAnsi="宋体" w:eastAsia="宋体" w:cs="宋体"/>
          <w:kern w:val="2"/>
          <w:sz w:val="21"/>
          <w:szCs w:val="21"/>
          <w:highlight w:val="none"/>
          <w:lang w:val="en-US" w:eastAsia="zh-CN" w:bidi="ar-SA"/>
        </w:rPr>
        <w:t>工程款按施工进度支付，具体以</w:t>
      </w:r>
      <w:r>
        <w:rPr>
          <w:rFonts w:hint="eastAsia" w:ascii="宋体" w:hAnsi="宋体" w:cs="宋体"/>
          <w:kern w:val="2"/>
          <w:sz w:val="21"/>
          <w:szCs w:val="21"/>
          <w:highlight w:val="none"/>
          <w:lang w:val="en-US" w:eastAsia="zh-CN" w:bidi="ar-SA"/>
        </w:rPr>
        <w:t>签订合同时</w:t>
      </w:r>
      <w:r>
        <w:rPr>
          <w:rFonts w:hint="eastAsia" w:ascii="宋体" w:hAnsi="宋体" w:eastAsia="宋体" w:cs="宋体"/>
          <w:kern w:val="2"/>
          <w:sz w:val="21"/>
          <w:szCs w:val="21"/>
          <w:highlight w:val="none"/>
          <w:lang w:val="en-US" w:eastAsia="zh-CN" w:bidi="ar-SA"/>
        </w:rPr>
        <w:t>约定为准</w:t>
      </w:r>
      <w:r>
        <w:rPr>
          <w:rFonts w:hint="eastAsia" w:ascii="宋体" w:hAnsi="宋体" w:cs="宋体"/>
          <w:kern w:val="2"/>
          <w:sz w:val="21"/>
          <w:szCs w:val="21"/>
          <w:highlight w:val="none"/>
          <w:lang w:val="en-US" w:eastAsia="zh-CN" w:bidi="ar-SA"/>
        </w:rPr>
        <w:t>。</w:t>
      </w:r>
    </w:p>
    <w:p w14:paraId="11A6EDF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0583AE5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14:paraId="20A1041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r>
        <w:rPr>
          <w:rFonts w:hint="eastAsia" w:ascii="宋体" w:hAnsi="宋体" w:eastAsia="宋体" w:cs="宋体"/>
          <w:color w:val="auto"/>
          <w:sz w:val="24"/>
          <w:szCs w:val="24"/>
          <w:highlight w:val="none"/>
        </w:rPr>
        <w:t>2.4.3 进度付款申请单的提交</w:t>
      </w:r>
    </w:p>
    <w:p w14:paraId="2B28F79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14:paraId="349A5E2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14:paraId="1861305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14:paraId="6E9E7A8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33D8097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bCs/>
          <w:color w:val="auto"/>
          <w:sz w:val="24"/>
          <w:szCs w:val="24"/>
          <w:highlight w:val="none"/>
          <w:u w:val="single"/>
        </w:rPr>
        <w:t>15天</w:t>
      </w:r>
      <w:r>
        <w:rPr>
          <w:rFonts w:hint="eastAsia" w:ascii="宋体" w:hAnsi="宋体" w:eastAsia="宋体" w:cs="宋体"/>
          <w:color w:val="auto"/>
          <w:sz w:val="24"/>
          <w:szCs w:val="24"/>
          <w:highlight w:val="none"/>
        </w:rPr>
        <w:t>。</w:t>
      </w:r>
    </w:p>
    <w:p w14:paraId="35D40D4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bCs/>
          <w:color w:val="auto"/>
          <w:sz w:val="24"/>
          <w:szCs w:val="24"/>
          <w:highlight w:val="none"/>
          <w:u w:val="single"/>
        </w:rPr>
        <w:t>15天</w:t>
      </w:r>
      <w:r>
        <w:rPr>
          <w:rFonts w:hint="eastAsia" w:ascii="宋体" w:hAnsi="宋体" w:eastAsia="宋体" w:cs="宋体"/>
          <w:color w:val="auto"/>
          <w:sz w:val="24"/>
          <w:szCs w:val="24"/>
          <w:highlight w:val="none"/>
        </w:rPr>
        <w:t>。</w:t>
      </w:r>
    </w:p>
    <w:p w14:paraId="7DA4A01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发包人完成审批并签发进度款支付证书后</w:t>
      </w:r>
      <w:r>
        <w:rPr>
          <w:rFonts w:hint="eastAsia" w:ascii="宋体" w:hAnsi="宋体" w:eastAsia="宋体" w:cs="宋体"/>
          <w:color w:val="auto"/>
          <w:sz w:val="24"/>
          <w:szCs w:val="24"/>
          <w:highlight w:val="none"/>
          <w:u w:val="single"/>
          <w:lang w:val="en-US" w:eastAsia="zh-CN"/>
        </w:rPr>
        <w:t>15</w:t>
      </w:r>
      <w:r>
        <w:rPr>
          <w:rFonts w:hint="eastAsia" w:ascii="宋体" w:hAnsi="宋体" w:eastAsia="宋体" w:cs="宋体"/>
          <w:color w:val="auto"/>
          <w:sz w:val="24"/>
          <w:szCs w:val="24"/>
          <w:highlight w:val="none"/>
          <w:u w:val="single"/>
        </w:rPr>
        <w:t>天内</w:t>
      </w:r>
      <w:r>
        <w:rPr>
          <w:rFonts w:hint="eastAsia" w:ascii="宋体" w:hAnsi="宋体" w:eastAsia="宋体" w:cs="宋体"/>
          <w:color w:val="auto"/>
          <w:sz w:val="24"/>
          <w:szCs w:val="24"/>
          <w:highlight w:val="none"/>
        </w:rPr>
        <w:t>。</w:t>
      </w:r>
    </w:p>
    <w:p w14:paraId="7EE76DE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发包人逾期支付进度款的违约金的计算方式：发包人不依照本合同约定按期支付的和延期支付的工程进度款应按每延迟一天，发包人向承包人支付按中国人民银行同期贷款利率计算的利息。但下列两种情况例外：</w:t>
      </w:r>
    </w:p>
    <w:p w14:paraId="243A1A4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因承包人未保证施工质量发包人而停止或部分减少支付的情况；</w:t>
      </w:r>
    </w:p>
    <w:p w14:paraId="3F1F034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属银行系统故障原因造成的延期支付情况。</w:t>
      </w:r>
    </w:p>
    <w:p w14:paraId="3E41283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731B73F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总价合同支付分解表的编制与审批：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0F38AF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3单价合同的总价项目支付分解表的编制与审批：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522"/>
    <w:p w14:paraId="53EAF37F">
      <w:pPr>
        <w:pStyle w:val="5"/>
        <w:bidi w:val="0"/>
        <w:rPr>
          <w:rFonts w:hint="eastAsia"/>
          <w:color w:val="auto"/>
          <w:highlight w:val="none"/>
        </w:rPr>
      </w:pPr>
      <w:bookmarkStart w:id="697" w:name="_Toc29086"/>
      <w:bookmarkStart w:id="698" w:name="_Toc351203645"/>
      <w:bookmarkStart w:id="699" w:name="_Toc13010"/>
      <w:bookmarkStart w:id="700" w:name="_Toc303539172"/>
      <w:bookmarkStart w:id="701" w:name="_Toc297048405"/>
      <w:bookmarkStart w:id="702" w:name="_Toc296503219"/>
      <w:bookmarkStart w:id="703" w:name="_Toc300935015"/>
      <w:bookmarkStart w:id="704" w:name="_Toc297120519"/>
      <w:bookmarkStart w:id="705" w:name="_Toc297123564"/>
      <w:bookmarkStart w:id="706" w:name="_Toc296347218"/>
      <w:bookmarkStart w:id="707" w:name="_Toc292559424"/>
      <w:bookmarkStart w:id="708" w:name="_Toc296891259"/>
      <w:bookmarkStart w:id="709" w:name="_Toc297216223"/>
      <w:bookmarkStart w:id="710" w:name="_Toc296944558"/>
      <w:bookmarkStart w:id="711" w:name="_Toc312678053"/>
      <w:bookmarkStart w:id="712" w:name="_Toc292559929"/>
      <w:bookmarkStart w:id="713" w:name="_Toc296346720"/>
      <w:bookmarkStart w:id="714" w:name="_Toc296891047"/>
      <w:bookmarkStart w:id="715" w:name="_Toc304295593"/>
      <w:r>
        <w:rPr>
          <w:rFonts w:hint="eastAsia"/>
          <w:color w:val="auto"/>
          <w:highlight w:val="none"/>
        </w:rPr>
        <w:t>13. 验收和工程试车</w:t>
      </w:r>
      <w:bookmarkEnd w:id="697"/>
      <w:bookmarkEnd w:id="698"/>
      <w:bookmarkEnd w:id="699"/>
    </w:p>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14:paraId="366A8042">
      <w:pPr>
        <w:pStyle w:val="6"/>
        <w:bidi w:val="0"/>
        <w:rPr>
          <w:rFonts w:hint="eastAsia"/>
          <w:color w:val="auto"/>
          <w:highlight w:val="none"/>
        </w:rPr>
      </w:pPr>
      <w:r>
        <w:rPr>
          <w:rFonts w:hint="eastAsia"/>
          <w:color w:val="auto"/>
          <w:highlight w:val="none"/>
        </w:rPr>
        <w:t>13.1 分部分项工程验收</w:t>
      </w:r>
    </w:p>
    <w:p w14:paraId="4C38C9C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监理人不能按时进行验收时，应提前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000A824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48</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4F51501F">
      <w:pPr>
        <w:pStyle w:val="6"/>
        <w:bidi w:val="0"/>
        <w:rPr>
          <w:rFonts w:hint="eastAsia"/>
          <w:color w:val="auto"/>
          <w:highlight w:val="none"/>
        </w:rPr>
      </w:pPr>
      <w:bookmarkStart w:id="716" w:name="_Toc296891263"/>
      <w:bookmarkStart w:id="717" w:name="_Toc297123565"/>
      <w:bookmarkStart w:id="718" w:name="_Toc296944562"/>
      <w:bookmarkStart w:id="719" w:name="_Toc304295596"/>
      <w:bookmarkStart w:id="720" w:name="_Toc296891051"/>
      <w:bookmarkStart w:id="721" w:name="_Toc312678056"/>
      <w:bookmarkStart w:id="722" w:name="_Toc292559428"/>
      <w:bookmarkStart w:id="723" w:name="_Toc297216224"/>
      <w:bookmarkStart w:id="724" w:name="_Toc296346724"/>
      <w:bookmarkStart w:id="725" w:name="_Toc303539173"/>
      <w:bookmarkStart w:id="726" w:name="_Toc296503223"/>
      <w:bookmarkStart w:id="727" w:name="_Toc300935016"/>
      <w:bookmarkStart w:id="728" w:name="_Toc297120523"/>
      <w:bookmarkStart w:id="729" w:name="_Toc292559933"/>
      <w:bookmarkStart w:id="730" w:name="_Toc297048409"/>
      <w:bookmarkStart w:id="731" w:name="_Toc296347222"/>
      <w:bookmarkStart w:id="732" w:name="_Toc267251473"/>
      <w:bookmarkStart w:id="733" w:name="_Toc267251472"/>
      <w:bookmarkStart w:id="734" w:name="_Toc267251475"/>
      <w:bookmarkStart w:id="735" w:name="_Toc267251470"/>
      <w:bookmarkStart w:id="736" w:name="_Toc267251471"/>
      <w:bookmarkStart w:id="737" w:name="_Toc267251474"/>
      <w:bookmarkStart w:id="738" w:name="_Toc267251476"/>
      <w:r>
        <w:rPr>
          <w:rFonts w:hint="eastAsia"/>
          <w:color w:val="auto"/>
          <w:highlight w:val="none"/>
        </w:rPr>
        <w:t>13.2 竣工验收</w:t>
      </w:r>
    </w:p>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14:paraId="0906287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bookmarkStart w:id="739" w:name="_Toc280868704"/>
      <w:bookmarkStart w:id="740" w:name="_Toc280868705"/>
      <w:bookmarkStart w:id="741" w:name="_Toc280868706"/>
      <w:bookmarkStart w:id="742" w:name="_Toc280868707"/>
      <w:bookmarkStart w:id="743" w:name="_Toc280868708"/>
      <w:bookmarkStart w:id="744" w:name="_Toc280868709"/>
      <w:r>
        <w:rPr>
          <w:rFonts w:hint="eastAsia" w:ascii="宋体" w:hAnsi="宋体" w:eastAsia="宋体" w:cs="宋体"/>
          <w:color w:val="auto"/>
          <w:sz w:val="24"/>
          <w:szCs w:val="24"/>
          <w:highlight w:val="none"/>
        </w:rPr>
        <w:t>13.2.2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竣工验收程序</w:t>
      </w:r>
      <w:bookmarkEnd w:id="739"/>
    </w:p>
    <w:p w14:paraId="20043A2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14:paraId="4CF9693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u w:val="single"/>
        </w:rPr>
        <w:t>若因施工人原因造成工程在完工后三个月内无法竣工验收，则视为承包人违约，每延误一天，处以承包人2000元的违约金，罚款上限值为签约合同价的2%</w:t>
      </w:r>
      <w:r>
        <w:rPr>
          <w:rFonts w:hint="eastAsia" w:ascii="宋体" w:hAnsi="宋体" w:eastAsia="宋体" w:cs="宋体"/>
          <w:color w:val="auto"/>
          <w:sz w:val="24"/>
          <w:szCs w:val="24"/>
          <w:highlight w:val="none"/>
        </w:rPr>
        <w:t>。</w:t>
      </w:r>
    </w:p>
    <w:bookmarkEnd w:id="740"/>
    <w:p w14:paraId="7CD999F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13.2.5</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移交、接收全部与部分工程</w:t>
      </w:r>
    </w:p>
    <w:bookmarkEnd w:id="741"/>
    <w:p w14:paraId="62AF0B5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14:paraId="2189333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kern w:val="0"/>
          <w:sz w:val="24"/>
          <w:szCs w:val="24"/>
        </w:rPr>
        <w:t>发包人未按本合同约定接收全部或部分工程的，违约金的计算方法为：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742"/>
    <w:p w14:paraId="588B801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承包人未按时移交工程的，违约金的计算方法为：</w:t>
      </w:r>
      <w:r>
        <w:rPr>
          <w:rFonts w:hint="eastAsia" w:ascii="宋体" w:hAnsi="宋体" w:eastAsia="宋体" w:cs="宋体"/>
          <w:bCs/>
          <w:sz w:val="24"/>
          <w:szCs w:val="24"/>
          <w:u w:val="single"/>
        </w:rPr>
        <w:t>每推迟一天处承包人人民币3万元的违约金，该项违约金上限为签约合同价的2%</w:t>
      </w:r>
      <w:r>
        <w:rPr>
          <w:rFonts w:hint="eastAsia" w:ascii="宋体" w:hAnsi="宋体" w:eastAsia="宋体" w:cs="宋体"/>
          <w:color w:val="000000"/>
          <w:sz w:val="24"/>
          <w:szCs w:val="24"/>
        </w:rPr>
        <w:t>。</w:t>
      </w:r>
    </w:p>
    <w:p w14:paraId="06D6CBD2">
      <w:pPr>
        <w:pStyle w:val="6"/>
        <w:bidi w:val="0"/>
        <w:rPr>
          <w:rFonts w:hint="eastAsia"/>
        </w:rPr>
      </w:pPr>
      <w:r>
        <w:rPr>
          <w:rFonts w:hint="eastAsia"/>
        </w:rPr>
        <w:t>13.3 工程试车</w:t>
      </w:r>
    </w:p>
    <w:bookmarkEnd w:id="743"/>
    <w:p w14:paraId="672C90E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13.3.1 试车程序</w:t>
      </w:r>
    </w:p>
    <w:p w14:paraId="0FE826F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工程试车内容：</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0A354E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（1）单机无负荷试车费用由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承担；</w:t>
      </w:r>
    </w:p>
    <w:p w14:paraId="00F2425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（2）无负荷联动试车费用由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承担。</w:t>
      </w:r>
    </w:p>
    <w:p w14:paraId="4992703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13.3.3 投料试车</w:t>
      </w:r>
    </w:p>
    <w:p w14:paraId="5648E7D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关于投料试车相关事项的约定：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A057069">
      <w:pPr>
        <w:pStyle w:val="6"/>
        <w:bidi w:val="0"/>
        <w:rPr>
          <w:rFonts w:hint="eastAsia"/>
        </w:rPr>
      </w:pPr>
      <w:r>
        <w:rPr>
          <w:rFonts w:hint="eastAsia"/>
        </w:rPr>
        <w:t>13.6 竣工退场</w:t>
      </w:r>
    </w:p>
    <w:p w14:paraId="7B2AA51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13.6.1 竣工退场</w:t>
      </w:r>
    </w:p>
    <w:p w14:paraId="645BF5A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承包人完成竣工退场的期限：</w:t>
      </w:r>
      <w:r>
        <w:rPr>
          <w:rFonts w:hint="eastAsia" w:ascii="宋体" w:hAnsi="宋体" w:eastAsia="宋体" w:cs="宋体"/>
          <w:bCs/>
          <w:sz w:val="24"/>
          <w:szCs w:val="24"/>
          <w:u w:val="single"/>
        </w:rPr>
        <w:t>竣工验收合格后10日内</w:t>
      </w:r>
      <w:r>
        <w:rPr>
          <w:rFonts w:hint="eastAsia" w:ascii="宋体" w:hAnsi="宋体" w:eastAsia="宋体" w:cs="宋体"/>
          <w:color w:val="000000"/>
          <w:kern w:val="0"/>
          <w:sz w:val="24"/>
          <w:szCs w:val="24"/>
        </w:rPr>
        <w:t>。</w:t>
      </w:r>
    </w:p>
    <w:p w14:paraId="524824F4">
      <w:pPr>
        <w:pStyle w:val="5"/>
        <w:bidi w:val="0"/>
        <w:rPr>
          <w:rFonts w:hint="eastAsia"/>
        </w:rPr>
      </w:pPr>
      <w:bookmarkStart w:id="745" w:name="_Toc25703"/>
      <w:bookmarkStart w:id="746" w:name="_Toc31769"/>
      <w:bookmarkStart w:id="747" w:name="_Toc351203646"/>
      <w:r>
        <w:rPr>
          <w:rFonts w:hint="eastAsia"/>
        </w:rPr>
        <w:t>14. 竣工结算</w:t>
      </w:r>
      <w:bookmarkEnd w:id="745"/>
      <w:bookmarkEnd w:id="746"/>
      <w:bookmarkEnd w:id="747"/>
    </w:p>
    <w:p w14:paraId="5BD0CD6E">
      <w:pPr>
        <w:pStyle w:val="6"/>
        <w:bidi w:val="0"/>
        <w:rPr>
          <w:rFonts w:hint="eastAsia"/>
        </w:rPr>
      </w:pPr>
      <w:r>
        <w:rPr>
          <w:rFonts w:hint="eastAsia"/>
        </w:rPr>
        <w:t>14.1 竣工结算申请</w:t>
      </w:r>
    </w:p>
    <w:p w14:paraId="29CDDD5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sz w:val="24"/>
          <w:szCs w:val="24"/>
        </w:rPr>
        <w:t>承包人提交竣工结算申请单的期限：</w:t>
      </w:r>
      <w:r>
        <w:rPr>
          <w:rFonts w:hint="eastAsia" w:ascii="宋体" w:hAnsi="宋体" w:eastAsia="宋体" w:cs="宋体"/>
          <w:bCs/>
          <w:sz w:val="24"/>
          <w:szCs w:val="24"/>
          <w:u w:val="single"/>
        </w:rPr>
        <w:t>按通用条款执行</w:t>
      </w:r>
      <w:r>
        <w:rPr>
          <w:rFonts w:hint="eastAsia" w:ascii="宋体" w:hAnsi="宋体" w:eastAsia="宋体" w:cs="宋体"/>
          <w:color w:val="000000"/>
          <w:sz w:val="24"/>
          <w:szCs w:val="24"/>
        </w:rPr>
        <w:t>。</w:t>
      </w:r>
    </w:p>
    <w:p w14:paraId="29D6306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竣工结算申请单应包括的内容：</w:t>
      </w:r>
      <w:r>
        <w:rPr>
          <w:rFonts w:hint="eastAsia" w:ascii="宋体" w:hAnsi="宋体" w:eastAsia="宋体" w:cs="宋体"/>
          <w:bCs/>
          <w:sz w:val="24"/>
          <w:szCs w:val="24"/>
          <w:u w:val="single"/>
        </w:rPr>
        <w:t>按通用条款执行</w:t>
      </w:r>
      <w:r>
        <w:rPr>
          <w:rFonts w:hint="eastAsia" w:ascii="宋体" w:hAnsi="宋体" w:eastAsia="宋体" w:cs="宋体"/>
          <w:color w:val="000000"/>
          <w:sz w:val="24"/>
          <w:szCs w:val="24"/>
        </w:rPr>
        <w:t>。</w:t>
      </w:r>
    </w:p>
    <w:p w14:paraId="27542F92">
      <w:pPr>
        <w:pStyle w:val="6"/>
        <w:bidi w:val="0"/>
        <w:rPr>
          <w:rFonts w:hint="eastAsia"/>
        </w:rPr>
      </w:pPr>
      <w:r>
        <w:rPr>
          <w:rFonts w:hint="eastAsia"/>
        </w:rPr>
        <w:t>14.2 竣工结算审核</w:t>
      </w:r>
    </w:p>
    <w:p w14:paraId="000ACA8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14.2.1 </w:t>
      </w:r>
      <w:r>
        <w:rPr>
          <w:rFonts w:hint="eastAsia" w:ascii="宋体" w:hAnsi="宋体" w:eastAsia="宋体" w:cs="宋体"/>
          <w:sz w:val="24"/>
          <w:szCs w:val="24"/>
        </w:rPr>
        <w:t>发包人审批竣工付款申请单的期限：</w:t>
      </w:r>
      <w:r>
        <w:rPr>
          <w:rFonts w:hint="eastAsia" w:ascii="宋体" w:hAnsi="宋体" w:eastAsia="宋体" w:cs="宋体"/>
          <w:bCs/>
          <w:sz w:val="24"/>
          <w:szCs w:val="24"/>
          <w:u w:val="single"/>
        </w:rPr>
        <w:t>发包人在收到承包人工程结算书（按发包要求编制并经发包人签收）后3个月内审核完毕并将审核意见反馈给承包人，如承包人对结算审核报告无异议的，双方进行书面确认；如有异议的，双方协商解决，仍不能达成一致的，按争议解决方式处理</w:t>
      </w:r>
      <w:r>
        <w:rPr>
          <w:rFonts w:hint="eastAsia" w:ascii="宋体" w:hAnsi="宋体" w:eastAsia="宋体" w:cs="宋体"/>
          <w:color w:val="000000"/>
          <w:sz w:val="24"/>
          <w:szCs w:val="24"/>
        </w:rPr>
        <w:t>。</w:t>
      </w:r>
    </w:p>
    <w:p w14:paraId="5AEB64F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bCs/>
          <w:sz w:val="24"/>
          <w:szCs w:val="24"/>
        </w:rPr>
        <w:t>14.2.2</w:t>
      </w: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工程计量以设计图和工程量清单为依据，决算以双方核实认可并报监管部门批准的竣工结算为依据，最终以</w:t>
      </w:r>
      <w:r>
        <w:rPr>
          <w:rFonts w:hint="eastAsia" w:ascii="宋体" w:hAnsi="宋体" w:eastAsia="宋体" w:cs="宋体"/>
          <w:bCs/>
          <w:sz w:val="24"/>
          <w:szCs w:val="24"/>
          <w:lang w:val="en-US" w:eastAsia="zh-CN"/>
        </w:rPr>
        <w:t>江永县</w:t>
      </w:r>
      <w:r>
        <w:rPr>
          <w:rFonts w:hint="eastAsia" w:ascii="宋体" w:hAnsi="宋体" w:eastAsia="宋体" w:cs="宋体"/>
          <w:bCs/>
          <w:sz w:val="24"/>
          <w:szCs w:val="24"/>
        </w:rPr>
        <w:t>财政局审核为准</w:t>
      </w:r>
      <w:r>
        <w:rPr>
          <w:rFonts w:hint="eastAsia" w:ascii="宋体" w:hAnsi="宋体" w:eastAsia="宋体" w:cs="宋体"/>
          <w:color w:val="000000"/>
          <w:sz w:val="24"/>
          <w:szCs w:val="24"/>
        </w:rPr>
        <w:t>。</w:t>
      </w:r>
    </w:p>
    <w:p w14:paraId="293D1E74">
      <w:pPr>
        <w:pStyle w:val="6"/>
        <w:bidi w:val="0"/>
        <w:rPr>
          <w:rFonts w:hint="eastAsia"/>
        </w:rPr>
      </w:pPr>
      <w:r>
        <w:rPr>
          <w:rFonts w:hint="eastAsia"/>
        </w:rPr>
        <w:t>14.4 最终结清</w:t>
      </w:r>
    </w:p>
    <w:p w14:paraId="6DD2E51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14.4.1 最终结清申请单</w:t>
      </w:r>
    </w:p>
    <w:p w14:paraId="1322352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承包人提交最终结清申请单的份数：</w:t>
      </w:r>
      <w:r>
        <w:rPr>
          <w:rFonts w:hint="eastAsia" w:ascii="宋体" w:hAnsi="宋体" w:eastAsia="宋体" w:cs="宋体"/>
          <w:bCs/>
          <w:sz w:val="24"/>
          <w:szCs w:val="24"/>
          <w:u w:val="single"/>
        </w:rPr>
        <w:t>一式肆份</w:t>
      </w:r>
      <w:r>
        <w:rPr>
          <w:rFonts w:hint="eastAsia" w:ascii="宋体" w:hAnsi="宋体" w:eastAsia="宋体" w:cs="宋体"/>
          <w:color w:val="000000"/>
          <w:sz w:val="24"/>
          <w:szCs w:val="24"/>
        </w:rPr>
        <w:t>。</w:t>
      </w:r>
    </w:p>
    <w:p w14:paraId="0FA8678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rPr>
        <w:t>承包人提交最终结算申请单的期限：</w:t>
      </w:r>
      <w:r>
        <w:rPr>
          <w:rFonts w:hint="eastAsia" w:ascii="宋体" w:hAnsi="宋体" w:eastAsia="宋体" w:cs="宋体"/>
          <w:bCs/>
          <w:sz w:val="24"/>
          <w:szCs w:val="24"/>
          <w:u w:val="single"/>
        </w:rPr>
        <w:t>按通用条款执行</w:t>
      </w:r>
      <w:r>
        <w:rPr>
          <w:rFonts w:hint="eastAsia" w:ascii="宋体" w:hAnsi="宋体" w:eastAsia="宋体" w:cs="宋体"/>
          <w:color w:val="000000"/>
          <w:sz w:val="24"/>
          <w:szCs w:val="24"/>
        </w:rPr>
        <w:t>。</w:t>
      </w:r>
      <w:r>
        <w:rPr>
          <w:rFonts w:hint="eastAsia" w:ascii="宋体" w:hAnsi="宋体" w:eastAsia="宋体" w:cs="宋体"/>
          <w:sz w:val="24"/>
          <w:szCs w:val="24"/>
        </w:rPr>
        <w:t xml:space="preserve"> </w:t>
      </w:r>
    </w:p>
    <w:p w14:paraId="32A5057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14.4.2 最终结清证书和支付</w:t>
      </w:r>
    </w:p>
    <w:p w14:paraId="7541133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（1）发包人完成最终结清申请单的审批并颁发最终结清证书的期限：</w:t>
      </w:r>
      <w:r>
        <w:rPr>
          <w:rFonts w:hint="eastAsia" w:ascii="宋体" w:hAnsi="宋体" w:eastAsia="宋体" w:cs="宋体"/>
          <w:bCs/>
          <w:sz w:val="24"/>
          <w:szCs w:val="24"/>
          <w:u w:val="single"/>
        </w:rPr>
        <w:t>按通用条款执行</w:t>
      </w:r>
      <w:r>
        <w:rPr>
          <w:rFonts w:hint="eastAsia" w:ascii="宋体" w:hAnsi="宋体" w:eastAsia="宋体" w:cs="宋体"/>
          <w:color w:val="000000"/>
          <w:sz w:val="24"/>
          <w:szCs w:val="24"/>
        </w:rPr>
        <w:t>。</w:t>
      </w:r>
    </w:p>
    <w:p w14:paraId="2D2DA34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（2）发包人完成支付的期限：</w:t>
      </w:r>
      <w:r>
        <w:rPr>
          <w:rFonts w:hint="eastAsia" w:ascii="宋体" w:hAnsi="宋体" w:eastAsia="宋体" w:cs="宋体"/>
          <w:bCs/>
          <w:sz w:val="24"/>
          <w:szCs w:val="24"/>
          <w:u w:val="single"/>
        </w:rPr>
        <w:t>按通用条款执行</w:t>
      </w:r>
      <w:r>
        <w:rPr>
          <w:rFonts w:hint="eastAsia" w:ascii="宋体" w:hAnsi="宋体" w:eastAsia="宋体" w:cs="宋体"/>
          <w:color w:val="000000"/>
          <w:sz w:val="24"/>
          <w:szCs w:val="24"/>
        </w:rPr>
        <w:t>。</w:t>
      </w:r>
    </w:p>
    <w:bookmarkEnd w:id="732"/>
    <w:bookmarkEnd w:id="733"/>
    <w:bookmarkEnd w:id="734"/>
    <w:bookmarkEnd w:id="735"/>
    <w:bookmarkEnd w:id="736"/>
    <w:bookmarkEnd w:id="737"/>
    <w:bookmarkEnd w:id="738"/>
    <w:bookmarkEnd w:id="744"/>
    <w:p w14:paraId="5AD1E92A">
      <w:pPr>
        <w:pStyle w:val="5"/>
        <w:bidi w:val="0"/>
        <w:rPr>
          <w:rFonts w:hint="eastAsia"/>
        </w:rPr>
      </w:pPr>
      <w:bookmarkStart w:id="748" w:name="_Toc351203647"/>
      <w:bookmarkStart w:id="749" w:name="_Toc8051"/>
      <w:bookmarkStart w:id="750" w:name="_Toc9194"/>
      <w:bookmarkStart w:id="751" w:name="_Toc267251483"/>
      <w:bookmarkStart w:id="752" w:name="_Toc267251484"/>
      <w:bookmarkStart w:id="753" w:name="_Toc267251482"/>
      <w:bookmarkStart w:id="754" w:name="_Toc267251485"/>
      <w:bookmarkStart w:id="755" w:name="_Toc267251486"/>
      <w:bookmarkStart w:id="756" w:name="_Toc267251489"/>
      <w:bookmarkStart w:id="757" w:name="_Toc267251490"/>
      <w:bookmarkStart w:id="758" w:name="_Toc267251488"/>
      <w:bookmarkStart w:id="759" w:name="_Toc267251503"/>
      <w:bookmarkStart w:id="760" w:name="_Toc267251498"/>
      <w:bookmarkStart w:id="761" w:name="_Toc267251496"/>
      <w:bookmarkStart w:id="762" w:name="_Toc267251492"/>
      <w:bookmarkStart w:id="763" w:name="_Toc267251491"/>
      <w:bookmarkStart w:id="764" w:name="_Toc267251499"/>
      <w:bookmarkStart w:id="765" w:name="_Toc267251495"/>
      <w:bookmarkStart w:id="766" w:name="_Toc267251502"/>
      <w:bookmarkStart w:id="767" w:name="_Toc267251493"/>
      <w:bookmarkStart w:id="768" w:name="_Toc267251501"/>
      <w:bookmarkStart w:id="769" w:name="_Toc267251497"/>
      <w:bookmarkStart w:id="770" w:name="_Toc267251494"/>
      <w:bookmarkStart w:id="771" w:name="_Toc267251506"/>
      <w:bookmarkStart w:id="772" w:name="_Toc267251504"/>
      <w:bookmarkStart w:id="773" w:name="_Toc267251507"/>
      <w:bookmarkStart w:id="774" w:name="_Toc267251508"/>
      <w:bookmarkStart w:id="775" w:name="_Toc267251509"/>
      <w:bookmarkStart w:id="776" w:name="_Toc267251513"/>
      <w:bookmarkStart w:id="777" w:name="_Toc267251511"/>
      <w:bookmarkStart w:id="778" w:name="_Toc267251514"/>
      <w:bookmarkStart w:id="779" w:name="_Toc267251515"/>
      <w:bookmarkStart w:id="780" w:name="_Toc267251510"/>
      <w:r>
        <w:rPr>
          <w:rFonts w:hint="eastAsia"/>
        </w:rPr>
        <w:t>15. 缺陷责任期与保修</w:t>
      </w:r>
      <w:bookmarkEnd w:id="748"/>
      <w:bookmarkEnd w:id="749"/>
      <w:bookmarkEnd w:id="750"/>
    </w:p>
    <w:p w14:paraId="4B37EF5D">
      <w:pPr>
        <w:pStyle w:val="6"/>
        <w:bidi w:val="0"/>
        <w:rPr>
          <w:rFonts w:hint="eastAsia"/>
        </w:rPr>
      </w:pPr>
      <w:r>
        <w:rPr>
          <w:rFonts w:hint="eastAsia"/>
        </w:rPr>
        <w:t>15.2</w:t>
      </w:r>
      <w:r>
        <w:rPr>
          <w:rFonts w:hint="eastAsia"/>
          <w:lang w:val="en-US" w:eastAsia="zh-CN"/>
        </w:rPr>
        <w:t xml:space="preserve"> </w:t>
      </w:r>
      <w:r>
        <w:rPr>
          <w:rFonts w:hint="eastAsia"/>
        </w:rPr>
        <w:t>缺陷责任期</w:t>
      </w:r>
      <w:bookmarkEnd w:id="751"/>
    </w:p>
    <w:p w14:paraId="7083DF9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缺陷责任期的具体期限：</w:t>
      </w:r>
      <w:r>
        <w:rPr>
          <w:rFonts w:hint="eastAsia" w:ascii="宋体" w:hAnsi="宋体" w:eastAsia="宋体" w:cs="宋体"/>
          <w:color w:val="000000"/>
          <w:sz w:val="24"/>
          <w:szCs w:val="24"/>
          <w:u w:val="single"/>
        </w:rPr>
        <w:t>24个月</w:t>
      </w:r>
      <w:r>
        <w:rPr>
          <w:rFonts w:hint="eastAsia" w:ascii="宋体" w:hAnsi="宋体" w:eastAsia="宋体" w:cs="宋体"/>
          <w:color w:val="000000"/>
          <w:sz w:val="24"/>
          <w:szCs w:val="24"/>
        </w:rPr>
        <w:t>。</w:t>
      </w:r>
    </w:p>
    <w:p w14:paraId="56468505">
      <w:pPr>
        <w:pStyle w:val="6"/>
        <w:bidi w:val="0"/>
        <w:rPr>
          <w:rFonts w:hint="eastAsia"/>
        </w:rPr>
      </w:pPr>
      <w:r>
        <w:rPr>
          <w:rFonts w:hint="eastAsia"/>
        </w:rPr>
        <w:t>15.3 质量保证金</w:t>
      </w:r>
    </w:p>
    <w:p w14:paraId="1689AA5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关于是否扣留质量保证金的约定：</w:t>
      </w:r>
      <w:r>
        <w:rPr>
          <w:rFonts w:hint="eastAsia" w:ascii="宋体" w:hAnsi="宋体" w:eastAsia="宋体" w:cs="宋体"/>
          <w:bCs/>
          <w:sz w:val="24"/>
          <w:szCs w:val="24"/>
          <w:u w:val="single"/>
        </w:rPr>
        <w:t>是</w:t>
      </w:r>
      <w:r>
        <w:rPr>
          <w:rFonts w:hint="eastAsia" w:ascii="宋体" w:hAnsi="宋体" w:eastAsia="宋体" w:cs="宋体"/>
          <w:color w:val="000000"/>
          <w:sz w:val="24"/>
          <w:szCs w:val="24"/>
        </w:rPr>
        <w:t>。</w:t>
      </w:r>
    </w:p>
    <w:p w14:paraId="517C969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15.3.1 承包人提供质量保证金的方式</w:t>
      </w:r>
    </w:p>
    <w:p w14:paraId="0A44AEC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质量保证金采用以下第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种方式：</w:t>
      </w:r>
    </w:p>
    <w:p w14:paraId="5A5099C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（1）质量保证金保函，保证金额为：</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 xml:space="preserve">； </w:t>
      </w:r>
    </w:p>
    <w:p w14:paraId="08EDD8B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bCs/>
          <w:kern w:val="0"/>
          <w:sz w:val="24"/>
          <w:szCs w:val="24"/>
          <w:u w:val="single"/>
        </w:rPr>
        <w:t>工程竣工结算总额的3</w:t>
      </w:r>
      <w:r>
        <w:rPr>
          <w:rFonts w:hint="eastAsia" w:ascii="宋体" w:hAnsi="宋体" w:eastAsia="宋体" w:cs="宋体"/>
          <w:color w:val="000000"/>
          <w:kern w:val="0"/>
          <w:sz w:val="24"/>
          <w:szCs w:val="24"/>
        </w:rPr>
        <w:t>%的工程款；</w:t>
      </w:r>
    </w:p>
    <w:p w14:paraId="674BEC7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（3）其他方式:</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2A6BAAE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15.3.2 质量保证金的扣留 </w:t>
      </w:r>
    </w:p>
    <w:p w14:paraId="50027B6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质量保证金的扣留采取以下第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种方式：</w:t>
      </w:r>
    </w:p>
    <w:p w14:paraId="5B2E399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（1）在支付工程进度款时逐次扣留，在此情形下，质量保证金的计算基数不包括预付款的支付、扣回以及价格调整的金额；</w:t>
      </w:r>
    </w:p>
    <w:p w14:paraId="017CB1F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（2）工程竣工结算时一次性扣留质量保证金；</w:t>
      </w:r>
    </w:p>
    <w:p w14:paraId="2BB62E0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（3）其他扣留方式:</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6140353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关于质量保证金的补充约定：</w:t>
      </w:r>
      <w:r>
        <w:rPr>
          <w:rFonts w:hint="eastAsia" w:ascii="宋体" w:hAnsi="宋体" w:eastAsia="宋体" w:cs="宋体"/>
          <w:color w:val="000000"/>
          <w:kern w:val="0"/>
          <w:sz w:val="24"/>
          <w:szCs w:val="24"/>
          <w:u w:val="single"/>
          <w:lang w:val="en-US" w:eastAsia="zh-CN"/>
        </w:rPr>
        <w:t>无</w:t>
      </w:r>
      <w:r>
        <w:rPr>
          <w:rFonts w:hint="eastAsia" w:ascii="宋体" w:hAnsi="宋体" w:eastAsia="宋体" w:cs="宋体"/>
          <w:color w:val="000000"/>
          <w:kern w:val="0"/>
          <w:sz w:val="24"/>
          <w:szCs w:val="24"/>
        </w:rPr>
        <w:t>。</w:t>
      </w:r>
    </w:p>
    <w:bookmarkEnd w:id="752"/>
    <w:bookmarkEnd w:id="753"/>
    <w:p w14:paraId="6D4CAEB2">
      <w:pPr>
        <w:pStyle w:val="6"/>
        <w:bidi w:val="0"/>
        <w:rPr>
          <w:rFonts w:hint="eastAsia"/>
        </w:rPr>
      </w:pPr>
      <w:r>
        <w:rPr>
          <w:rFonts w:hint="eastAsia"/>
        </w:rPr>
        <w:t>15.4</w:t>
      </w:r>
      <w:r>
        <w:rPr>
          <w:rFonts w:hint="eastAsia"/>
          <w:lang w:val="en-US" w:eastAsia="zh-CN"/>
        </w:rPr>
        <w:t xml:space="preserve"> </w:t>
      </w:r>
      <w:r>
        <w:rPr>
          <w:rFonts w:hint="eastAsia"/>
        </w:rPr>
        <w:t>保修</w:t>
      </w:r>
    </w:p>
    <w:bookmarkEnd w:id="754"/>
    <w:p w14:paraId="245B5A8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15.4.1 保修责任</w:t>
      </w:r>
    </w:p>
    <w:p w14:paraId="191D9FB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工程保修期为：</w:t>
      </w:r>
      <w:r>
        <w:rPr>
          <w:rFonts w:hint="eastAsia" w:ascii="宋体" w:hAnsi="宋体" w:eastAsia="宋体" w:cs="宋体"/>
          <w:bCs/>
          <w:kern w:val="0"/>
          <w:sz w:val="24"/>
          <w:szCs w:val="24"/>
          <w:u w:val="single"/>
        </w:rPr>
        <w:t>见《工程质量保修书》</w:t>
      </w:r>
      <w:r>
        <w:rPr>
          <w:rFonts w:hint="eastAsia" w:ascii="宋体" w:hAnsi="宋体" w:eastAsia="宋体" w:cs="宋体"/>
          <w:color w:val="000000"/>
          <w:kern w:val="0"/>
          <w:sz w:val="24"/>
          <w:szCs w:val="24"/>
        </w:rPr>
        <w:t>。</w:t>
      </w:r>
    </w:p>
    <w:p w14:paraId="3EC408E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15.4.3 修复通知</w:t>
      </w:r>
    </w:p>
    <w:p w14:paraId="75C0D52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承包人收到保修通知并到达工程现场的合理时间：</w:t>
      </w:r>
      <w:r>
        <w:rPr>
          <w:rFonts w:hint="eastAsia" w:ascii="宋体" w:hAnsi="宋体" w:eastAsia="宋体" w:cs="宋体"/>
          <w:color w:val="000000"/>
          <w:kern w:val="0"/>
          <w:sz w:val="24"/>
          <w:szCs w:val="24"/>
          <w:u w:val="single"/>
        </w:rPr>
        <w:t>72小时内</w:t>
      </w:r>
      <w:r>
        <w:rPr>
          <w:rFonts w:hint="eastAsia" w:ascii="宋体" w:hAnsi="宋体" w:eastAsia="宋体" w:cs="宋体"/>
          <w:color w:val="000000"/>
          <w:kern w:val="0"/>
          <w:sz w:val="24"/>
          <w:szCs w:val="24"/>
        </w:rPr>
        <w:t>。</w:t>
      </w:r>
    </w:p>
    <w:bookmarkEnd w:id="755"/>
    <w:bookmarkEnd w:id="756"/>
    <w:bookmarkEnd w:id="757"/>
    <w:bookmarkEnd w:id="758"/>
    <w:p w14:paraId="69AB5A33">
      <w:pPr>
        <w:pStyle w:val="5"/>
        <w:bidi w:val="0"/>
        <w:rPr>
          <w:rFonts w:hint="eastAsia"/>
        </w:rPr>
      </w:pPr>
      <w:bookmarkStart w:id="781" w:name="_Toc351203648"/>
      <w:bookmarkStart w:id="782" w:name="_Toc22659"/>
      <w:bookmarkStart w:id="783" w:name="_Toc4218"/>
      <w:bookmarkStart w:id="784" w:name="_Toc280868717"/>
      <w:bookmarkStart w:id="785" w:name="_Toc280868718"/>
      <w:r>
        <w:rPr>
          <w:rFonts w:hint="eastAsia"/>
        </w:rPr>
        <w:t>16. 违约</w:t>
      </w:r>
      <w:bookmarkEnd w:id="781"/>
      <w:bookmarkEnd w:id="782"/>
      <w:bookmarkEnd w:id="783"/>
    </w:p>
    <w:p w14:paraId="56BFDF59">
      <w:pPr>
        <w:pStyle w:val="6"/>
        <w:bidi w:val="0"/>
        <w:rPr>
          <w:rFonts w:hint="eastAsia"/>
        </w:rPr>
      </w:pPr>
      <w:r>
        <w:rPr>
          <w:rFonts w:hint="eastAsia"/>
        </w:rPr>
        <w:t>16.1 发包人违约</w:t>
      </w:r>
    </w:p>
    <w:p w14:paraId="4F0284D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kern w:val="0"/>
          <w:sz w:val="24"/>
          <w:szCs w:val="24"/>
        </w:rPr>
      </w:pPr>
      <w:r>
        <w:rPr>
          <w:rFonts w:hint="eastAsia" w:ascii="宋体" w:hAnsi="宋体" w:eastAsia="宋体" w:cs="宋体"/>
          <w:bCs/>
          <w:kern w:val="0"/>
          <w:sz w:val="24"/>
          <w:szCs w:val="24"/>
        </w:rPr>
        <w:t>16.1.2</w:t>
      </w:r>
      <w:r>
        <w:rPr>
          <w:rFonts w:hint="eastAsia" w:ascii="宋体" w:hAnsi="宋体" w:eastAsia="宋体" w:cs="宋体"/>
          <w:bCs/>
          <w:kern w:val="0"/>
          <w:sz w:val="24"/>
          <w:szCs w:val="24"/>
          <w:lang w:val="en-US" w:eastAsia="zh-CN"/>
        </w:rPr>
        <w:t xml:space="preserve"> </w:t>
      </w:r>
      <w:r>
        <w:rPr>
          <w:rFonts w:hint="eastAsia" w:ascii="宋体" w:hAnsi="宋体" w:eastAsia="宋体" w:cs="宋体"/>
          <w:bCs/>
          <w:kern w:val="0"/>
          <w:sz w:val="24"/>
          <w:szCs w:val="24"/>
        </w:rPr>
        <w:t>发包人违约的情形和责任</w:t>
      </w:r>
    </w:p>
    <w:p w14:paraId="1410AE0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kern w:val="0"/>
          <w:sz w:val="24"/>
          <w:szCs w:val="24"/>
        </w:rPr>
      </w:pPr>
      <w:r>
        <w:rPr>
          <w:rFonts w:hint="eastAsia" w:ascii="宋体" w:hAnsi="宋体" w:eastAsia="宋体" w:cs="宋体"/>
          <w:bCs/>
          <w:kern w:val="0"/>
          <w:sz w:val="24"/>
          <w:szCs w:val="24"/>
        </w:rPr>
        <w:t>发包人违约责任的情形的承担方式和计算方法：</w:t>
      </w:r>
    </w:p>
    <w:p w14:paraId="3F6D6AE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sz w:val="24"/>
          <w:szCs w:val="24"/>
          <w:u w:val="single"/>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1</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因发包人原因未能在计划开工日期前7天内下达开工通知的违约责任：</w:t>
      </w:r>
      <w:r>
        <w:rPr>
          <w:rFonts w:hint="eastAsia" w:ascii="宋体" w:hAnsi="宋体" w:eastAsia="宋体" w:cs="宋体"/>
          <w:bCs/>
          <w:sz w:val="24"/>
          <w:szCs w:val="24"/>
          <w:u w:val="single"/>
        </w:rPr>
        <w:t>按通用条款执行</w:t>
      </w:r>
      <w:r>
        <w:rPr>
          <w:rFonts w:hint="eastAsia" w:ascii="宋体" w:hAnsi="宋体" w:eastAsia="宋体" w:cs="宋体"/>
          <w:bCs/>
          <w:sz w:val="24"/>
          <w:szCs w:val="24"/>
        </w:rPr>
        <w:t>。</w:t>
      </w:r>
    </w:p>
    <w:p w14:paraId="3CB150F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sz w:val="24"/>
          <w:szCs w:val="24"/>
          <w:u w:val="single"/>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2</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因发包人原因未能按合同约定支付合同价款的违约责任：</w:t>
      </w:r>
      <w:r>
        <w:rPr>
          <w:rFonts w:hint="eastAsia" w:ascii="宋体" w:hAnsi="宋体" w:eastAsia="宋体" w:cs="宋体"/>
          <w:bCs/>
          <w:sz w:val="24"/>
          <w:szCs w:val="24"/>
          <w:u w:val="single"/>
        </w:rPr>
        <w:t>按通用条款执行</w:t>
      </w:r>
      <w:r>
        <w:rPr>
          <w:rFonts w:hint="eastAsia" w:ascii="宋体" w:hAnsi="宋体" w:eastAsia="宋体" w:cs="宋体"/>
          <w:bCs/>
          <w:sz w:val="24"/>
          <w:szCs w:val="24"/>
        </w:rPr>
        <w:t>。</w:t>
      </w:r>
    </w:p>
    <w:p w14:paraId="1F0AB17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3</w:t>
      </w:r>
      <w:r>
        <w:rPr>
          <w:rFonts w:hint="eastAsia" w:ascii="宋体" w:hAnsi="宋体" w:eastAsia="宋体" w:cs="宋体"/>
          <w:bCs/>
          <w:kern w:val="0"/>
          <w:sz w:val="24"/>
          <w:szCs w:val="24"/>
          <w:lang w:eastAsia="zh-CN"/>
        </w:rPr>
        <w:t>）</w:t>
      </w:r>
      <w:r>
        <w:rPr>
          <w:rFonts w:hint="eastAsia" w:ascii="宋体" w:hAnsi="宋体" w:eastAsia="宋体" w:cs="宋体"/>
          <w:bCs/>
          <w:color w:val="auto"/>
          <w:kern w:val="0"/>
          <w:sz w:val="24"/>
          <w:szCs w:val="24"/>
        </w:rPr>
        <w:t>发包人违反第10.1款〔变更的范围〕约定，自行实施被取消的工作或转由他人实施的违约责任：</w:t>
      </w:r>
      <w:r>
        <w:rPr>
          <w:rFonts w:hint="eastAsia" w:ascii="宋体" w:hAnsi="宋体" w:eastAsia="宋体" w:cs="宋体"/>
          <w:bCs/>
          <w:color w:val="auto"/>
          <w:sz w:val="24"/>
          <w:szCs w:val="24"/>
          <w:u w:val="single"/>
        </w:rPr>
        <w:t>按通用条款执行</w:t>
      </w:r>
      <w:r>
        <w:rPr>
          <w:rFonts w:hint="eastAsia" w:ascii="宋体" w:hAnsi="宋体" w:eastAsia="宋体" w:cs="宋体"/>
          <w:bCs/>
          <w:color w:val="auto"/>
          <w:sz w:val="24"/>
          <w:szCs w:val="24"/>
          <w:u w:val="none"/>
        </w:rPr>
        <w:t>。</w:t>
      </w:r>
    </w:p>
    <w:p w14:paraId="0A6B64A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lang w:val="en-US" w:eastAsia="zh-CN"/>
        </w:rPr>
        <w:t>4</w:t>
      </w: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rPr>
        <w:t>发包人提供的材料、工程设备的规格、数量或质量不符合合同约定，或因发包人原因导致交货日期延误或交货地点变更等情况的违约责任：</w:t>
      </w:r>
      <w:r>
        <w:rPr>
          <w:rFonts w:hint="eastAsia" w:ascii="宋体" w:hAnsi="宋体" w:eastAsia="宋体" w:cs="宋体"/>
          <w:bCs/>
          <w:color w:val="auto"/>
          <w:sz w:val="24"/>
          <w:szCs w:val="24"/>
          <w:u w:val="single"/>
        </w:rPr>
        <w:t>按通用条款执行</w:t>
      </w:r>
      <w:r>
        <w:rPr>
          <w:rFonts w:hint="eastAsia" w:ascii="宋体" w:hAnsi="宋体" w:eastAsia="宋体" w:cs="宋体"/>
          <w:bCs/>
          <w:color w:val="auto"/>
          <w:sz w:val="24"/>
          <w:szCs w:val="24"/>
          <w:u w:val="none"/>
        </w:rPr>
        <w:t>。</w:t>
      </w:r>
    </w:p>
    <w:p w14:paraId="08180AF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u w:val="none"/>
        </w:rPr>
      </w:pP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lang w:val="en-US" w:eastAsia="zh-CN"/>
        </w:rPr>
        <w:t>5</w:t>
      </w: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rPr>
        <w:t>因发包人违反合同约定造成暂停施工的违约责任：</w:t>
      </w:r>
      <w:r>
        <w:rPr>
          <w:rFonts w:hint="eastAsia" w:ascii="宋体" w:hAnsi="宋体" w:eastAsia="宋体" w:cs="宋体"/>
          <w:bCs/>
          <w:color w:val="auto"/>
          <w:sz w:val="24"/>
          <w:szCs w:val="24"/>
          <w:u w:val="single"/>
        </w:rPr>
        <w:t>工期顺延并赔偿承包人相应的损失</w:t>
      </w:r>
      <w:r>
        <w:rPr>
          <w:rFonts w:hint="eastAsia" w:ascii="宋体" w:hAnsi="宋体" w:eastAsia="宋体" w:cs="宋体"/>
          <w:bCs/>
          <w:color w:val="auto"/>
          <w:sz w:val="24"/>
          <w:szCs w:val="24"/>
          <w:u w:val="none"/>
        </w:rPr>
        <w:t>。</w:t>
      </w:r>
    </w:p>
    <w:p w14:paraId="3CB76E8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lang w:val="en-US" w:eastAsia="zh-CN"/>
        </w:rPr>
        <w:t>6</w:t>
      </w: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rPr>
        <w:t>发包人无正当理由没有在约定期限内发出复工指示，导致承包人无法复工的违约责任：</w:t>
      </w:r>
      <w:r>
        <w:rPr>
          <w:rFonts w:hint="eastAsia" w:ascii="宋体" w:hAnsi="宋体" w:eastAsia="宋体" w:cs="宋体"/>
          <w:bCs/>
          <w:color w:val="auto"/>
          <w:sz w:val="24"/>
          <w:szCs w:val="24"/>
          <w:u w:val="single"/>
        </w:rPr>
        <w:t>按通用条款执行</w:t>
      </w:r>
      <w:r>
        <w:rPr>
          <w:rFonts w:hint="eastAsia" w:ascii="宋体" w:hAnsi="宋体" w:eastAsia="宋体" w:cs="宋体"/>
          <w:bCs/>
          <w:color w:val="auto"/>
          <w:sz w:val="24"/>
          <w:szCs w:val="24"/>
          <w:u w:val="none"/>
        </w:rPr>
        <w:t>。</w:t>
      </w:r>
    </w:p>
    <w:p w14:paraId="0A6A0CA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kern w:val="0"/>
          <w:sz w:val="24"/>
          <w:szCs w:val="24"/>
        </w:rPr>
      </w:pP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lang w:val="en-US" w:eastAsia="zh-CN"/>
        </w:rPr>
        <w:t>7</w:t>
      </w: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rPr>
        <w:t>其他：</w:t>
      </w:r>
      <w:r>
        <w:rPr>
          <w:rFonts w:hint="eastAsia" w:ascii="宋体" w:hAnsi="宋体" w:eastAsia="宋体" w:cs="宋体"/>
          <w:bCs/>
          <w:color w:val="auto"/>
          <w:kern w:val="0"/>
          <w:sz w:val="24"/>
          <w:szCs w:val="24"/>
          <w:u w:val="single"/>
        </w:rPr>
        <w:t>发包人违约金赔偿上限为合同金额的5%</w:t>
      </w:r>
      <w:r>
        <w:rPr>
          <w:rFonts w:hint="eastAsia" w:ascii="宋体" w:hAnsi="宋体" w:eastAsia="宋体" w:cs="宋体"/>
          <w:bCs/>
          <w:color w:val="auto"/>
          <w:kern w:val="0"/>
          <w:sz w:val="24"/>
          <w:szCs w:val="24"/>
        </w:rPr>
        <w:t>。</w:t>
      </w:r>
    </w:p>
    <w:p w14:paraId="3033318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16.1.3</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因发包人违约解除合同</w:t>
      </w:r>
    </w:p>
    <w:p w14:paraId="1CEC2AD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bCs/>
          <w:color w:val="auto"/>
          <w:kern w:val="0"/>
          <w:sz w:val="24"/>
          <w:szCs w:val="24"/>
        </w:rPr>
        <w:t>承包人按16.1.2项〔发包人违约的情形和责任〕约定暂停施工满</w:t>
      </w:r>
      <w:r>
        <w:rPr>
          <w:rFonts w:hint="eastAsia" w:ascii="宋体" w:hAnsi="宋体" w:eastAsia="宋体" w:cs="宋体"/>
          <w:bCs/>
          <w:color w:val="auto"/>
          <w:kern w:val="0"/>
          <w:sz w:val="24"/>
          <w:szCs w:val="24"/>
          <w:u w:val="single"/>
        </w:rPr>
        <w:t>30</w:t>
      </w:r>
      <w:r>
        <w:rPr>
          <w:rFonts w:hint="eastAsia" w:ascii="宋体" w:hAnsi="宋体" w:eastAsia="宋体" w:cs="宋体"/>
          <w:bCs/>
          <w:color w:val="auto"/>
          <w:kern w:val="0"/>
          <w:sz w:val="24"/>
          <w:szCs w:val="24"/>
        </w:rPr>
        <w:t>天后发包人仍不纠正其违约行为并致使合同目的不能实现的，承包人有权解除合同</w:t>
      </w:r>
      <w:r>
        <w:rPr>
          <w:rFonts w:hint="eastAsia" w:ascii="宋体" w:hAnsi="宋体" w:eastAsia="宋体" w:cs="宋体"/>
          <w:color w:val="auto"/>
          <w:kern w:val="0"/>
          <w:sz w:val="24"/>
          <w:szCs w:val="24"/>
        </w:rPr>
        <w:t>。</w:t>
      </w:r>
    </w:p>
    <w:p w14:paraId="627052F5">
      <w:pPr>
        <w:pStyle w:val="6"/>
        <w:bidi w:val="0"/>
        <w:rPr>
          <w:rFonts w:hint="eastAsia"/>
        </w:rPr>
      </w:pPr>
      <w:r>
        <w:rPr>
          <w:rFonts w:hint="eastAsia"/>
        </w:rPr>
        <w:t>16.2 承包人违约</w:t>
      </w:r>
    </w:p>
    <w:p w14:paraId="143A8F6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16.2.1 承包人违约的情形</w:t>
      </w:r>
    </w:p>
    <w:p w14:paraId="7246892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承包人违约的其他情形：</w:t>
      </w:r>
      <w:r>
        <w:rPr>
          <w:rFonts w:hint="eastAsia" w:ascii="宋体" w:hAnsi="宋体" w:eastAsia="宋体" w:cs="宋体"/>
          <w:bCs/>
          <w:color w:val="auto"/>
          <w:kern w:val="0"/>
          <w:sz w:val="24"/>
          <w:szCs w:val="24"/>
          <w:u w:val="single"/>
        </w:rPr>
        <w:t>承包人将工程转包或分包的；承包人采购不符合规范和设计要求的材料；承包人不服从发包人的管理及安排，不与其它专业承包单位密切配合且互相推诿的</w:t>
      </w:r>
      <w:r>
        <w:rPr>
          <w:rFonts w:hint="eastAsia" w:ascii="宋体" w:hAnsi="宋体" w:eastAsia="宋体" w:cs="宋体"/>
          <w:color w:val="auto"/>
          <w:kern w:val="0"/>
          <w:sz w:val="24"/>
          <w:szCs w:val="24"/>
        </w:rPr>
        <w:t>。</w:t>
      </w:r>
    </w:p>
    <w:p w14:paraId="37E1E2F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16.2.2</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承包人违约的责任</w:t>
      </w:r>
    </w:p>
    <w:p w14:paraId="15B1E73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u w:val="single"/>
          <w:lang w:eastAsia="zh-CN"/>
        </w:rPr>
      </w:pPr>
      <w:r>
        <w:rPr>
          <w:rFonts w:hint="eastAsia" w:ascii="宋体" w:hAnsi="宋体" w:eastAsia="宋体" w:cs="宋体"/>
          <w:color w:val="auto"/>
          <w:kern w:val="0"/>
          <w:sz w:val="24"/>
          <w:szCs w:val="24"/>
        </w:rPr>
        <w:t>承包人违约责任的承担方式和计算方法：</w:t>
      </w:r>
      <w:r>
        <w:rPr>
          <w:rFonts w:hint="eastAsia" w:ascii="宋体" w:hAnsi="宋体" w:eastAsia="宋体" w:cs="宋体"/>
          <w:bCs/>
          <w:color w:val="auto"/>
          <w:kern w:val="0"/>
          <w:sz w:val="24"/>
          <w:szCs w:val="24"/>
          <w:u w:val="single"/>
        </w:rPr>
        <w:t>承包人将工程转包或分包的，发包人有权解除合同，承包人按本合同签约价的30%向发包人承担违约责任；承包人采购不符合规范和设计要求的材料，须按通用条款第8.3款规定将该项材料运出施工现场，并重新采购符合要求的材料，同时，按该项材料签约合同价的20％向发包人承担违约责任</w:t>
      </w:r>
      <w:r>
        <w:rPr>
          <w:rFonts w:hint="eastAsia" w:ascii="宋体" w:hAnsi="宋体" w:eastAsia="宋体" w:cs="宋体"/>
          <w:color w:val="auto"/>
          <w:kern w:val="0"/>
          <w:sz w:val="24"/>
          <w:szCs w:val="24"/>
        </w:rPr>
        <w:t>。</w:t>
      </w:r>
      <w:r>
        <w:rPr>
          <w:rFonts w:hint="eastAsia" w:ascii="宋体" w:hAnsi="宋体" w:eastAsia="宋体" w:cs="宋体"/>
          <w:color w:val="auto"/>
          <w:kern w:val="0"/>
          <w:sz w:val="24"/>
          <w:szCs w:val="24"/>
          <w:u w:val="none"/>
          <w:lang w:eastAsia="zh-CN"/>
        </w:rPr>
        <w:t>（</w:t>
      </w:r>
      <w:r>
        <w:rPr>
          <w:rFonts w:hint="eastAsia" w:ascii="宋体" w:hAnsi="宋体" w:eastAsia="宋体" w:cs="宋体"/>
          <w:bCs/>
          <w:color w:val="auto"/>
          <w:sz w:val="24"/>
          <w:szCs w:val="24"/>
          <w:u w:val="none"/>
        </w:rPr>
        <w:t>如违约金不足赔偿给发包人造成的损失，发包人有权就不足部分向承包人索赔；承包人必须服从发包人的管理及安排，并与其它专业承包单位密切配合，不得互相推诿；造成严重管理后果的，发包人有权解除合同，一切损失由承包人负责</w:t>
      </w:r>
      <w:r>
        <w:rPr>
          <w:rFonts w:hint="eastAsia" w:ascii="宋体" w:hAnsi="宋体" w:eastAsia="宋体" w:cs="宋体"/>
          <w:bCs/>
          <w:color w:val="auto"/>
          <w:sz w:val="24"/>
          <w:szCs w:val="24"/>
          <w:u w:val="none"/>
          <w:lang w:eastAsia="zh-CN"/>
        </w:rPr>
        <w:t>。</w:t>
      </w:r>
      <w:r>
        <w:rPr>
          <w:rFonts w:hint="eastAsia" w:ascii="宋体" w:hAnsi="宋体" w:eastAsia="宋体" w:cs="宋体"/>
          <w:color w:val="auto"/>
          <w:kern w:val="0"/>
          <w:sz w:val="24"/>
          <w:szCs w:val="24"/>
          <w:u w:val="none"/>
          <w:lang w:eastAsia="zh-CN"/>
        </w:rPr>
        <w:t>）</w:t>
      </w:r>
    </w:p>
    <w:p w14:paraId="071D4D2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16.2.3 因承包人违约解除合同</w:t>
      </w:r>
    </w:p>
    <w:p w14:paraId="7E272AE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关于承包人违约解除合同的特别约定：</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kern w:val="0"/>
          <w:sz w:val="24"/>
          <w:szCs w:val="24"/>
        </w:rPr>
        <w:t>。</w:t>
      </w:r>
    </w:p>
    <w:p w14:paraId="2FD9C15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发包人继续使用承包人在施工现场的材料、设备、临时工程、承包人文件和由承包人或以其名义编制的其他文件的费用承担方式：</w:t>
      </w:r>
      <w:r>
        <w:rPr>
          <w:rFonts w:hint="eastAsia" w:ascii="宋体" w:hAnsi="宋体" w:eastAsia="宋体" w:cs="宋体"/>
          <w:bCs/>
          <w:color w:val="auto"/>
          <w:sz w:val="24"/>
          <w:szCs w:val="24"/>
          <w:u w:val="single"/>
        </w:rPr>
        <w:t>由发包人承担</w:t>
      </w:r>
      <w:r>
        <w:rPr>
          <w:rFonts w:hint="eastAsia" w:ascii="宋体" w:hAnsi="宋体" w:eastAsia="宋体" w:cs="宋体"/>
          <w:color w:val="auto"/>
          <w:kern w:val="0"/>
          <w:sz w:val="24"/>
          <w:szCs w:val="24"/>
        </w:rPr>
        <w:t>。</w:t>
      </w:r>
    </w:p>
    <w:p w14:paraId="2A480AA0">
      <w:pPr>
        <w:pStyle w:val="5"/>
        <w:bidi w:val="0"/>
        <w:rPr>
          <w:rFonts w:hint="eastAsia"/>
        </w:rPr>
      </w:pPr>
      <w:bookmarkStart w:id="786" w:name="_Toc12655"/>
      <w:bookmarkStart w:id="787" w:name="_Toc8680"/>
      <w:bookmarkStart w:id="788" w:name="_Toc351203649"/>
      <w:r>
        <w:rPr>
          <w:rFonts w:hint="eastAsia"/>
        </w:rPr>
        <w:t>17. 不可抗力</w:t>
      </w:r>
      <w:bookmarkEnd w:id="786"/>
      <w:bookmarkEnd w:id="787"/>
      <w:bookmarkEnd w:id="788"/>
      <w:r>
        <w:rPr>
          <w:rFonts w:hint="eastAsia"/>
        </w:rPr>
        <w:t xml:space="preserve"> </w:t>
      </w:r>
      <w:bookmarkEnd w:id="784"/>
    </w:p>
    <w:p w14:paraId="622A31F5">
      <w:pPr>
        <w:pStyle w:val="6"/>
        <w:bidi w:val="0"/>
        <w:rPr>
          <w:rFonts w:hint="eastAsia"/>
        </w:rPr>
      </w:pPr>
      <w:r>
        <w:rPr>
          <w:rFonts w:hint="eastAsia"/>
        </w:rPr>
        <w:t>17.1 不可抗力的确认</w:t>
      </w:r>
    </w:p>
    <w:p w14:paraId="0D5ECCE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sz w:val="24"/>
          <w:szCs w:val="24"/>
        </w:rPr>
        <w:t>除通用合同条款约定的不可抗力事件之外，视为不可抗力的其他情形：</w:t>
      </w:r>
      <w:r>
        <w:rPr>
          <w:rFonts w:hint="eastAsia" w:ascii="宋体" w:hAnsi="宋体" w:eastAsia="宋体" w:cs="宋体"/>
          <w:bCs/>
          <w:sz w:val="24"/>
          <w:szCs w:val="24"/>
          <w:u w:val="single"/>
        </w:rPr>
        <w:t>包括6级及6级以上地震；10级以上的风；一天200mm以上的暴雨；一次积雪深达450mm以上等自然灾害；外敌入侵、战争。地震资料以湖南省地震局提供的资料为准，暴风、雨雪资料以当地气象部门提供的资料为准</w:t>
      </w:r>
      <w:r>
        <w:rPr>
          <w:rFonts w:hint="eastAsia" w:ascii="宋体" w:hAnsi="宋体" w:eastAsia="宋体" w:cs="宋体"/>
          <w:color w:val="000000"/>
          <w:kern w:val="0"/>
          <w:sz w:val="24"/>
          <w:szCs w:val="24"/>
        </w:rPr>
        <w:t>。</w:t>
      </w:r>
    </w:p>
    <w:p w14:paraId="6BCD2CF1">
      <w:pPr>
        <w:pStyle w:val="6"/>
        <w:bidi w:val="0"/>
        <w:rPr>
          <w:rFonts w:hint="eastAsia"/>
        </w:rPr>
      </w:pPr>
      <w:r>
        <w:rPr>
          <w:rFonts w:hint="eastAsia"/>
        </w:rPr>
        <w:t>17.4 因不可抗力解除合同</w:t>
      </w:r>
    </w:p>
    <w:p w14:paraId="08801B9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合同解除后，发包人应在商定或确定发包人应支付款项后</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28</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天内完成款项的支付。</w:t>
      </w:r>
    </w:p>
    <w:p w14:paraId="522B6BFF">
      <w:pPr>
        <w:pStyle w:val="5"/>
        <w:bidi w:val="0"/>
        <w:rPr>
          <w:rFonts w:hint="eastAsia"/>
        </w:rPr>
      </w:pPr>
      <w:bookmarkStart w:id="789" w:name="_Toc351203650"/>
      <w:bookmarkStart w:id="790" w:name="_Toc8916"/>
      <w:bookmarkStart w:id="791" w:name="_Toc3630"/>
      <w:r>
        <w:rPr>
          <w:rFonts w:hint="eastAsia"/>
        </w:rPr>
        <w:t>18. 保险</w:t>
      </w:r>
      <w:bookmarkEnd w:id="789"/>
      <w:bookmarkEnd w:id="790"/>
      <w:bookmarkEnd w:id="791"/>
    </w:p>
    <w:bookmarkEnd w:id="785"/>
    <w:p w14:paraId="09BB160A">
      <w:pPr>
        <w:pStyle w:val="6"/>
        <w:bidi w:val="0"/>
        <w:rPr>
          <w:rFonts w:hint="eastAsia"/>
        </w:rPr>
      </w:pPr>
      <w:r>
        <w:rPr>
          <w:rFonts w:hint="eastAsia"/>
        </w:rPr>
        <w:t>18.1 工程保险</w:t>
      </w:r>
    </w:p>
    <w:p w14:paraId="321B3CF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关于工程保险的特别约定：</w:t>
      </w:r>
      <w:r>
        <w:rPr>
          <w:rFonts w:hint="eastAsia" w:ascii="宋体" w:hAnsi="宋体" w:eastAsia="宋体" w:cs="宋体"/>
          <w:bCs/>
          <w:sz w:val="24"/>
          <w:szCs w:val="24"/>
          <w:u w:val="single"/>
        </w:rPr>
        <w:t>①由承包人以发包人和承包人名义投保的建筑安装工程一切险、第三者责任险，由承包人购买并承担相关费用。承包人购买的保险合同关于投保赔偿不得有限额限制，承包人未按合同约定办理保险导致未能得到足额赔偿的，由承包人自行承担责任。②承包人自有的施工设备和施工场内自有人员的生命财产保险，由承包人购买并承担相关费用</w:t>
      </w:r>
      <w:r>
        <w:rPr>
          <w:rFonts w:hint="eastAsia" w:ascii="宋体" w:hAnsi="宋体" w:eastAsia="宋体" w:cs="宋体"/>
          <w:color w:val="000000"/>
          <w:kern w:val="0"/>
          <w:sz w:val="24"/>
          <w:szCs w:val="24"/>
        </w:rPr>
        <w:t>。</w:t>
      </w:r>
    </w:p>
    <w:p w14:paraId="389D1E72">
      <w:pPr>
        <w:pStyle w:val="6"/>
        <w:bidi w:val="0"/>
        <w:rPr>
          <w:rFonts w:hint="eastAsia"/>
        </w:rPr>
      </w:pPr>
      <w:r>
        <w:rPr>
          <w:rFonts w:hint="eastAsia"/>
        </w:rPr>
        <w:t>18.3 其他保险</w:t>
      </w:r>
    </w:p>
    <w:p w14:paraId="60142A1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关于其他保险的约定：</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13A77F9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承包人是否应为其施工设备等办理财产保险：</w:t>
      </w:r>
      <w:r>
        <w:rPr>
          <w:rFonts w:hint="eastAsia" w:ascii="宋体" w:hAnsi="宋体" w:eastAsia="宋体" w:cs="宋体"/>
          <w:bCs/>
          <w:sz w:val="24"/>
          <w:szCs w:val="24"/>
          <w:u w:val="single"/>
        </w:rPr>
        <w:t>是</w:t>
      </w:r>
      <w:r>
        <w:rPr>
          <w:rFonts w:hint="eastAsia" w:ascii="宋体" w:hAnsi="宋体" w:eastAsia="宋体" w:cs="宋体"/>
          <w:color w:val="000000"/>
          <w:sz w:val="24"/>
          <w:szCs w:val="24"/>
        </w:rPr>
        <w:t>。</w:t>
      </w:r>
    </w:p>
    <w:p w14:paraId="756DD1FA">
      <w:pPr>
        <w:pStyle w:val="6"/>
        <w:bidi w:val="0"/>
        <w:rPr>
          <w:rFonts w:hint="eastAsia"/>
        </w:rPr>
      </w:pPr>
      <w:r>
        <w:rPr>
          <w:rFonts w:hint="eastAsia"/>
        </w:rPr>
        <w:t>18.7 通知义务</w:t>
      </w:r>
    </w:p>
    <w:p w14:paraId="5DA6430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关于变更保险合同时的通知义务的约定：</w:t>
      </w:r>
      <w:r>
        <w:rPr>
          <w:rFonts w:hint="eastAsia" w:ascii="宋体" w:hAnsi="宋体" w:eastAsia="宋体" w:cs="宋体"/>
          <w:bCs/>
          <w:sz w:val="24"/>
          <w:szCs w:val="24"/>
          <w:u w:val="single"/>
        </w:rPr>
        <w:t>承包人向发包人提交各项保险生效的证据和保险单副本的时间约定：变更后5个工作日内</w:t>
      </w:r>
      <w:r>
        <w:rPr>
          <w:rFonts w:hint="eastAsia" w:ascii="宋体" w:hAnsi="宋体" w:eastAsia="宋体" w:cs="宋体"/>
          <w:color w:val="000000"/>
          <w:sz w:val="24"/>
          <w:szCs w:val="24"/>
        </w:rPr>
        <w:t>。</w:t>
      </w:r>
    </w:p>
    <w:bookmarkEnd w:id="759"/>
    <w:bookmarkEnd w:id="760"/>
    <w:bookmarkEnd w:id="761"/>
    <w:bookmarkEnd w:id="762"/>
    <w:bookmarkEnd w:id="763"/>
    <w:bookmarkEnd w:id="764"/>
    <w:bookmarkEnd w:id="765"/>
    <w:bookmarkEnd w:id="766"/>
    <w:bookmarkEnd w:id="767"/>
    <w:bookmarkEnd w:id="768"/>
    <w:bookmarkEnd w:id="769"/>
    <w:bookmarkEnd w:id="770"/>
    <w:p w14:paraId="4AE3D2AE">
      <w:pPr>
        <w:pStyle w:val="5"/>
        <w:bidi w:val="0"/>
        <w:rPr>
          <w:rFonts w:hint="eastAsia"/>
        </w:rPr>
      </w:pPr>
      <w:bookmarkStart w:id="792" w:name="_Toc351203651"/>
      <w:bookmarkStart w:id="793" w:name="_Toc15727"/>
      <w:bookmarkStart w:id="794" w:name="_Toc31051"/>
      <w:r>
        <w:rPr>
          <w:rFonts w:hint="eastAsia"/>
        </w:rPr>
        <w:t>20. 争议解决</w:t>
      </w:r>
      <w:bookmarkEnd w:id="792"/>
      <w:bookmarkEnd w:id="793"/>
      <w:bookmarkEnd w:id="794"/>
    </w:p>
    <w:bookmarkEnd w:id="771"/>
    <w:bookmarkEnd w:id="772"/>
    <w:p w14:paraId="4F3B7B58">
      <w:pPr>
        <w:pStyle w:val="6"/>
        <w:bidi w:val="0"/>
        <w:rPr>
          <w:rFonts w:hint="eastAsia"/>
        </w:rPr>
      </w:pPr>
      <w:r>
        <w:rPr>
          <w:rFonts w:hint="eastAsia"/>
        </w:rPr>
        <w:t>20.3 争</w:t>
      </w:r>
      <w:bookmarkEnd w:id="773"/>
      <w:r>
        <w:rPr>
          <w:rFonts w:hint="eastAsia"/>
        </w:rPr>
        <w:t>议评审</w:t>
      </w:r>
    </w:p>
    <w:p w14:paraId="5AAFF0D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合同当事人是否同意将工程争议提交争议评审小组决定：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7969C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20.3.1 争议评审小组的确定</w:t>
      </w:r>
    </w:p>
    <w:p w14:paraId="294B53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争议评审小组成员的确定：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6CD617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选定争议评审员的期限：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F4A66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争议评审小组成员的报酬承担方式：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022FC1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其他事项的约定：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0CF677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20.3.2 争议评审小组的决定</w:t>
      </w:r>
    </w:p>
    <w:p w14:paraId="451310A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合同当事人关于本项的约定：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38F22E6">
      <w:pPr>
        <w:pStyle w:val="6"/>
        <w:bidi w:val="0"/>
        <w:rPr>
          <w:rFonts w:hint="eastAsia"/>
        </w:rPr>
      </w:pPr>
      <w:r>
        <w:rPr>
          <w:rFonts w:hint="eastAsia"/>
        </w:rPr>
        <w:t>20.4仲裁或诉讼</w:t>
      </w:r>
      <w:bookmarkEnd w:id="774"/>
    </w:p>
    <w:p w14:paraId="05F3B4A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因合同及合同有关事项发生的争议，按下列第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种方式解决：</w:t>
      </w:r>
    </w:p>
    <w:p w14:paraId="4A98E79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（1）向</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仲裁委员会申请仲裁；</w:t>
      </w:r>
    </w:p>
    <w:p w14:paraId="57CAE29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（2）向</w:t>
      </w:r>
      <w:r>
        <w:rPr>
          <w:rFonts w:hint="eastAsia" w:ascii="宋体" w:hAnsi="宋体" w:eastAsia="宋体" w:cs="宋体"/>
          <w:color w:val="000000"/>
          <w:sz w:val="24"/>
          <w:szCs w:val="24"/>
          <w:u w:val="single"/>
          <w:lang w:val="en-US" w:eastAsia="zh-CN"/>
        </w:rPr>
        <w:t>发包人所在地</w:t>
      </w:r>
      <w:r>
        <w:rPr>
          <w:rFonts w:hint="eastAsia" w:ascii="宋体" w:hAnsi="宋体" w:eastAsia="宋体" w:cs="宋体"/>
          <w:color w:val="000000"/>
          <w:sz w:val="24"/>
          <w:szCs w:val="24"/>
        </w:rPr>
        <w:t>人民法院起诉。</w:t>
      </w:r>
      <w:bookmarkEnd w:id="775"/>
      <w:bookmarkEnd w:id="776"/>
      <w:bookmarkEnd w:id="777"/>
      <w:bookmarkEnd w:id="778"/>
      <w:bookmarkEnd w:id="779"/>
      <w:bookmarkEnd w:id="780"/>
    </w:p>
    <w:p w14:paraId="2742FDC7">
      <w:pPr>
        <w:spacing w:line="480" w:lineRule="exact"/>
        <w:rPr>
          <w:rFonts w:ascii="宋体" w:hAnsi="宋体"/>
          <w:sz w:val="24"/>
          <w:szCs w:val="24"/>
        </w:rPr>
      </w:pPr>
      <w:bookmarkStart w:id="795" w:name="_Toc351203652"/>
    </w:p>
    <w:p w14:paraId="3303D648">
      <w:pPr>
        <w:spacing w:line="480" w:lineRule="exact"/>
        <w:rPr>
          <w:rFonts w:ascii="宋体" w:hAnsi="宋体"/>
          <w:sz w:val="24"/>
          <w:szCs w:val="24"/>
        </w:rPr>
      </w:pPr>
      <w:r>
        <w:rPr>
          <w:rFonts w:ascii="宋体" w:hAnsi="宋体"/>
          <w:sz w:val="24"/>
          <w:szCs w:val="24"/>
        </w:rPr>
        <w:t>附件</w:t>
      </w:r>
      <w:bookmarkEnd w:id="795"/>
    </w:p>
    <w:p w14:paraId="405CFB68">
      <w:pPr>
        <w:spacing w:line="480" w:lineRule="exact"/>
        <w:rPr>
          <w:rFonts w:hint="eastAsia" w:ascii="宋体" w:hAnsi="宋体"/>
          <w:sz w:val="24"/>
          <w:szCs w:val="24"/>
        </w:rPr>
      </w:pPr>
      <w:r>
        <w:rPr>
          <w:rFonts w:hint="eastAsia" w:ascii="宋体" w:hAnsi="宋体"/>
          <w:sz w:val="24"/>
          <w:szCs w:val="24"/>
        </w:rPr>
        <w:t>协议书附件：</w:t>
      </w:r>
    </w:p>
    <w:p w14:paraId="21CB803A">
      <w:pPr>
        <w:spacing w:line="480" w:lineRule="exact"/>
        <w:rPr>
          <w:rFonts w:hint="eastAsia" w:ascii="宋体" w:hAnsi="宋体" w:eastAsia="宋体" w:cs="Times New Roman"/>
          <w:sz w:val="24"/>
          <w:szCs w:val="24"/>
        </w:rPr>
      </w:pPr>
      <w:r>
        <w:rPr>
          <w:rFonts w:ascii="宋体" w:hAnsi="宋体"/>
          <w:sz w:val="24"/>
          <w:szCs w:val="24"/>
        </w:rPr>
        <w:t>附件</w:t>
      </w:r>
      <w:r>
        <w:rPr>
          <w:rFonts w:ascii="宋体" w:hAnsi="宋体" w:eastAsia="宋体" w:cs="Times New Roman"/>
          <w:sz w:val="24"/>
          <w:szCs w:val="24"/>
        </w:rPr>
        <w:t>1：承包人承揽工程项目一览表</w:t>
      </w:r>
    </w:p>
    <w:p w14:paraId="73AAA199">
      <w:pPr>
        <w:spacing w:line="480" w:lineRule="exact"/>
        <w:rPr>
          <w:rFonts w:ascii="宋体" w:hAnsi="宋体" w:eastAsia="宋体" w:cs="Times New Roman"/>
          <w:sz w:val="24"/>
          <w:szCs w:val="24"/>
        </w:rPr>
      </w:pPr>
      <w:r>
        <w:rPr>
          <w:rFonts w:hint="eastAsia" w:ascii="宋体" w:hAnsi="宋体" w:eastAsia="宋体" w:cs="Times New Roman"/>
          <w:sz w:val="24"/>
          <w:szCs w:val="24"/>
        </w:rPr>
        <w:t>专用合同条款附件：</w:t>
      </w:r>
    </w:p>
    <w:p w14:paraId="77282B22">
      <w:pPr>
        <w:spacing w:line="480" w:lineRule="exact"/>
        <w:rPr>
          <w:rFonts w:ascii="宋体" w:hAnsi="宋体" w:eastAsia="宋体" w:cs="Times New Roman"/>
          <w:sz w:val="24"/>
          <w:szCs w:val="24"/>
        </w:rPr>
      </w:pPr>
      <w:r>
        <w:rPr>
          <w:rFonts w:ascii="宋体" w:hAnsi="宋体" w:eastAsia="宋体" w:cs="Times New Roman"/>
          <w:sz w:val="24"/>
          <w:szCs w:val="24"/>
        </w:rPr>
        <w:t>附件2：发包人供应材料设备一览表</w:t>
      </w:r>
    </w:p>
    <w:p w14:paraId="655694C4">
      <w:pPr>
        <w:spacing w:line="480" w:lineRule="exact"/>
        <w:rPr>
          <w:rFonts w:ascii="宋体" w:hAnsi="宋体" w:eastAsia="宋体" w:cs="Times New Roman"/>
          <w:sz w:val="24"/>
          <w:szCs w:val="24"/>
        </w:rPr>
      </w:pPr>
      <w:r>
        <w:rPr>
          <w:rFonts w:ascii="宋体" w:hAnsi="宋体" w:eastAsia="宋体" w:cs="Times New Roman"/>
          <w:sz w:val="24"/>
          <w:szCs w:val="24"/>
        </w:rPr>
        <w:t>附件3：工程质量保修书</w:t>
      </w:r>
    </w:p>
    <w:p w14:paraId="4ADDEA31">
      <w:pPr>
        <w:spacing w:line="480" w:lineRule="exact"/>
        <w:rPr>
          <w:rFonts w:ascii="宋体" w:hAnsi="宋体" w:eastAsia="宋体" w:cs="Times New Roman"/>
          <w:sz w:val="24"/>
          <w:szCs w:val="24"/>
        </w:rPr>
      </w:pPr>
      <w:r>
        <w:rPr>
          <w:rFonts w:ascii="宋体" w:hAnsi="宋体" w:eastAsia="宋体" w:cs="Times New Roman"/>
          <w:sz w:val="24"/>
          <w:szCs w:val="24"/>
        </w:rPr>
        <w:t>附件4：主要建设工程文件目录</w:t>
      </w:r>
    </w:p>
    <w:p w14:paraId="67453DE7">
      <w:pPr>
        <w:spacing w:line="480" w:lineRule="exact"/>
        <w:rPr>
          <w:rFonts w:ascii="宋体" w:hAnsi="宋体" w:eastAsia="宋体" w:cs="Times New Roman"/>
          <w:sz w:val="24"/>
          <w:szCs w:val="24"/>
        </w:rPr>
      </w:pPr>
      <w:r>
        <w:rPr>
          <w:rFonts w:ascii="宋体" w:hAnsi="宋体" w:eastAsia="宋体" w:cs="Times New Roman"/>
          <w:sz w:val="24"/>
          <w:szCs w:val="24"/>
        </w:rPr>
        <w:t>附件5：承包人用于本工程施工的机械设备表</w:t>
      </w:r>
    </w:p>
    <w:p w14:paraId="5F9DE343">
      <w:pPr>
        <w:spacing w:line="480" w:lineRule="exact"/>
        <w:rPr>
          <w:rFonts w:ascii="宋体" w:hAnsi="宋体" w:eastAsia="宋体" w:cs="Times New Roman"/>
          <w:sz w:val="24"/>
          <w:szCs w:val="24"/>
        </w:rPr>
      </w:pPr>
      <w:r>
        <w:rPr>
          <w:rFonts w:ascii="宋体" w:hAnsi="宋体" w:eastAsia="宋体" w:cs="Times New Roman"/>
          <w:sz w:val="24"/>
          <w:szCs w:val="24"/>
        </w:rPr>
        <w:t>附件6：承包人主要施工管理人员表</w:t>
      </w:r>
    </w:p>
    <w:p w14:paraId="4699BE44">
      <w:pPr>
        <w:spacing w:line="480" w:lineRule="exact"/>
        <w:rPr>
          <w:rFonts w:ascii="宋体" w:hAnsi="宋体" w:eastAsia="宋体" w:cs="Times New Roman"/>
          <w:sz w:val="24"/>
          <w:szCs w:val="24"/>
        </w:rPr>
      </w:pPr>
      <w:r>
        <w:rPr>
          <w:rFonts w:ascii="宋体" w:hAnsi="宋体" w:eastAsia="宋体" w:cs="Times New Roman"/>
          <w:sz w:val="24"/>
          <w:szCs w:val="24"/>
        </w:rPr>
        <w:t>附件7：分包人主要施工管理人员表</w:t>
      </w:r>
    </w:p>
    <w:p w14:paraId="0C4596BE">
      <w:pPr>
        <w:spacing w:line="480" w:lineRule="exact"/>
        <w:rPr>
          <w:rFonts w:ascii="宋体" w:hAnsi="宋体" w:eastAsia="宋体" w:cs="Times New Roman"/>
          <w:sz w:val="24"/>
          <w:szCs w:val="24"/>
        </w:rPr>
      </w:pPr>
      <w:r>
        <w:rPr>
          <w:rFonts w:ascii="宋体" w:hAnsi="宋体" w:eastAsia="宋体" w:cs="Times New Roman"/>
          <w:sz w:val="24"/>
          <w:szCs w:val="24"/>
        </w:rPr>
        <w:t>附件8：履约担保格式</w:t>
      </w:r>
    </w:p>
    <w:p w14:paraId="2A0BF427">
      <w:pPr>
        <w:spacing w:line="480" w:lineRule="exact"/>
        <w:rPr>
          <w:rFonts w:ascii="宋体" w:hAnsi="宋体" w:eastAsia="宋体" w:cs="Times New Roman"/>
          <w:sz w:val="24"/>
          <w:szCs w:val="24"/>
        </w:rPr>
      </w:pPr>
      <w:r>
        <w:rPr>
          <w:rFonts w:ascii="宋体" w:hAnsi="宋体" w:eastAsia="宋体" w:cs="Times New Roman"/>
          <w:sz w:val="24"/>
          <w:szCs w:val="24"/>
        </w:rPr>
        <w:t>附件9：预付款担保格式</w:t>
      </w:r>
    </w:p>
    <w:p w14:paraId="3FB63A9D">
      <w:pPr>
        <w:spacing w:line="480" w:lineRule="exact"/>
        <w:rPr>
          <w:rFonts w:ascii="宋体" w:hAnsi="宋体" w:eastAsia="宋体" w:cs="Times New Roman"/>
          <w:sz w:val="24"/>
          <w:szCs w:val="24"/>
        </w:rPr>
      </w:pPr>
      <w:r>
        <w:rPr>
          <w:rFonts w:ascii="宋体" w:hAnsi="宋体" w:eastAsia="宋体" w:cs="Times New Roman"/>
          <w:sz w:val="24"/>
          <w:szCs w:val="24"/>
        </w:rPr>
        <w:t>附件10：支付担保格式</w:t>
      </w:r>
    </w:p>
    <w:p w14:paraId="5DBB42AB">
      <w:pPr>
        <w:spacing w:line="480" w:lineRule="exact"/>
        <w:rPr>
          <w:rFonts w:ascii="宋体" w:hAnsi="宋体" w:eastAsia="宋体" w:cs="Times New Roman"/>
          <w:sz w:val="24"/>
          <w:szCs w:val="24"/>
        </w:rPr>
      </w:pPr>
      <w:r>
        <w:rPr>
          <w:rFonts w:ascii="宋体" w:hAnsi="宋体" w:eastAsia="宋体" w:cs="Times New Roman"/>
          <w:sz w:val="24"/>
          <w:szCs w:val="24"/>
        </w:rPr>
        <w:t>附件11：暂估价一览表</w:t>
      </w:r>
    </w:p>
    <w:p w14:paraId="4754F1F6">
      <w:pPr>
        <w:spacing w:line="480" w:lineRule="exact"/>
        <w:rPr>
          <w:rFonts w:hint="eastAsia" w:ascii="宋体" w:hAnsi="宋体" w:eastAsia="宋体" w:cs="Times New Roman"/>
          <w:sz w:val="24"/>
          <w:szCs w:val="24"/>
        </w:rPr>
      </w:pPr>
      <w:r>
        <w:rPr>
          <w:rFonts w:hint="eastAsia" w:ascii="宋体" w:hAnsi="宋体" w:eastAsia="宋体" w:cs="Times New Roman"/>
          <w:sz w:val="24"/>
          <w:szCs w:val="24"/>
          <w:lang w:val="en-US" w:eastAsia="zh-CN"/>
        </w:rPr>
        <w:t>附件12：</w:t>
      </w:r>
      <w:r>
        <w:rPr>
          <w:rFonts w:hint="eastAsia" w:ascii="宋体" w:hAnsi="宋体" w:eastAsia="宋体" w:cs="Times New Roman"/>
          <w:sz w:val="24"/>
          <w:szCs w:val="24"/>
        </w:rPr>
        <w:t>安全生产责任合同</w:t>
      </w:r>
    </w:p>
    <w:p w14:paraId="1BF9D905">
      <w:pPr>
        <w:spacing w:line="480" w:lineRule="exact"/>
        <w:rPr>
          <w:rFonts w:hint="eastAsia" w:ascii="宋体" w:hAnsi="宋体"/>
          <w:bCs/>
          <w:szCs w:val="21"/>
          <w:u w:val="single"/>
        </w:rPr>
      </w:pPr>
    </w:p>
    <w:p w14:paraId="60673811">
      <w:pPr>
        <w:spacing w:line="480" w:lineRule="exact"/>
        <w:rPr>
          <w:rFonts w:hint="eastAsia" w:ascii="宋体" w:hAnsi="宋体"/>
          <w:bCs/>
          <w:szCs w:val="21"/>
          <w:u w:val="single"/>
        </w:rPr>
      </w:pPr>
    </w:p>
    <w:p w14:paraId="2C53116D">
      <w:pPr>
        <w:spacing w:line="480" w:lineRule="exact"/>
        <w:rPr>
          <w:rFonts w:hint="eastAsia" w:ascii="宋体" w:hAnsi="宋体"/>
          <w:bCs/>
          <w:szCs w:val="21"/>
          <w:u w:val="single"/>
        </w:rPr>
      </w:pPr>
    </w:p>
    <w:p w14:paraId="43D695B3">
      <w:pPr>
        <w:spacing w:line="480" w:lineRule="exact"/>
        <w:rPr>
          <w:rFonts w:hint="eastAsia" w:ascii="宋体" w:hAnsi="宋体"/>
          <w:bCs/>
          <w:szCs w:val="21"/>
          <w:u w:val="single"/>
        </w:rPr>
      </w:pPr>
    </w:p>
    <w:p w14:paraId="7409FE96">
      <w:pPr>
        <w:spacing w:line="480" w:lineRule="exact"/>
        <w:rPr>
          <w:rFonts w:hint="eastAsia" w:ascii="宋体" w:hAnsi="宋体"/>
          <w:b/>
          <w:bCs w:val="0"/>
          <w:sz w:val="24"/>
          <w:szCs w:val="24"/>
          <w:lang w:eastAsia="zh-CN"/>
        </w:rPr>
      </w:pPr>
      <w:r>
        <w:rPr>
          <w:rFonts w:hint="eastAsia" w:ascii="宋体" w:hAnsi="宋体"/>
          <w:b/>
          <w:bCs w:val="0"/>
          <w:sz w:val="24"/>
          <w:szCs w:val="24"/>
        </w:rPr>
        <w:t>说明：请招标人根据《建设工程施工合同（示范文本）》（GF-2017-0201）的“附件”格式填写相关内容</w:t>
      </w:r>
      <w:r>
        <w:rPr>
          <w:rFonts w:hint="eastAsia" w:ascii="宋体" w:hAnsi="宋体"/>
          <w:b/>
          <w:bCs w:val="0"/>
          <w:sz w:val="24"/>
          <w:szCs w:val="24"/>
          <w:lang w:eastAsia="zh-CN"/>
        </w:rPr>
        <w:t>。</w:t>
      </w:r>
    </w:p>
    <w:p w14:paraId="02126622">
      <w:pPr>
        <w:rPr>
          <w:rFonts w:hint="eastAsia" w:ascii="宋体" w:hAnsi="宋体"/>
          <w:bCs/>
          <w:sz w:val="24"/>
          <w:szCs w:val="24"/>
          <w:lang w:eastAsia="zh-CN"/>
        </w:rPr>
      </w:pPr>
      <w:r>
        <w:rPr>
          <w:rFonts w:hint="eastAsia" w:ascii="宋体" w:hAnsi="宋体"/>
          <w:bCs/>
          <w:sz w:val="24"/>
          <w:szCs w:val="24"/>
          <w:lang w:eastAsia="zh-CN"/>
        </w:rPr>
        <w:br w:type="page"/>
      </w:r>
    </w:p>
    <w:p w14:paraId="50088BE6">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附</w:t>
      </w:r>
      <w:bookmarkStart w:id="796" w:name="_Toc296503226"/>
      <w:bookmarkStart w:id="797" w:name="_Toc296944565"/>
      <w:bookmarkStart w:id="798" w:name="_Toc296347225"/>
      <w:bookmarkStart w:id="799" w:name="_Toc296891054"/>
      <w:bookmarkStart w:id="800" w:name="_Toc296346727"/>
      <w:bookmarkStart w:id="801" w:name="_Toc296891266"/>
      <w:bookmarkStart w:id="802" w:name="_Toc267261693"/>
      <w:r>
        <w:rPr>
          <w:rFonts w:hint="eastAsia" w:ascii="宋体" w:hAnsi="宋体" w:eastAsia="宋体" w:cs="宋体"/>
          <w:color w:val="000000"/>
          <w:sz w:val="24"/>
          <w:szCs w:val="24"/>
        </w:rPr>
        <w:t>件3：</w:t>
      </w:r>
      <w:bookmarkEnd w:id="796"/>
      <w:bookmarkEnd w:id="797"/>
      <w:bookmarkEnd w:id="798"/>
      <w:bookmarkEnd w:id="799"/>
      <w:bookmarkEnd w:id="800"/>
      <w:bookmarkEnd w:id="801"/>
      <w:bookmarkEnd w:id="802"/>
    </w:p>
    <w:p w14:paraId="42781D9C">
      <w:pPr>
        <w:spacing w:before="156" w:beforeLines="50" w:after="156" w:afterLines="50" w:line="360" w:lineRule="auto"/>
        <w:jc w:val="center"/>
        <w:rPr>
          <w:rFonts w:hint="eastAsia" w:ascii="宋体" w:hAnsi="宋体" w:eastAsia="宋体" w:cs="宋体"/>
          <w:color w:val="000000"/>
          <w:sz w:val="24"/>
          <w:szCs w:val="24"/>
        </w:rPr>
      </w:pPr>
      <w:r>
        <w:rPr>
          <w:rFonts w:hint="eastAsia" w:ascii="宋体" w:hAnsi="宋体" w:eastAsia="宋体" w:cs="宋体"/>
          <w:b/>
          <w:bCs/>
          <w:color w:val="000000"/>
          <w:sz w:val="32"/>
          <w:szCs w:val="32"/>
        </w:rPr>
        <w:t>工程质量保修书</w:t>
      </w:r>
    </w:p>
    <w:p w14:paraId="7B7A903B">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u w:val="single"/>
          <w:lang w:eastAsia="zh-CN"/>
        </w:rPr>
      </w:pPr>
      <w:r>
        <w:rPr>
          <w:rFonts w:hint="eastAsia" w:ascii="宋体" w:hAnsi="宋体" w:eastAsia="宋体" w:cs="宋体"/>
          <w:color w:val="000000"/>
          <w:sz w:val="24"/>
          <w:szCs w:val="24"/>
        </w:rPr>
        <w:t>发包人（全称）：</w:t>
      </w:r>
      <w:r>
        <w:rPr>
          <w:rFonts w:hint="default" w:ascii="宋体" w:hAnsi="宋体" w:cs="宋体"/>
          <w:color w:val="000000"/>
          <w:sz w:val="24"/>
          <w:szCs w:val="24"/>
          <w:u w:val="single"/>
          <w:lang w:val="en-US" w:eastAsia="zh-CN"/>
        </w:rPr>
        <w:t>江永县供销社社有资产管理有限公司</w:t>
      </w:r>
    </w:p>
    <w:p w14:paraId="11F67D3D">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承包人（全称）：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5E6D27C0">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p>
    <w:p w14:paraId="6E210794">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发包人和承包人根据《中华人民共和国建筑法》和《建设工程质量管理条例》，经协商一致就</w:t>
      </w:r>
      <w:r>
        <w:rPr>
          <w:rFonts w:hint="default" w:ascii="宋体" w:hAnsi="宋体" w:cs="宋体"/>
          <w:color w:val="000000"/>
          <w:sz w:val="24"/>
          <w:szCs w:val="24"/>
          <w:u w:val="single"/>
          <w:lang w:val="en-US" w:eastAsia="zh-CN"/>
        </w:rPr>
        <w:t>江永县供销联社烟花爆竹有限公司烟花爆竹仓库新建（搬迁）工程</w:t>
      </w:r>
      <w:r>
        <w:rPr>
          <w:rFonts w:hint="eastAsia" w:ascii="宋体" w:hAnsi="宋体" w:eastAsia="宋体" w:cs="宋体"/>
          <w:color w:val="000000"/>
          <w:sz w:val="24"/>
          <w:szCs w:val="24"/>
        </w:rPr>
        <w:t>签订工程质量保修书。</w:t>
      </w:r>
    </w:p>
    <w:p w14:paraId="70FE4B35">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一、工程质量保修范围和内容</w:t>
      </w:r>
    </w:p>
    <w:p w14:paraId="6E2DA130">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承包人在质量保修期内，按照有关法律规定和合同约定，承担工程质量保修责任。</w:t>
      </w:r>
    </w:p>
    <w:p w14:paraId="556DACB1">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56C6A4A">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u w:val="single"/>
        </w:rPr>
        <w:t>招标范围内所列项目。除正常使用磨损外，其它属质量缺陷的，一切由承包人承担保修及费用</w:t>
      </w:r>
      <w:r>
        <w:rPr>
          <w:rFonts w:hint="eastAsia" w:ascii="宋体" w:hAnsi="宋体" w:eastAsia="宋体" w:cs="宋体"/>
          <w:color w:val="000000"/>
          <w:sz w:val="24"/>
          <w:szCs w:val="24"/>
        </w:rPr>
        <w:t>。</w:t>
      </w:r>
    </w:p>
    <w:p w14:paraId="61711410">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二、质量保修期</w:t>
      </w:r>
    </w:p>
    <w:p w14:paraId="0B07FAFC">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根据《建设工程质量管理条例》及有关规定，工程的质量保修期如下：</w:t>
      </w:r>
    </w:p>
    <w:p w14:paraId="2C033973">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19B7138F">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w:t>
      </w:r>
      <w:r>
        <w:rPr>
          <w:rFonts w:hint="eastAsia" w:ascii="宋体" w:hAnsi="宋体" w:eastAsia="宋体" w:cs="宋体"/>
          <w:color w:val="000000"/>
          <w:sz w:val="24"/>
          <w:szCs w:val="24"/>
        </w:rPr>
        <w:t>屋面防水工程、有防水要求的卫生间、房间和外墙面的防渗为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5</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14:paraId="1DE418DB">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w:t>
      </w:r>
      <w:r>
        <w:rPr>
          <w:rFonts w:hint="eastAsia" w:ascii="宋体" w:hAnsi="宋体" w:eastAsia="宋体" w:cs="宋体"/>
          <w:color w:val="000000"/>
          <w:sz w:val="24"/>
          <w:szCs w:val="24"/>
        </w:rPr>
        <w:t>装修工程为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14:paraId="6DA57245">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电气管线、给排水管道、设备安装工程为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14:paraId="35C01E1A">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w:t>
      </w:r>
      <w:r>
        <w:rPr>
          <w:rFonts w:hint="eastAsia" w:ascii="宋体" w:hAnsi="宋体" w:eastAsia="宋体" w:cs="宋体"/>
          <w:sz w:val="24"/>
          <w:szCs w:val="24"/>
        </w:rPr>
        <w:t>．</w:t>
      </w:r>
      <w:r>
        <w:rPr>
          <w:rFonts w:hint="eastAsia" w:ascii="宋体" w:hAnsi="宋体" w:eastAsia="宋体" w:cs="宋体"/>
          <w:color w:val="000000"/>
          <w:sz w:val="24"/>
          <w:szCs w:val="24"/>
        </w:rPr>
        <w:t>供热与供冷系统为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个采暖期、供冷期；</w:t>
      </w:r>
    </w:p>
    <w:p w14:paraId="58EF8B19">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w:t>
      </w:r>
      <w:r>
        <w:rPr>
          <w:rFonts w:hint="eastAsia" w:ascii="宋体" w:hAnsi="宋体" w:eastAsia="宋体" w:cs="宋体"/>
          <w:sz w:val="24"/>
          <w:szCs w:val="24"/>
        </w:rPr>
        <w:t>．</w:t>
      </w:r>
      <w:r>
        <w:rPr>
          <w:rFonts w:hint="eastAsia" w:ascii="宋体" w:hAnsi="宋体" w:eastAsia="宋体" w:cs="宋体"/>
          <w:color w:val="000000"/>
          <w:sz w:val="24"/>
          <w:szCs w:val="24"/>
        </w:rPr>
        <w:t>住宅小区内的给排水设施、道路等配套工程为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14:paraId="50C22741">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w:t>
      </w:r>
      <w:r>
        <w:rPr>
          <w:rFonts w:hint="eastAsia" w:ascii="宋体" w:hAnsi="宋体" w:eastAsia="宋体" w:cs="宋体"/>
          <w:sz w:val="24"/>
          <w:szCs w:val="24"/>
        </w:rPr>
        <w:t>．</w:t>
      </w:r>
      <w:r>
        <w:rPr>
          <w:rFonts w:hint="eastAsia" w:ascii="宋体" w:hAnsi="宋体" w:eastAsia="宋体" w:cs="宋体"/>
          <w:color w:val="000000"/>
          <w:sz w:val="24"/>
          <w:szCs w:val="24"/>
        </w:rPr>
        <w:t>其他项目保修期限约定如下：</w:t>
      </w:r>
    </w:p>
    <w:p w14:paraId="452919F4">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三、缺陷责任期</w:t>
      </w:r>
    </w:p>
    <w:p w14:paraId="6E8CD408">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工程缺陷责任期为</w:t>
      </w:r>
      <w:r>
        <w:rPr>
          <w:rFonts w:hint="eastAsia" w:ascii="宋体" w:hAnsi="宋体" w:eastAsia="宋体" w:cs="宋体"/>
          <w:color w:val="000000"/>
          <w:sz w:val="24"/>
          <w:szCs w:val="24"/>
          <w:u w:val="single"/>
          <w:lang w:val="en-US" w:eastAsia="zh-CN"/>
        </w:rPr>
        <w:t>24</w:t>
      </w:r>
      <w:r>
        <w:rPr>
          <w:rFonts w:hint="eastAsia" w:ascii="宋体" w:hAnsi="宋体" w:eastAsia="宋体" w:cs="宋体"/>
          <w:color w:val="000000"/>
          <w:sz w:val="24"/>
          <w:szCs w:val="24"/>
        </w:rPr>
        <w:t>个月，缺陷责任期自工程通过竣工验收之日起计算。单位工程先于全部工程进行验收，单位工程缺陷责任期自单位工程验收合格之日起算。</w:t>
      </w:r>
    </w:p>
    <w:p w14:paraId="1F9CCF61">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缺陷责任期终止后，发包人应退还剩余的质量保证金。</w:t>
      </w:r>
    </w:p>
    <w:p w14:paraId="50F09C71">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四、质量保修责任</w:t>
      </w:r>
    </w:p>
    <w:p w14:paraId="5D1C6FAB">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rPr>
        <w:t>．</w:t>
      </w:r>
      <w:r>
        <w:rPr>
          <w:rFonts w:hint="eastAsia" w:ascii="宋体" w:hAnsi="宋体" w:eastAsia="宋体" w:cs="宋体"/>
          <w:color w:val="000000"/>
          <w:sz w:val="24"/>
          <w:szCs w:val="24"/>
        </w:rPr>
        <w:t>属于保修范围、内容的项目，承包人应当在接到保修通知之日起7天内派人保修。承包人不在约定期限内派人保修的，发包人可以委托他人修理。</w:t>
      </w:r>
    </w:p>
    <w:p w14:paraId="03B62E7D">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w:t>
      </w:r>
      <w:r>
        <w:rPr>
          <w:rFonts w:hint="eastAsia" w:ascii="宋体" w:hAnsi="宋体" w:eastAsia="宋体" w:cs="宋体"/>
          <w:color w:val="000000"/>
          <w:sz w:val="24"/>
          <w:szCs w:val="24"/>
        </w:rPr>
        <w:t>发生紧急事故需抢修的，承包人在接到事故通知后，应当立即到达事故现场抢修。</w:t>
      </w:r>
    </w:p>
    <w:p w14:paraId="45AC1F4B">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w:t>
      </w:r>
      <w:r>
        <w:rPr>
          <w:rFonts w:hint="eastAsia" w:ascii="宋体" w:hAnsi="宋体" w:eastAsia="宋体" w:cs="宋体"/>
          <w:color w:val="000000"/>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F60BD22">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质量保修完成后，由发包人组织验收。</w:t>
      </w:r>
    </w:p>
    <w:p w14:paraId="3205DF09">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五、保修费用</w:t>
      </w:r>
    </w:p>
    <w:p w14:paraId="71F7B298">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保修费用由造成质量缺陷的责任方承担。</w:t>
      </w:r>
    </w:p>
    <w:p w14:paraId="10B429C5">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val="0"/>
          <w:color w:val="000000"/>
          <w:sz w:val="24"/>
          <w:szCs w:val="24"/>
        </w:rPr>
      </w:pPr>
      <w:r>
        <w:rPr>
          <w:rFonts w:hint="eastAsia" w:ascii="宋体" w:hAnsi="宋体" w:eastAsia="宋体" w:cs="宋体"/>
          <w:b/>
          <w:bCs w:val="0"/>
          <w:color w:val="000000"/>
          <w:sz w:val="24"/>
          <w:szCs w:val="24"/>
        </w:rPr>
        <w:t>六、双方约定的其他工程质量保修事项：</w:t>
      </w:r>
    </w:p>
    <w:p w14:paraId="78941593">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u w:val="single"/>
          <w:lang w:eastAsia="zh-CN"/>
        </w:rPr>
      </w:pPr>
      <w:r>
        <w:rPr>
          <w:rFonts w:hint="eastAsia" w:ascii="宋体" w:hAnsi="宋体" w:eastAsia="宋体" w:cs="宋体"/>
          <w:color w:val="000000"/>
          <w:sz w:val="24"/>
          <w:szCs w:val="24"/>
          <w:u w:val="single"/>
        </w:rPr>
        <w:t>1．工程质量保修金为结算价的</w:t>
      </w:r>
      <w:r>
        <w:rPr>
          <w:rFonts w:hint="eastAsia" w:ascii="宋体" w:hAnsi="宋体" w:eastAsia="宋体" w:cs="宋体"/>
          <w:color w:val="000000"/>
          <w:sz w:val="24"/>
          <w:szCs w:val="24"/>
          <w:u w:val="single"/>
          <w:lang w:val="en-US" w:eastAsia="zh-CN"/>
        </w:rPr>
        <w:t>3</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eastAsia="zh-CN"/>
        </w:rPr>
        <w:t>。</w:t>
      </w:r>
    </w:p>
    <w:p w14:paraId="2708958B">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u w:val="single"/>
        </w:rPr>
        <w:t>2</w:t>
      </w:r>
      <w:r>
        <w:rPr>
          <w:rFonts w:hint="eastAsia" w:ascii="宋体" w:hAnsi="宋体" w:eastAsia="宋体" w:cs="宋体"/>
          <w:sz w:val="24"/>
          <w:szCs w:val="24"/>
          <w:u w:val="single"/>
        </w:rPr>
        <w:t>．</w:t>
      </w:r>
      <w:r>
        <w:rPr>
          <w:rFonts w:hint="eastAsia" w:ascii="宋体" w:hAnsi="宋体" w:eastAsia="宋体" w:cs="宋体"/>
          <w:color w:val="000000"/>
          <w:sz w:val="24"/>
          <w:szCs w:val="24"/>
          <w:u w:val="single"/>
          <w:lang w:val="en-US" w:eastAsia="zh-CN"/>
        </w:rPr>
        <w:t>工程质量保修期为2年，保修期内如果工程没有质量问题，期满后发包人退还承包人工程质量保修金（不计息）。</w:t>
      </w:r>
    </w:p>
    <w:p w14:paraId="7F96F991">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rPr>
      </w:pPr>
      <w:r>
        <w:rPr>
          <w:rFonts w:hint="eastAsia" w:ascii="宋体" w:hAnsi="宋体" w:cs="宋体"/>
          <w:color w:val="000000"/>
          <w:sz w:val="24"/>
          <w:szCs w:val="24"/>
          <w:u w:val="single"/>
          <w:lang w:val="en-US" w:eastAsia="zh-CN"/>
        </w:rPr>
        <w:t>3</w:t>
      </w:r>
      <w:r>
        <w:rPr>
          <w:rFonts w:hint="eastAsia" w:ascii="宋体" w:hAnsi="宋体" w:eastAsia="宋体" w:cs="宋体"/>
          <w:sz w:val="24"/>
          <w:szCs w:val="24"/>
          <w:u w:val="single"/>
        </w:rPr>
        <w:t>．</w:t>
      </w:r>
      <w:r>
        <w:rPr>
          <w:rFonts w:hint="eastAsia" w:ascii="宋体" w:hAnsi="宋体" w:eastAsia="宋体" w:cs="宋体"/>
          <w:color w:val="000000"/>
          <w:sz w:val="24"/>
          <w:szCs w:val="24"/>
          <w:u w:val="single"/>
          <w:lang w:val="en-US" w:eastAsia="zh-CN"/>
        </w:rPr>
        <w:t>若</w:t>
      </w:r>
      <w:r>
        <w:rPr>
          <w:rFonts w:hint="eastAsia" w:ascii="宋体" w:hAnsi="宋体" w:eastAsia="宋体" w:cs="宋体"/>
          <w:color w:val="000000"/>
          <w:sz w:val="24"/>
          <w:szCs w:val="24"/>
          <w:u w:val="single"/>
        </w:rPr>
        <w:t>保修期间承包人未及时进行保修，业主有权直接另派施工单位进行修复，发生费用在其质量保证金中加倍扣除</w:t>
      </w:r>
      <w:r>
        <w:rPr>
          <w:rFonts w:hint="eastAsia" w:ascii="宋体" w:hAnsi="宋体" w:eastAsia="宋体" w:cs="宋体"/>
          <w:color w:val="000000"/>
          <w:sz w:val="24"/>
          <w:szCs w:val="24"/>
        </w:rPr>
        <w:t>。</w:t>
      </w:r>
    </w:p>
    <w:p w14:paraId="2036F844">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工程质量保修书由发包人、承包人在工程竣工验收前共同签署，作为施工合同附件，其有效期限至保修期满。</w:t>
      </w:r>
    </w:p>
    <w:p w14:paraId="636CE9AC">
      <w:pPr>
        <w:pStyle w:val="29"/>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p>
    <w:p w14:paraId="0CF3FDA8">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发包人(公章)：</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承包人(公章)：</w:t>
      </w:r>
      <w:r>
        <w:rPr>
          <w:rFonts w:hint="eastAsia" w:ascii="宋体" w:hAnsi="宋体" w:eastAsia="宋体" w:cs="宋体"/>
          <w:color w:val="000000"/>
          <w:sz w:val="24"/>
          <w:szCs w:val="24"/>
          <w:u w:val="single"/>
        </w:rPr>
        <w:t xml:space="preserve">           </w:t>
      </w:r>
    </w:p>
    <w:p w14:paraId="62124259">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w:t>
      </w:r>
    </w:p>
    <w:p w14:paraId="59F6AE82">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法定代表人(签字)：</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法定代表人(签字)：</w:t>
      </w:r>
      <w:r>
        <w:rPr>
          <w:rFonts w:hint="eastAsia" w:ascii="宋体" w:hAnsi="宋体" w:eastAsia="宋体" w:cs="宋体"/>
          <w:color w:val="000000"/>
          <w:sz w:val="24"/>
          <w:szCs w:val="24"/>
          <w:u w:val="single"/>
        </w:rPr>
        <w:t xml:space="preserve">       </w:t>
      </w:r>
    </w:p>
    <w:p w14:paraId="6144AC80">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委托代理人(签字)：</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委托代理人(签字)：</w:t>
      </w:r>
      <w:r>
        <w:rPr>
          <w:rFonts w:hint="eastAsia" w:ascii="宋体" w:hAnsi="宋体" w:eastAsia="宋体" w:cs="宋体"/>
          <w:color w:val="000000"/>
          <w:sz w:val="24"/>
          <w:szCs w:val="24"/>
          <w:u w:val="single"/>
        </w:rPr>
        <w:t xml:space="preserve">       </w:t>
      </w:r>
    </w:p>
    <w:p w14:paraId="303F9C23">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p>
    <w:p w14:paraId="53FCF402">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传  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传  真：</w:t>
      </w:r>
      <w:r>
        <w:rPr>
          <w:rFonts w:hint="eastAsia" w:ascii="宋体" w:hAnsi="宋体" w:eastAsia="宋体" w:cs="宋体"/>
          <w:color w:val="000000"/>
          <w:sz w:val="24"/>
          <w:szCs w:val="24"/>
          <w:u w:val="single"/>
        </w:rPr>
        <w:t xml:space="preserve">     </w:t>
      </w:r>
    </w:p>
    <w:p w14:paraId="7271C412">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p>
    <w:p w14:paraId="04FBDA25">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w:t>
      </w:r>
    </w:p>
    <w:p w14:paraId="5BA735D7">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Cs/>
          <w:sz w:val="24"/>
          <w:szCs w:val="24"/>
          <w:lang w:eastAsia="zh-CN"/>
        </w:rPr>
      </w:pP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w:t>
      </w:r>
    </w:p>
    <w:p w14:paraId="19C35B20">
      <w:pPr>
        <w:spacing w:line="360" w:lineRule="auto"/>
        <w:rPr>
          <w:rFonts w:hint="eastAsia" w:ascii="宋体" w:hAnsi="宋体" w:eastAsia="宋体" w:cs="宋体"/>
          <w:sz w:val="24"/>
          <w:szCs w:val="24"/>
        </w:rPr>
      </w:pPr>
    </w:p>
    <w:p w14:paraId="2DB9AFEA">
      <w:pPr>
        <w:pStyle w:val="29"/>
        <w:rPr>
          <w:rFonts w:hint="eastAsia"/>
        </w:rPr>
        <w:sectPr>
          <w:headerReference r:id="rId13" w:type="first"/>
          <w:pgSz w:w="11906" w:h="16838"/>
          <w:pgMar w:top="1361" w:right="1417" w:bottom="1361" w:left="1417" w:header="850" w:footer="850" w:gutter="0"/>
          <w:pgNumType w:fmt="decimal"/>
          <w:cols w:space="720" w:num="1"/>
          <w:titlePg/>
          <w:docGrid w:type="lines" w:linePitch="315" w:charSpace="0"/>
        </w:sectPr>
      </w:pPr>
    </w:p>
    <w:p w14:paraId="16427C13">
      <w:pPr>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附件4-1-1：经评审最低投标价法中标履约担保格式</w:t>
      </w:r>
    </w:p>
    <w:p w14:paraId="409AFC67">
      <w:pPr>
        <w:spacing w:before="156" w:beforeLines="50" w:after="156" w:afterLines="50" w:line="360" w:lineRule="auto"/>
        <w:jc w:val="center"/>
        <w:rPr>
          <w:rFonts w:hint="eastAsia" w:ascii="宋体" w:hAnsi="宋体" w:eastAsia="宋体" w:cs="宋体"/>
          <w:sz w:val="24"/>
          <w:szCs w:val="24"/>
        </w:rPr>
      </w:pPr>
      <w:r>
        <w:rPr>
          <w:rFonts w:hint="eastAsia" w:ascii="宋体" w:hAnsi="宋体" w:eastAsia="宋体" w:cs="宋体"/>
          <w:b/>
          <w:bCs/>
          <w:color w:val="000000"/>
          <w:sz w:val="32"/>
          <w:szCs w:val="32"/>
        </w:rPr>
        <w:t>履约保函（格式）</w:t>
      </w:r>
    </w:p>
    <w:p w14:paraId="003E7105">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4"/>
        </w:rPr>
      </w:pPr>
      <w:r>
        <w:rPr>
          <w:rFonts w:hint="eastAsia" w:ascii="宋体" w:hAnsi="宋体" w:eastAsia="宋体" w:cs="宋体"/>
          <w:sz w:val="24"/>
          <w:szCs w:val="24"/>
          <w:u w:val="single"/>
        </w:rPr>
        <w:t>（受益人名称）</w:t>
      </w:r>
      <w:r>
        <w:rPr>
          <w:rFonts w:hint="eastAsia" w:ascii="宋体" w:hAnsi="宋体" w:eastAsia="宋体" w:cs="宋体"/>
          <w:sz w:val="24"/>
          <w:szCs w:val="24"/>
        </w:rPr>
        <w:t>：</w:t>
      </w:r>
    </w:p>
    <w:p w14:paraId="05918C7C">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鉴于你方作为招标人已经于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日向公司（以下称“中标人”）发出</w:t>
      </w:r>
      <w:r>
        <w:rPr>
          <w:rFonts w:hint="eastAsia" w:ascii="宋体" w:hAnsi="宋体" w:eastAsia="宋体" w:cs="宋体"/>
          <w:sz w:val="24"/>
          <w:szCs w:val="24"/>
          <w:u w:val="single"/>
        </w:rPr>
        <w:t>（招标项目及标段）</w:t>
      </w:r>
      <w:r>
        <w:rPr>
          <w:rFonts w:hint="eastAsia" w:ascii="宋体" w:hAnsi="宋体" w:eastAsia="宋体" w:cs="宋体"/>
          <w:sz w:val="24"/>
          <w:szCs w:val="24"/>
        </w:rPr>
        <w:t>发出中标通知书，我方愿意无条件、不可撤销地就中标人履行与你方签订的工程建设合同义务，向你方出具见索即付保函：</w:t>
      </w:r>
    </w:p>
    <w:p w14:paraId="296AF072">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1．本保函最高担保金额人民币（大写）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5EC5FF4E">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本保函有效期自保函签发之日起至合同约定的主要义务履行完毕止，或者至我方收到你方与中标人共同签署的解除工程建设合同的书面通知书，或者建设工程中止施工超过3个月的书面通知书止。但本保函有效期最迟不超过</w:t>
      </w:r>
      <w:r>
        <w:rPr>
          <w:rFonts w:hint="default" w:ascii="宋体" w:hAnsi="宋体" w:cs="宋体"/>
          <w:sz w:val="24"/>
          <w:szCs w:val="24"/>
          <w:u w:val="single"/>
          <w:lang w:val="en-US"/>
        </w:rPr>
        <w:t xml:space="preserve">    </w:t>
      </w:r>
      <w:r>
        <w:rPr>
          <w:rFonts w:hint="eastAsia" w:ascii="宋体" w:hAnsi="宋体" w:eastAsia="宋体" w:cs="宋体"/>
          <w:sz w:val="24"/>
          <w:szCs w:val="24"/>
        </w:rPr>
        <w:t>年</w:t>
      </w:r>
      <w:r>
        <w:rPr>
          <w:rFonts w:hint="default" w:ascii="宋体" w:hAnsi="宋体" w:cs="宋体"/>
          <w:sz w:val="24"/>
          <w:szCs w:val="24"/>
          <w:u w:val="single"/>
          <w:lang w:val="en-US"/>
        </w:rPr>
        <w:t xml:space="preserve">   </w:t>
      </w:r>
      <w:r>
        <w:rPr>
          <w:rFonts w:hint="eastAsia" w:ascii="宋体" w:hAnsi="宋体" w:eastAsia="宋体" w:cs="宋体"/>
          <w:sz w:val="24"/>
          <w:szCs w:val="24"/>
        </w:rPr>
        <w:t>月</w:t>
      </w:r>
      <w:r>
        <w:rPr>
          <w:rFonts w:hint="default" w:ascii="宋体" w:hAnsi="宋体" w:cs="宋体"/>
          <w:sz w:val="24"/>
          <w:szCs w:val="24"/>
          <w:u w:val="single"/>
          <w:lang w:val="en-US"/>
        </w:rPr>
        <w:t xml:space="preserve">   </w:t>
      </w:r>
      <w:r>
        <w:rPr>
          <w:rFonts w:hint="eastAsia" w:ascii="宋体" w:hAnsi="宋体" w:eastAsia="宋体" w:cs="宋体"/>
          <w:sz w:val="24"/>
          <w:szCs w:val="24"/>
        </w:rPr>
        <w:t>日。</w:t>
      </w:r>
    </w:p>
    <w:p w14:paraId="515EB3C5">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3．在本保函有效期内，因中标人未能按照合同约定履行义务时，我方在收到你方提出的书面索赔通知以及本保函原件后，在10个工作日内无条件地向你方支付累计总额不超过本保函第1款约定的经济赔偿金。</w:t>
      </w:r>
    </w:p>
    <w:p w14:paraId="65EAB904">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4．你方的索赔通知应当符合下列要求：</w:t>
      </w:r>
    </w:p>
    <w:p w14:paraId="667BBA3B">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（1）索赔通知应当列明索赔金额，由你方加盖单位公章和法定代表人印章；</w:t>
      </w:r>
    </w:p>
    <w:p w14:paraId="6BEA82B3">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（2）提交索赔通知的同时出具一份书面申明，申明索赔款项并未由中标人或其委托代理人直接或间接地支付给你方；</w:t>
      </w:r>
    </w:p>
    <w:p w14:paraId="2823329E">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（3）索赔通知书必须在本保函有效期内邮寄或送达以下地址：</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06685658">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5．你方和中标人变更合同时，我方承担本保函规定的义务不变。</w:t>
      </w:r>
    </w:p>
    <w:p w14:paraId="72DA3A8A">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6．本保函项下的权利不得转让或设定担保。</w:t>
      </w:r>
    </w:p>
    <w:p w14:paraId="6FE3779F">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本保函有效期届满，或者我方收到你方与中标人共同签署的解除工程建设合同的书面通知书，或者建设工程项目中止施工超过3个月的书面通知书后，无论是否将保函原件退回我方，本保函自行失效。我方在本保函项下的保证责任解除，此后提出的要求我方履行担保责任的主张无效。</w:t>
      </w:r>
    </w:p>
    <w:p w14:paraId="23F80534">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8．本保函项下所有权利和义务均受中华人民共和国法律管辖和制约。</w:t>
      </w:r>
    </w:p>
    <w:p w14:paraId="5D4F55DD">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开立人：（盖章）</w:t>
      </w:r>
    </w:p>
    <w:p w14:paraId="5296C63B">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法定代表人（负责人）：（签字或盖章）</w:t>
      </w:r>
    </w:p>
    <w:p w14:paraId="31825611">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地址：</w:t>
      </w:r>
    </w:p>
    <w:p w14:paraId="5FC3698B">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邮政编码：</w:t>
      </w:r>
    </w:p>
    <w:p w14:paraId="464ADCA8">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电话：</w:t>
      </w:r>
    </w:p>
    <w:p w14:paraId="0B66B97F">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传真：</w:t>
      </w:r>
    </w:p>
    <w:p w14:paraId="113C09C6">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年月日</w:t>
      </w:r>
    </w:p>
    <w:p w14:paraId="34BBD27E">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br w:type="page"/>
      </w:r>
    </w:p>
    <w:p w14:paraId="114B6856">
      <w:pPr>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附件4-1-2：经评审最低投标价法中标履约担保格式</w:t>
      </w:r>
    </w:p>
    <w:p w14:paraId="61D22E1B">
      <w:pPr>
        <w:spacing w:before="156" w:beforeLines="50" w:after="156" w:afterLines="50" w:line="360" w:lineRule="auto"/>
        <w:jc w:val="center"/>
        <w:rPr>
          <w:rFonts w:hint="eastAsia" w:ascii="宋体" w:hAnsi="宋体" w:eastAsia="宋体" w:cs="宋体"/>
          <w:sz w:val="24"/>
          <w:szCs w:val="24"/>
        </w:rPr>
      </w:pPr>
      <w:r>
        <w:rPr>
          <w:rFonts w:hint="eastAsia" w:ascii="宋体" w:hAnsi="宋体" w:eastAsia="宋体" w:cs="宋体"/>
          <w:b/>
          <w:bCs/>
          <w:color w:val="000000"/>
          <w:sz w:val="32"/>
          <w:szCs w:val="32"/>
        </w:rPr>
        <w:t>建设工程施工履约保证保险</w:t>
      </w:r>
    </w:p>
    <w:p w14:paraId="082C5EA3">
      <w:pPr>
        <w:pStyle w:val="141"/>
        <w:keepNext w:val="0"/>
        <w:keepLines w:val="0"/>
        <w:pageBreakBefore w:val="0"/>
        <w:kinsoku/>
        <w:wordWrap/>
        <w:overflowPunct/>
        <w:topLinePunct w:val="0"/>
        <w:bidi w:val="0"/>
        <w:snapToGrid w:val="0"/>
        <w:spacing w:after="0" w:line="312" w:lineRule="auto"/>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（招标人名称）</w:t>
      </w:r>
      <w:r>
        <w:rPr>
          <w:rFonts w:hint="eastAsia" w:ascii="宋体" w:hAnsi="宋体" w:eastAsia="宋体" w:cs="宋体"/>
          <w:sz w:val="24"/>
          <w:szCs w:val="24"/>
        </w:rPr>
        <w:t>：</w:t>
      </w:r>
    </w:p>
    <w:p w14:paraId="724558B8">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鉴于（以下简称“中标人”）于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日参加你方组织的</w:t>
      </w:r>
      <w:r>
        <w:rPr>
          <w:rFonts w:hint="eastAsia" w:ascii="宋体" w:hAnsi="宋体" w:eastAsia="宋体" w:cs="宋体"/>
          <w:bCs/>
          <w:sz w:val="24"/>
          <w:szCs w:val="24"/>
          <w:u w:val="single"/>
        </w:rPr>
        <w:t>（招标项目及标段）</w:t>
      </w:r>
      <w:r>
        <w:rPr>
          <w:rFonts w:hint="eastAsia" w:ascii="宋体" w:hAnsi="宋体" w:eastAsia="宋体" w:cs="宋体"/>
          <w:sz w:val="24"/>
          <w:szCs w:val="24"/>
        </w:rPr>
        <w:t>施工的招标投标，并收到你方发出的中标通知书。现中标人向我方投保建设工程施工合同履约保证保险（保险单号：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）。我方愿就中标人履行《建设工程施工合同》约定的义务向贵方提供如下保证保险：</w:t>
      </w:r>
    </w:p>
    <w:p w14:paraId="0BEF081D">
      <w:pPr>
        <w:keepNext w:val="0"/>
        <w:keepLines w:val="0"/>
        <w:pageBreakBefore w:val="0"/>
        <w:widowControl/>
        <w:kinsoku/>
        <w:wordWrap/>
        <w:overflowPunct/>
        <w:topLinePunct w:val="0"/>
        <w:bidi w:val="0"/>
        <w:snapToGrid w:val="0"/>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一、保证保险金额</w:t>
      </w:r>
    </w:p>
    <w:p w14:paraId="38D2B9F1">
      <w:pPr>
        <w:keepNext w:val="0"/>
        <w:keepLines w:val="0"/>
        <w:pageBreakBefore w:val="0"/>
        <w:widowControl/>
        <w:kinsoku/>
        <w:wordWrap/>
        <w:overflowPunct/>
        <w:topLinePunct w:val="0"/>
        <w:bidi w:val="0"/>
        <w:snapToGrid w:val="0"/>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我方承担的履约保证保险的保险金额（最高限额）为人民币</w:t>
      </w:r>
      <w:r>
        <w:rPr>
          <w:rFonts w:hint="eastAsia" w:ascii="宋体" w:hAnsi="宋体" w:eastAsia="宋体" w:cs="宋体"/>
          <w:bCs/>
          <w:sz w:val="24"/>
          <w:szCs w:val="24"/>
        </w:rPr>
        <w:t>（大写）</w:t>
      </w:r>
      <w:r>
        <w:rPr>
          <w:rFonts w:hint="eastAsia" w:ascii="宋体" w:hAnsi="宋体" w:eastAsia="宋体" w:cs="宋体"/>
          <w:bCs/>
          <w:sz w:val="24"/>
          <w:szCs w:val="24"/>
          <w:u w:val="single"/>
          <w:lang w:val="en-US" w:eastAsia="zh-CN"/>
        </w:rPr>
        <w:t xml:space="preserve">      </w:t>
      </w:r>
      <w:r>
        <w:rPr>
          <w:rFonts w:hint="eastAsia" w:ascii="宋体" w:hAnsi="宋体" w:eastAsia="宋体" w:cs="宋体"/>
          <w:sz w:val="24"/>
          <w:szCs w:val="24"/>
        </w:rPr>
        <w:t>元（¥</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7BE98970">
      <w:pPr>
        <w:keepNext w:val="0"/>
        <w:keepLines w:val="0"/>
        <w:pageBreakBefore w:val="0"/>
        <w:widowControl/>
        <w:kinsoku/>
        <w:wordWrap/>
        <w:overflowPunct/>
        <w:topLinePunct w:val="0"/>
        <w:bidi w:val="0"/>
        <w:snapToGrid w:val="0"/>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二、保证保险的责任范围</w:t>
      </w:r>
    </w:p>
    <w:p w14:paraId="480D8C6E">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在保险期间内，中标人（投保人）因自身原因未按照与招标人（被保险人）签订的《建设工程施工合同》（合同编号）履行相关义务，导致工程竣工延误或工程质量不符合建设工程施工合同要求，给被保险人造成直接经济损失的，被保险人可向保险人提出索赔，保险人按照保险合同的约定承担损失赔偿责任。</w:t>
      </w:r>
    </w:p>
    <w:p w14:paraId="3303009B">
      <w:pPr>
        <w:keepNext w:val="0"/>
        <w:keepLines w:val="0"/>
        <w:pageBreakBefore w:val="0"/>
        <w:kinsoku/>
        <w:wordWrap/>
        <w:overflowPunct/>
        <w:topLinePunct w:val="0"/>
        <w:bidi w:val="0"/>
        <w:snapToGrid w:val="0"/>
        <w:spacing w:line="312"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三、代偿的安排</w:t>
      </w:r>
    </w:p>
    <w:p w14:paraId="6283E474">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贵方要求我方承担保证保险责任的，应向我方发出书面索赔通知。索赔通知应写明要求索赔的金额，支付款项应到达的</w:t>
      </w:r>
      <w:r>
        <w:rPr>
          <w:rFonts w:hint="eastAsia" w:ascii="宋体" w:hAnsi="宋体" w:cs="宋体"/>
          <w:sz w:val="24"/>
          <w:szCs w:val="24"/>
          <w:lang w:eastAsia="zh-CN"/>
        </w:rPr>
        <w:t>账</w:t>
      </w:r>
      <w:r>
        <w:rPr>
          <w:rFonts w:hint="eastAsia" w:ascii="宋体" w:hAnsi="宋体" w:eastAsia="宋体" w:cs="宋体"/>
          <w:sz w:val="24"/>
          <w:szCs w:val="24"/>
        </w:rPr>
        <w:t>号，并附有说明中标人违约造成贵方损失情况的证明材料。</w:t>
      </w:r>
    </w:p>
    <w:p w14:paraId="24D80EBF">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我方收到贵方的书面索赔通知及相应证明材料后，在</w:t>
      </w:r>
      <w:r>
        <w:rPr>
          <w:rFonts w:hint="eastAsia" w:ascii="宋体" w:hAnsi="宋体" w:eastAsia="宋体" w:cs="宋体"/>
          <w:sz w:val="24"/>
          <w:szCs w:val="24"/>
          <w:u w:val="single"/>
        </w:rPr>
        <w:t>10</w:t>
      </w:r>
      <w:r>
        <w:rPr>
          <w:rFonts w:hint="eastAsia" w:ascii="宋体" w:hAnsi="宋体" w:eastAsia="宋体" w:cs="宋体"/>
          <w:sz w:val="24"/>
          <w:szCs w:val="24"/>
        </w:rPr>
        <w:t>个工作日内进行核定后，按照保险合同的约定承诺承担保证保险责任。</w:t>
      </w:r>
    </w:p>
    <w:p w14:paraId="31C74E40">
      <w:pPr>
        <w:keepNext w:val="0"/>
        <w:keepLines w:val="0"/>
        <w:pageBreakBefore w:val="0"/>
        <w:kinsoku/>
        <w:wordWrap/>
        <w:overflowPunct/>
        <w:topLinePunct w:val="0"/>
        <w:bidi w:val="0"/>
        <w:snapToGrid w:val="0"/>
        <w:spacing w:line="312"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四、保单凭证有效期</w:t>
      </w:r>
    </w:p>
    <w:p w14:paraId="352777F3">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本保单凭证的有效期自</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日零时起至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日二十四时止。</w:t>
      </w:r>
    </w:p>
    <w:p w14:paraId="44060AAC">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（即：保险合同签发之日起至合同到期之日止，具体以保险合同载明为准。）</w:t>
      </w:r>
    </w:p>
    <w:p w14:paraId="58F4CABF">
      <w:pPr>
        <w:keepNext w:val="0"/>
        <w:keepLines w:val="0"/>
        <w:pageBreakBefore w:val="0"/>
        <w:kinsoku/>
        <w:wordWrap/>
        <w:overflowPunct/>
        <w:topLinePunct w:val="0"/>
        <w:bidi w:val="0"/>
        <w:snapToGrid w:val="0"/>
        <w:spacing w:line="312"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五、争议解决方式</w:t>
      </w:r>
    </w:p>
    <w:p w14:paraId="6DAD6E6E">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本保单凭证（函）发生争议协商解决不成，按以下方式解决：提交诉讼</w:t>
      </w:r>
    </w:p>
    <w:p w14:paraId="2ADE2B7B">
      <w:pPr>
        <w:keepNext w:val="0"/>
        <w:keepLines w:val="0"/>
        <w:pageBreakBefore w:val="0"/>
        <w:kinsoku/>
        <w:wordWrap/>
        <w:overflowPunct/>
        <w:topLinePunct w:val="0"/>
        <w:bidi w:val="0"/>
        <w:snapToGrid w:val="0"/>
        <w:spacing w:line="312" w:lineRule="auto"/>
        <w:ind w:firstLine="482" w:firstLineChars="200"/>
        <w:jc w:val="left"/>
        <w:textAlignment w:val="auto"/>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六</w:t>
      </w:r>
      <w:r>
        <w:rPr>
          <w:rFonts w:hint="eastAsia" w:ascii="宋体" w:hAnsi="宋体" w:eastAsia="宋体" w:cs="宋体"/>
          <w:b/>
          <w:bCs w:val="0"/>
          <w:sz w:val="24"/>
          <w:szCs w:val="24"/>
        </w:rPr>
        <w:t>、本保险保单凭证/保函未载明事宜以保险合同约定为准。</w:t>
      </w:r>
    </w:p>
    <w:p w14:paraId="63B58620">
      <w:pPr>
        <w:keepNext w:val="0"/>
        <w:keepLines w:val="0"/>
        <w:pageBreakBefore w:val="0"/>
        <w:kinsoku/>
        <w:wordWrap/>
        <w:overflowPunct/>
        <w:topLinePunct w:val="0"/>
        <w:bidi w:val="0"/>
        <w:snapToGrid w:val="0"/>
        <w:spacing w:line="312" w:lineRule="auto"/>
        <w:ind w:firstLine="482" w:firstLineChars="200"/>
        <w:jc w:val="left"/>
        <w:textAlignment w:val="auto"/>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七</w:t>
      </w:r>
      <w:r>
        <w:rPr>
          <w:rFonts w:hint="eastAsia" w:ascii="宋体" w:hAnsi="宋体" w:eastAsia="宋体" w:cs="宋体"/>
          <w:b/>
          <w:bCs w:val="0"/>
          <w:sz w:val="24"/>
          <w:szCs w:val="24"/>
        </w:rPr>
        <w:t>、本保险保单凭证/保函自保险人或授权代理人签字并加盖公章之日起生效。</w:t>
      </w:r>
    </w:p>
    <w:p w14:paraId="2CB55945">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保险人名称：</w:t>
      </w:r>
    </w:p>
    <w:p w14:paraId="6097331C">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rPr>
        <w:tab/>
      </w:r>
    </w:p>
    <w:p w14:paraId="03DDBE3A">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邮政编码：</w:t>
      </w:r>
      <w:r>
        <w:rPr>
          <w:rFonts w:hint="eastAsia" w:ascii="宋体" w:hAnsi="宋体" w:eastAsia="宋体" w:cs="宋体"/>
          <w:sz w:val="24"/>
          <w:szCs w:val="24"/>
        </w:rPr>
        <w:tab/>
      </w:r>
    </w:p>
    <w:p w14:paraId="24916F3C">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电话：</w:t>
      </w:r>
      <w:r>
        <w:rPr>
          <w:rFonts w:hint="eastAsia" w:ascii="宋体" w:hAnsi="宋体" w:eastAsia="宋体" w:cs="宋体"/>
          <w:sz w:val="24"/>
          <w:szCs w:val="24"/>
        </w:rPr>
        <w:tab/>
      </w:r>
    </w:p>
    <w:p w14:paraId="0D0A74C6">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rPr>
        <w:tab/>
      </w:r>
      <w:r>
        <w:rPr>
          <w:rFonts w:hint="eastAsia" w:ascii="宋体" w:hAnsi="宋体" w:eastAsia="宋体" w:cs="宋体"/>
          <w:sz w:val="24"/>
          <w:szCs w:val="24"/>
        </w:rPr>
        <w:t>年月日</w:t>
      </w:r>
    </w:p>
    <w:p w14:paraId="40EF4DBA">
      <w:pP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p>
    <w:p w14:paraId="1ADDFEBE">
      <w:pPr>
        <w:keepNext w:val="0"/>
        <w:keepLines w:val="0"/>
        <w:pageBreakBefore w:val="0"/>
        <w:widowControl w:val="0"/>
        <w:kinsoku/>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附件12：</w:t>
      </w:r>
    </w:p>
    <w:p w14:paraId="2EEAEC1A">
      <w:pPr>
        <w:spacing w:before="156" w:beforeLines="50" w:after="156" w:afterLines="50" w:line="360" w:lineRule="auto"/>
        <w:jc w:val="center"/>
        <w:rPr>
          <w:rFonts w:hint="eastAsia" w:ascii="宋体" w:hAnsi="宋体" w:eastAsia="宋体" w:cs="宋体"/>
          <w:color w:val="auto"/>
          <w:sz w:val="24"/>
          <w:szCs w:val="24"/>
        </w:rPr>
      </w:pPr>
      <w:r>
        <w:rPr>
          <w:rFonts w:hint="eastAsia" w:ascii="宋体" w:hAnsi="宋体" w:eastAsia="宋体" w:cs="宋体"/>
          <w:b/>
          <w:bCs/>
          <w:color w:val="000000"/>
          <w:sz w:val="32"/>
          <w:szCs w:val="32"/>
        </w:rPr>
        <w:t>安全生产责任合同</w:t>
      </w:r>
    </w:p>
    <w:p w14:paraId="09CCEDE2">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根据《中华人民共和国安全生产法》和国家有关的法规、条例和规定，为进一步促进工程建设的安全生产工作，落实“安全第一、预防为主”的方针，</w:t>
      </w:r>
      <w:r>
        <w:rPr>
          <w:rFonts w:hint="eastAsia" w:ascii="宋体" w:hAnsi="宋体" w:eastAsia="宋体" w:cs="宋体"/>
          <w:color w:val="auto"/>
          <w:sz w:val="24"/>
          <w:szCs w:val="24"/>
          <w:u w:val="single"/>
        </w:rPr>
        <w:t xml:space="preserve"> </w:t>
      </w:r>
      <w:r>
        <w:rPr>
          <w:rFonts w:hint="eastAsia" w:ascii="宋体" w:hAnsi="宋体" w:eastAsia="宋体" w:cs="宋体"/>
          <w:b/>
          <w:bCs/>
          <w:color w:val="auto"/>
          <w:sz w:val="24"/>
          <w:szCs w:val="24"/>
          <w:u w:val="single"/>
        </w:rPr>
        <w:t xml:space="preserve">          </w:t>
      </w:r>
      <w:r>
        <w:rPr>
          <w:rFonts w:hint="eastAsia" w:ascii="宋体" w:hAnsi="宋体" w:eastAsia="宋体" w:cs="宋体"/>
          <w:color w:val="auto"/>
          <w:sz w:val="24"/>
          <w:szCs w:val="24"/>
        </w:rPr>
        <w:t>（以下简称甲方）与施工单位</w:t>
      </w:r>
      <w:r>
        <w:rPr>
          <w:rFonts w:hint="eastAsia" w:ascii="宋体" w:hAnsi="宋体" w:eastAsia="宋体" w:cs="宋体"/>
          <w:color w:val="auto"/>
          <w:sz w:val="24"/>
          <w:szCs w:val="24"/>
          <w:u w:val="single"/>
        </w:rPr>
        <w:t xml:space="preserve"> </w:t>
      </w:r>
      <w:r>
        <w:rPr>
          <w:rFonts w:hint="eastAsia" w:ascii="宋体" w:hAnsi="宋体" w:eastAsia="宋体" w:cs="宋体"/>
          <w:b/>
          <w:bCs/>
          <w:color w:val="auto"/>
          <w:sz w:val="24"/>
          <w:szCs w:val="24"/>
          <w:u w:val="single"/>
        </w:rPr>
        <w:t xml:space="preserve">          </w:t>
      </w:r>
      <w:r>
        <w:rPr>
          <w:rFonts w:hint="eastAsia" w:ascii="宋体" w:hAnsi="宋体" w:eastAsia="宋体" w:cs="宋体"/>
          <w:color w:val="auto"/>
          <w:sz w:val="24"/>
          <w:szCs w:val="24"/>
        </w:rPr>
        <w:t>（以下简称乙方），特订立安全生产责任合同。</w:t>
      </w:r>
    </w:p>
    <w:p w14:paraId="41E5D2F6">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第一条 本建设工程的安全生产目标</w:t>
      </w:r>
    </w:p>
    <w:p w14:paraId="190D7589">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消灭重大和一般质量事故；</w:t>
      </w:r>
    </w:p>
    <w:p w14:paraId="12DDF893">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消灭人身重伤和死亡事故。</w:t>
      </w:r>
    </w:p>
    <w:p w14:paraId="2919014D">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第二条 双方的权利和义务</w:t>
      </w:r>
    </w:p>
    <w:p w14:paraId="3C7CB13D">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严格遵守国家有关安全生产的法律、法规及建设部的有关规定；</w:t>
      </w:r>
    </w:p>
    <w:p w14:paraId="38773F05">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严格执行施工合同，自觉按合同办事：“谁管生产、谁管安全”，做到时时、事事、处处讲安全；</w:t>
      </w:r>
    </w:p>
    <w:p w14:paraId="6A70356D">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双方都必须采取有力措施，维护国家、集体的利益，保障人民生命财产安全，不得违反工程建设管理规章制度；</w:t>
      </w:r>
    </w:p>
    <w:p w14:paraId="307AE53C">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发现对方在施工作业中，有违反安全生产规定的行为，有及时提醒对方纠正的权利和义务；</w:t>
      </w:r>
    </w:p>
    <w:p w14:paraId="195AFA95">
      <w:pPr>
        <w:keepNext w:val="0"/>
        <w:keepLines w:val="0"/>
        <w:pageBreakBefore w:val="0"/>
        <w:widowControl w:val="0"/>
        <w:kinsoku/>
        <w:overflowPunct/>
        <w:topLinePunct w:val="0"/>
        <w:autoSpaceDE/>
        <w:autoSpaceDN/>
        <w:bidi w:val="0"/>
        <w:adjustRightInd/>
        <w:spacing w:line="360" w:lineRule="auto"/>
        <w:ind w:firstLine="456" w:firstLineChars="200"/>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5</w:t>
      </w:r>
      <w:r>
        <w:rPr>
          <w:rFonts w:hint="eastAsia" w:ascii="宋体" w:hAnsi="宋体" w:eastAsia="宋体" w:cs="宋体"/>
          <w:color w:val="auto"/>
          <w:spacing w:val="-6"/>
          <w:sz w:val="24"/>
          <w:szCs w:val="24"/>
          <w:lang w:eastAsia="zh-CN"/>
        </w:rPr>
        <w:t>．</w:t>
      </w:r>
      <w:r>
        <w:rPr>
          <w:rFonts w:hint="eastAsia" w:ascii="宋体" w:hAnsi="宋体" w:eastAsia="宋体" w:cs="宋体"/>
          <w:color w:val="auto"/>
          <w:spacing w:val="-6"/>
          <w:sz w:val="24"/>
          <w:szCs w:val="24"/>
        </w:rPr>
        <w:t>发现对方严重违反安全生产的行为，有向上级有关部门举报，建议给予处理并要求告知处理结果的权利。</w:t>
      </w:r>
    </w:p>
    <w:p w14:paraId="104D9B86">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第三条 甲方的义务</w:t>
      </w:r>
    </w:p>
    <w:p w14:paraId="486BD312">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及时传达贯彻上级有关安全生产工作的指示，适时布置任务。</w:t>
      </w:r>
    </w:p>
    <w:p w14:paraId="2C755D8E">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对安全生产工作及时进行指导、服务、督促、检查。</w:t>
      </w:r>
    </w:p>
    <w:p w14:paraId="3DE22C65">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帮助乙方总结安全生产经验并及时进行推广。</w:t>
      </w:r>
    </w:p>
    <w:p w14:paraId="74DC8ED3">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定期召集乙方有关部门召开安全生产会议，交流情况，剖析问题，布置工作。</w:t>
      </w:r>
    </w:p>
    <w:p w14:paraId="0327CDB5">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第四条 乙方的义务</w:t>
      </w:r>
    </w:p>
    <w:p w14:paraId="0006E706">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．项目负责人</w:t>
      </w:r>
      <w:r>
        <w:rPr>
          <w:rFonts w:hint="eastAsia" w:ascii="宋体" w:hAnsi="宋体" w:eastAsia="宋体" w:cs="宋体"/>
          <w:color w:val="auto"/>
          <w:sz w:val="24"/>
          <w:szCs w:val="24"/>
        </w:rPr>
        <w:t>应对本工程的安全及事故负总责，并接受安全生产管理部门对本项目有关工作的安全管理。</w:t>
      </w:r>
    </w:p>
    <w:p w14:paraId="7F80A9DF">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认真落实安全生产措施，制订各级安全生产责任制，逐级签订安全生产责任书，建立安全生产保证体系，做到有专人负责安全生产管理工作。检查督促按规范进行安全操作，确保安全生产。</w:t>
      </w:r>
    </w:p>
    <w:p w14:paraId="123F7807">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开展多种形式的安全宣传教育和安全活动，提高员工安全素质，增强安全意识。做到驻地防火、防盗、安全用电，在施工现场中，要佩戴安全帽等防护用品。</w:t>
      </w:r>
    </w:p>
    <w:p w14:paraId="682B0771">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开展经常性安全检查，对查出的隐患必须督促班组及时整改。</w:t>
      </w:r>
    </w:p>
    <w:p w14:paraId="5DC804B1">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发生一般、重大质量事故和人员伤亡事故，要保护好现场，及时报告。</w:t>
      </w:r>
    </w:p>
    <w:p w14:paraId="305786D3">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加强民用爆炸物品的管理，认真执行《民用爆炸物品安全管理条例》和有关规定。</w:t>
      </w:r>
    </w:p>
    <w:p w14:paraId="2A1B1942">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对各施工点安全生产经常检查，及时排除安全隐患，确保安全。</w:t>
      </w:r>
    </w:p>
    <w:p w14:paraId="581FD621">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严格执行投标书中所有安全生产承诺的内容。</w:t>
      </w:r>
    </w:p>
    <w:p w14:paraId="19897A02">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第五条 违约责任</w:t>
      </w:r>
    </w:p>
    <w:p w14:paraId="6E2D47F1">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甲乙双方对各自承担的义务负责，如有违反，造成事故者，按管理权限追究责任，给予相应的处罚；涉嫌犯罪的，依法追究刑事责任。</w:t>
      </w:r>
    </w:p>
    <w:p w14:paraId="6C7FFA80">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第六条 本合同有效期为甲乙双方自签署之日起至该工程竣工后止。</w:t>
      </w:r>
    </w:p>
    <w:p w14:paraId="6069DA71">
      <w:pPr>
        <w:keepNext w:val="0"/>
        <w:keepLines w:val="0"/>
        <w:pageBreakBefore w:val="0"/>
        <w:widowControl w:val="0"/>
        <w:kinsoku/>
        <w:overflowPunct/>
        <w:topLinePunct w:val="0"/>
        <w:autoSpaceDE/>
        <w:autoSpaceDN/>
        <w:bidi w:val="0"/>
        <w:adjustRightInd/>
        <w:spacing w:line="360" w:lineRule="auto"/>
        <w:ind w:firstLine="458" w:firstLineChars="200"/>
        <w:textAlignment w:val="auto"/>
        <w:rPr>
          <w:rFonts w:hint="eastAsia" w:ascii="宋体" w:hAnsi="宋体" w:eastAsia="宋体" w:cs="宋体"/>
          <w:b/>
          <w:bCs/>
          <w:color w:val="auto"/>
          <w:spacing w:val="-6"/>
          <w:sz w:val="24"/>
          <w:szCs w:val="24"/>
        </w:rPr>
      </w:pPr>
      <w:r>
        <w:rPr>
          <w:rFonts w:hint="eastAsia" w:ascii="宋体" w:hAnsi="宋体" w:eastAsia="宋体" w:cs="宋体"/>
          <w:b/>
          <w:bCs/>
          <w:color w:val="auto"/>
          <w:spacing w:val="-6"/>
          <w:sz w:val="24"/>
          <w:szCs w:val="24"/>
        </w:rPr>
        <w:t>第七条 本合同作为本工程施工合同附件，与工程施工合同具同等的法律效力，经合同双方签字后即生效。</w:t>
      </w:r>
    </w:p>
    <w:p w14:paraId="7B086A8C">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第八条 本合同甲乙双方各执一份，送交双方监督单位一份。</w:t>
      </w:r>
    </w:p>
    <w:p w14:paraId="2280C8DC">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p>
    <w:p w14:paraId="61DA9120">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甲方单位：（盖章）                  乙方单位：（盖章）</w:t>
      </w:r>
    </w:p>
    <w:p w14:paraId="564F2BC5">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p>
    <w:p w14:paraId="1A597288">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法定代表人：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法定代表人：</w:t>
      </w:r>
    </w:p>
    <w:p w14:paraId="1965CB11">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p>
    <w:p w14:paraId="2036ADD9">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p>
    <w:p w14:paraId="712F4CD2">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p>
    <w:p w14:paraId="62193FCA">
      <w:pPr>
        <w:keepNext w:val="0"/>
        <w:keepLines w:val="0"/>
        <w:pageBreakBefore w:val="0"/>
        <w:widowControl w:val="0"/>
        <w:tabs>
          <w:tab w:val="left" w:pos="1980"/>
        </w:tabs>
        <w:kinsoku/>
        <w:wordWrap w:val="0"/>
        <w:overflowPunct/>
        <w:topLinePunct w:val="0"/>
        <w:autoSpaceDE/>
        <w:autoSpaceDN/>
        <w:bidi w:val="0"/>
        <w:adjustRightInd/>
        <w:snapToGrid w:val="0"/>
        <w:spacing w:line="360" w:lineRule="auto"/>
        <w:ind w:firstLine="480" w:firstLineChars="200"/>
        <w:jc w:val="righ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签订日期：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0A9E92C8">
      <w:pPr>
        <w:pStyle w:val="3"/>
        <w:bidi w:val="0"/>
      </w:pPr>
      <w:r>
        <w:rPr>
          <w:rFonts w:hint="eastAsia" w:ascii="宋体" w:hAnsi="宋体" w:eastAsia="宋体" w:cs="宋体"/>
          <w:color w:val="auto"/>
          <w:szCs w:val="21"/>
          <w:lang w:val="en-US" w:eastAsia="zh-CN"/>
        </w:rPr>
        <w:br w:type="page"/>
      </w:r>
      <w:bookmarkStart w:id="803" w:name="_Toc80006113"/>
      <w:bookmarkStart w:id="804" w:name="_Toc19499"/>
      <w:bookmarkStart w:id="805" w:name="_Toc16290"/>
      <w:r>
        <w:t xml:space="preserve">第五章 </w:t>
      </w:r>
      <w:r>
        <w:rPr>
          <w:rFonts w:hint="eastAsia"/>
          <w:lang w:val="en-US" w:eastAsia="zh-CN"/>
        </w:rPr>
        <w:t xml:space="preserve"> </w:t>
      </w:r>
      <w:r>
        <w:t>工程量清单</w:t>
      </w:r>
      <w:bookmarkEnd w:id="803"/>
      <w:bookmarkEnd w:id="804"/>
      <w:bookmarkEnd w:id="805"/>
    </w:p>
    <w:p w14:paraId="1D3E8B60">
      <w:pPr>
        <w:rPr>
          <w:rFonts w:eastAsia="黑体"/>
          <w:color w:val="auto"/>
          <w:szCs w:val="21"/>
          <w:highlight w:val="none"/>
        </w:rPr>
      </w:pPr>
    </w:p>
    <w:p w14:paraId="5B3C8397">
      <w:pPr>
        <w:pStyle w:val="5"/>
        <w:bidi w:val="0"/>
        <w:rPr>
          <w:rFonts w:hint="eastAsia"/>
        </w:rPr>
      </w:pPr>
      <w:bookmarkStart w:id="806" w:name="_Toc29272"/>
      <w:bookmarkStart w:id="807" w:name="_Toc80006114"/>
      <w:bookmarkStart w:id="808" w:name="_Toc10375"/>
      <w:bookmarkStart w:id="809" w:name="_Toc16155"/>
      <w:bookmarkStart w:id="810" w:name="_Toc9178540"/>
      <w:r>
        <w:rPr>
          <w:rFonts w:hint="eastAsia"/>
        </w:rPr>
        <w:t>1</w:t>
      </w:r>
      <w:r>
        <w:rPr>
          <w:rFonts w:hint="eastAsia"/>
          <w:lang w:eastAsia="zh-CN"/>
        </w:rPr>
        <w:t>．</w:t>
      </w:r>
      <w:r>
        <w:rPr>
          <w:rFonts w:hint="eastAsia"/>
        </w:rPr>
        <w:t>工程量清单说明</w:t>
      </w:r>
      <w:bookmarkEnd w:id="806"/>
      <w:bookmarkEnd w:id="807"/>
      <w:bookmarkEnd w:id="808"/>
      <w:bookmarkEnd w:id="809"/>
    </w:p>
    <w:p w14:paraId="40E34B8F">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本工程量清单是依据《建设工程工程量清单计价规范》(GB50500-2013,简称“国家计价规范”)、《关于印发2020&lt;湖南省建设工程计价办法&gt;及&lt;湖南省建设工程消耗量标准&gt;的通知》(湘建价〔2020〕56号,以下简称《计价办法》)以及招标文件中包括的图纸等编制。《计价办法》中规定的工程量计算规则中没有的项目,在本章第1.4款及本文件《第四章合同条款及格式》中约定;《计价办法》中规定的工程量计算规则中没有且本章第1.4款及本文件《第四章合同条款及格式》中也未约定的,双方协商确定;协商不成的,可向省级建设工程造价管理机构申请裁定。</w:t>
      </w:r>
    </w:p>
    <w:p w14:paraId="1BDB9C4A">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1.2本工程量清单应与招标文件中的投标人须知、通用合同条款、专用合同条款、技术标准和要求及图纸等章节内容一起阅读和理解。</w:t>
      </w:r>
    </w:p>
    <w:p w14:paraId="1406D2CE">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1.3本工程量清单是工程量清单计价的基础,应为编制最高投标限价、投标报价、计算或调整工程量、索赔等的依据之一。合同履行期间,本工程量清单缺陷经发承包双方确认后,应按照承包人实际完成合同工程的应予计量的工程量和实际发生的措施项目调整,合同价格的确定以及价款支付应遵循合同条款(包括通用合同条款和专用合同条款)、技术标准和要求以及本章的有关约定。</w:t>
      </w:r>
    </w:p>
    <w:p w14:paraId="17A33ECA">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1.4补充项目的项目特征、计量单位、工程量计算规则及工作内容说明如下:</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75152287">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1.5本条第1.1款中约定的计量和计价规则适用于合同履约过程中工程量计量与价款支付、工程变更、索赔和工程结算。</w:t>
      </w:r>
    </w:p>
    <w:p w14:paraId="38EF27E4">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1.6本条与下述第2条和第3条的说明内容是构成合同文件的已标价工程量清单的组成部分。</w:t>
      </w:r>
    </w:p>
    <w:p w14:paraId="3BA93B4A">
      <w:pPr>
        <w:pStyle w:val="5"/>
        <w:bidi w:val="0"/>
        <w:rPr>
          <w:rFonts w:hint="eastAsia"/>
        </w:rPr>
      </w:pPr>
      <w:bookmarkStart w:id="811" w:name="_Toc29190"/>
      <w:bookmarkStart w:id="812" w:name="_Toc80006115"/>
      <w:bookmarkStart w:id="813" w:name="_Toc24626"/>
      <w:bookmarkStart w:id="814" w:name="_Toc1479"/>
      <w:r>
        <w:rPr>
          <w:rFonts w:hint="eastAsia"/>
        </w:rPr>
        <w:t>2</w:t>
      </w:r>
      <w:r>
        <w:rPr>
          <w:rFonts w:hint="eastAsia"/>
          <w:lang w:eastAsia="zh-CN"/>
        </w:rPr>
        <w:t>．</w:t>
      </w:r>
      <w:r>
        <w:rPr>
          <w:rFonts w:hint="eastAsia"/>
        </w:rPr>
        <w:t>最高投标限价编制说明及公布内容</w:t>
      </w:r>
      <w:bookmarkEnd w:id="811"/>
      <w:bookmarkEnd w:id="812"/>
      <w:bookmarkEnd w:id="813"/>
      <w:bookmarkEnd w:id="814"/>
    </w:p>
    <w:p w14:paraId="4EE1EC33">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2.1最高投标限价编制依据</w:t>
      </w:r>
    </w:p>
    <w:p w14:paraId="3CA1A12D">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2.1.1本招标文件及补充通知、答疑纪要、招标工程量清单;</w:t>
      </w:r>
    </w:p>
    <w:p w14:paraId="33579A62">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2.1.2《建设工程工程量清单计价规范》;</w:t>
      </w:r>
    </w:p>
    <w:p w14:paraId="5463B332">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2.1.3《关于印发2020&lt;湖南省建设工程计价办法&gt;及&lt;湖南省建设工程消耗量标准&gt;的通知》(湘建价〔2020〕56号);</w:t>
      </w:r>
    </w:p>
    <w:p w14:paraId="6A075172">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2.1.4湖南省建设行政主管部门颁发的建设工程消耗量标准,取费标准、计费程序、人工费及机械费系数;</w:t>
      </w:r>
    </w:p>
    <w:p w14:paraId="567F64DB">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2.1.5建设工程设计文件及相关资料;</w:t>
      </w:r>
    </w:p>
    <w:p w14:paraId="5E4FF0C1">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2.1.6与建设项目相关的标准、规范、技术资料;</w:t>
      </w:r>
    </w:p>
    <w:p w14:paraId="3D5C78F2">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2.1.7工程造价管理机构发布的工程造价信息,工程造价信息没有发布的参照市场价;</w:t>
      </w:r>
    </w:p>
    <w:p w14:paraId="18726244">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2.1.8施工现场情况、工程特点及常规施工方案;</w:t>
      </w:r>
    </w:p>
    <w:p w14:paraId="20F018EC">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2.1.9其他的相关资料(招标人可根据有关规定进行细化);</w:t>
      </w:r>
    </w:p>
    <w:p w14:paraId="3E640924">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w:t>
      </w:r>
    </w:p>
    <w:p w14:paraId="021FFE3D">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2.2本最高投标限价由具有编制能力的招标人或受其委托并具有相应资质的工程造价咨询机构(招标人根据情况选择)编制和复核。</w:t>
      </w:r>
    </w:p>
    <w:p w14:paraId="3C08FF1A">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2.3最高投标限价公布内容</w:t>
      </w:r>
    </w:p>
    <w:p w14:paraId="61A80D5B">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2.3.1本项目设最高投标限价,最高投标限价见投标人须知前附表。</w:t>
      </w:r>
    </w:p>
    <w:p w14:paraId="0EAACEF3">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2.3.2投标人对最高投标限价有疑问的,可在投标人须知前附表规定的时间和方式向招标人或招标代理机构提出;招标人对最高投标限价若有调整,则在投标截止时间</w:t>
      </w:r>
      <w:r>
        <w:rPr>
          <w:rFonts w:hint="eastAsia" w:ascii="宋体" w:hAnsi="宋体" w:cs="宋体"/>
          <w:color w:val="auto"/>
          <w:kern w:val="2"/>
          <w:sz w:val="24"/>
          <w:szCs w:val="24"/>
          <w:highlight w:val="none"/>
          <w:lang w:val="en-US" w:eastAsia="zh-CN"/>
        </w:rPr>
        <w:t>3日</w:t>
      </w:r>
      <w:r>
        <w:rPr>
          <w:rFonts w:hint="eastAsia" w:ascii="宋体" w:hAnsi="宋体" w:eastAsia="宋体" w:cs="宋体"/>
          <w:color w:val="auto"/>
          <w:kern w:val="2"/>
          <w:sz w:val="24"/>
          <w:szCs w:val="24"/>
          <w:highlight w:val="none"/>
        </w:rPr>
        <w:t>前</w:t>
      </w:r>
      <w:r>
        <w:rPr>
          <w:rFonts w:hint="eastAsia" w:ascii="宋体" w:hAnsi="宋体" w:eastAsia="宋体" w:cs="宋体"/>
          <w:color w:val="auto"/>
          <w:kern w:val="2"/>
          <w:sz w:val="24"/>
          <w:szCs w:val="24"/>
          <w:highlight w:val="none"/>
          <w:u w:val="single"/>
        </w:rPr>
        <w:t>(</w:t>
      </w:r>
      <w:r>
        <w:rPr>
          <w:rFonts w:hint="eastAsia" w:ascii="宋体" w:hAnsi="宋体" w:cs="宋体"/>
          <w:b/>
          <w:bCs/>
          <w:color w:val="auto"/>
          <w:kern w:val="2"/>
          <w:sz w:val="24"/>
          <w:szCs w:val="24"/>
          <w:highlight w:val="none"/>
          <w:u w:val="single"/>
          <w:lang w:val="en-US" w:eastAsia="zh-CN"/>
        </w:rPr>
        <w:t>将</w:t>
      </w:r>
      <w:r>
        <w:rPr>
          <w:rFonts w:hint="eastAsia" w:ascii="宋体" w:hAnsi="宋体" w:eastAsia="宋体" w:cs="宋体"/>
          <w:b/>
          <w:bCs/>
          <w:color w:val="auto"/>
          <w:kern w:val="2"/>
          <w:sz w:val="24"/>
          <w:szCs w:val="24"/>
          <w:highlight w:val="none"/>
          <w:u w:val="single"/>
        </w:rPr>
        <w:t>最高投标限价调整文件</w:t>
      </w:r>
      <w:r>
        <w:rPr>
          <w:rFonts w:hint="eastAsia" w:ascii="宋体" w:hAnsi="宋体" w:cs="宋体"/>
          <w:b/>
          <w:bCs/>
          <w:color w:val="auto"/>
          <w:kern w:val="2"/>
          <w:sz w:val="24"/>
          <w:szCs w:val="24"/>
          <w:highlight w:val="none"/>
          <w:u w:val="single"/>
          <w:lang w:val="en-US" w:eastAsia="zh-CN"/>
        </w:rPr>
        <w:t>在招标公告同一</w:t>
      </w:r>
      <w:r>
        <w:rPr>
          <w:rFonts w:hint="eastAsia" w:ascii="宋体" w:hAnsi="宋体" w:eastAsia="宋体" w:cs="宋体"/>
          <w:b/>
          <w:bCs/>
          <w:color w:val="auto"/>
          <w:kern w:val="2"/>
          <w:sz w:val="24"/>
          <w:szCs w:val="24"/>
          <w:highlight w:val="none"/>
          <w:u w:val="single"/>
        </w:rPr>
        <w:t>媒介</w:t>
      </w:r>
      <w:r>
        <w:rPr>
          <w:rFonts w:hint="eastAsia" w:ascii="宋体" w:hAnsi="宋体" w:cs="宋体"/>
          <w:b/>
          <w:bCs/>
          <w:color w:val="auto"/>
          <w:kern w:val="2"/>
          <w:sz w:val="24"/>
          <w:szCs w:val="24"/>
          <w:highlight w:val="none"/>
          <w:u w:val="single"/>
          <w:lang w:val="en-US" w:eastAsia="zh-CN"/>
        </w:rPr>
        <w:t>上</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rPr>
        <w:t>公示。。投标人应自行查阅,招标代理机构不另行通知。</w:t>
      </w:r>
    </w:p>
    <w:p w14:paraId="1BFA9D3C">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2.3.3公布的最高投标限价至少载明下列内容:</w:t>
      </w:r>
    </w:p>
    <w:p w14:paraId="31DF3064">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(1)最高投标限价的总价;</w:t>
      </w:r>
    </w:p>
    <w:p w14:paraId="2FB780EF">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(2)各单位工程的分部分项工程费;</w:t>
      </w:r>
    </w:p>
    <w:p w14:paraId="09A2F9FF">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(3)措施项目费（含绿色施工安全防护措施费及费率）;</w:t>
      </w:r>
    </w:p>
    <w:p w14:paraId="240B4D9C">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(4)其他项目费（含安全责任险、环境保护税及费率）;</w:t>
      </w:r>
    </w:p>
    <w:p w14:paraId="43F2D62A">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(5)销项税额（应纳税额）;</w:t>
      </w:r>
    </w:p>
    <w:p w14:paraId="1DDCD5BB">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(6)重点评审的工程量清单综合单价(含能计量的措施项目)和材料、设备单价;</w:t>
      </w:r>
    </w:p>
    <w:p w14:paraId="0B8DAB91">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(7)其它重要信息和数据(由招标人根据需要进行补充)。</w:t>
      </w:r>
    </w:p>
    <w:p w14:paraId="2F32C2DD">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2.4最高投标限价应按本章第2.1款的规定编制,不应上浮或下调。</w:t>
      </w:r>
    </w:p>
    <w:p w14:paraId="5905E1B5">
      <w:pPr>
        <w:pStyle w:val="5"/>
        <w:bidi w:val="0"/>
        <w:rPr>
          <w:rFonts w:hint="eastAsia"/>
        </w:rPr>
      </w:pPr>
      <w:bookmarkStart w:id="815" w:name="_Toc32546"/>
      <w:bookmarkStart w:id="816" w:name="_Toc20744"/>
      <w:bookmarkStart w:id="817" w:name="_Toc80006116"/>
      <w:bookmarkStart w:id="818" w:name="_Toc511"/>
      <w:r>
        <w:rPr>
          <w:rFonts w:hint="eastAsia"/>
        </w:rPr>
        <w:t>3</w:t>
      </w:r>
      <w:r>
        <w:rPr>
          <w:rFonts w:hint="eastAsia"/>
          <w:lang w:eastAsia="zh-CN"/>
        </w:rPr>
        <w:t>．</w:t>
      </w:r>
      <w:r>
        <w:rPr>
          <w:rFonts w:hint="eastAsia"/>
        </w:rPr>
        <w:t>投标报价说明</w:t>
      </w:r>
      <w:bookmarkEnd w:id="815"/>
      <w:bookmarkEnd w:id="816"/>
      <w:bookmarkEnd w:id="817"/>
      <w:bookmarkEnd w:id="818"/>
    </w:p>
    <w:p w14:paraId="1AF91A32">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3.1投标报价应根据招标文件中的有关计价要求,并按照下列依据自主报价。</w:t>
      </w:r>
    </w:p>
    <w:p w14:paraId="2D17F5B4">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(1)本招标文件、招标工程量清单;</w:t>
      </w:r>
    </w:p>
    <w:p w14:paraId="00D759C5">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(2)《建设工程工程量清单计价规范》;</w:t>
      </w:r>
    </w:p>
    <w:p w14:paraId="0CF2B583">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(3)《关于印发2020&lt;湖南省建设工程计价办法&gt;及&lt;湖南省建设工程消耗量标准&gt;的通知》(湘建价〔2020〕56号);</w:t>
      </w:r>
    </w:p>
    <w:p w14:paraId="460632BD">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(4)企业定额和企业数据,湖南省建设行政主管部门颁发的建设工程消耗量标准,取费标准、计费程序;</w:t>
      </w:r>
    </w:p>
    <w:p w14:paraId="47C4D759">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(5)招标文件(包括工程量清单)的澄清、补充和修改文件;</w:t>
      </w:r>
    </w:p>
    <w:p w14:paraId="53444ED3">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(6)建设工程设计文件及相关资料;</w:t>
      </w:r>
    </w:p>
    <w:p w14:paraId="5F26B281">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(7)施工现场情况、工程特点及拟定的投标施工组织设计或施工方案;</w:t>
      </w:r>
    </w:p>
    <w:p w14:paraId="32B20D95">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(8)与建设项目相关的标准、规范等技术资料;</w:t>
      </w:r>
    </w:p>
    <w:p w14:paraId="293C5685">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(9)市场价格信息或工程造价管理机构发布的工程造价信息;</w:t>
      </w:r>
    </w:p>
    <w:p w14:paraId="4D649275">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(10)其他的相关资料(招标人可根据有关规定进行细化);</w:t>
      </w:r>
    </w:p>
    <w:p w14:paraId="7B68EE12">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w:t>
      </w:r>
    </w:p>
    <w:p w14:paraId="59F82D35">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3.2工程量清单与计价表中列明的所有需要填写单价和合价的项目,投标人均应填写且只允许有一个报价。未填写单价和合价的项目,可视为此项费用已包括在已标价工程量清单中其他相关项目的单价和合价之中。结算时,此项目不得重新组价与调整。</w:t>
      </w:r>
    </w:p>
    <w:p w14:paraId="555B796E">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3.3工程量清单中标价的综合单价或金额,应包括所需人工费、材料费、施工机具使用费、企业管理费、利润,以及一定范围和幅度内风险的费用。所谓“一定范围和幅度内风险”是指合同约定的风险。</w:t>
      </w:r>
    </w:p>
    <w:p w14:paraId="2FB6F5C9">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3.4“投标总价应当与分部分项工程费、措施项目费、其他项目费、增值税的合计金额一致。</w:t>
      </w:r>
    </w:p>
    <w:p w14:paraId="50D97D06">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3.5分部分项工程项目和单价措施项目,应根据工程量清单项目中的特征描述确定综合单价。</w:t>
      </w:r>
    </w:p>
    <w:p w14:paraId="5126DC15">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3.6总价措施项目金额应根据招标文件和投标人拟定的施工组织设计计算,并列出其计算公式或计算方法。</w:t>
      </w:r>
    </w:p>
    <w:p w14:paraId="027CDC4C">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3.7绿色施工安全防护措施项目应按国家或省级建设行政主管部门的规定计算,不得作为竞争性费用。</w:t>
      </w:r>
    </w:p>
    <w:p w14:paraId="5A6C7792">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3.8其他项目清单应按照下列要求报价</w:t>
      </w:r>
    </w:p>
    <w:p w14:paraId="22750128">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(1)暂列金额应按工程量清单中列出的金额填写;</w:t>
      </w:r>
    </w:p>
    <w:p w14:paraId="57845167">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(2)暂估价项目应按工程量清单中列出的金额填写;</w:t>
      </w:r>
    </w:p>
    <w:p w14:paraId="2F44E90D">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(3)计日工应按工程量清单中列出的项目和数量,参考国家、省级、行业建设主管部门颁发的计价文件及其计价办法和市场定价方法、类似工程计价方法及企业定额和数据确定综合单价计算计日工金额;</w:t>
      </w:r>
    </w:p>
    <w:p w14:paraId="17032CE6">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(4)总承包服务费应按工程量清单中列出的项目及其项目特征描述和招标文件中相应提出的服务范围、内容与要求自主确定;</w:t>
      </w:r>
    </w:p>
    <w:p w14:paraId="0FA58DFA">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(5)安全责任险、环境保护税应按工程量清单中列出的项目,和国家或省级、行业建设主管部门的规定计算,不得作为竞争性费用。</w:t>
      </w:r>
    </w:p>
    <w:p w14:paraId="6057E26D">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3.9增值税应按政府有关主管部门的规定计算费用,不得作为竞争性费用。</w:t>
      </w:r>
    </w:p>
    <w:p w14:paraId="4E047C73">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3.10除招标文件有强制性规定以及不可竞争部分以外,投标报价由投标人自主确定,但不得低于工程成本。</w:t>
      </w:r>
    </w:p>
    <w:p w14:paraId="30531632">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3.11工程量清单计价所涉及的生产资源(包括各类人工、材料、工程设备、施工设备、临时设施、临时用水、临时用电等)的投标价格,应根据自身的信息渠道和采购渠道,分析其市场价格水平,体现投标人自身的管理水平、技术水平和综合实力。</w:t>
      </w:r>
    </w:p>
    <w:p w14:paraId="4F530616">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3.12管理费应由投标人在保证不低于其成本的基础上做竞争性考虑;利润由投标人根据自身情况和综合实力做竞争性考虑。</w:t>
      </w:r>
    </w:p>
    <w:p w14:paraId="760CF5DD">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3.13投标总价为投标人在投标文件中提出的各项支付金额的总和,为实施、完成招标工程并修补缺陷以及履行招标文件中约定的风险范围内的所有责任和义务所发生的全部费用。</w:t>
      </w:r>
    </w:p>
    <w:p w14:paraId="2590E3C5">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3.14投标报价文件制作时所用的计价软件采用通过湖南省住房和城乡建设厅测评合格的软件。</w:t>
      </w:r>
    </w:p>
    <w:p w14:paraId="70D4F03C">
      <w:pPr>
        <w:pStyle w:val="5"/>
        <w:bidi w:val="0"/>
        <w:rPr>
          <w:rFonts w:hint="eastAsia"/>
        </w:rPr>
      </w:pPr>
      <w:bookmarkStart w:id="819" w:name="_Toc14731"/>
      <w:bookmarkStart w:id="820" w:name="_Toc16433"/>
      <w:bookmarkStart w:id="821" w:name="_Toc80006117"/>
      <w:bookmarkStart w:id="822" w:name="_Toc20626"/>
      <w:r>
        <w:rPr>
          <w:rFonts w:hint="eastAsia"/>
        </w:rPr>
        <w:t>4</w:t>
      </w:r>
      <w:r>
        <w:rPr>
          <w:rFonts w:hint="eastAsia"/>
          <w:lang w:eastAsia="zh-CN"/>
        </w:rPr>
        <w:t>．</w:t>
      </w:r>
      <w:r>
        <w:rPr>
          <w:rFonts w:hint="eastAsia"/>
        </w:rPr>
        <w:t>其他说明</w:t>
      </w:r>
      <w:bookmarkEnd w:id="819"/>
      <w:bookmarkEnd w:id="820"/>
      <w:bookmarkEnd w:id="821"/>
      <w:bookmarkEnd w:id="822"/>
    </w:p>
    <w:p w14:paraId="6A20A345">
      <w:pPr>
        <w:pStyle w:val="36"/>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bookmarkEnd w:id="810"/>
    <w:p w14:paraId="3BA7F097">
      <w:pPr>
        <w:pStyle w:val="5"/>
        <w:bidi w:val="0"/>
        <w:rPr>
          <w:rFonts w:hint="eastAsia"/>
        </w:rPr>
      </w:pPr>
      <w:bookmarkStart w:id="823" w:name="_Toc21014"/>
      <w:bookmarkStart w:id="824" w:name="_Toc80006118"/>
      <w:bookmarkStart w:id="825" w:name="_Toc16215"/>
      <w:bookmarkStart w:id="826" w:name="_Toc9178544"/>
      <w:bookmarkStart w:id="827" w:name="_Toc4753"/>
      <w:r>
        <w:rPr>
          <w:rFonts w:hint="eastAsia"/>
        </w:rPr>
        <w:t>5</w:t>
      </w:r>
      <w:r>
        <w:rPr>
          <w:rFonts w:hint="eastAsia"/>
          <w:lang w:eastAsia="zh-CN"/>
        </w:rPr>
        <w:t>．</w:t>
      </w:r>
      <w:r>
        <w:rPr>
          <w:rFonts w:hint="eastAsia"/>
        </w:rPr>
        <w:t>工程量清单（另册）</w:t>
      </w:r>
      <w:bookmarkEnd w:id="823"/>
      <w:bookmarkEnd w:id="824"/>
      <w:bookmarkEnd w:id="825"/>
      <w:bookmarkEnd w:id="826"/>
      <w:bookmarkEnd w:id="827"/>
    </w:p>
    <w:p w14:paraId="3189A9EC">
      <w:pPr>
        <w:ind w:firstLine="480"/>
        <w:jc w:val="left"/>
        <w:rPr>
          <w:color w:val="auto"/>
          <w:highlight w:val="none"/>
        </w:rPr>
      </w:pPr>
      <w:r>
        <w:rPr>
          <w:color w:val="auto"/>
          <w:highlight w:val="none"/>
        </w:rPr>
        <w:br w:type="page"/>
      </w:r>
    </w:p>
    <w:p w14:paraId="65E86531">
      <w:pPr>
        <w:spacing w:line="360" w:lineRule="auto"/>
        <w:jc w:val="left"/>
        <w:rPr>
          <w:color w:val="auto"/>
          <w:sz w:val="18"/>
          <w:szCs w:val="18"/>
          <w:highlight w:val="none"/>
        </w:rPr>
      </w:pPr>
      <w:bookmarkStart w:id="828" w:name="_Toc300678501"/>
      <w:bookmarkStart w:id="829" w:name="_Toc14077"/>
      <w:bookmarkStart w:id="830" w:name="_Toc80006119"/>
    </w:p>
    <w:p w14:paraId="19726B9A">
      <w:pPr>
        <w:spacing w:line="360" w:lineRule="auto"/>
        <w:jc w:val="left"/>
        <w:rPr>
          <w:color w:val="auto"/>
          <w:sz w:val="18"/>
          <w:szCs w:val="18"/>
          <w:highlight w:val="none"/>
        </w:rPr>
      </w:pPr>
    </w:p>
    <w:p w14:paraId="52CF14FB">
      <w:pPr>
        <w:spacing w:line="360" w:lineRule="auto"/>
        <w:jc w:val="left"/>
        <w:rPr>
          <w:color w:val="auto"/>
          <w:sz w:val="18"/>
          <w:szCs w:val="18"/>
          <w:highlight w:val="none"/>
        </w:rPr>
      </w:pPr>
    </w:p>
    <w:p w14:paraId="0E4F787F">
      <w:pPr>
        <w:spacing w:line="360" w:lineRule="auto"/>
        <w:jc w:val="left"/>
        <w:rPr>
          <w:color w:val="auto"/>
          <w:sz w:val="18"/>
          <w:szCs w:val="18"/>
          <w:highlight w:val="none"/>
        </w:rPr>
      </w:pPr>
    </w:p>
    <w:p w14:paraId="5C23F814">
      <w:pPr>
        <w:spacing w:line="360" w:lineRule="auto"/>
        <w:jc w:val="left"/>
        <w:rPr>
          <w:color w:val="auto"/>
          <w:sz w:val="18"/>
          <w:szCs w:val="18"/>
          <w:highlight w:val="none"/>
        </w:rPr>
      </w:pPr>
    </w:p>
    <w:p w14:paraId="518CC287">
      <w:pPr>
        <w:spacing w:line="360" w:lineRule="auto"/>
        <w:jc w:val="left"/>
        <w:rPr>
          <w:color w:val="auto"/>
          <w:sz w:val="18"/>
          <w:szCs w:val="18"/>
          <w:highlight w:val="none"/>
        </w:rPr>
      </w:pPr>
    </w:p>
    <w:p w14:paraId="7064920D">
      <w:pPr>
        <w:spacing w:line="360" w:lineRule="auto"/>
        <w:jc w:val="left"/>
        <w:rPr>
          <w:color w:val="auto"/>
          <w:sz w:val="18"/>
          <w:szCs w:val="18"/>
          <w:highlight w:val="none"/>
        </w:rPr>
      </w:pPr>
    </w:p>
    <w:p w14:paraId="3762B7CC">
      <w:pPr>
        <w:spacing w:line="360" w:lineRule="auto"/>
        <w:jc w:val="left"/>
        <w:rPr>
          <w:color w:val="auto"/>
          <w:sz w:val="18"/>
          <w:szCs w:val="18"/>
          <w:highlight w:val="none"/>
        </w:rPr>
      </w:pPr>
    </w:p>
    <w:p w14:paraId="4DF3A3C2">
      <w:pPr>
        <w:spacing w:line="360" w:lineRule="auto"/>
        <w:jc w:val="left"/>
        <w:rPr>
          <w:color w:val="auto"/>
          <w:sz w:val="18"/>
          <w:szCs w:val="18"/>
          <w:highlight w:val="none"/>
        </w:rPr>
      </w:pPr>
    </w:p>
    <w:p w14:paraId="25AA58EF">
      <w:pPr>
        <w:pStyle w:val="29"/>
        <w:rPr>
          <w:color w:val="auto"/>
          <w:sz w:val="18"/>
          <w:szCs w:val="18"/>
          <w:highlight w:val="none"/>
        </w:rPr>
      </w:pPr>
    </w:p>
    <w:p w14:paraId="2CC465AC">
      <w:pPr>
        <w:rPr>
          <w:color w:val="auto"/>
          <w:sz w:val="18"/>
          <w:szCs w:val="18"/>
          <w:highlight w:val="none"/>
        </w:rPr>
      </w:pPr>
    </w:p>
    <w:p w14:paraId="4AB27E11">
      <w:pPr>
        <w:pStyle w:val="29"/>
        <w:rPr>
          <w:color w:val="auto"/>
          <w:sz w:val="18"/>
          <w:szCs w:val="18"/>
          <w:highlight w:val="none"/>
        </w:rPr>
      </w:pPr>
    </w:p>
    <w:p w14:paraId="50B49B03">
      <w:pPr>
        <w:rPr>
          <w:color w:val="auto"/>
          <w:sz w:val="18"/>
          <w:szCs w:val="18"/>
          <w:highlight w:val="none"/>
        </w:rPr>
      </w:pPr>
    </w:p>
    <w:p w14:paraId="3A8EAEDD">
      <w:pPr>
        <w:pStyle w:val="29"/>
        <w:rPr>
          <w:color w:val="auto"/>
          <w:sz w:val="18"/>
          <w:szCs w:val="18"/>
          <w:highlight w:val="none"/>
        </w:rPr>
      </w:pPr>
    </w:p>
    <w:p w14:paraId="0171027C">
      <w:pPr>
        <w:rPr>
          <w:color w:val="auto"/>
          <w:sz w:val="18"/>
          <w:szCs w:val="18"/>
          <w:highlight w:val="none"/>
        </w:rPr>
      </w:pPr>
    </w:p>
    <w:p w14:paraId="01ECFB91">
      <w:pPr>
        <w:pStyle w:val="29"/>
        <w:rPr>
          <w:color w:val="auto"/>
          <w:sz w:val="18"/>
          <w:szCs w:val="18"/>
          <w:highlight w:val="none"/>
        </w:rPr>
      </w:pPr>
    </w:p>
    <w:p w14:paraId="1D798205">
      <w:pPr>
        <w:rPr>
          <w:color w:val="auto"/>
          <w:sz w:val="18"/>
          <w:szCs w:val="18"/>
          <w:highlight w:val="none"/>
        </w:rPr>
      </w:pPr>
    </w:p>
    <w:p w14:paraId="4D605482">
      <w:pPr>
        <w:pStyle w:val="29"/>
        <w:rPr>
          <w:color w:val="auto"/>
          <w:sz w:val="18"/>
          <w:szCs w:val="18"/>
          <w:highlight w:val="none"/>
        </w:rPr>
      </w:pPr>
    </w:p>
    <w:p w14:paraId="42F39157">
      <w:pPr>
        <w:rPr>
          <w:color w:val="auto"/>
          <w:sz w:val="18"/>
          <w:szCs w:val="18"/>
          <w:highlight w:val="none"/>
        </w:rPr>
      </w:pPr>
    </w:p>
    <w:p w14:paraId="0EC67611">
      <w:pPr>
        <w:pStyle w:val="29"/>
      </w:pPr>
    </w:p>
    <w:p w14:paraId="0E931F90">
      <w:pPr>
        <w:spacing w:line="360" w:lineRule="auto"/>
        <w:jc w:val="left"/>
        <w:rPr>
          <w:color w:val="auto"/>
          <w:sz w:val="18"/>
          <w:szCs w:val="18"/>
          <w:highlight w:val="none"/>
        </w:rPr>
      </w:pPr>
    </w:p>
    <w:p w14:paraId="30B25272">
      <w:pPr>
        <w:pStyle w:val="3"/>
        <w:jc w:val="center"/>
        <w:rPr>
          <w:rFonts w:ascii="Times New Roman" w:hAnsi="Times New Roman" w:eastAsia="黑体"/>
          <w:b w:val="0"/>
          <w:bCs w:val="0"/>
          <w:color w:val="auto"/>
          <w:sz w:val="44"/>
          <w:szCs w:val="44"/>
          <w:highlight w:val="none"/>
        </w:rPr>
      </w:pPr>
      <w:bookmarkStart w:id="831" w:name="_Toc17647"/>
      <w:r>
        <w:rPr>
          <w:rFonts w:ascii="Times New Roman" w:hAnsi="Times New Roman" w:eastAsia="黑体"/>
          <w:b w:val="0"/>
          <w:bCs w:val="0"/>
          <w:color w:val="auto"/>
          <w:sz w:val="44"/>
          <w:szCs w:val="44"/>
          <w:highlight w:val="none"/>
        </w:rPr>
        <w:t>第  二  卷</w:t>
      </w:r>
      <w:bookmarkEnd w:id="828"/>
      <w:bookmarkEnd w:id="829"/>
      <w:bookmarkEnd w:id="830"/>
      <w:bookmarkEnd w:id="831"/>
    </w:p>
    <w:p w14:paraId="0FFD3D07">
      <w:pPr>
        <w:rPr>
          <w:color w:val="auto"/>
          <w:highlight w:val="none"/>
          <w:lang w:val="zh-CN"/>
        </w:rPr>
      </w:pPr>
    </w:p>
    <w:p w14:paraId="094B0ECD">
      <w:pPr>
        <w:rPr>
          <w:color w:val="auto"/>
          <w:highlight w:val="none"/>
          <w:lang w:val="zh-CN"/>
        </w:rPr>
      </w:pPr>
    </w:p>
    <w:p w14:paraId="7F7960A0">
      <w:pPr>
        <w:rPr>
          <w:color w:val="auto"/>
          <w:highlight w:val="none"/>
        </w:rPr>
      </w:pPr>
    </w:p>
    <w:p w14:paraId="0FCEC0DC">
      <w:bookmarkStart w:id="832" w:name="_Toc300678502"/>
      <w:bookmarkStart w:id="833" w:name="_Toc18906"/>
      <w:bookmarkStart w:id="834" w:name="_Toc80006120"/>
      <w:r>
        <w:br w:type="page"/>
      </w:r>
    </w:p>
    <w:p w14:paraId="482194E3">
      <w:pPr>
        <w:pStyle w:val="3"/>
        <w:bidi w:val="0"/>
      </w:pPr>
      <w:bookmarkStart w:id="835" w:name="_Toc13042"/>
      <w:r>
        <w:t>第六章  图  纸</w:t>
      </w:r>
      <w:bookmarkEnd w:id="832"/>
      <w:r>
        <w:t>（另册）</w:t>
      </w:r>
      <w:bookmarkEnd w:id="833"/>
      <w:bookmarkEnd w:id="834"/>
      <w:bookmarkEnd w:id="835"/>
    </w:p>
    <w:p w14:paraId="377B00A8">
      <w:pPr>
        <w:pStyle w:val="5"/>
        <w:bidi w:val="0"/>
      </w:pPr>
      <w:bookmarkStart w:id="836" w:name="_Toc80006121"/>
      <w:bookmarkStart w:id="837" w:name="_Toc152045783"/>
      <w:bookmarkStart w:id="838" w:name="_Toc9178547"/>
      <w:bookmarkStart w:id="839" w:name="_Toc79998407"/>
      <w:bookmarkStart w:id="840" w:name="_Toc144974852"/>
      <w:bookmarkStart w:id="841" w:name="_Toc4805"/>
      <w:bookmarkStart w:id="842" w:name="_Toc152042572"/>
      <w:bookmarkStart w:id="843" w:name="_Toc24895"/>
      <w:bookmarkStart w:id="844" w:name="_Toc179632801"/>
      <w:r>
        <w:rPr>
          <w:rFonts w:hint="eastAsia"/>
        </w:rPr>
        <w:t>1. 图纸目录</w:t>
      </w:r>
      <w:bookmarkEnd w:id="836"/>
      <w:bookmarkEnd w:id="837"/>
      <w:bookmarkEnd w:id="838"/>
      <w:bookmarkEnd w:id="839"/>
      <w:bookmarkEnd w:id="840"/>
      <w:bookmarkEnd w:id="841"/>
      <w:bookmarkEnd w:id="842"/>
      <w:bookmarkEnd w:id="843"/>
      <w:bookmarkEnd w:id="844"/>
    </w:p>
    <w:tbl>
      <w:tblPr>
        <w:tblStyle w:val="40"/>
        <w:tblW w:w="10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0"/>
        <w:gridCol w:w="1570"/>
        <w:gridCol w:w="1570"/>
        <w:gridCol w:w="1570"/>
        <w:gridCol w:w="1570"/>
        <w:gridCol w:w="2249"/>
      </w:tblGrid>
      <w:tr w14:paraId="081F0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51C2FF50">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570" w:type="dxa"/>
            <w:noWrap w:val="0"/>
            <w:vAlign w:val="center"/>
          </w:tcPr>
          <w:p w14:paraId="0478804D">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图名</w:t>
            </w:r>
          </w:p>
        </w:tc>
        <w:tc>
          <w:tcPr>
            <w:tcW w:w="1570" w:type="dxa"/>
            <w:noWrap w:val="0"/>
            <w:vAlign w:val="center"/>
          </w:tcPr>
          <w:p w14:paraId="7E0A3B1D">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图号</w:t>
            </w:r>
          </w:p>
        </w:tc>
        <w:tc>
          <w:tcPr>
            <w:tcW w:w="1570" w:type="dxa"/>
            <w:noWrap w:val="0"/>
            <w:vAlign w:val="center"/>
          </w:tcPr>
          <w:p w14:paraId="5A837F60">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版本</w:t>
            </w:r>
          </w:p>
        </w:tc>
        <w:tc>
          <w:tcPr>
            <w:tcW w:w="1570" w:type="dxa"/>
            <w:noWrap w:val="0"/>
            <w:vAlign w:val="center"/>
          </w:tcPr>
          <w:p w14:paraId="401CD327">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出图日期</w:t>
            </w:r>
          </w:p>
        </w:tc>
        <w:tc>
          <w:tcPr>
            <w:tcW w:w="2249" w:type="dxa"/>
            <w:noWrap w:val="0"/>
            <w:vAlign w:val="center"/>
          </w:tcPr>
          <w:p w14:paraId="30702E1F">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14:paraId="393FF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59738AC3">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14B21371">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4AD03A97">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5BA95128">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2A5872AB">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38A76CC3">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6B495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79F82CD7">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695C3FEF">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58859011">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79428BB5">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6934611D">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45B6F2C6">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6E527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136184EC">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6CAC3E87">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067748E2">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242F176C">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18E9BCE0">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06337D49">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777A1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37CECEB7">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127549B3">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2EBE5D33">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524D1692">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09AAED39">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18C86CCE">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18F21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25EC041B">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38C3AC76">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4920DC93">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56FEB34B">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20613653">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43201420">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67093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36E32567">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02B257C6">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6839916B">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5D237293">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17D0A078">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633BF8E1">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07640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35761E89">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4B00A32B">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26E2ABDE">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7F1C8A4E">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64973F17">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5D4814F1">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68416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182D6147">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7B7DDE2C">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651A4771">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41C9FB0C">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154845D1">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08DBBAA0">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3FAEE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6BB350C3">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08296E23">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40688E4F">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25F90563">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7BC459F8">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55DD7249">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4065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7D91FF71">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43F4C0EC">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19D4A708">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305575EA">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25763587">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6F4318ED">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167B6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45F5E60C">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1C224630">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783C7C45">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2B7B1F01">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76B1C512">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13C62F3E">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18949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5405FF5A">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7C1638F0">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4FEC04E5">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189D1252">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3AE4DEBC">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090BF5BF">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776E6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45C9EA74">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326F799D">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17306C3B">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14D02D95">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7520BF27">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6B51A751">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bl>
    <w:p w14:paraId="587D006E">
      <w:pPr>
        <w:spacing w:line="400" w:lineRule="exact"/>
        <w:rPr>
          <w:rFonts w:hint="eastAsia"/>
          <w:color w:val="auto"/>
          <w:highlight w:val="none"/>
        </w:rPr>
      </w:pPr>
      <w:bookmarkStart w:id="845" w:name="_Toc9178548"/>
      <w:bookmarkStart w:id="846" w:name="_Toc144974853"/>
      <w:bookmarkStart w:id="847" w:name="_Toc152042573"/>
      <w:bookmarkStart w:id="848" w:name="_Toc152045784"/>
      <w:bookmarkStart w:id="849" w:name="_Toc179632802"/>
    </w:p>
    <w:p w14:paraId="2F1AB6DE">
      <w:pPr>
        <w:pStyle w:val="5"/>
        <w:bidi w:val="0"/>
        <w:rPr>
          <w:rFonts w:hint="eastAsia"/>
        </w:rPr>
      </w:pPr>
      <w:bookmarkStart w:id="850" w:name="_Toc5703"/>
      <w:r>
        <w:rPr>
          <w:rFonts w:hint="eastAsia"/>
        </w:rPr>
        <w:t>2. 图纸</w:t>
      </w:r>
      <w:bookmarkEnd w:id="845"/>
      <w:bookmarkEnd w:id="846"/>
      <w:bookmarkEnd w:id="847"/>
      <w:bookmarkEnd w:id="848"/>
      <w:bookmarkEnd w:id="849"/>
      <w:bookmarkEnd w:id="850"/>
    </w:p>
    <w:p w14:paraId="6A487206">
      <w:pPr>
        <w:spacing w:line="400" w:lineRule="exact"/>
        <w:rPr>
          <w:rFonts w:hint="eastAsia"/>
          <w:color w:val="auto"/>
          <w:highlight w:val="none"/>
        </w:rPr>
      </w:pPr>
    </w:p>
    <w:p w14:paraId="571C0979">
      <w:pPr>
        <w:spacing w:line="420" w:lineRule="exact"/>
        <w:jc w:val="center"/>
        <w:rPr>
          <w:rFonts w:eastAsia="楷体_GB2312"/>
          <w:color w:val="auto"/>
          <w:highlight w:val="none"/>
        </w:rPr>
      </w:pPr>
      <w:r>
        <w:rPr>
          <w:color w:val="auto"/>
          <w:highlight w:val="none"/>
        </w:rPr>
        <w:br w:type="page"/>
      </w:r>
    </w:p>
    <w:p w14:paraId="74CA6C99">
      <w:pPr>
        <w:spacing w:line="360" w:lineRule="auto"/>
        <w:jc w:val="left"/>
        <w:rPr>
          <w:color w:val="auto"/>
          <w:sz w:val="18"/>
          <w:szCs w:val="18"/>
          <w:highlight w:val="none"/>
        </w:rPr>
      </w:pPr>
      <w:bookmarkStart w:id="851" w:name="_Toc9901"/>
      <w:bookmarkStart w:id="852" w:name="_Toc80006122"/>
      <w:bookmarkStart w:id="853" w:name="_Toc300678505"/>
    </w:p>
    <w:p w14:paraId="66BAD137">
      <w:pPr>
        <w:spacing w:line="360" w:lineRule="auto"/>
        <w:jc w:val="left"/>
        <w:rPr>
          <w:color w:val="auto"/>
          <w:sz w:val="18"/>
          <w:szCs w:val="18"/>
          <w:highlight w:val="none"/>
        </w:rPr>
      </w:pPr>
    </w:p>
    <w:p w14:paraId="6CEA1253">
      <w:pPr>
        <w:spacing w:line="360" w:lineRule="auto"/>
        <w:jc w:val="left"/>
        <w:rPr>
          <w:color w:val="auto"/>
          <w:sz w:val="18"/>
          <w:szCs w:val="18"/>
          <w:highlight w:val="none"/>
        </w:rPr>
      </w:pPr>
    </w:p>
    <w:p w14:paraId="715F54DC">
      <w:pPr>
        <w:spacing w:line="360" w:lineRule="auto"/>
        <w:jc w:val="left"/>
        <w:rPr>
          <w:color w:val="auto"/>
          <w:sz w:val="18"/>
          <w:szCs w:val="18"/>
          <w:highlight w:val="none"/>
        </w:rPr>
      </w:pPr>
    </w:p>
    <w:p w14:paraId="65A45A49">
      <w:pPr>
        <w:spacing w:line="360" w:lineRule="auto"/>
        <w:jc w:val="left"/>
        <w:rPr>
          <w:color w:val="auto"/>
          <w:sz w:val="18"/>
          <w:szCs w:val="18"/>
          <w:highlight w:val="none"/>
        </w:rPr>
      </w:pPr>
    </w:p>
    <w:p w14:paraId="5C3E627A">
      <w:pPr>
        <w:spacing w:line="360" w:lineRule="auto"/>
        <w:jc w:val="left"/>
        <w:rPr>
          <w:color w:val="auto"/>
          <w:sz w:val="18"/>
          <w:szCs w:val="18"/>
          <w:highlight w:val="none"/>
        </w:rPr>
      </w:pPr>
    </w:p>
    <w:p w14:paraId="3D374011">
      <w:pPr>
        <w:spacing w:line="360" w:lineRule="auto"/>
        <w:jc w:val="left"/>
        <w:rPr>
          <w:color w:val="auto"/>
          <w:sz w:val="18"/>
          <w:szCs w:val="18"/>
          <w:highlight w:val="none"/>
        </w:rPr>
      </w:pPr>
    </w:p>
    <w:p w14:paraId="746B5523">
      <w:pPr>
        <w:spacing w:line="360" w:lineRule="auto"/>
        <w:jc w:val="left"/>
        <w:rPr>
          <w:color w:val="auto"/>
          <w:sz w:val="18"/>
          <w:szCs w:val="18"/>
          <w:highlight w:val="none"/>
        </w:rPr>
      </w:pPr>
    </w:p>
    <w:p w14:paraId="371BD6A3">
      <w:pPr>
        <w:spacing w:line="360" w:lineRule="auto"/>
        <w:jc w:val="left"/>
        <w:rPr>
          <w:color w:val="auto"/>
          <w:sz w:val="18"/>
          <w:szCs w:val="18"/>
          <w:highlight w:val="none"/>
        </w:rPr>
      </w:pPr>
    </w:p>
    <w:p w14:paraId="1109535F">
      <w:pPr>
        <w:pStyle w:val="29"/>
        <w:rPr>
          <w:color w:val="auto"/>
          <w:sz w:val="18"/>
          <w:szCs w:val="18"/>
          <w:highlight w:val="none"/>
        </w:rPr>
      </w:pPr>
    </w:p>
    <w:p w14:paraId="3F99FAD1">
      <w:pPr>
        <w:rPr>
          <w:color w:val="auto"/>
          <w:sz w:val="18"/>
          <w:szCs w:val="18"/>
          <w:highlight w:val="none"/>
        </w:rPr>
      </w:pPr>
    </w:p>
    <w:p w14:paraId="32D44F40">
      <w:pPr>
        <w:pStyle w:val="29"/>
        <w:rPr>
          <w:color w:val="auto"/>
          <w:sz w:val="18"/>
          <w:szCs w:val="18"/>
          <w:highlight w:val="none"/>
        </w:rPr>
      </w:pPr>
    </w:p>
    <w:p w14:paraId="616E999C">
      <w:pPr>
        <w:rPr>
          <w:color w:val="auto"/>
          <w:sz w:val="18"/>
          <w:szCs w:val="18"/>
          <w:highlight w:val="none"/>
        </w:rPr>
      </w:pPr>
    </w:p>
    <w:p w14:paraId="45696B39">
      <w:pPr>
        <w:pStyle w:val="29"/>
        <w:rPr>
          <w:color w:val="auto"/>
          <w:sz w:val="18"/>
          <w:szCs w:val="18"/>
          <w:highlight w:val="none"/>
        </w:rPr>
      </w:pPr>
    </w:p>
    <w:p w14:paraId="4A3B11C3">
      <w:pPr>
        <w:rPr>
          <w:color w:val="auto"/>
          <w:sz w:val="18"/>
          <w:szCs w:val="18"/>
          <w:highlight w:val="none"/>
        </w:rPr>
      </w:pPr>
    </w:p>
    <w:p w14:paraId="3C379CCE">
      <w:pPr>
        <w:pStyle w:val="29"/>
        <w:rPr>
          <w:color w:val="auto"/>
          <w:sz w:val="18"/>
          <w:szCs w:val="18"/>
          <w:highlight w:val="none"/>
        </w:rPr>
      </w:pPr>
    </w:p>
    <w:p w14:paraId="08D1CF39">
      <w:pPr>
        <w:rPr>
          <w:color w:val="auto"/>
          <w:sz w:val="18"/>
          <w:szCs w:val="18"/>
          <w:highlight w:val="none"/>
        </w:rPr>
      </w:pPr>
    </w:p>
    <w:p w14:paraId="4FDFFCF7">
      <w:pPr>
        <w:pStyle w:val="29"/>
        <w:rPr>
          <w:color w:val="auto"/>
          <w:sz w:val="18"/>
          <w:szCs w:val="18"/>
          <w:highlight w:val="none"/>
        </w:rPr>
      </w:pPr>
    </w:p>
    <w:p w14:paraId="278A15D7">
      <w:pPr>
        <w:rPr>
          <w:color w:val="auto"/>
          <w:sz w:val="18"/>
          <w:szCs w:val="18"/>
          <w:highlight w:val="none"/>
        </w:rPr>
      </w:pPr>
    </w:p>
    <w:p w14:paraId="5DACE429">
      <w:pPr>
        <w:pStyle w:val="29"/>
      </w:pPr>
    </w:p>
    <w:p w14:paraId="0BA62811">
      <w:pPr>
        <w:spacing w:line="360" w:lineRule="auto"/>
        <w:jc w:val="left"/>
        <w:rPr>
          <w:color w:val="auto"/>
          <w:sz w:val="18"/>
          <w:szCs w:val="18"/>
          <w:highlight w:val="none"/>
        </w:rPr>
      </w:pPr>
    </w:p>
    <w:p w14:paraId="5D4E0A1F">
      <w:pPr>
        <w:pStyle w:val="3"/>
        <w:jc w:val="center"/>
        <w:rPr>
          <w:rFonts w:ascii="Times New Roman" w:hAnsi="Times New Roman" w:eastAsia="黑体"/>
          <w:b w:val="0"/>
          <w:bCs w:val="0"/>
          <w:color w:val="auto"/>
          <w:sz w:val="44"/>
          <w:szCs w:val="44"/>
          <w:highlight w:val="none"/>
        </w:rPr>
      </w:pPr>
      <w:bookmarkStart w:id="854" w:name="_Toc31889"/>
      <w:r>
        <w:rPr>
          <w:rFonts w:ascii="Times New Roman" w:hAnsi="Times New Roman" w:eastAsia="黑体"/>
          <w:b w:val="0"/>
          <w:bCs w:val="0"/>
          <w:color w:val="auto"/>
          <w:sz w:val="44"/>
          <w:szCs w:val="44"/>
          <w:highlight w:val="none"/>
        </w:rPr>
        <w:t>第  三  卷</w:t>
      </w:r>
      <w:bookmarkEnd w:id="851"/>
      <w:bookmarkEnd w:id="852"/>
      <w:bookmarkEnd w:id="853"/>
      <w:bookmarkEnd w:id="854"/>
    </w:p>
    <w:p w14:paraId="00C539F6">
      <w:pPr>
        <w:spacing w:line="360" w:lineRule="auto"/>
        <w:rPr>
          <w:rFonts w:eastAsia="楷体_GB2312"/>
          <w:color w:val="auto"/>
          <w:highlight w:val="none"/>
        </w:rPr>
      </w:pPr>
      <w:r>
        <w:rPr>
          <w:rFonts w:eastAsia="楷体_GB2312"/>
          <w:color w:val="auto"/>
          <w:highlight w:val="none"/>
        </w:rPr>
        <w:br w:type="page"/>
      </w:r>
    </w:p>
    <w:p w14:paraId="54DA559B">
      <w:pPr>
        <w:pStyle w:val="3"/>
        <w:bidi w:val="0"/>
      </w:pPr>
      <w:bookmarkStart w:id="855" w:name="_Toc10751"/>
      <w:bookmarkStart w:id="856" w:name="_Toc1393"/>
      <w:bookmarkStart w:id="857" w:name="_Toc300678506"/>
      <w:bookmarkStart w:id="858" w:name="_Toc80006123"/>
      <w:r>
        <w:t>第七章  技术标准和要求</w:t>
      </w:r>
      <w:bookmarkEnd w:id="855"/>
      <w:bookmarkEnd w:id="856"/>
      <w:bookmarkEnd w:id="857"/>
      <w:bookmarkEnd w:id="858"/>
    </w:p>
    <w:p w14:paraId="260D6EAE">
      <w:pPr>
        <w:pStyle w:val="4"/>
        <w:bidi w:val="0"/>
      </w:pPr>
      <w:bookmarkStart w:id="859" w:name="_Toc28545"/>
      <w:bookmarkStart w:id="860" w:name="_Toc80006124"/>
      <w:bookmarkStart w:id="861" w:name="_Toc9826"/>
      <w:bookmarkStart w:id="862" w:name="_Toc300678507"/>
      <w:r>
        <w:t>第一节 一般要求</w:t>
      </w:r>
      <w:bookmarkEnd w:id="859"/>
      <w:bookmarkEnd w:id="860"/>
      <w:bookmarkEnd w:id="861"/>
      <w:bookmarkEnd w:id="862"/>
    </w:p>
    <w:p w14:paraId="5A730F41">
      <w:pPr>
        <w:pStyle w:val="5"/>
        <w:bidi w:val="0"/>
        <w:rPr>
          <w:rFonts w:hint="eastAsia"/>
        </w:rPr>
      </w:pPr>
      <w:bookmarkStart w:id="863" w:name="_Toc80006125"/>
      <w:bookmarkStart w:id="864" w:name="_Toc9670"/>
      <w:bookmarkStart w:id="865" w:name="_Toc80006235"/>
      <w:bookmarkStart w:id="866" w:name="_Toc79998411"/>
      <w:bookmarkStart w:id="867" w:name="_Toc10631"/>
      <w:bookmarkStart w:id="868" w:name="_Toc9178552"/>
      <w:bookmarkStart w:id="869" w:name="_Toc28880"/>
      <w:bookmarkStart w:id="870" w:name="_Toc79998855"/>
      <w:bookmarkStart w:id="871" w:name="_Toc300678508"/>
      <w:r>
        <w:rPr>
          <w:rFonts w:hint="eastAsia"/>
        </w:rPr>
        <w:t>1.工程说明</w:t>
      </w:r>
      <w:bookmarkEnd w:id="863"/>
      <w:bookmarkEnd w:id="864"/>
      <w:bookmarkEnd w:id="865"/>
      <w:bookmarkEnd w:id="866"/>
      <w:bookmarkEnd w:id="867"/>
      <w:bookmarkEnd w:id="868"/>
      <w:bookmarkEnd w:id="869"/>
      <w:bookmarkEnd w:id="870"/>
      <w:bookmarkEnd w:id="871"/>
    </w:p>
    <w:p w14:paraId="45FAD93A">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72" w:name="_Toc300678509"/>
      <w:r>
        <w:rPr>
          <w:rFonts w:hint="eastAsia" w:ascii="宋体" w:hAnsi="宋体" w:eastAsia="宋体" w:cs="宋体"/>
          <w:b w:val="0"/>
          <w:bCs w:val="0"/>
          <w:color w:val="auto"/>
          <w:sz w:val="24"/>
          <w:szCs w:val="24"/>
          <w:highlight w:val="none"/>
        </w:rPr>
        <w:t>1.1 工程概况</w:t>
      </w:r>
      <w:bookmarkEnd w:id="872"/>
    </w:p>
    <w:p w14:paraId="1F48CFD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yellow"/>
        </w:rPr>
      </w:pPr>
      <w:r>
        <w:rPr>
          <w:rFonts w:hint="eastAsia" w:ascii="宋体" w:hAnsi="宋体" w:eastAsia="宋体" w:cs="宋体"/>
          <w:color w:val="auto"/>
          <w:sz w:val="24"/>
          <w:szCs w:val="24"/>
          <w:highlight w:val="none"/>
        </w:rPr>
        <w:t>l.1.1 本工程基本情况如下：</w:t>
      </w:r>
      <w:r>
        <w:rPr>
          <w:rFonts w:eastAsia="宋体"/>
          <w:color w:val="auto"/>
          <w:szCs w:val="21"/>
          <w:highlight w:val="none"/>
          <w:u w:val="single"/>
        </w:rPr>
        <w:t xml:space="preserve"> </w:t>
      </w:r>
      <w:r>
        <w:rPr>
          <w:rFonts w:hint="default"/>
          <w:color w:val="auto"/>
          <w:szCs w:val="21"/>
          <w:u w:val="single"/>
          <w:lang w:val="en-US" w:eastAsia="zh-CN"/>
        </w:rPr>
        <w:t>江永县供销联社烟花爆竹有限公司烟花爆竹仓库新建（搬迁）工程</w:t>
      </w:r>
      <w:r>
        <w:rPr>
          <w:rFonts w:hint="eastAsia"/>
          <w:color w:val="auto"/>
          <w:szCs w:val="21"/>
          <w:u w:val="single"/>
          <w:lang w:val="en-US" w:eastAsia="zh-CN"/>
        </w:rPr>
        <w:t>，新建999平方米标准化烟花爆竹储存仓库，配套建设消防等安全附属设施</w:t>
      </w:r>
      <w:r>
        <w:rPr>
          <w:rFonts w:hint="eastAsia" w:cs="Times New Roman"/>
          <w:color w:val="auto"/>
          <w:highlight w:val="none"/>
          <w:u w:val="single"/>
          <w:lang w:val="en-US" w:eastAsia="zh-CN"/>
        </w:rPr>
        <w:t>，</w:t>
      </w:r>
      <w:r>
        <w:rPr>
          <w:rFonts w:hint="eastAsia" w:ascii="Times New Roman" w:hAnsi="Times New Roman" w:eastAsia="宋体" w:cs="Times New Roman"/>
          <w:color w:val="auto"/>
          <w:highlight w:val="none"/>
          <w:u w:val="single"/>
        </w:rPr>
        <w:t>具体详见工程量清单（以江永县财政投资评审中心审定的工程量清单为准）及施工图</w:t>
      </w:r>
      <w:r>
        <w:rPr>
          <w:rFonts w:hint="eastAsia" w:ascii="Times New Roman" w:hAnsi="Times New Roman" w:cs="Times New Roman"/>
          <w:color w:val="auto"/>
          <w:highlight w:val="none"/>
          <w:u w:val="single"/>
          <w:lang w:eastAsia="zh-CN"/>
        </w:rPr>
        <w:t>。</w:t>
      </w:r>
    </w:p>
    <w:p w14:paraId="4B3CA36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本工程施工场地（现场）具体地理位置如下：</w:t>
      </w:r>
      <w:r>
        <w:rPr>
          <w:rFonts w:hint="eastAsia"/>
          <w:color w:val="auto"/>
          <w:szCs w:val="21"/>
          <w:highlight w:val="none"/>
          <w:u w:val="single"/>
          <w:lang w:val="en-US" w:eastAsia="zh-CN"/>
        </w:rPr>
        <w:t>桃川镇桃源社区</w:t>
      </w:r>
      <w:r>
        <w:rPr>
          <w:rFonts w:hint="eastAsia" w:ascii="宋体" w:hAnsi="宋体" w:eastAsia="宋体" w:cs="宋体"/>
          <w:color w:val="auto"/>
          <w:sz w:val="24"/>
          <w:szCs w:val="24"/>
          <w:highlight w:val="none"/>
        </w:rPr>
        <w:t>。</w:t>
      </w:r>
    </w:p>
    <w:p w14:paraId="2025C91E">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73" w:name="_Toc300678510"/>
      <w:r>
        <w:rPr>
          <w:rFonts w:hint="eastAsia" w:ascii="宋体" w:hAnsi="宋体" w:eastAsia="宋体" w:cs="宋体"/>
          <w:b w:val="0"/>
          <w:bCs w:val="0"/>
          <w:color w:val="auto"/>
          <w:sz w:val="24"/>
          <w:szCs w:val="24"/>
          <w:highlight w:val="none"/>
        </w:rPr>
        <w:t>1.2 现场条件和周围环境</w:t>
      </w:r>
      <w:bookmarkEnd w:id="873"/>
    </w:p>
    <w:p w14:paraId="7ACABA17">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本工程施工场地（现场）已经具备施工条件。施工场地（现场）临时水源接口位置、临时电源接口位置、临时排污口位置、建筑红线位置、道路交通和出入口以及施工场地（现场）和周围环境等情况见本章附件A：施工场地（现场）现状平面图。</w:t>
      </w:r>
    </w:p>
    <w:p w14:paraId="6F8AC03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施工场地（现场）临时供水管径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3C97A0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施工场地（现场）临时排污管径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04DC8B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施工场地（现场）临时雨水管径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DD75D6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施工现场临时供电容量（变压器输出功率）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AE76DD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现场条件和周围环境的其他资料和信息数据如下：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4D0C76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1.2.4 承包人被认为已在本工程投标阶段踏勘现场时充分了解本工程现场条件和周围环境，并已在其投标时就此给予了充分的考虑。 </w:t>
      </w:r>
    </w:p>
    <w:p w14:paraId="224FB85A">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74" w:name="_Toc300678511"/>
      <w:r>
        <w:rPr>
          <w:rFonts w:hint="eastAsia" w:ascii="宋体" w:hAnsi="宋体" w:eastAsia="宋体" w:cs="宋体"/>
          <w:b w:val="0"/>
          <w:bCs w:val="0"/>
          <w:color w:val="auto"/>
          <w:sz w:val="24"/>
          <w:szCs w:val="24"/>
          <w:highlight w:val="none"/>
        </w:rPr>
        <w:t>1.3 地质及水文资料</w:t>
      </w:r>
      <w:bookmarkEnd w:id="874"/>
    </w:p>
    <w:p w14:paraId="781927E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现场地质及水文资料和信息数据如下：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DE43BF2">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75" w:name="_Toc300678512"/>
      <w:r>
        <w:rPr>
          <w:rFonts w:hint="eastAsia" w:ascii="宋体" w:hAnsi="宋体" w:eastAsia="宋体" w:cs="宋体"/>
          <w:b w:val="0"/>
          <w:bCs w:val="0"/>
          <w:color w:val="auto"/>
          <w:sz w:val="24"/>
          <w:szCs w:val="24"/>
          <w:highlight w:val="none"/>
        </w:rPr>
        <w:t>1.4 资料和信息的使用</w:t>
      </w:r>
      <w:bookmarkEnd w:id="875"/>
    </w:p>
    <w:p w14:paraId="44E5205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合同文件中载明的涉及本工程现场条件、周围环境、地质及水文等情况的资料和信息数据，是发包人现有的和客观的，发包人保证有关资料和信息数据的真实、准确。但承包人据此作出的推论、判断和决策，由承包人自行负责。</w:t>
      </w:r>
    </w:p>
    <w:p w14:paraId="572591B5">
      <w:pPr>
        <w:pStyle w:val="5"/>
        <w:bidi w:val="0"/>
        <w:rPr>
          <w:rFonts w:hint="eastAsia"/>
        </w:rPr>
      </w:pPr>
      <w:bookmarkStart w:id="876" w:name="_Toc80006236"/>
      <w:bookmarkStart w:id="877" w:name="_Toc300678513"/>
      <w:bookmarkStart w:id="878" w:name="_Toc79998856"/>
      <w:bookmarkStart w:id="879" w:name="_Toc29475"/>
      <w:bookmarkStart w:id="880" w:name="_Toc80006126"/>
      <w:bookmarkStart w:id="881" w:name="_Toc16387"/>
      <w:bookmarkStart w:id="882" w:name="_Toc9178553"/>
      <w:bookmarkStart w:id="883" w:name="_Toc19989"/>
      <w:bookmarkStart w:id="884" w:name="_Toc79998412"/>
      <w:r>
        <w:rPr>
          <w:rFonts w:hint="eastAsia"/>
        </w:rPr>
        <w:t>2.承包范围</w:t>
      </w:r>
      <w:bookmarkEnd w:id="876"/>
      <w:bookmarkEnd w:id="877"/>
      <w:bookmarkEnd w:id="878"/>
      <w:bookmarkEnd w:id="879"/>
      <w:bookmarkEnd w:id="880"/>
      <w:bookmarkEnd w:id="881"/>
      <w:bookmarkEnd w:id="882"/>
      <w:bookmarkEnd w:id="883"/>
      <w:bookmarkEnd w:id="884"/>
    </w:p>
    <w:p w14:paraId="441DE341">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85" w:name="_Toc300678514"/>
      <w:r>
        <w:rPr>
          <w:rFonts w:hint="eastAsia" w:ascii="宋体" w:hAnsi="宋体" w:eastAsia="宋体" w:cs="宋体"/>
          <w:b w:val="0"/>
          <w:bCs w:val="0"/>
          <w:color w:val="auto"/>
          <w:sz w:val="24"/>
          <w:szCs w:val="24"/>
          <w:highlight w:val="none"/>
        </w:rPr>
        <w:t>2.1 承包范围</w:t>
      </w:r>
      <w:bookmarkEnd w:id="885"/>
    </w:p>
    <w:p w14:paraId="792BDF4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 承包人自行施工范围</w:t>
      </w:r>
    </w:p>
    <w:p w14:paraId="29285DB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本工程承包人自行施工的工程范围如下：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AB7134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 承包范围内的暂估价项目</w:t>
      </w:r>
    </w:p>
    <w:p w14:paraId="1C842BEA">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2.1.2.1 承包范围内以暂估价形式实施的专业工程见第五章“工程量清单”中“其他项目措施费表”。</w:t>
      </w:r>
    </w:p>
    <w:p w14:paraId="76D03B8E">
      <w:pPr>
        <w:pageBreakBefore w:val="0"/>
        <w:widowControl w:val="0"/>
        <w:tabs>
          <w:tab w:val="left" w:pos="126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2.1.2.2 承包范围内以暂估价形式实施的材料和工程设备见第五章“工程量清单”中的“材料(工程设备)暂估单价表”。</w:t>
      </w:r>
    </w:p>
    <w:p w14:paraId="7D2E46A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2.1.2.3 上述暂估价项目与本节第2.1.1项承包人自行施工范围的工作界面划分如下：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31CC36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 承包范围内的暂列金额项目</w:t>
      </w:r>
    </w:p>
    <w:p w14:paraId="35473767">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2.1.3.1 承包范围内以暂列金额（包括计日工）方式实施的项目见第五章“工程量清单”中“暂列金额明细表”（不包括计日工）和 “计日工表”，其中计日工金额为承包人在其投标报价中按 “计日工表”所列计日工项目、数量和相应规定填报的金额。</w:t>
      </w:r>
    </w:p>
    <w:p w14:paraId="7E74812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2.1.3.2 暂列金额明细表中每笔暂列金额所对应的项目，包括计日工，均只是可能发生的项目。承包人应当充分认识到，合同履行过程中所列暂列金额可能不发生，也可能部分发生。即便发生，监理人按照合同约定发出的使用暂列金额的指示也不限于只能用于表中所列项目。</w:t>
      </w:r>
    </w:p>
    <w:p w14:paraId="2E3C8EC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2.1.3.3 暂列金额是否实际发生、其再分和合并等均不应成为承包人要求任何追加费用和（或）延长工期的理由。</w:t>
      </w:r>
    </w:p>
    <w:p w14:paraId="72A63FC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2.1.3.4 关于暂列金额的其他说明：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A5450B">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86" w:name="_Toc300678515"/>
      <w:r>
        <w:rPr>
          <w:rFonts w:hint="eastAsia" w:ascii="宋体" w:hAnsi="宋体" w:eastAsia="宋体" w:cs="宋体"/>
          <w:b w:val="0"/>
          <w:bCs w:val="0"/>
          <w:color w:val="auto"/>
          <w:sz w:val="24"/>
          <w:szCs w:val="24"/>
          <w:highlight w:val="none"/>
        </w:rPr>
        <w:t>2.2 发包人发包专业工程和发包人供应的材料和工程设备</w:t>
      </w:r>
      <w:bookmarkEnd w:id="886"/>
    </w:p>
    <w:p w14:paraId="5412844A">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 由发包人发包的专业工程属于与本工程有关的其他工程，不属于承包人的承包范围。发包人发包的专业工程如下：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A363CC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 由发包人供应的材料和工程设备不属于承包人的承包范围。发包人供应的材料和工程设备见合同附件二“发包人供应的材料和工程设备一览表”。</w:t>
      </w:r>
    </w:p>
    <w:p w14:paraId="15146AE7">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87" w:name="_Toc300678516"/>
      <w:r>
        <w:rPr>
          <w:rFonts w:hint="eastAsia" w:ascii="宋体" w:hAnsi="宋体" w:eastAsia="宋体" w:cs="宋体"/>
          <w:b w:val="0"/>
          <w:bCs w:val="0"/>
          <w:color w:val="auto"/>
          <w:sz w:val="24"/>
          <w:szCs w:val="24"/>
          <w:highlight w:val="none"/>
        </w:rPr>
        <w:t>2.3 承包人与发包人发包专业工程承包人的工作界面</w:t>
      </w:r>
      <w:bookmarkEnd w:id="887"/>
    </w:p>
    <w:p w14:paraId="66DDFC57">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 承包人与发包人发包专业工程承包人以及与发包人供应的材料和设备的供应商之间的工作界面划分如下：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ECFBEDA">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88" w:name="_Toc300678517"/>
      <w:r>
        <w:rPr>
          <w:rFonts w:hint="eastAsia" w:ascii="宋体" w:hAnsi="宋体" w:eastAsia="宋体" w:cs="宋体"/>
          <w:b w:val="0"/>
          <w:bCs w:val="0"/>
          <w:color w:val="auto"/>
          <w:sz w:val="24"/>
          <w:szCs w:val="24"/>
          <w:highlight w:val="none"/>
        </w:rPr>
        <w:t>2.4 承包人需要为发包人和监理人提供的现场办公条件和设施</w:t>
      </w:r>
      <w:bookmarkEnd w:id="888"/>
    </w:p>
    <w:p w14:paraId="1BF3BAD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承包人需要为发包人和监理人提供的现场办公条件和设施及其详细要求如下：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5915E9">
      <w:pPr>
        <w:pStyle w:val="5"/>
        <w:bidi w:val="0"/>
        <w:rPr>
          <w:rFonts w:hint="eastAsia"/>
        </w:rPr>
      </w:pPr>
      <w:bookmarkStart w:id="889" w:name="_Toc80006237"/>
      <w:bookmarkStart w:id="890" w:name="_Toc16982"/>
      <w:bookmarkStart w:id="891" w:name="_Toc79998413"/>
      <w:bookmarkStart w:id="892" w:name="_Toc18647"/>
      <w:bookmarkStart w:id="893" w:name="_Toc80006127"/>
      <w:bookmarkStart w:id="894" w:name="_Toc9178554"/>
      <w:bookmarkStart w:id="895" w:name="_Toc79998857"/>
      <w:bookmarkStart w:id="896" w:name="_Toc4569"/>
      <w:bookmarkStart w:id="897" w:name="_Toc300678518"/>
      <w:r>
        <w:rPr>
          <w:rFonts w:hint="eastAsia"/>
        </w:rPr>
        <w:t>3.工期要求</w:t>
      </w:r>
      <w:bookmarkEnd w:id="889"/>
      <w:bookmarkEnd w:id="890"/>
      <w:bookmarkEnd w:id="891"/>
      <w:bookmarkEnd w:id="892"/>
      <w:bookmarkEnd w:id="893"/>
      <w:bookmarkEnd w:id="894"/>
      <w:bookmarkEnd w:id="895"/>
      <w:bookmarkEnd w:id="896"/>
      <w:bookmarkEnd w:id="897"/>
    </w:p>
    <w:p w14:paraId="36239790">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98" w:name="_Toc300678519"/>
      <w:r>
        <w:rPr>
          <w:rFonts w:hint="eastAsia" w:ascii="宋体" w:hAnsi="宋体" w:eastAsia="宋体" w:cs="宋体"/>
          <w:b w:val="0"/>
          <w:bCs w:val="0"/>
          <w:color w:val="auto"/>
          <w:sz w:val="24"/>
          <w:szCs w:val="24"/>
          <w:highlight w:val="none"/>
        </w:rPr>
        <w:t>3.1 合同工期</w:t>
      </w:r>
      <w:bookmarkEnd w:id="898"/>
    </w:p>
    <w:p w14:paraId="2CAD212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本工程合同工期和计划开、竣工日期为承包人在投标函附录中承诺的工期和计划开、竣工日期，并在合同协议书中载明。</w:t>
      </w:r>
    </w:p>
    <w:p w14:paraId="2636D3C9">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99" w:name="_Toc300678520"/>
      <w:r>
        <w:rPr>
          <w:rFonts w:hint="eastAsia" w:ascii="宋体" w:hAnsi="宋体" w:eastAsia="宋体" w:cs="宋体"/>
          <w:b w:val="0"/>
          <w:bCs w:val="0"/>
          <w:color w:val="auto"/>
          <w:sz w:val="24"/>
          <w:szCs w:val="24"/>
          <w:highlight w:val="none"/>
        </w:rPr>
        <w:t>3.2 关于工期的一般规定</w:t>
      </w:r>
      <w:bookmarkEnd w:id="899"/>
    </w:p>
    <w:p w14:paraId="2B28314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 承包人在投标函中承诺的工期和计划开、竣工日期之间发生矛盾或者不一致时，以承包人承诺的工期为准。实际开工日期以合同条款约定的监理人发出的开工通知中载明的开工日期为准。</w:t>
      </w:r>
    </w:p>
    <w:p w14:paraId="3668364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3.2.2 如果承包人在投标函附录中承诺的工期提前于发包人在本工程招标文件中所要求的工期，承包人在施工组织设计中应当制定相应的工期保证措施，由此而增加的费用应当被认为已经包括在投标总价中。除合同另有约定外，合同履约过程中发包人不会因此再向承包人支付任何性质的技术措施费用、赶工费用或其他任何性质的提前完工奖励等费用。</w:t>
      </w:r>
    </w:p>
    <w:p w14:paraId="1EFDA13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承包人在投标函附录中所承诺的工期应当包括实施并完成本节上述2.1.2项规定的暂估价项目和上述2.1.3项规定的实际可能发生的暂列金额在内的所有工作的工期。</w:t>
      </w:r>
    </w:p>
    <w:p w14:paraId="7EDAA51C">
      <w:pPr>
        <w:pStyle w:val="5"/>
        <w:bidi w:val="0"/>
        <w:rPr>
          <w:rFonts w:hint="eastAsia"/>
        </w:rPr>
      </w:pPr>
      <w:bookmarkStart w:id="900" w:name="_Toc9472"/>
      <w:bookmarkStart w:id="901" w:name="_Toc79998858"/>
      <w:bookmarkStart w:id="902" w:name="_Toc9178555"/>
      <w:bookmarkStart w:id="903" w:name="_Toc79998414"/>
      <w:bookmarkStart w:id="904" w:name="_Toc28603"/>
      <w:bookmarkStart w:id="905" w:name="_Toc80006238"/>
      <w:bookmarkStart w:id="906" w:name="_Toc13455"/>
      <w:bookmarkStart w:id="907" w:name="_Toc80006128"/>
      <w:bookmarkStart w:id="908" w:name="_Toc300678521"/>
      <w:r>
        <w:rPr>
          <w:rFonts w:hint="eastAsia"/>
        </w:rPr>
        <w:t>4.质量要求</w:t>
      </w:r>
      <w:bookmarkEnd w:id="900"/>
      <w:bookmarkEnd w:id="901"/>
      <w:bookmarkEnd w:id="902"/>
      <w:bookmarkEnd w:id="903"/>
      <w:bookmarkEnd w:id="904"/>
      <w:bookmarkEnd w:id="905"/>
      <w:bookmarkEnd w:id="906"/>
      <w:bookmarkEnd w:id="907"/>
      <w:bookmarkEnd w:id="908"/>
    </w:p>
    <w:p w14:paraId="328B1466">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09" w:name="_Toc300678522"/>
      <w:r>
        <w:rPr>
          <w:rFonts w:hint="eastAsia" w:ascii="宋体" w:hAnsi="宋体" w:eastAsia="宋体" w:cs="宋体"/>
          <w:b w:val="0"/>
          <w:bCs w:val="0"/>
          <w:color w:val="auto"/>
          <w:sz w:val="24"/>
          <w:szCs w:val="24"/>
          <w:highlight w:val="none"/>
        </w:rPr>
        <w:t>4.1 质量标准</w:t>
      </w:r>
      <w:bookmarkEnd w:id="909"/>
    </w:p>
    <w:p w14:paraId="5627B88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 本工程要求的质量标准为符合现行国家有关工程施工验收规范和标准的要求合格。</w:t>
      </w:r>
    </w:p>
    <w:p w14:paraId="0A599C1B">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10" w:name="_Toc300678523"/>
      <w:r>
        <w:rPr>
          <w:rFonts w:hint="eastAsia" w:ascii="宋体" w:hAnsi="宋体" w:eastAsia="宋体" w:cs="宋体"/>
          <w:b w:val="0"/>
          <w:bCs w:val="0"/>
          <w:color w:val="auto"/>
          <w:sz w:val="24"/>
          <w:szCs w:val="24"/>
          <w:highlight w:val="none"/>
        </w:rPr>
        <w:t>4.2 特殊质量要求</w:t>
      </w:r>
      <w:bookmarkEnd w:id="910"/>
    </w:p>
    <w:p w14:paraId="0252A3F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4.2.1 有关本工程质量方面的特殊要求如下：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12A4B31">
      <w:pPr>
        <w:pStyle w:val="5"/>
        <w:bidi w:val="0"/>
        <w:rPr>
          <w:rFonts w:hint="eastAsia"/>
        </w:rPr>
      </w:pPr>
      <w:bookmarkStart w:id="911" w:name="_Toc25185"/>
      <w:bookmarkStart w:id="912" w:name="_Toc9178556"/>
      <w:bookmarkStart w:id="913" w:name="_Toc300678524"/>
      <w:bookmarkStart w:id="914" w:name="_Toc79998859"/>
      <w:bookmarkStart w:id="915" w:name="_Toc80006129"/>
      <w:bookmarkStart w:id="916" w:name="_Toc80006239"/>
      <w:bookmarkStart w:id="917" w:name="_Toc79998415"/>
      <w:bookmarkStart w:id="918" w:name="_Toc31070"/>
      <w:bookmarkStart w:id="919" w:name="_Toc21154"/>
      <w:r>
        <w:rPr>
          <w:rFonts w:hint="eastAsia"/>
        </w:rPr>
        <w:t>5.适用规范和标准</w:t>
      </w:r>
      <w:bookmarkEnd w:id="911"/>
      <w:bookmarkEnd w:id="912"/>
      <w:bookmarkEnd w:id="913"/>
      <w:bookmarkEnd w:id="914"/>
      <w:bookmarkEnd w:id="915"/>
      <w:bookmarkEnd w:id="916"/>
      <w:bookmarkEnd w:id="917"/>
      <w:bookmarkEnd w:id="918"/>
      <w:bookmarkEnd w:id="919"/>
    </w:p>
    <w:p w14:paraId="72D9D4DF">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20" w:name="_Toc300678525"/>
      <w:r>
        <w:rPr>
          <w:rFonts w:hint="eastAsia" w:ascii="宋体" w:hAnsi="宋体" w:eastAsia="宋体" w:cs="宋体"/>
          <w:b w:val="0"/>
          <w:bCs w:val="0"/>
          <w:color w:val="auto"/>
          <w:sz w:val="24"/>
          <w:szCs w:val="24"/>
          <w:highlight w:val="none"/>
        </w:rPr>
        <w:t>5.1 适用的规范、标准和规程</w:t>
      </w:r>
      <w:bookmarkEnd w:id="920"/>
    </w:p>
    <w:p w14:paraId="7A8655F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5.1.1 除合同另有约定外，本工程适用现行国家、行业和地方规范、标准和规程。适用于本工程的国家、行业和地方的规范、标准和规范等的名录见本章第三节。</w:t>
      </w:r>
    </w:p>
    <w:p w14:paraId="17BF8E8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构成合同文件的任何内容与适用的规范、标准和规程之间出现矛盾，承包人应书面要求监理人予以澄清，除监理人有特别指示外，承包人应按照其中要求最严格的标准执行。</w:t>
      </w:r>
    </w:p>
    <w:p w14:paraId="37B32AD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5.1.3 除合同另有约定外，材料、施工工艺和本工程都应依照本技术标准和要求以及适用的现行规范、标准和规程的最新版本执行。若适用的现行规范、标准和规程的最新版本是在基准日后颁布的，且相应标准发生变更并成为合同文件中最严格的标准，则应按合同条款的约定办理。</w:t>
      </w:r>
    </w:p>
    <w:p w14:paraId="39B2A90E">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21" w:name="_Toc300678526"/>
      <w:r>
        <w:rPr>
          <w:rFonts w:hint="eastAsia" w:ascii="宋体" w:hAnsi="宋体" w:eastAsia="宋体" w:cs="宋体"/>
          <w:b w:val="0"/>
          <w:bCs w:val="0"/>
          <w:color w:val="auto"/>
          <w:sz w:val="24"/>
          <w:szCs w:val="24"/>
          <w:highlight w:val="none"/>
        </w:rPr>
        <w:t>5.2 特殊技术标准和要求</w:t>
      </w:r>
      <w:bookmarkEnd w:id="921"/>
    </w:p>
    <w:p w14:paraId="2BE500EA">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5.2.1 适用本工程的特殊技术标准和要求见本章第二节。</w:t>
      </w:r>
    </w:p>
    <w:p w14:paraId="5547783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5.2.2 有合同约束力的图纸和其他设计文件中的有关文字说明是本节的组成内容。</w:t>
      </w:r>
    </w:p>
    <w:p w14:paraId="18B0ADFE">
      <w:pPr>
        <w:pStyle w:val="5"/>
        <w:bidi w:val="0"/>
        <w:rPr>
          <w:rFonts w:hint="eastAsia"/>
        </w:rPr>
      </w:pPr>
      <w:bookmarkStart w:id="922" w:name="_Toc80006240"/>
      <w:bookmarkStart w:id="923" w:name="_Toc9178557"/>
      <w:bookmarkStart w:id="924" w:name="_Toc23084"/>
      <w:bookmarkStart w:id="925" w:name="_Toc13737"/>
      <w:bookmarkStart w:id="926" w:name="_Toc79998860"/>
      <w:bookmarkStart w:id="927" w:name="_Toc79998416"/>
      <w:bookmarkStart w:id="928" w:name="_Toc14122"/>
      <w:bookmarkStart w:id="929" w:name="_Toc300678527"/>
      <w:bookmarkStart w:id="930" w:name="_Toc80006130"/>
      <w:r>
        <w:rPr>
          <w:rFonts w:hint="eastAsia"/>
        </w:rPr>
        <w:t>6.安全文明施工</w:t>
      </w:r>
      <w:bookmarkEnd w:id="922"/>
      <w:bookmarkEnd w:id="923"/>
      <w:bookmarkEnd w:id="924"/>
      <w:bookmarkEnd w:id="925"/>
      <w:bookmarkEnd w:id="926"/>
      <w:bookmarkEnd w:id="927"/>
      <w:bookmarkEnd w:id="928"/>
      <w:bookmarkEnd w:id="929"/>
      <w:bookmarkEnd w:id="930"/>
    </w:p>
    <w:p w14:paraId="512D7E78">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1" w:name="_Toc300678528"/>
      <w:r>
        <w:rPr>
          <w:rFonts w:hint="eastAsia" w:ascii="宋体" w:hAnsi="宋体" w:eastAsia="宋体" w:cs="宋体"/>
          <w:b w:val="0"/>
          <w:bCs w:val="0"/>
          <w:color w:val="auto"/>
          <w:sz w:val="24"/>
          <w:szCs w:val="24"/>
          <w:highlight w:val="none"/>
        </w:rPr>
        <w:t>6.1 安全防护</w:t>
      </w:r>
      <w:bookmarkEnd w:id="931"/>
    </w:p>
    <w:p w14:paraId="57D0CE5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在工程施工、竣工、交付及修补任何缺陷的过程中，承包人应当始终遵守国家和地方有关安全生产的法律、法规、规范、标准和规程等，按照合同条款的约定履行其安全施工职责。</w:t>
      </w:r>
    </w:p>
    <w:p w14:paraId="256FD42A">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6.1.2 承包人应坚持“安全第一，预防为主”的方针，建立、健全安全生产责任制度和安全生产教育培训制度。在整个工程施工期间，承包人应在施工场地（现场）设立、提供和维护并在有关工作完成或竣工后撤除：</w:t>
      </w:r>
    </w:p>
    <w:p w14:paraId="045CEF4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（1）设立在现场入口显著位置的现场施工总平面图、总平面管理、安全生产、文明施工、环境保护、质量控制、材料管理等的规章制度和主要参建单位名称和工程概况等说明的图板；</w:t>
      </w:r>
    </w:p>
    <w:p w14:paraId="738FB56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（2）为确保工程安全施工须设立的足够的标志、宣传画、标语、指示牌、警告牌、火警、匪警和急救电话提示牌等等；</w:t>
      </w:r>
    </w:p>
    <w:p w14:paraId="29C3348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（3）洞口和临边位置的安全防护设施，包括护身栏杆、脚手架、洞口盖板和加筋、竖井防护栏杆、防护棚、防护网、坡道等等；</w:t>
      </w:r>
    </w:p>
    <w:p w14:paraId="4A8D096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（4）安全带、安全绳、安全帽、安全网、绝缘鞋、绝缘手套、防护口罩和防护衣等安全生产用品；</w:t>
      </w:r>
    </w:p>
    <w:p w14:paraId="52F4CE3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（5）所有机械设备包括各类电动工具的安全保护和接地装置和操作说明；</w:t>
      </w:r>
    </w:p>
    <w:p w14:paraId="1B2423B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（6）装备良好的临时急救站和配备称职的医护人员；</w:t>
      </w:r>
    </w:p>
    <w:p w14:paraId="6ECACA5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（7）主要作业场所和临时安全疏散通道24小时36伏安全照明和必要的警示等以防止各种可能的事故；</w:t>
      </w:r>
    </w:p>
    <w:p w14:paraId="2064331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（8）足够数量的和合格的手提灭火器；</w:t>
      </w:r>
    </w:p>
    <w:p w14:paraId="5090147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（9）装备良好的易燃易爆物品仓库和相应的使用管理制度；</w:t>
      </w:r>
    </w:p>
    <w:p w14:paraId="0DD68E7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（10）对涉及明火施工的工作制定诸如用火证等的管理制度；</w:t>
      </w:r>
    </w:p>
    <w:p w14:paraId="3B84F8D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（11）其他：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76C5C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6.1.3 安全文明施工费用必须专款专用，承包人应对其由于安全文明施工费用和施工安全措施不到位而发生的安全事故承担全部责任。</w:t>
      </w:r>
    </w:p>
    <w:p w14:paraId="246244E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承包人应建立专门的施工场地（现场）安全生产管理机构，配备足够数量的和符合有关规定的专职安全生产管理人员，负责日常安全生产巡查和专项检查，召集和主持现场全体人员参加的安全生产例会（每周至少一次），负责安全技术交底和技术方案的安全把关，负责制定或审核安全隐患的整改措施并监督落实，负责安全资料的整理和管理，及时消除安全隐患，做好安全检查记录，确保所有的安全设施都处于良好的运转状态。承包人项目经理和专职安全生产管理人员均应当具备有效的安全生产考核合格证书。</w:t>
      </w:r>
    </w:p>
    <w:p w14:paraId="5B640F8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6.1.5 承包人应遵照有关法规要求，编印安全防护手册发给进场施工人员，做好进场施工人员上岗前的安全教育和培训工作，并建立考核制度，只有考核合格的人员才能进场施工作业。特种作业人员还应经过专门的安全作业培训，并取得特种作业操作资格证书后方可上岗。在任何分部分项工程开始施工前，承包人应当就有关安全施工的技术要求向施工作业班组和作业人员等进行安全交底，并由双方签字确认。</w:t>
      </w:r>
    </w:p>
    <w:p w14:paraId="4F8E106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承包人应为其进场施工人员配备必需的安全防护设施和设备，承包人还应为施工场地（现场）邻近地区的所有者和占有者、公众和其他人员，提供一切必要的临时道路、人行道、防护棚、围栏及警告等，以确保财产和人身安全以及最大程度地降低施工可能造成的不便。</w:t>
      </w:r>
    </w:p>
    <w:p w14:paraId="1C44886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6.1.7 承包人应在施工场地（现场）入口处、施工起重机械、临时用电设施、脚手架、出入通道口、楼梯口、电梯井口、孔洞口、隧道口、基坑边沿、危险品存放处等危险部位设置一切必需的安全警示标志，包括但不限于标准道路标志、报警标志、危险标志、控制标志、安全标志、指示标志、警告标志等，并配备必要的照明、防护和看守。承包人应当按监理人的指示，经常补充或更换失效的警示和标志。</w:t>
      </w:r>
    </w:p>
    <w:p w14:paraId="6975EACA">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6.1.8 承包人应对施工场地（现场）内由其提供并安装的所有提升架、外用电梯和塔吊等垂直和水平运输机械进行安全围护，包括卸料平台门的安全开关、警示铃和警示灯，卸料平台的护身栏杆，脚手架和安全网等等；所有的机械设备应设置安全操作防护罩，并在醒目位置张挂详细的安全操作要点等。</w:t>
      </w:r>
    </w:p>
    <w:p w14:paraId="2704BD9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6.1.9 承包人应对所有用于提升的挂钩、挂环、钢丝绳、铁扁担等进行定期检测、检查和标定；如果监理人认为，任何此类设施已经损坏或有使用不当之处，承包人应立即以合格的产品进行更换；所有垂直和水平运输机械的搭设、顶升、使用和拆除必须严格依照现行有关法规、规章、规范、标准和规程等的要求。</w:t>
      </w:r>
    </w:p>
    <w:p w14:paraId="090891C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6.1.10 所有机械和工器具应定期保养、校核和维护，以保证它们处于良好和安全的工作状态。保养、校核和维护工作应尽可能安排在非工作时间进行，并为上述机械和工器具准备足够的备用配件，以确保工程的施工能不间断地进行。</w:t>
      </w:r>
    </w:p>
    <w:p w14:paraId="414363C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6.1.11 在永久工程和施工边坡、建筑物基坑、地下洞室等的开挖过程中，应根据其施工安全的需要和（或）监理人指示，安装必要的施工安全监测仪器，及时进行必要的施工安全监测，并定期将安全监测成果提交监理人，以防止引起任何沉降、变形或其他影响正常施工进度的损害。</w:t>
      </w:r>
    </w:p>
    <w:p w14:paraId="597C919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6.1.12 承包人应对任何施工中的永久工程进行必要的支撑或临时加固。除非承包人已获得监理人书面许可并按要求进行了必要的加固或支撑，不允许承包人在任何已完成的永久性结构上堆放超过设计允许荷载的任何材料、物品或设备。在任何情况下，承包人均应对其任何上述超载行为引起的后果负责，并承担相应的修缮费用。</w:t>
      </w:r>
    </w:p>
    <w:p w14:paraId="025F793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6.1.13 承包人应成立应急救援小组，配备必要的应急救援器材和设备，制定灾害和生产安全事故的应急救援预案，并将应急救援预案报送监理人。应急救援预案应能随时组织应救专职人员、并定期组织演练。</w:t>
      </w:r>
    </w:p>
    <w:p w14:paraId="7E37BD4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6.1.14 施工过程中需要使用爆破或带炸药的工具等危险性施工方法时，承包人应提前通知监理人。经监理人批准后，承包人应依照有关法律、法规、规章以及政府有关主管机构制定的规范性文件等的规定，向有关机构提出申请并获得相关许可。承包人应严格依照上述规定使用、储藏、管理爆破物品或带炸药的工具等，并负责由于这类物品的使用可能引起的任何损失或损害的赔偿。任何情况下，承包人不得在已完永久性工程中和空心砌体中使用爆破方法。</w:t>
      </w:r>
    </w:p>
    <w:p w14:paraId="27102D2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6.1.15 基坑支护与降水工程、土方开挖工程、模板工程、起重吊装工程、脚手架工程、拆除工程和爆破工程等达到一定规模和危险性较大的分部分项工程，承包人应当编制专项施工方案，其中深基坑、地下暗挖和高大模板工程的专项施工方案，还应组织专家进行论证和审查。</w:t>
      </w:r>
    </w:p>
    <w:p w14:paraId="43A5912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6.1.16 承包人应按照合同条款的约定处理本工程施工过程中发生的事故。发生施工安全事故后，承包人必须立即报告监理人和发包人，并在事故发生后一小时内向发包人提交事故情况书面报告，并根据《生产安全事故报告和调查处理条例》的规定，及时向工程所在地县级以上地方人民政府安全生产监督管理部门和建设行政主管部门报告。情况紧急时，事故现场有关人员可以直接向工程所在地县级以上地方人民政府安全生产监督管理部门和建设行政主管部门报告。</w:t>
      </w:r>
    </w:p>
    <w:p w14:paraId="6A3F150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6.1.17 承包人还应根据有关法律、法规、规定和条例等的要求，制定一套安全生产应急措施和程序，保证一旦出现任何安全事故，能立即保护好现场，抢救伤员和财产，保证施工生产的正常进行，防止损失扩大。</w:t>
      </w:r>
    </w:p>
    <w:p w14:paraId="3705328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6.1.18 安全防护方面的其他要求如下：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EF641F8">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2" w:name="_Toc300678529"/>
      <w:r>
        <w:rPr>
          <w:rFonts w:hint="eastAsia" w:ascii="宋体" w:hAnsi="宋体" w:eastAsia="宋体" w:cs="宋体"/>
          <w:b w:val="0"/>
          <w:bCs w:val="0"/>
          <w:color w:val="auto"/>
          <w:sz w:val="24"/>
          <w:szCs w:val="24"/>
          <w:highlight w:val="none"/>
        </w:rPr>
        <w:t>6.2 临时消防</w:t>
      </w:r>
      <w:bookmarkEnd w:id="932"/>
    </w:p>
    <w:p w14:paraId="3D861CE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6.2.1 承包人应建立消防安全责任制度，制定用火、用电和使用易燃易爆等危险品的消防安全管理制度和操作规程。各项制度和规程等应满足相关法律法规和政府消防管理机构的要求。</w:t>
      </w:r>
    </w:p>
    <w:p w14:paraId="7D2479E7">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6.2.2 承包人应根据相关法律法规和消防管理部门的要求，为施工中的永久工程和所有临时工程提供必要的临时消防和紧急疏散设施，包括提供并维持畅通的消防通道、临时消火栓、灭火器、水龙带、灭火桶、灭火铲、灭火斧、消防水管、阀门、检查井、临时消防水箱、泵房和紧随工作面的临时疏散楼梯或疏散设施，消防设施的设立和消防设备的型号和功率应满足消防任务的需要，始终保持能够随时投入正常使用的状态，并设立明显标志。承包人的临时消防系统和配置应分别经过监理人和消防管理部门的审批和验收；承包人还应自费获得消防管理部门的临时消防证书。所有的临时消防设施属于承包人所有，至工程实际竣工时且永久性消防系统投入使用后从现场拆除。</w:t>
      </w:r>
    </w:p>
    <w:p w14:paraId="0CBF0DA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6.2.3 承包人应当成立由项目主要负责人担任组长的临时消防组或消防队，宣传消防基本知识和基本操作培训，组织消防演练，保证一旦发生火灾，能够组织有效的自救，保护生命和财产安全。</w:t>
      </w:r>
    </w:p>
    <w:p w14:paraId="3C6E7B4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6.2.4 施工场地（现场）内的易燃、易爆物品应单独和安全地存放，设专人进行存放和领用管理。施工场地（现场）储有或正在使用易燃、易爆或可燃材料时或有明火施工的工序，应当实行严格的“用火证”管理制度。</w:t>
      </w:r>
    </w:p>
    <w:p w14:paraId="413C856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6.2.5 临时消防方面的其他要求如下：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30CE21D">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3" w:name="_Toc300678530"/>
      <w:r>
        <w:rPr>
          <w:rFonts w:hint="eastAsia" w:ascii="宋体" w:hAnsi="宋体" w:eastAsia="宋体" w:cs="宋体"/>
          <w:b w:val="0"/>
          <w:bCs w:val="0"/>
          <w:color w:val="auto"/>
          <w:sz w:val="24"/>
          <w:szCs w:val="24"/>
          <w:highlight w:val="none"/>
        </w:rPr>
        <w:t>6.3 临时供电</w:t>
      </w:r>
      <w:bookmarkEnd w:id="933"/>
    </w:p>
    <w:p w14:paraId="6DACA48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6.3.1 承包人应当根据《施工现场临时用电安全技术规范》（JGJ 46—2005）及其适用的修订版本的规定和施工要求编制施工临时用电方案。临时用电方案及其变更必须履行“编制、审核、批准”程序。施工临时用电方案应当由电气工程技术人员组织编制，经企业技术负责人批准后实施，经编制、审核、批准部门和使用单位共同验收合格后方可投入使用。</w:t>
      </w:r>
    </w:p>
    <w:p w14:paraId="7F58794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6.3.2 承包人应为施工场地（现场），包括为工程楼层或者各区域，提供、设立和维护必要的临时电力供应系统，并保证电力供应系统始终处于满足供电管理部门要求和正常施工生产所要求的状态，并在工程实际竣工和相应永久系统投入使用后从现场拆除。</w:t>
      </w:r>
    </w:p>
    <w:p w14:paraId="5A18A497">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6.3.3 临时供电系统的电缆、电线、配电箱、控制柜、开关箱、漏电保护器等材料设备均应当具有生产（制造）许可证、产品合格证并经过检验合格的产品。临时用电采用三相五线制、三级配电和两极漏电保护供电，三相四线制配电的电缆线路必须采用五芯电缆，按规定设立零线和接地线。电缆和电线的铺设要符合安全用电标准要求，电缆线路应采用埋地或架空敷设，严禁地面明设，并应避免机械损伤和介质腐蚀。埋地电缆路径应设方位标志。各种配电设备均设有防止漏电和防雨防水设施。</w:t>
      </w:r>
    </w:p>
    <w:p w14:paraId="6768BC3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6.3.4 承包人应在施工作业区、施工道路、临时设施、办公区和生活区设置足够的照明，地下工程照明系统的电压不得高于36V，在潮湿和易触及带电体场所的照明供电电压不应大于24V。不便于使用电器照明的工作面应采用特殊照明设施。</w:t>
      </w:r>
    </w:p>
    <w:p w14:paraId="7593970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6.3.5 凡可能漏电伤人或易受雷击的电器及建筑物均应设置接地和避雷装置。承包人应负责避雷装置的采购、安装、管理和维修，并建立定期检查制度。</w:t>
      </w:r>
    </w:p>
    <w:p w14:paraId="2240865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6.3.6 临时用电方面的其他要求如下：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8D8E8F">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4" w:name="_Toc300678531"/>
      <w:r>
        <w:rPr>
          <w:rFonts w:hint="eastAsia" w:ascii="宋体" w:hAnsi="宋体" w:eastAsia="宋体" w:cs="宋体"/>
          <w:b w:val="0"/>
          <w:bCs w:val="0"/>
          <w:color w:val="auto"/>
          <w:sz w:val="24"/>
          <w:szCs w:val="24"/>
          <w:highlight w:val="none"/>
        </w:rPr>
        <w:t>6.4 劳动保护</w:t>
      </w:r>
      <w:bookmarkEnd w:id="934"/>
    </w:p>
    <w:p w14:paraId="6409532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6.4.1 承包人应遵守所有适用于本合同的劳动法规及其他有关法律、法规、规章和规定中关于工人工资标准、劳动时间和劳动条件的规定，合理安排现场作业人员的劳动和休息时间，保障劳动者必须的休息时间，支付合理的报酬和费用。承包人应按有关行政管理部门的规定为本合同下雇佣的职员和工人办理任何必要的证件、许可、保险和注册等，并保障发包人免于因承包人不能依照或完全依照上述所有法律、法规、规章和规定等可能给发包人带来的任何处罚、索赔、损失和损害等。</w:t>
      </w:r>
    </w:p>
    <w:p w14:paraId="31700DC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6.4.2 承包人应按照国家《劳动保护法》的规定，保障现场施工人员的劳动安全。承包人应为本合同下雇佣的职员和工人提供适当和充分的劳动保护，包括但不限于安全防护、防寒、防雨、防尘、绝缘保护、常用药品、急救设备、传染病预防等。</w:t>
      </w:r>
    </w:p>
    <w:p w14:paraId="5068255D">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6.4.3 承包人应为其履行本合同所雇佣的职员和工人提供和维护任何必要的膳宿条件和生活环境，包括但不限于宿舍、围栏、供水（饮用及其他目的用水）、供电、卫生设备、食堂及炊具、防火及灭火设备、供热、家具及其他正常膳宿条件和生活环境所需的必需品，并应考虑宗教和民族习惯。</w:t>
      </w:r>
    </w:p>
    <w:p w14:paraId="5AED912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6.4.4 承包人应为现场工人提供符合政府卫生规定的生活条件并获得必要的许可，保证工人的健康和防止任何传染病，包括工人的食堂、厕所、工具房、宿舍等；承包人应聘请专业的卫生防疫部门定期对现场、工人生活基地和工程进行防疫和卫生的专业检查和处理，包括消灭白蚁、鼠害、蚊蝇和其它害虫，以防对施工人员、现场和永久工程造成任何危害。</w:t>
      </w:r>
    </w:p>
    <w:p w14:paraId="5CCEFC5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6.4.5 承包人应在现场设立专门的临时医疗站，配备足够的设施、药物和称职的医务人员，承包人还应准备急救担架，用于一旦发生安全事故时对受伤人员的急救。</w:t>
      </w:r>
    </w:p>
    <w:p w14:paraId="6535464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6.4.6 劳动保护方面的其他要求如下：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564F27A">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5" w:name="_Toc300678532"/>
      <w:r>
        <w:rPr>
          <w:rFonts w:hint="eastAsia" w:ascii="宋体" w:hAnsi="宋体" w:eastAsia="宋体" w:cs="宋体"/>
          <w:b w:val="0"/>
          <w:bCs w:val="0"/>
          <w:color w:val="auto"/>
          <w:sz w:val="24"/>
          <w:szCs w:val="24"/>
          <w:highlight w:val="none"/>
        </w:rPr>
        <w:t>6.5 脚手架</w:t>
      </w:r>
      <w:bookmarkEnd w:id="935"/>
    </w:p>
    <w:p w14:paraId="2842A53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6.5.1 承包人应搭设并维护一切必要的临时脚手架、挑平台并配以脚手板、安全网、护身栏杆、门架、马道、坡道、爬梯等等。脚手架和挑平台的搭设应满足有关安全生产的法律、法规、规范、标准和规程等的要求。新搭设的脚手架投入使用前，承包人必须组织安全检查和验收，并对使用脚手架的作业人员进行安全交底。</w:t>
      </w:r>
    </w:p>
    <w:p w14:paraId="5BEA91D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6.5.2 所有脚手架，尤其是大型、复杂、高耸和非常规脚手架，要编制专项施工方案，还应当经过安全验算，脚手架安全验算结果必须报送监理人核查后方可实施。</w:t>
      </w:r>
    </w:p>
    <w:p w14:paraId="67C5ACF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6.5.3 搭设爬架、挂架、超高脚手架等特种或新型脚手架时，承包人应确保此类脚手架的安全性和保证此类脚手架已经过有关行政管理部门允许使用的批准，并承担与此有关的一切费用。</w:t>
      </w:r>
    </w:p>
    <w:p w14:paraId="6F66454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6.5.4 承包人应当加强脚手架的日常安全巡查，及时对其中的安全隐患进行整改，确保脚手架使用安全。雨、雪、雾、霜和大风等天气后，承包人必须对脚手架进行安全巡查，并及时消除安全隐患。</w:t>
      </w:r>
    </w:p>
    <w:p w14:paraId="347FFEB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6.5.5 承包人应允许发包人、监理人、专业分包人、独立承包人（如果有）和有关行政管理部门或者机构免费使用承包人在现场搭设的任何已有脚手架，并就其安全使用做必要交底说明。承包人在拆除任何脚手架前，应书面请示监理人他将要拆除的脚手架是否为发包人、监理人、专业分包人、独立承包人（如果有）和政府有关机构所需，只有在获得监理人书面批准后，承包人才能拆除相关脚手架，否则承包人应自费重新搭设。</w:t>
      </w:r>
    </w:p>
    <w:p w14:paraId="28B8718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6.5.6 脚手架的其他要求如下：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2192386">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6" w:name="_Toc300678533"/>
      <w:r>
        <w:rPr>
          <w:rFonts w:hint="eastAsia" w:ascii="宋体" w:hAnsi="宋体" w:eastAsia="宋体" w:cs="宋体"/>
          <w:b w:val="0"/>
          <w:bCs w:val="0"/>
          <w:color w:val="auto"/>
          <w:sz w:val="24"/>
          <w:szCs w:val="24"/>
          <w:highlight w:val="none"/>
        </w:rPr>
        <w:t>6.6 施工安全措施计划</w:t>
      </w:r>
      <w:bookmarkEnd w:id="936"/>
    </w:p>
    <w:p w14:paraId="5DCEE50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6.6.1 承包人应根据《中华人民共和国安全生产法》、《职业健康安全管理体系规范》、《中华人民共和国消防法》、《中华人民共和国道路交通安全法》、《中华人民共和国传染病防治法实施办法》和地方有关的法规等，按照合同条款的约定，编制一份施工安全措施计划，报送监理人审批。</w:t>
      </w:r>
    </w:p>
    <w:p w14:paraId="658701E7">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6.6.2 施工安全措施计划是承包人阐明其安全管理方针、管理体系、安全制度和安全措施等的文件，其内容应当反映现行法律法规规定的和合同条款约定的以及本条上述约定的承包人安全职责，包括但不限于：</w:t>
      </w:r>
    </w:p>
    <w:p w14:paraId="6CA8162D">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（1）施工安全管理机构的设置；</w:t>
      </w:r>
    </w:p>
    <w:p w14:paraId="646B064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（2）专职安全管理人员的配备；</w:t>
      </w:r>
    </w:p>
    <w:p w14:paraId="2209212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（3）安全责任制度和管理措施；</w:t>
      </w:r>
    </w:p>
    <w:p w14:paraId="64EEFF6D">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（4）安全教育和培训制度及管理措施；</w:t>
      </w:r>
    </w:p>
    <w:p w14:paraId="3932DBF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（5）各项安全生产规章制度和操作规程；</w:t>
      </w:r>
    </w:p>
    <w:p w14:paraId="57D14BF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（6）各项施工安全措施和防护措施；</w:t>
      </w:r>
    </w:p>
    <w:p w14:paraId="5077C5A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（7）危险品管理和使用制度；</w:t>
      </w:r>
    </w:p>
    <w:p w14:paraId="1E278E1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（8）安全设施、设备、器材和劳动保护用品的配置；</w:t>
      </w:r>
    </w:p>
    <w:p w14:paraId="03CDAFB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（9）其他：</w:t>
      </w:r>
    </w:p>
    <w:p w14:paraId="7EACCE2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安全措施的项目和范围，应符合国家颁发的《安全技术措施计划的项目总名称表》及其附录H、I、J的规定，即应采取以改善劳动条件，防止工伤事故，预防职业病和职业中毒为目的的一切施工安全措施，以及修建必要的安全设施、配备安全技术开发试验所需的器材、设备和技术资料，并对现场的施工管理及作业人员做好相应的安全宣传教育。</w:t>
      </w:r>
    </w:p>
    <w:p w14:paraId="23D449F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6.6.3 施工安全措施计划应当在合同条款约定的期限内报送监理人。承包人应当严格执行经监理人批准的施工安全措施计划，并及时补充、修订和完善施工安全措施计划，确保安全生产。</w:t>
      </w:r>
    </w:p>
    <w:p w14:paraId="31A4451B">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7" w:name="_Toc300678534"/>
      <w:r>
        <w:rPr>
          <w:rFonts w:hint="eastAsia" w:ascii="宋体" w:hAnsi="宋体" w:eastAsia="宋体" w:cs="宋体"/>
          <w:b w:val="0"/>
          <w:bCs w:val="0"/>
          <w:color w:val="auto"/>
          <w:sz w:val="24"/>
          <w:szCs w:val="24"/>
          <w:highlight w:val="none"/>
        </w:rPr>
        <w:t>6.7 文明施工</w:t>
      </w:r>
      <w:bookmarkEnd w:id="937"/>
    </w:p>
    <w:p w14:paraId="2B1255E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6.7.1 承包人应遵守国家和工程所在地有关法规、规范、规程和标准的规定，履行文明施工义务，确保文明施工专项费用专款专用。</w:t>
      </w:r>
    </w:p>
    <w:p w14:paraId="775E1A2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6.7.2 承包人应当规范现场施工秩序，实行标准化管理：</w:t>
      </w:r>
    </w:p>
    <w:p w14:paraId="357CE5E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（1）承包人的施工场地（现场）必须干净</w:t>
      </w:r>
      <w:r>
        <w:rPr>
          <w:rFonts w:hint="eastAsia" w:ascii="宋体" w:hAnsi="宋体" w:eastAsia="宋体" w:cs="宋体"/>
          <w:color w:val="auto"/>
          <w:sz w:val="24"/>
          <w:szCs w:val="24"/>
          <w:highlight w:val="none"/>
          <w:lang w:val="en-US" w:eastAsia="zh-CN"/>
        </w:rPr>
        <w:t>整洁</w:t>
      </w:r>
      <w:r>
        <w:rPr>
          <w:rFonts w:hint="eastAsia" w:ascii="宋体" w:hAnsi="宋体" w:eastAsia="宋体" w:cs="宋体"/>
          <w:color w:val="auto"/>
          <w:sz w:val="24"/>
          <w:szCs w:val="24"/>
          <w:highlight w:val="none"/>
        </w:rPr>
        <w:t>、做到无积水、无淤泥、无杂物，材料堆放整齐；</w:t>
      </w:r>
    </w:p>
    <w:p w14:paraId="30DB05C6">
      <w:pPr>
        <w:pageBreakBefore w:val="0"/>
        <w:widowControl w:val="0"/>
        <w:kinsoku/>
        <w:wordWrap/>
        <w:overflowPunct/>
        <w:topLinePunct w:val="0"/>
        <w:autoSpaceDE/>
        <w:autoSpaceDN/>
        <w:bidi w:val="0"/>
        <w:adjustRightInd/>
        <w:snapToGrid/>
        <w:spacing w:line="360" w:lineRule="auto"/>
        <w:ind w:right="-174" w:rightChars="-83"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（2）施工场地（现场）应进行硬化处理，定期定时洒水，做好防治扬尘和大气污染工作；</w:t>
      </w:r>
    </w:p>
    <w:p w14:paraId="007A845D">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（3）严格遵守“工完、料尽、场地净”的原则，不留垃圾、不留剩余施工材料和施工机具，各种设备运转正常；</w:t>
      </w:r>
    </w:p>
    <w:p w14:paraId="43A0F9BD">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（4）承包人修建的施工临时设施应符合监理人批准的施工规划要求，并应满足本节规定的各项安全要求；</w:t>
      </w:r>
    </w:p>
    <w:p w14:paraId="150E67F7">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（5）监理人可要求承包人在施工场地（现场）设置各级承包人的安全文明施工责任牌等文明施工警示牌；</w:t>
      </w:r>
    </w:p>
    <w:p w14:paraId="28CB8E9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（6）材料进入现场应按指定位置堆放整齐，不得影响现场施工和堵塞施工、消防通道。材料堆放场地应有专职的管理人员；</w:t>
      </w:r>
    </w:p>
    <w:p w14:paraId="1B8A5F9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（7）施工和安装用的各种扣件、紧固件、绳索具、小型配件、镙钉等应在专设的仓库内装箱放置；</w:t>
      </w:r>
    </w:p>
    <w:p w14:paraId="0D1BA3A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（8）现场风、水管及照明电线的布置应安全、合理、规范、有序，做到整齐美观。不得随意架设  和造成隐患或影响施工。</w:t>
      </w:r>
    </w:p>
    <w:p w14:paraId="3B36BBEA">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6.7.3 承包人应为其雇佣的施工工人建立并维护相应的生活宿舍、食堂、浴室、厕所和文化活动室等，其标准应满足政府有关机构的生活标准和卫生标准等的要求。</w:t>
      </w:r>
    </w:p>
    <w:p w14:paraId="190E0200">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6.7.4 承包人应为任何已完成的、正在施工的和将要进行的任何永久和临时工程、材料、物品、设备以及因永久工程施工而暴露的任何毗邻财产提供必要的覆盖和保护措施，以避免恶劣天气影响工程施工和造成损失。保护措施包括必要的冬季供暖、雨季用阻燃防水油布覆盖、额外的临时仓库等等。因承包人措施不得力或不到位而给工程带来的任何损失或损害由承包人自己负责。</w:t>
      </w:r>
    </w:p>
    <w:p w14:paraId="79DEF6C7">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6.7.5 在工程施工期间，承包人应始终避免现场出现不必要的障碍物，妥当存放并处置施工设备和多余的材料，及时从现场清除运走任何废料、垃圾或不再需要的临时工程和设施。</w:t>
      </w:r>
    </w:p>
    <w:p w14:paraId="0D6B4257">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6.7.6 承包人应为现场的工人和其他所有工作人员提供符合卫生要求的厕所，厕所应贴有</w:t>
      </w:r>
      <w:r>
        <w:rPr>
          <w:rFonts w:hint="eastAsia" w:ascii="宋体" w:hAnsi="宋体" w:eastAsia="宋体" w:cs="宋体"/>
          <w:color w:val="auto"/>
          <w:sz w:val="24"/>
          <w:szCs w:val="24"/>
          <w:highlight w:val="none"/>
          <w:lang w:val="en-US" w:eastAsia="zh-CN"/>
        </w:rPr>
        <w:t>瓷砖</w:t>
      </w:r>
      <w:r>
        <w:rPr>
          <w:rFonts w:hint="eastAsia" w:ascii="宋体" w:hAnsi="宋体" w:eastAsia="宋体" w:cs="宋体"/>
          <w:color w:val="auto"/>
          <w:sz w:val="24"/>
          <w:szCs w:val="24"/>
          <w:highlight w:val="none"/>
        </w:rPr>
        <w:t>并带手动或自动冲刷设备和洗手盆；承包人负责支付与该厕所相关的所有费用，并在工程竣工时，从现场拆除。承包人应在工作区域设立必要的临时厕所，并安排专门人员负责看护和定时清理，以确保现场免于随地大小便的污染。</w:t>
      </w:r>
    </w:p>
    <w:p w14:paraId="6B1289F0">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6.7.7 承包人应在现场设立固定的垃圾临时存放点并在各楼层或区域设立必要的垃圾箱；所有垃圾必须在当天清除出现场，并按有关行政管理部门的规定，运送到指定的垃圾消纳场。</w:t>
      </w:r>
    </w:p>
    <w:p w14:paraId="67426AF4">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6.7.8 承包人应对离场垃圾和所有车辆进行防遗洒和防污染公共道路的处理。承包人在运输任何材料的过程中，应采取一切必要的措施，防止遗洒和污染公共道路；一旦出现上述遗洒或污染现象，承包人应立即采取措施进行清扫，并承担所有费用。承包人在混凝土</w:t>
      </w:r>
      <w:r>
        <w:rPr>
          <w:rFonts w:hint="eastAsia" w:ascii="宋体" w:hAnsi="宋体" w:eastAsia="宋体" w:cs="宋体"/>
          <w:color w:val="auto"/>
          <w:sz w:val="24"/>
          <w:szCs w:val="24"/>
          <w:highlight w:val="none"/>
          <w:lang w:val="en-US" w:eastAsia="zh-CN"/>
        </w:rPr>
        <w:t>浇筑</w:t>
      </w:r>
      <w:r>
        <w:rPr>
          <w:rFonts w:hint="eastAsia" w:ascii="宋体" w:hAnsi="宋体" w:eastAsia="宋体" w:cs="宋体"/>
          <w:color w:val="auto"/>
          <w:sz w:val="24"/>
          <w:szCs w:val="24"/>
          <w:highlight w:val="none"/>
        </w:rPr>
        <w:t>、材料运输、材料装卸、现场清理等工作中应采取一切必要的措施防止影响公共交通。</w:t>
      </w:r>
    </w:p>
    <w:p w14:paraId="770E1DC3">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6.7.9 承包人应当制订成品保护措施计划，并提供必要的人员、材料和设备用于整个工程的成品保护，包括对已完成的所有分包人和独立承包人（如果有）的工程或工作的保护，防止已完工作遭受任何损坏或破坏。成品保护措施应当合理安排工序，并包括工作面移交制度和责任赔偿制度。成品保护措施计划最迟应当在任何专业分包人或独立承包人进场施工前不少于28天报监理人审批。</w:t>
      </w:r>
    </w:p>
    <w:p w14:paraId="06D86781">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6.7.10 文明施工方面的其他要求如下：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8A4D1A2">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bCs/>
          <w:color w:val="auto"/>
          <w:sz w:val="24"/>
          <w:szCs w:val="24"/>
          <w:highlight w:val="none"/>
        </w:rPr>
      </w:pPr>
      <w:bookmarkStart w:id="938" w:name="_Toc300678535"/>
      <w:r>
        <w:rPr>
          <w:rFonts w:hint="eastAsia" w:ascii="宋体" w:hAnsi="宋体" w:eastAsia="宋体" w:cs="宋体"/>
          <w:bCs/>
          <w:color w:val="auto"/>
          <w:sz w:val="24"/>
          <w:szCs w:val="24"/>
          <w:highlight w:val="none"/>
        </w:rPr>
        <w:t>6.8 环境保护</w:t>
      </w:r>
      <w:bookmarkEnd w:id="938"/>
    </w:p>
    <w:p w14:paraId="2483BCB3">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6.8.1 在工程施工、完工及修补任何缺陷的过程中，承包人应当始终遵守国家和工程所在地有关环境保护、水土保护和污染防治的法律、法规、规章、规范、标准和规程等，按照合同条款的约定履行其环境与生态保护职责。</w:t>
      </w:r>
    </w:p>
    <w:p w14:paraId="68CDF432">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6.8.2 承包人应按合同约定和监理人指示，接受国家和地方环境保护行政主管部门的监督、监测和检查。承包人应对其违反现行法律、法规、规章、规范、标准和规程等以及本合同约定所造成的环境污染、水土流失、人员伤害和财产损失等承担赔偿责任。</w:t>
      </w:r>
    </w:p>
    <w:p w14:paraId="50C6929C">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6.8.3 承包人制订施工方案和组织措施时应当同步考虑环境和资源保护，包括水土资源保护、噪声、振动和照明污染防治、固体废弃物处理、污水和废气处理、粉尘和扬尘控制、道路污染防治、卫生防疫、禁止有害材料、节能减排以及不可再生资源的循环使用等因素。</w:t>
      </w:r>
    </w:p>
    <w:p w14:paraId="7088CCD6">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6.8.4 承包人应当做好施工场地（现场）范围内各项工程的开挖支护、截水、降水、灌浆、衬砌、挡护结构及排水等工程防护措施。施工场地（现场）内所有边坡应当采取有效的水土流失防治和保持措施。承包人采用的降水方案应当充分考虑对地下水的保护和合理使用，如果国家和（或）地方人民政府有特别规定的，承包人应当遵守有关规定。承包人还应设置完善的排水系统，保持施工场地（现场）始终处于良好的排水状态，防止降雨径流对施工场地（现场）的冲刷。</w:t>
      </w:r>
    </w:p>
    <w:p w14:paraId="0DA1D206">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6.8.5 承包人应当确保其所提供的材料、工程设备、施工设备和其他材料都是绿色环保产品，列入国家强制认证产品名录的，还应当是通过国家强制认证的产品。承包人不得在任何临时和永久性工程中使用任何政府明令禁止使用的对人体有害的任何材料（如放射性材料、石棉制品等）和方法，同时也不得在永久性工程中使用政府虽未明令禁止但会给居住或使用人带来不适感觉或味觉的任何材料和添加剂等；承包人应在其施工环保措施计划中明确防止误用的保证措施；承包人违背此项约定的责任和后果全部由承包人承担。</w:t>
      </w:r>
    </w:p>
    <w:p w14:paraId="5B480643">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6.8.6 承包人应为防止进出场的车辆的遗洒和轮胎夹带物等污染周边和公共道路等行为制定并落实必要的措施，这类措施应至少包括在现场出入口设立冲刷池、对现场道路做硬化处理和采用密闭车厢或者对车厢进行必要的覆盖等等。</w:t>
      </w:r>
    </w:p>
    <w:p w14:paraId="51532A74">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6.8.7 承包人应当保证施工生产用水和生活用水符合国家有关标准的规定。承包人还应建设、运行和维护施工生产和生活污水收集和处理系统（包括排污口接入），建立符合排放标准的临时沉淀池和化粪池等，不得将未处理的污水直接或间接排放或造成地表水体、地下水体或生产和生活供水系统的污染。</w:t>
      </w:r>
    </w:p>
    <w:p w14:paraId="680F23D7">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6.8.8 承包人应当采取有效措施，建立相应的过滤、分离、分解或沉淀等处理系统，不得让有害物质（如燃料、油料、化学品、酸等，以及超过剂量的有害气体和尘埃、污水、泥土或水、弃渣等）污染施工场地（现场）及其周边环境。承包人施工工序、工作时间安排和施工设备的配置应当充分考虑降低噪声和照明等对施工场地 （现场）周边生产和生活的影响，并满足国家和地方政府有关规定的要求。</w:t>
      </w:r>
    </w:p>
    <w:p w14:paraId="7114362D">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6.8.9 环境保护方面的其他要求如下：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E9341B5">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9" w:name="_Toc300678536"/>
      <w:r>
        <w:rPr>
          <w:rFonts w:hint="eastAsia" w:ascii="宋体" w:hAnsi="宋体" w:eastAsia="宋体" w:cs="宋体"/>
          <w:b w:val="0"/>
          <w:bCs w:val="0"/>
          <w:color w:val="auto"/>
          <w:sz w:val="24"/>
          <w:szCs w:val="24"/>
          <w:highlight w:val="none"/>
        </w:rPr>
        <w:t>6.9 施工环保措施计划</w:t>
      </w:r>
      <w:bookmarkEnd w:id="939"/>
    </w:p>
    <w:p w14:paraId="446C67E3">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6.9.1 合同条款约定的施工环保措施计划是承包人阐明环保方针和拟采用的环保措施及方法等的文件，其内容应包括但不限于：</w:t>
      </w:r>
    </w:p>
    <w:p w14:paraId="3E149154">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（1）承包人生活区（如果有）的生活用水和生活污水处理措施；</w:t>
      </w:r>
    </w:p>
    <w:p w14:paraId="1EEE9306">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（2）施工生产废水处理措施；</w:t>
      </w:r>
    </w:p>
    <w:p w14:paraId="4BBC65CA">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（3）施工扬尘和废气的处理措施；</w:t>
      </w:r>
    </w:p>
    <w:p w14:paraId="7605A2DC">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（4）施工噪声和光污染控制措施；</w:t>
      </w:r>
    </w:p>
    <w:p w14:paraId="13898CB0">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（5）节能减排措施；</w:t>
      </w:r>
    </w:p>
    <w:p w14:paraId="612138F7">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（6）不可再生资源循环利用措施；</w:t>
      </w:r>
    </w:p>
    <w:p w14:paraId="46271767">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（7）固体废弃物处理措施；</w:t>
      </w:r>
    </w:p>
    <w:p w14:paraId="25C5A593">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（8）人群健康保护和卫生防疫措施；</w:t>
      </w:r>
    </w:p>
    <w:p w14:paraId="3DDA8CAC">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（9）防止误用有害材料的保证措施；</w:t>
      </w:r>
    </w:p>
    <w:p w14:paraId="0C00CCCB">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（10）施工边坡工程的水土流失保护措施；</w:t>
      </w:r>
    </w:p>
    <w:p w14:paraId="2F359244">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（11）道路污染防治措施；</w:t>
      </w:r>
    </w:p>
    <w:p w14:paraId="07A6DE3B">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（12）完工后场地清理及其植被（如果有）恢复的规划和措施；</w:t>
      </w:r>
    </w:p>
    <w:p w14:paraId="08373965">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（13）其他：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1E3B404">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6.9.2 施工环保措施计划应当在合同条款约定的期限内报送监理人。承包人应当严格执行经监理人批准的施工环保措施计划，并及时补充、修订和完善施工环保措施计划。</w:t>
      </w:r>
    </w:p>
    <w:p w14:paraId="081A909B">
      <w:pPr>
        <w:pStyle w:val="5"/>
        <w:bidi w:val="0"/>
        <w:rPr>
          <w:rFonts w:hint="eastAsia"/>
        </w:rPr>
      </w:pPr>
      <w:bookmarkStart w:id="940" w:name="_Toc79998861"/>
      <w:bookmarkStart w:id="941" w:name="_Toc9536"/>
      <w:bookmarkStart w:id="942" w:name="_Toc25869"/>
      <w:bookmarkStart w:id="943" w:name="_Toc19070"/>
      <w:bookmarkStart w:id="944" w:name="_Toc80006131"/>
      <w:bookmarkStart w:id="945" w:name="_Toc79998417"/>
      <w:bookmarkStart w:id="946" w:name="_Toc9178558"/>
      <w:bookmarkStart w:id="947" w:name="_Toc80006241"/>
      <w:bookmarkStart w:id="948" w:name="_Toc300678537"/>
      <w:r>
        <w:rPr>
          <w:rFonts w:hint="eastAsia"/>
        </w:rPr>
        <w:t>7.治安保卫</w:t>
      </w:r>
      <w:bookmarkEnd w:id="940"/>
      <w:bookmarkEnd w:id="941"/>
      <w:bookmarkEnd w:id="942"/>
      <w:bookmarkEnd w:id="943"/>
      <w:bookmarkEnd w:id="944"/>
      <w:bookmarkEnd w:id="945"/>
      <w:bookmarkEnd w:id="946"/>
      <w:bookmarkEnd w:id="947"/>
      <w:bookmarkEnd w:id="948"/>
    </w:p>
    <w:p w14:paraId="2EE5652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7.1 </w:t>
      </w:r>
      <w:r>
        <w:rPr>
          <w:rFonts w:hint="eastAsia" w:ascii="宋体" w:hAnsi="宋体" w:eastAsia="宋体" w:cs="宋体"/>
          <w:color w:val="auto"/>
          <w:spacing w:val="6"/>
          <w:sz w:val="24"/>
          <w:szCs w:val="24"/>
          <w:highlight w:val="none"/>
        </w:rPr>
        <w:t>承包人应为施工场地（现场）提供24小时的保安保卫服务，配备足够的保安人员和保安设备，防止未经批准的任何人进入现场，控制人员、材料和设备等的进出场，防止现场材料、设备或其他任何物品的失窃，禁止任何现场内的打架斗殴事件。</w:t>
      </w:r>
    </w:p>
    <w:p w14:paraId="1E15FE8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 承包人的保安人员应是训练有素的专业保安人员，承包人可以雇佣专业保安公司负责现场保安和保卫；保安保卫制度除规范现场出入大门控制外，还应规定定时和不定时的施工场地（现场）周边和全现场的保安巡逻。</w:t>
      </w:r>
    </w:p>
    <w:p w14:paraId="6B9B93E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 承包人应制定并实施严格的施工场地（现场）出入制度并报监理人审批；车辆的出入须有出入审批制度，并有指定的专人负责管理；人员进出现场应有出入证，出入证须以经过监理人批准的格式印制。</w:t>
      </w:r>
    </w:p>
    <w:p w14:paraId="34F4C88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 承包人应确保杜绝任何未经监理人同意的参观人员进入现场；承包人应准备足够数量的专门用于参观人员的安全帽并带明显标志，承包人同时应准备一个参观人员登记簿用于记录所有参观现场人员的姓名、参观目的和参观时间等内容；承包人应确保每个参观现场的人员了解和遵守现场的安全管理规章制度，佩带安全帽，确保所有经发包人和监理人批准的参观人员的人身安全。</w:t>
      </w:r>
    </w:p>
    <w:p w14:paraId="0D99FA9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 承包人应为施工场地（现场）提供和维护符合建设行政主管部门和市容管理部门规定的临时围墙和其他安全维护，并在工程进度需要时，进行必要的改造。围墙和大门的表面维护应考虑定期的修补和重新刷漆，并应保证所有的乱涂乱画或招贴广告随时被清理。临时围墙和出入大门考虑必要的照明，照明系统要满足现场安全保卫和美观的要求。</w:t>
      </w:r>
    </w:p>
    <w:p w14:paraId="424CD81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7.6 承包人应当保证发包人支付的工程款项仅用于本合同目的，及时和足额地向所雇佣的人员支付劳动报酬，并制定严格的工人工资支付保障措施，确保所有分包人及时支付所雇佣工人的工资，有效防止影响社会安定的群体事件发生，并保障发包人免于因承包人（包括其分包人）拖欠工人工资而可能遭受的任何处罚、索赔、损失和损害等。</w:t>
      </w:r>
    </w:p>
    <w:p w14:paraId="1F2D5A7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7.7 施工场地（现场）治安管理计划的要求：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92351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7.8 突发治安事件紧急预案的要求：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FAA4E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 治安保卫方面的其他要求如下：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35BE1FAA">
      <w:pPr>
        <w:pStyle w:val="5"/>
        <w:bidi w:val="0"/>
        <w:rPr>
          <w:rFonts w:hint="eastAsia"/>
        </w:rPr>
      </w:pPr>
      <w:bookmarkStart w:id="949" w:name="_Toc79998418"/>
      <w:bookmarkStart w:id="950" w:name="_Toc9178559"/>
      <w:bookmarkStart w:id="951" w:name="_Toc80006242"/>
      <w:bookmarkStart w:id="952" w:name="_Toc80006132"/>
      <w:bookmarkStart w:id="953" w:name="_Toc2360"/>
      <w:bookmarkStart w:id="954" w:name="_Toc79998862"/>
      <w:bookmarkStart w:id="955" w:name="_Toc5669"/>
      <w:bookmarkStart w:id="956" w:name="_Toc14121"/>
      <w:bookmarkStart w:id="957" w:name="_Toc300678538"/>
      <w:r>
        <w:rPr>
          <w:rFonts w:hint="eastAsia"/>
        </w:rPr>
        <w:t>8.地上、地下设施和周边建筑物的临时保护</w:t>
      </w:r>
      <w:bookmarkEnd w:id="949"/>
      <w:bookmarkEnd w:id="950"/>
      <w:bookmarkEnd w:id="951"/>
      <w:bookmarkEnd w:id="952"/>
      <w:bookmarkEnd w:id="953"/>
      <w:bookmarkEnd w:id="954"/>
      <w:bookmarkEnd w:id="955"/>
      <w:bookmarkEnd w:id="956"/>
      <w:bookmarkEnd w:id="957"/>
    </w:p>
    <w:p w14:paraId="7F0525F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 承包人应为施工场地及其周边现有的地上、地下设施和建筑物提供足够的临时保护设施，确保施工过程中这些设施和建筑物不会受到干扰和破坏。</w:t>
      </w:r>
    </w:p>
    <w:p w14:paraId="401C0E6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承包人应当制订现有设施临时保护方案和应急处理方案，并在本工程开工前至少提前7天报送监理人，监理人应在收到现有设施临时保护方案后的3天内批复承包人。承包人应当严格执行经监理人批准的保护方案，并保证在任何可能影响周边现有的地上、地下设施或周边建筑物的施工作业开始前，相应的临时保护设施能够落实到位。</w:t>
      </w:r>
    </w:p>
    <w:p w14:paraId="7F996AA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8.3 发包人特别提醒承包人注意以下地上、地下设施和周边建筑物的保护：</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AC4709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8.4 地上、地下设施和周边建筑物的临时保护的其他要求如下：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192E805">
      <w:pPr>
        <w:pStyle w:val="5"/>
        <w:bidi w:val="0"/>
        <w:rPr>
          <w:rFonts w:hint="eastAsia"/>
        </w:rPr>
      </w:pPr>
      <w:bookmarkStart w:id="958" w:name="_Toc12856"/>
      <w:bookmarkStart w:id="959" w:name="_Toc10303"/>
      <w:bookmarkStart w:id="960" w:name="_Toc80006133"/>
      <w:bookmarkStart w:id="961" w:name="_Toc79998419"/>
      <w:bookmarkStart w:id="962" w:name="_Toc79998863"/>
      <w:bookmarkStart w:id="963" w:name="_Toc300678539"/>
      <w:bookmarkStart w:id="964" w:name="_Toc9178560"/>
      <w:bookmarkStart w:id="965" w:name="_Toc80006243"/>
      <w:bookmarkStart w:id="966" w:name="_Toc8017"/>
      <w:r>
        <w:rPr>
          <w:rFonts w:hint="eastAsia"/>
        </w:rPr>
        <w:t>9.样品和材料代换</w:t>
      </w:r>
      <w:bookmarkEnd w:id="958"/>
      <w:bookmarkEnd w:id="959"/>
      <w:bookmarkEnd w:id="960"/>
      <w:bookmarkEnd w:id="961"/>
      <w:bookmarkEnd w:id="962"/>
      <w:bookmarkEnd w:id="963"/>
      <w:bookmarkEnd w:id="964"/>
      <w:bookmarkEnd w:id="965"/>
      <w:bookmarkEnd w:id="966"/>
    </w:p>
    <w:p w14:paraId="767D5C77">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67" w:name="_Toc300678540"/>
      <w:r>
        <w:rPr>
          <w:rFonts w:hint="eastAsia" w:ascii="宋体" w:hAnsi="宋体" w:eastAsia="宋体" w:cs="宋体"/>
          <w:b w:val="0"/>
          <w:bCs w:val="0"/>
          <w:color w:val="auto"/>
          <w:sz w:val="24"/>
          <w:szCs w:val="24"/>
          <w:highlight w:val="none"/>
        </w:rPr>
        <w:t>9.1 样品</w:t>
      </w:r>
      <w:bookmarkEnd w:id="967"/>
    </w:p>
    <w:p w14:paraId="2509BB7D">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9.1.1 本工程需要承包人提供样品的材料和工程设备如下：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09635E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9.1.2 对于本款第9.1.1项约定的材料和工程设备，承包人应按照合同条款约定的期限，向监理人提交样品并附上任何必要的说明书、生产（制造）许可证书、出厂合格证明或者证书、出厂检测报告、性能介绍、使用说明等相关资料，同时注明材料和工程设备的供货人及品种、规格、数量和供货时间等，以供检验和审批。样品送达的地点和样品的数量或尺寸应符合监理人和发包人的要求。除合同另有约定外，承包人在报送任何样品时应按监理人同意的格式填写并递交样品报送单。监理人应及时签收样品。</w:t>
      </w:r>
    </w:p>
    <w:p w14:paraId="69DEBE8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9.1.3 合同条款约定的依法不需要招标的、以暂估价形式包括在工程量清单中的材料和工程设备，所附资料除本款第9.1.2项约定的内容外，还应附上价格资料，每一类材料设备，至少应准备符合合同要求的三个产品，价格分高、中、低三档，以便监理人和发包人选择和批准。</w:t>
      </w:r>
    </w:p>
    <w:p w14:paraId="61892CE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9.1.4 监理人应在收到承包人报送的样品后7天内转呈发包人并附上监理人的书面审批意见。发包人在收到通过监理人转交的样品以及监理人的审批意见后7天内就此样品给出书面批复。监理人应在收到样品后21天内通知承包人他相关样品所做出的决定或指示（同时抄送一份给发包人）。承包人应根据监理人的书面批复和指示相应地进行下一步工作。如果监理人未能在承包人报送样品后21天内给出书面批复，承包人应就此通知监理人，要求尽快批复。如果发包人在收到此类通知后7天内仍未对样品进行批复，则视为监理人和发包人已经批准。</w:t>
      </w:r>
    </w:p>
    <w:p w14:paraId="6EDEDC6A">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9.1.5 得到批准后的样品由监理人负责存放。但承包人应为保存样品提供适当和固定的场所并保持适当和良好的环境条件。</w:t>
      </w:r>
    </w:p>
    <w:p w14:paraId="5151D1F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9.1.6 提供样品和提供存放样品场所的费用由承包人承担。</w:t>
      </w:r>
    </w:p>
    <w:p w14:paraId="019500B2">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68" w:name="_Toc300678541"/>
      <w:r>
        <w:rPr>
          <w:rFonts w:hint="eastAsia" w:ascii="宋体" w:hAnsi="宋体" w:eastAsia="宋体" w:cs="宋体"/>
          <w:b w:val="0"/>
          <w:bCs w:val="0"/>
          <w:color w:val="auto"/>
          <w:sz w:val="24"/>
          <w:szCs w:val="24"/>
          <w:highlight w:val="none"/>
        </w:rPr>
        <w:t>9.2 材料代换</w:t>
      </w:r>
      <w:bookmarkEnd w:id="968"/>
    </w:p>
    <w:p w14:paraId="22F751E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9.2.1 如果任何后继法律、法规、规章、规范、标准和规程等等禁止使用合同中约定的材料和工程设备，承包人应当按本款约定的程序使用其他替代品来实施工程或修补缺陷。监理人对使用替代品的批准以及承包人据此使用替代品不应减免合同约定的承包人的任何责任和义务。</w:t>
      </w:r>
    </w:p>
    <w:p w14:paraId="5093CC1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9.2.2 如果使用替代品，承包人应至少在被替代品按批准的进度计划用于永久工程前56天以书面形式通知监理人并随此通知提交下列文件：</w:t>
      </w:r>
    </w:p>
    <w:p w14:paraId="745A364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（1）拟被替代的合同约定的材料和工程设备的名称、数量、规格、型号、品牌、性能、价格及其他任何详细资料；</w:t>
      </w:r>
    </w:p>
    <w:p w14:paraId="4B43F2D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（2）拟采用的替代品的名称、数量、规格、型号、品牌、性能、价格及其他任何必要的详细资料；</w:t>
      </w:r>
    </w:p>
    <w:p w14:paraId="4FC393E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（3）替代品使用的工程部位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ED4AA2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（4）采用替代品的理由和原因说明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F059E1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（5）替代品与合同中约定的产品之间的差异以及使用替代品后可能对工程产生的任何影响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32B24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（6）价格上的差异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8C3FB6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（7）监理人为做出适当的决定而随时要求承包人提供的任何其他文件</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8CCB84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监理人在收到此类通知及上述文件后，应在28天内向承包人给出书面指示。如果28天内  监理人未给出书面指示，应视为监理人和发包人已经批准使用上述替代品，承包人可以据此使用替代品。</w:t>
      </w:r>
    </w:p>
    <w:p w14:paraId="4FD4F67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9.2.3 任何情况下，替代品都应遵守本合同中对相关材料和工程设备的要求。</w:t>
      </w:r>
    </w:p>
    <w:p w14:paraId="7755FD3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9.2.4 如果承包人根据本条约定使用了替代品，监理人应与承包人适当协商之后并在合理的期限内确定替代材料和工程设备与合同中约定的材料和工程设备之间的价值差值，并决定：</w:t>
      </w:r>
    </w:p>
    <w:p w14:paraId="2F87A72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（1）如果替代材料和工程设备的价值高于合同中约定的材料和工程设备的价值，则将高出部分的价值追加到合同价格中并相应地通知承包人；</w:t>
      </w:r>
    </w:p>
    <w:p w14:paraId="0E60C61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（2）如果替代材料和工程设备的价值低于合同中约定的材料和工程设备的价值，则将节余部分的价值从合同价格中扣除并相应地通知承包人。</w:t>
      </w:r>
    </w:p>
    <w:p w14:paraId="4A0E2B66">
      <w:pPr>
        <w:pStyle w:val="5"/>
        <w:bidi w:val="0"/>
        <w:rPr>
          <w:rFonts w:hint="eastAsia"/>
        </w:rPr>
      </w:pPr>
      <w:bookmarkStart w:id="969" w:name="_Toc300678542"/>
      <w:bookmarkStart w:id="970" w:name="_Toc79998864"/>
      <w:bookmarkStart w:id="971" w:name="_Toc28957"/>
      <w:bookmarkStart w:id="972" w:name="_Toc80006244"/>
      <w:bookmarkStart w:id="973" w:name="_Toc80006134"/>
      <w:bookmarkStart w:id="974" w:name="_Toc23238"/>
      <w:bookmarkStart w:id="975" w:name="_Toc9178561"/>
      <w:bookmarkStart w:id="976" w:name="_Toc3425"/>
      <w:bookmarkStart w:id="977" w:name="_Toc79998420"/>
      <w:r>
        <w:rPr>
          <w:rFonts w:hint="eastAsia"/>
        </w:rPr>
        <w:t>10.进口材料和工程设备</w:t>
      </w:r>
      <w:bookmarkEnd w:id="969"/>
      <w:bookmarkEnd w:id="970"/>
      <w:bookmarkEnd w:id="971"/>
      <w:bookmarkEnd w:id="972"/>
      <w:bookmarkEnd w:id="973"/>
      <w:bookmarkEnd w:id="974"/>
      <w:bookmarkEnd w:id="975"/>
      <w:bookmarkEnd w:id="976"/>
      <w:bookmarkEnd w:id="977"/>
    </w:p>
    <w:p w14:paraId="51925EF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 本工程需要进口的材料和工程设备如下：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BE23E7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10.2 上述进口材料和工程设备采购、进口、报关、清关、商检、境内运输（包括保险）、保管的责任以及费用承担方式划分如下：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000065F">
      <w:pPr>
        <w:pStyle w:val="5"/>
        <w:bidi w:val="0"/>
        <w:rPr>
          <w:rFonts w:hint="eastAsia"/>
        </w:rPr>
      </w:pPr>
      <w:bookmarkStart w:id="978" w:name="_Toc300678543"/>
      <w:bookmarkStart w:id="979" w:name="_Toc2693"/>
      <w:bookmarkStart w:id="980" w:name="_Toc80006245"/>
      <w:bookmarkStart w:id="981" w:name="_Toc79998865"/>
      <w:bookmarkStart w:id="982" w:name="_Toc15820"/>
      <w:bookmarkStart w:id="983" w:name="_Toc9178562"/>
      <w:bookmarkStart w:id="984" w:name="_Toc3846"/>
      <w:bookmarkStart w:id="985" w:name="_Toc80006135"/>
      <w:bookmarkStart w:id="986" w:name="_Toc79998421"/>
      <w:r>
        <w:rPr>
          <w:rFonts w:hint="eastAsia"/>
        </w:rPr>
        <w:t>11.进度报告和进度例会</w:t>
      </w:r>
      <w:bookmarkEnd w:id="978"/>
      <w:bookmarkEnd w:id="979"/>
      <w:bookmarkEnd w:id="980"/>
      <w:bookmarkEnd w:id="981"/>
      <w:bookmarkEnd w:id="982"/>
      <w:bookmarkEnd w:id="983"/>
      <w:bookmarkEnd w:id="984"/>
      <w:bookmarkEnd w:id="985"/>
      <w:bookmarkEnd w:id="986"/>
    </w:p>
    <w:p w14:paraId="78243C33">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87" w:name="_Toc300678544"/>
      <w:r>
        <w:rPr>
          <w:rFonts w:hint="eastAsia" w:ascii="宋体" w:hAnsi="宋体" w:eastAsia="宋体" w:cs="宋体"/>
          <w:b w:val="0"/>
          <w:bCs w:val="0"/>
          <w:color w:val="auto"/>
          <w:sz w:val="24"/>
          <w:szCs w:val="24"/>
          <w:highlight w:val="none"/>
        </w:rPr>
        <w:t>11.1 进度报告</w:t>
      </w:r>
      <w:bookmarkEnd w:id="987"/>
    </w:p>
    <w:p w14:paraId="4321F21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 施工过程中，承包人应向监理人指定的代表呈递一份每日的日进度报表、每周的周进度报表和每月的月进度报表。除非监理人同意，日进度报表应在次日上午九点前递交，周进度报表应在次周的周一上午九时前递交，月进度报表应随合同条款约定的进度付款申请单一并递交。</w:t>
      </w:r>
    </w:p>
    <w:p w14:paraId="08989262">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 日和周进度报表的内容应至少包括每日在现场工作的技术管理人员数量、各工种技术工人和非技术工人数量、后勤人员数量、参观现场的人员数量，包括分包人人员数量；还应包括所使用的各种主要机械设备和车辆的型号、数量和台班，工作的区段，以及工程进度情况、天气情况记录、停工、质量和安全事故等特别事项说明；此外，应附上每日进场材料、物品或设备的分类汇总表、用于次日或次周的工程进度计划等。</w:t>
      </w:r>
    </w:p>
    <w:p w14:paraId="67548F5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11.1.3 月进度报表应当反映月完成工程量和累计完成工程量（包括永久工程和临时工程）、材料实际进货、消耗和库存量、现场施工设备的投运数量和运行状况、工程设备的到货情况、劳动力数量（本月及预计未来三个月劳动力的数量）、当前影响施工进度计划的因素和采取的改进措施、进度计划调整及其说明、质量事故和质量缺陷处理纪录、质量状况评价、安全施工措施计划实施情况、安全事故以及人员伤亡和财产损失情况（如果有）、环境保护措施实施和文明施工措施实施情况。</w:t>
      </w:r>
    </w:p>
    <w:p w14:paraId="6DC440A3">
      <w:pPr>
        <w:pageBreakBefore w:val="0"/>
        <w:widowControl w:val="0"/>
        <w:kinsoku/>
        <w:wordWrap/>
        <w:overflowPunct/>
        <w:topLinePunct w:val="0"/>
        <w:autoSpaceDE/>
        <w:autoSpaceDN/>
        <w:bidi w:val="0"/>
        <w:adjustRightInd/>
        <w:snapToGrid/>
        <w:spacing w:line="360" w:lineRule="auto"/>
        <w:ind w:left="-21" w:leftChars="-1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11.1.4 月进度报告还应附有一组充分显示工程形象进度的定点摄影照片。照片应当在经监理人批准的不同位置定期拍摄，每张照片都应标上相应的拍摄日期和简要文字说明，且应用经发包人和监理人批准的标准或格式装裱后呈交。</w:t>
      </w:r>
    </w:p>
    <w:p w14:paraId="037A91A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11.1.5 各个进度报表的格式和内容应经过监理人的审批。进度报表应如实填写，由承包人委托代理人签名，并报监理人的指定代表签名确认后再行分发。</w:t>
      </w:r>
    </w:p>
    <w:p w14:paraId="59810758">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11.1.6 如果监理人认为必要，进度报告和进度照片应同时以存储在磁盘或光盘中的数据文件的形式递交给发包人和监理人。数据文件采用的应用软件及其版本应经过监理人的审批。</w:t>
      </w:r>
    </w:p>
    <w:p w14:paraId="2AD0D34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11.1.7 有关进度报告的其他要求：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93765A6">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88" w:name="_Toc300678545"/>
      <w:r>
        <w:rPr>
          <w:rFonts w:hint="eastAsia" w:ascii="宋体" w:hAnsi="宋体" w:eastAsia="宋体" w:cs="宋体"/>
          <w:b w:val="0"/>
          <w:bCs w:val="0"/>
          <w:color w:val="auto"/>
          <w:sz w:val="24"/>
          <w:szCs w:val="24"/>
          <w:highlight w:val="none"/>
        </w:rPr>
        <w:t>11.2 进度例会</w:t>
      </w:r>
      <w:bookmarkEnd w:id="988"/>
    </w:p>
    <w:p w14:paraId="3233D462">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11.2.1 监理人将主持召开有发包人、承包人、独立承包人和主要分包人等与本工程建设有关各方出席的每周一次的进度例会。必要时，监理人可随时召集所有上述各方或其中部分单位参加的会议。承包人应保证能代表其当场作出决定的高级管理人员出席会议。</w:t>
      </w:r>
    </w:p>
    <w:p w14:paraId="6823C8B0">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11.2.2 进度例会的内容将涉及合同管理、进度协调和工程管理的各个方面，由监理人准备的会议议题将随会议通知在会议召开前至少24小时发给各参会方。</w:t>
      </w:r>
    </w:p>
    <w:p w14:paraId="13A25DA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11.2.3 监理人应当做好会议记录，并在会议结束时由与会各方签字确认。监理人应根据会议记录整理出会议纪要，并在相应会议后24小时内分发给出席会议的各方。会议纪要应当如实反映会议记录的内容，包括任何决定、存在的问题、责任方、有关工作的时间目标等等。各方在收到会议纪要后24小时内给予签字确认，如有任何异议，应将有关异议以书面形式通知监理人，由监理人与有异议一方或各方共同核对会议记录，有异议的一方或者各方对与会议记录内容一致的会议纪要必须给予签字确认，否则监理人可以用会议记录作为会议纪要。经参会各方签字认可的会议纪要对各方有合同约束力。</w:t>
      </w:r>
    </w:p>
    <w:p w14:paraId="6B4DADF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11.2.4 有关进度例会的其他要求：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EB20D71">
      <w:pPr>
        <w:pStyle w:val="5"/>
        <w:bidi w:val="0"/>
        <w:rPr>
          <w:rFonts w:hint="eastAsia"/>
        </w:rPr>
      </w:pPr>
      <w:bookmarkStart w:id="989" w:name="_Toc300678546"/>
      <w:bookmarkStart w:id="990" w:name="_Toc79998422"/>
      <w:bookmarkStart w:id="991" w:name="_Toc19890"/>
      <w:bookmarkStart w:id="992" w:name="_Toc26771"/>
      <w:bookmarkStart w:id="993" w:name="_Toc10312"/>
      <w:bookmarkStart w:id="994" w:name="_Toc79998866"/>
      <w:bookmarkStart w:id="995" w:name="_Toc80006136"/>
      <w:bookmarkStart w:id="996" w:name="_Toc9178563"/>
      <w:bookmarkStart w:id="997" w:name="_Toc80006246"/>
      <w:r>
        <w:rPr>
          <w:rFonts w:hint="eastAsia"/>
        </w:rPr>
        <w:t>12.试验和检验</w:t>
      </w:r>
      <w:bookmarkEnd w:id="989"/>
      <w:bookmarkEnd w:id="990"/>
      <w:bookmarkEnd w:id="991"/>
      <w:bookmarkEnd w:id="992"/>
      <w:bookmarkEnd w:id="993"/>
      <w:bookmarkEnd w:id="994"/>
      <w:bookmarkEnd w:id="995"/>
      <w:bookmarkEnd w:id="996"/>
      <w:bookmarkEnd w:id="997"/>
    </w:p>
    <w:p w14:paraId="539AA6E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承包人应当按照工程施工验收规范和标准的规定和合同条款的约定，对用于永久工程的主要材料、半成品、成品、建筑构配件、工程设备等进行试验和检验。</w:t>
      </w:r>
    </w:p>
    <w:p w14:paraId="535BDB6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本工程需要承包人进行试验和检验的材料、工程设备和工艺如下：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6F0F02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监理人可以根据工程需要，指示承包人进行其他现场材料和工艺的试验和检验。</w:t>
      </w:r>
    </w:p>
    <w:p w14:paraId="3D699BA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12.3 </w:t>
      </w:r>
      <w:r>
        <w:rPr>
          <w:rFonts w:hint="eastAsia" w:ascii="宋体" w:hAnsi="宋体" w:eastAsia="宋体" w:cs="宋体"/>
          <w:color w:val="auto"/>
          <w:spacing w:val="4"/>
          <w:sz w:val="24"/>
          <w:szCs w:val="24"/>
          <w:highlight w:val="none"/>
        </w:rPr>
        <w:t>本工程需要由监理人和承包人共同进行试验和检验的材料、工程设备和工艺如下：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4FE725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本条上述约定需要进行检验的材料、工程设备和工艺在经过检验并获得监理人批准以前，不得用于任何永久工程。</w:t>
      </w:r>
    </w:p>
    <w:p w14:paraId="0ABE1432">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 承包人应为任何材料、工程设备和工艺的检查、检测和检验提供劳务、电力、燃料、备用品、设备和仪器以及必要的协助。监理人及其任何授权人员应能够在任何时候进入现场及正在为工程制造、装配、准备材料和（或）工程设备的车间和场所进行任何必要的检查。无论这些车间和场所是否属于承包人，承包人都应提供一切便利，并协助其取得相应的权力和（或）许可。</w:t>
      </w:r>
    </w:p>
    <w:p w14:paraId="63E00616">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 如果检查、检测、检验或试验的结果表明，材料、工程设备和工艺有缺陷或不符合合同约定，监理人和发包人可拒收此类材料、工程设备和工艺，并应立即通知承包人同时说明理由。承包人应立即修复上述缺陷并保证其符合合同约定。若监理人或发包人要求对此类工程设备、材料、设计或工艺重新进行检验，则此类检验应按相同条款和条件重新进行。如果此类拒收和重新检验致使发包人产生了额外费用，则此类费用应由承包人支付给发包人，或从发包人应支付给承包人的款项中扣除。</w:t>
      </w:r>
    </w:p>
    <w:p w14:paraId="531F888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 承包人应在监理人的监督下，对涉及结构安全的试块、试件以及有关材料进行现场取样，并送质量检测单位进行检测。</w:t>
      </w:r>
    </w:p>
    <w:p w14:paraId="5A1646C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  除合同另有约定外，承包人应负担本合同项下的所有材料、工程设备和工艺检验的费用。</w:t>
      </w:r>
    </w:p>
    <w:p w14:paraId="1130859D">
      <w:pPr>
        <w:pStyle w:val="5"/>
        <w:bidi w:val="0"/>
        <w:rPr>
          <w:rFonts w:hint="eastAsia"/>
        </w:rPr>
      </w:pPr>
      <w:bookmarkStart w:id="998" w:name="_Toc80006137"/>
      <w:bookmarkStart w:id="999" w:name="_Toc300678547"/>
      <w:bookmarkStart w:id="1000" w:name="_Toc9178564"/>
      <w:bookmarkStart w:id="1001" w:name="_Toc79998867"/>
      <w:bookmarkStart w:id="1002" w:name="_Toc24809"/>
      <w:bookmarkStart w:id="1003" w:name="_Toc15582"/>
      <w:bookmarkStart w:id="1004" w:name="_Toc24996"/>
      <w:bookmarkStart w:id="1005" w:name="_Toc79998423"/>
      <w:bookmarkStart w:id="1006" w:name="_Toc80006247"/>
      <w:r>
        <w:rPr>
          <w:rFonts w:hint="eastAsia"/>
        </w:rPr>
        <w:t>13.计日工</w:t>
      </w:r>
      <w:bookmarkEnd w:id="998"/>
      <w:bookmarkEnd w:id="999"/>
      <w:bookmarkEnd w:id="1000"/>
      <w:bookmarkEnd w:id="1001"/>
      <w:bookmarkEnd w:id="1002"/>
      <w:bookmarkEnd w:id="1003"/>
      <w:bookmarkEnd w:id="1004"/>
      <w:bookmarkEnd w:id="1005"/>
      <w:bookmarkEnd w:id="1006"/>
    </w:p>
    <w:p w14:paraId="382B5D5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合同条款约定的计日工，一般适用于合同约定之外的或者因变更而产生的、工程量清单中没有设立相应项目或者即便有相应项目但因工作条件发生变化而无法适用的额外工作，尤其是那些时间不允许事先商定价格的额外工作。计日工在发包人认为必要时，由监理人按合同条款约定通知承包人实施。</w:t>
      </w:r>
    </w:p>
    <w:p w14:paraId="0674B145">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 在工程实际开工后14天内，承包人应当按合同条款约定的计日工报表内容，准备一份计日工日报表的格式，报送监理人审批，监理人应当在收到之日后7天内给予批复或提出修改意见。</w:t>
      </w:r>
    </w:p>
    <w:p w14:paraId="68A7FC22">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按计日工实施相关变更的过程中，承包人应当按经监理人批准的计日工日报表格式，每天提交计日工报表和有关凭证，报送监理人审批，监理人应当在收到相关报表和凭证后24小时内给予批复。</w:t>
      </w:r>
    </w:p>
    <w:p w14:paraId="6EF6FEE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 计日工劳务按工日（8小时）计量，单次4小时以内按0.5个工日，单次4小时至8小时按1个工日，加班时间按照国家劳动法律法规的规定办理。实施计日工的劳务人员仅应包括直接从事计日工工作的工人和班组长（如果有），不应包括工长及其以上管理人员。</w:t>
      </w:r>
    </w:p>
    <w:p w14:paraId="5F05DCF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 已标价工程量清单计日工材料表中未列出的材料，实际发生于计日工时，其价格按照经监理人事先审批的材料运到现场的价格和有关材料采购的发票票面价格（运到现场价）中的较低者结算，另计一个在计日工材料表中填写的包括承包人企业管理费、利润在内的一个固定百分比，规费和税金另计。</w:t>
      </w:r>
    </w:p>
    <w:p w14:paraId="40E5EED0">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 施工机械按台班计量（8小时），单次4小时以内按0.5个台班，单次4小时至8小时按1个台班，操作人员加班时间按照国家劳动法律法规的规定办理。计日工如果需要使用场外施工机械，台班费用和进出场费用按市场平均价格，由承包人事后报监理人审批。</w:t>
      </w:r>
    </w:p>
    <w:p w14:paraId="7456141D">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 关于计日工的其他约定：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6A53547">
      <w:pPr>
        <w:pStyle w:val="5"/>
        <w:bidi w:val="0"/>
        <w:rPr>
          <w:rFonts w:hint="eastAsia"/>
        </w:rPr>
      </w:pPr>
      <w:bookmarkStart w:id="1007" w:name="_Toc79998868"/>
      <w:bookmarkStart w:id="1008" w:name="_Toc80006248"/>
      <w:bookmarkStart w:id="1009" w:name="_Toc300678548"/>
      <w:bookmarkStart w:id="1010" w:name="_Toc79998424"/>
      <w:bookmarkStart w:id="1011" w:name="_Toc27502"/>
      <w:bookmarkStart w:id="1012" w:name="_Toc27966"/>
      <w:bookmarkStart w:id="1013" w:name="_Toc12347"/>
      <w:bookmarkStart w:id="1014" w:name="_Toc9178565"/>
      <w:bookmarkStart w:id="1015" w:name="_Toc80006138"/>
      <w:r>
        <w:rPr>
          <w:rFonts w:hint="eastAsia"/>
        </w:rPr>
        <w:t>14.计量与支付</w:t>
      </w:r>
      <w:bookmarkEnd w:id="1007"/>
      <w:bookmarkEnd w:id="1008"/>
      <w:bookmarkEnd w:id="1009"/>
      <w:bookmarkEnd w:id="1010"/>
      <w:bookmarkEnd w:id="1011"/>
      <w:bookmarkEnd w:id="1012"/>
      <w:bookmarkEnd w:id="1013"/>
      <w:bookmarkEnd w:id="1014"/>
      <w:bookmarkEnd w:id="1015"/>
    </w:p>
    <w:p w14:paraId="39DE2E08">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1016" w:name="_Toc300678549"/>
      <w:r>
        <w:rPr>
          <w:rFonts w:hint="eastAsia" w:ascii="宋体" w:hAnsi="宋体" w:eastAsia="宋体" w:cs="宋体"/>
          <w:b w:val="0"/>
          <w:bCs w:val="0"/>
          <w:color w:val="auto"/>
          <w:sz w:val="24"/>
          <w:szCs w:val="24"/>
          <w:highlight w:val="none"/>
        </w:rPr>
        <w:t>14.1 付款申请单</w:t>
      </w:r>
      <w:bookmarkEnd w:id="1016"/>
    </w:p>
    <w:p w14:paraId="73F097F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14.1.1 在工程实际开工后14天内，承包人应当按照合同条款的约定，准备一份已完工程量报表、进度付款申请单和计量文件的格式等报送监理人，监理人应当在收到承包人报送的格式后7天内给予批复或者提出修改意见。</w:t>
      </w:r>
    </w:p>
    <w:p w14:paraId="2B39A9A1">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14.1.2 根据合同条款，承包人应当在合同约定的每个付款周期末，对当期完成的各项工程量进行计量和计价，并按照约定，对当期应增加和扣减的各类款项进行梳理和汇总，按经监理人批准的格式和合同条款约定的份数和内容准备并向监理人递交进度付款申请单，并将进度付款申请单连同已完工程量报表、有关计量资料以及能够证明其进度付款申请单中所索要款项符合合同约定的各个支持性文件同时报送监理人审批。</w:t>
      </w:r>
    </w:p>
    <w:p w14:paraId="1D1BF4C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14.1.3 竣工付款申请单的内容按合同条款的约定。采用单价合同形式的，竣工付款申请单应当附上按合同条款确定的结算工程量和最近一</w:t>
      </w:r>
      <w:r>
        <w:rPr>
          <w:rFonts w:hint="eastAsia" w:ascii="宋体" w:hAnsi="宋体" w:eastAsia="宋体" w:cs="宋体"/>
          <w:color w:val="auto"/>
          <w:sz w:val="24"/>
          <w:szCs w:val="24"/>
          <w:highlight w:val="none"/>
          <w:lang w:val="en-US" w:eastAsia="zh-CN"/>
        </w:rPr>
        <w:t>次</w:t>
      </w:r>
      <w:r>
        <w:rPr>
          <w:rFonts w:hint="eastAsia" w:ascii="宋体" w:hAnsi="宋体" w:eastAsia="宋体" w:cs="宋体"/>
          <w:color w:val="auto"/>
          <w:sz w:val="24"/>
          <w:szCs w:val="24"/>
          <w:highlight w:val="none"/>
        </w:rPr>
        <w:t>进度付款和竣工付款之间完成的各项目的工程量计量文件。采用总价合同形式的，签约合同价所基于的工程量就是相应的竣工结算工程量，但是，变更应按合同约定进行计量和计价。</w:t>
      </w:r>
    </w:p>
    <w:p w14:paraId="2441F29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14.1.4 竣工结算总价（合同价格）应当按以下内容梳理：</w:t>
      </w:r>
    </w:p>
    <w:p w14:paraId="2E0F1DA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（1）签约合同价；</w:t>
      </w:r>
    </w:p>
    <w:p w14:paraId="113E1DC1">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（2）应当扣减的项目；</w:t>
      </w:r>
    </w:p>
    <w:p w14:paraId="0BB8E270">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1）所有暂列金额；</w:t>
      </w:r>
    </w:p>
    <w:p w14:paraId="732A750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2）所有暂估价；</w:t>
      </w:r>
    </w:p>
    <w:p w14:paraId="4C63F96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3）根据合同条款应扣减的变更金额；</w:t>
      </w:r>
    </w:p>
    <w:p w14:paraId="172BF345">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4）根据合同条款应扣减的价格调整（下调部分）；</w:t>
      </w:r>
    </w:p>
    <w:p w14:paraId="24C6616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5）根据合同条款应扣减的发包人索赔金额；</w:t>
      </w:r>
    </w:p>
    <w:p w14:paraId="4B7549E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6）甩项工程的合同价值（如果有）；</w:t>
      </w:r>
    </w:p>
    <w:p w14:paraId="213EC8E0">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7）根据合同约定发包人应扣减的其他金额。</w:t>
      </w:r>
    </w:p>
    <w:p w14:paraId="4F422AE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（3）应当增加的项目；</w:t>
      </w:r>
    </w:p>
    <w:p w14:paraId="11FB68E7">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1）实际发生的暂列金额（包括计日工）；</w:t>
      </w:r>
    </w:p>
    <w:p w14:paraId="06D958D8">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2）实际发生的暂估价；</w:t>
      </w:r>
    </w:p>
    <w:p w14:paraId="65EF63C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3）根据合同条款应增加的变更金额；</w:t>
      </w:r>
    </w:p>
    <w:p w14:paraId="6437CD65">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4）根据合同条款应增加的价格调整（上调部分）；</w:t>
      </w:r>
    </w:p>
    <w:p w14:paraId="6C06C5C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5）根据合同条款应增加的承包人索赔金额；</w:t>
      </w:r>
    </w:p>
    <w:p w14:paraId="1766835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6）根据合同约定承包人应当得到的其他金额。</w:t>
      </w:r>
    </w:p>
    <w:p w14:paraId="6748698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（4）规费和税金差额部分。</w:t>
      </w:r>
    </w:p>
    <w:p w14:paraId="567D5E9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14.1.5 最终结清申请单的应付金额应当按下列内容梳理：</w:t>
      </w:r>
    </w:p>
    <w:p w14:paraId="05B3E418">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（1）按合同约定扣留的质量保证金；</w:t>
      </w:r>
    </w:p>
    <w:p w14:paraId="4CF58A5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（2）应当扣除的金额：</w:t>
      </w:r>
    </w:p>
    <w:p w14:paraId="49B986E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1）按合同条款约定扣留的质量保证金；</w:t>
      </w:r>
    </w:p>
    <w:p w14:paraId="61B29D1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2）按合同条款约定扣除的质量保证金；</w:t>
      </w:r>
    </w:p>
    <w:p w14:paraId="47D766B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3）根据合同条款应扣减的缺陷责任期内发生的发包人索赔金额；</w:t>
      </w:r>
    </w:p>
    <w:p w14:paraId="419356D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4）根据合同约定应扣减的其他金额。</w:t>
      </w:r>
    </w:p>
    <w:p w14:paraId="05801A16">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（3）应当增加的金额：</w:t>
      </w:r>
    </w:p>
    <w:p w14:paraId="09EE019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1）已完且符合合同约定的甩项工程的价值；</w:t>
      </w:r>
    </w:p>
    <w:p w14:paraId="2ED2BA7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2）按合同条款约定由承包人修复的发包人原因造成的缺陷的价值；</w:t>
      </w:r>
    </w:p>
    <w:p w14:paraId="39E2B7B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3）根据合同条款应增加的缺陷责任期内发生的承包人索赔金额；</w:t>
      </w:r>
    </w:p>
    <w:p w14:paraId="7A067155">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4）根据合同约定承包人应当得到的其他金额。</w:t>
      </w:r>
    </w:p>
    <w:p w14:paraId="189A47E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最终结清应当由发包人和承包人按照“多退少补”的原则办理。</w:t>
      </w:r>
    </w:p>
    <w:p w14:paraId="413EE65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14.1.6 竣工付款申请单和最终结清申请单应当比照进度付款申请单的格式准备，并提供相关证明材料。</w:t>
      </w:r>
    </w:p>
    <w:p w14:paraId="549D6999">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1017" w:name="_Toc300678550"/>
      <w:r>
        <w:rPr>
          <w:rFonts w:hint="eastAsia" w:ascii="宋体" w:hAnsi="宋体" w:eastAsia="宋体" w:cs="宋体"/>
          <w:b w:val="0"/>
          <w:bCs w:val="0"/>
          <w:color w:val="auto"/>
          <w:sz w:val="24"/>
          <w:szCs w:val="24"/>
          <w:highlight w:val="none"/>
        </w:rPr>
        <w:t>14.2 其他约定</w:t>
      </w:r>
      <w:bookmarkEnd w:id="1017"/>
    </w:p>
    <w:p w14:paraId="4C14967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其他约定内容：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2F1E172">
      <w:pPr>
        <w:pStyle w:val="5"/>
        <w:bidi w:val="0"/>
        <w:rPr>
          <w:rFonts w:hint="eastAsia"/>
        </w:rPr>
      </w:pPr>
      <w:bookmarkStart w:id="1018" w:name="_Toc2516"/>
      <w:bookmarkStart w:id="1019" w:name="_Toc79998425"/>
      <w:bookmarkStart w:id="1020" w:name="_Toc300678551"/>
      <w:bookmarkStart w:id="1021" w:name="_Toc80006139"/>
      <w:bookmarkStart w:id="1022" w:name="_Toc2957"/>
      <w:bookmarkStart w:id="1023" w:name="_Toc9178566"/>
      <w:bookmarkStart w:id="1024" w:name="_Toc80006249"/>
      <w:bookmarkStart w:id="1025" w:name="_Toc79998869"/>
      <w:bookmarkStart w:id="1026" w:name="_Toc9257"/>
      <w:r>
        <w:rPr>
          <w:rFonts w:hint="eastAsia"/>
        </w:rPr>
        <w:t>15.竣工验收和工程移交</w:t>
      </w:r>
      <w:bookmarkEnd w:id="1018"/>
      <w:bookmarkEnd w:id="1019"/>
      <w:bookmarkEnd w:id="1020"/>
      <w:bookmarkEnd w:id="1021"/>
      <w:bookmarkEnd w:id="1022"/>
      <w:bookmarkEnd w:id="1023"/>
      <w:bookmarkEnd w:id="1024"/>
      <w:bookmarkEnd w:id="1025"/>
      <w:bookmarkEnd w:id="1026"/>
    </w:p>
    <w:p w14:paraId="55FC1EDE">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1027" w:name="_Toc300678552"/>
      <w:r>
        <w:rPr>
          <w:rFonts w:hint="eastAsia" w:ascii="宋体" w:hAnsi="宋体" w:eastAsia="宋体" w:cs="宋体"/>
          <w:b w:val="0"/>
          <w:bCs w:val="0"/>
          <w:color w:val="auto"/>
          <w:sz w:val="24"/>
          <w:szCs w:val="24"/>
          <w:highlight w:val="none"/>
        </w:rPr>
        <w:t>15.1 竣工验收前的清理</w:t>
      </w:r>
      <w:bookmarkEnd w:id="1027"/>
    </w:p>
    <w:p w14:paraId="5196AD8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15.1.1 在向监理人提交竣工验收申请报告前，承包人应当完成竣工验收前的清理工作，包括但不限于：</w:t>
      </w:r>
    </w:p>
    <w:p w14:paraId="39FDCF7D">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（1）从永久工程内清除所有剩余材料、杂物、垃圾等等；</w:t>
      </w:r>
    </w:p>
    <w:p w14:paraId="4379C475">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（2）清洗工程的所有地面、墙面、楼面、路面等表面；</w:t>
      </w:r>
    </w:p>
    <w:p w14:paraId="1A15A622">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（3）清洗和擦洗所有玻璃、磁砖、石材和所有金属面；</w:t>
      </w:r>
    </w:p>
    <w:p w14:paraId="134E4608">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（4）修缮所有损坏、清除所有污迹、替换所有需更换的材料；</w:t>
      </w:r>
    </w:p>
    <w:p w14:paraId="3E1959A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（5）所有表面完成约定的装修和装饰；</w:t>
      </w:r>
    </w:p>
    <w:p w14:paraId="414B4EA6">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（6）检查和调试所有的门、窗、抽屉等以确保他们开启的顺畅；</w:t>
      </w:r>
    </w:p>
    <w:p w14:paraId="6A5F1C05">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（7）检查和调试所有的五金件并上油；</w:t>
      </w:r>
    </w:p>
    <w:p w14:paraId="369559A8">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（8）检查、测试和确保所有服务系统、设施和设备达到良好的运行状态和效果；</w:t>
      </w:r>
    </w:p>
    <w:p w14:paraId="5DF5BAF8">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（9）所有钥匙（如果有）贴上标签并固定到钥匙排上随时可以交给监理人。</w:t>
      </w:r>
    </w:p>
    <w:p w14:paraId="2240FB47">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15.1.2 清理工作所需费用由承包人承担。</w:t>
      </w:r>
    </w:p>
    <w:p w14:paraId="6E817C8D">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1028" w:name="_Toc300678553"/>
      <w:r>
        <w:rPr>
          <w:rFonts w:hint="eastAsia" w:ascii="宋体" w:hAnsi="宋体" w:eastAsia="宋体" w:cs="宋体"/>
          <w:b w:val="0"/>
          <w:bCs w:val="0"/>
          <w:color w:val="auto"/>
          <w:sz w:val="24"/>
          <w:szCs w:val="24"/>
          <w:highlight w:val="none"/>
        </w:rPr>
        <w:t>15.2 竣工验收申请报告</w:t>
      </w:r>
      <w:bookmarkEnd w:id="1028"/>
    </w:p>
    <w:p w14:paraId="6E3FEC7D">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15.2.1 竣工验收申请报告，也称竣工验收报告，是承包人完成合同约定的工作内容后，按照国家有关施工质量验收标准的规定，经其自行检查，证明已经完成合同工作内容并符合合同约定，达到竣工验收标准，而向监理人或发包人提交的请求发包人组织进行合同工程竣工验收的一份书面申请函，合同约定的竣工验收资料和其他文件一般作为竣工验收申请报告的附件，是竣工验收申请报告的组成部分。</w:t>
      </w:r>
    </w:p>
    <w:p w14:paraId="3EDC3F3D">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15.2.2 竣工验收申请报告一般应当包括工程概况说明，承包范围，分包工程情况，主要材料、设备供应情况，采用的主要施工方法，新材料、新技术和新工艺采用情况，自检质量情况等的说明。竣工验收申请报告的格式和应当包括的内容应事先经过监理人的审批。</w:t>
      </w:r>
    </w:p>
    <w:p w14:paraId="6804357D">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15.2.3 竣工验收申请报告应当按合同条款附上下列内容：</w:t>
      </w:r>
    </w:p>
    <w:p w14:paraId="75D092EC">
      <w:pPr>
        <w:pageBreakBefore w:val="0"/>
        <w:widowControl w:val="0"/>
        <w:kinsoku/>
        <w:wordWrap/>
        <w:overflowPunct/>
        <w:topLinePunct w:val="0"/>
        <w:autoSpaceDE/>
        <w:autoSpaceDN/>
        <w:bidi w:val="0"/>
        <w:adjustRightInd/>
        <w:snapToGrid/>
        <w:spacing w:line="360" w:lineRule="auto"/>
        <w:ind w:firstLine="520" w:firstLineChars="200"/>
        <w:jc w:val="left"/>
        <w:textAlignment w:val="auto"/>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（1）承包人的自行检查和评定记录文件，即除监理人同意列入缺陷责任期内完成的尾 工（甩项）工程和缺陷修补工作外，合同范围内的全部单位工程以及有关工作，包 括合同要求的试验、试运行以及检验和验收均已完成，并符合合同要求；</w:t>
      </w:r>
    </w:p>
    <w:p w14:paraId="608CD33D">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（2）按合同条款约定的内容和份数整理的符合要求的竣工资料；</w:t>
      </w:r>
    </w:p>
    <w:p w14:paraId="640AB75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（3）按监理人的要求编制了在缺陷责任期内完成的尾工（甩项）工程和缺陷修补工作清单以及相应施工计划；</w:t>
      </w:r>
    </w:p>
    <w:p w14:paraId="7C4EE74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（4）监理人要求在竣工验收前应完成的其他工作的证明材料；</w:t>
      </w:r>
    </w:p>
    <w:p w14:paraId="215D40D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（5）监理人要求提交的竣工验收资料清单；</w:t>
      </w:r>
    </w:p>
    <w:p w14:paraId="00FDEA4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（6）合同条款约定的单位工程竣工验收成果和结论文件（如果有）；</w:t>
      </w:r>
    </w:p>
    <w:p w14:paraId="1AB0D90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（7）合同附件约定的质量保修书（此前已经提交的不再提交）；</w:t>
      </w:r>
    </w:p>
    <w:p w14:paraId="38EC1691">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（8）其他：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A4D93E6">
      <w:pPr>
        <w:pStyle w:val="6"/>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1029" w:name="_Toc300678554"/>
      <w:r>
        <w:rPr>
          <w:rFonts w:hint="eastAsia" w:ascii="宋体" w:hAnsi="宋体" w:eastAsia="宋体" w:cs="宋体"/>
          <w:b w:val="0"/>
          <w:bCs w:val="0"/>
          <w:color w:val="auto"/>
          <w:sz w:val="24"/>
          <w:szCs w:val="24"/>
          <w:highlight w:val="none"/>
        </w:rPr>
        <w:t>15.3 竣工清场</w:t>
      </w:r>
      <w:bookmarkEnd w:id="1029"/>
    </w:p>
    <w:p w14:paraId="1F6341DD">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 监理人颁发（出具）工程接收证书后，承包人应在56天内按以下要求对施工场地（现场）进行清理：</w:t>
      </w:r>
    </w:p>
    <w:p w14:paraId="493111D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（1）从施工场地（现场）清除所有杂物和垃圾等等；</w:t>
      </w:r>
    </w:p>
    <w:p w14:paraId="4ED8D388">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（2）从施工场地现场拆除所有的临时工程和临时设施并恢复地面原状，但经监理人批准的护坡桩、锚杆、塔吊基础和无法拆除的埋入式模板等无法拆除的临时设施除外；</w:t>
      </w:r>
    </w:p>
    <w:p w14:paraId="68A1CD08">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（3）撤离所有承包人施工设备和剩余材料（经监理人同意需在缺陷责任期内继续使用的除外）；</w:t>
      </w:r>
    </w:p>
    <w:p w14:paraId="2E9F2D9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（4）监理人指示的其他清场工作。</w:t>
      </w:r>
    </w:p>
    <w:p w14:paraId="5EBBA6E7">
      <w:pPr>
        <w:pStyle w:val="5"/>
        <w:bidi w:val="0"/>
        <w:rPr>
          <w:rFonts w:hint="eastAsia"/>
        </w:rPr>
      </w:pPr>
      <w:bookmarkStart w:id="1030" w:name="_Toc16142"/>
      <w:bookmarkStart w:id="1031" w:name="_Toc80006250"/>
      <w:bookmarkStart w:id="1032" w:name="_Toc12280"/>
      <w:bookmarkStart w:id="1033" w:name="_Toc79998426"/>
      <w:bookmarkStart w:id="1034" w:name="_Toc23920"/>
      <w:bookmarkStart w:id="1035" w:name="_Toc79998870"/>
      <w:bookmarkStart w:id="1036" w:name="_Toc9178567"/>
      <w:bookmarkStart w:id="1037" w:name="_Toc80006140"/>
      <w:bookmarkStart w:id="1038" w:name="_Toc300678555"/>
      <w:r>
        <w:rPr>
          <w:rFonts w:hint="eastAsia"/>
        </w:rPr>
        <w:t>16.其他</w:t>
      </w:r>
      <w:bookmarkEnd w:id="1030"/>
      <w:bookmarkEnd w:id="1031"/>
      <w:bookmarkEnd w:id="1032"/>
      <w:bookmarkEnd w:id="1033"/>
      <w:bookmarkEnd w:id="1034"/>
      <w:bookmarkEnd w:id="1035"/>
      <w:bookmarkEnd w:id="1036"/>
      <w:bookmarkEnd w:id="1037"/>
    </w:p>
    <w:bookmarkEnd w:id="1038"/>
    <w:p w14:paraId="14B29151">
      <w:pPr>
        <w:spacing w:line="360" w:lineRule="auto"/>
        <w:ind w:firstLine="420" w:firstLineChars="200"/>
        <w:jc w:val="left"/>
        <w:rPr>
          <w:color w:val="auto"/>
          <w:szCs w:val="21"/>
          <w:highlight w:val="none"/>
        </w:rPr>
      </w:pPr>
      <w:bookmarkStart w:id="1039" w:name="_Toc300678556"/>
    </w:p>
    <w:p w14:paraId="4B75B541">
      <w:pPr>
        <w:spacing w:line="360" w:lineRule="auto"/>
        <w:jc w:val="left"/>
        <w:rPr>
          <w:color w:val="auto"/>
          <w:szCs w:val="21"/>
          <w:highlight w:val="none"/>
        </w:rPr>
      </w:pPr>
    </w:p>
    <w:p w14:paraId="2DF14774">
      <w:pPr>
        <w:pStyle w:val="4"/>
        <w:bidi w:val="0"/>
      </w:pPr>
      <w:bookmarkStart w:id="1040" w:name="_Toc8392"/>
      <w:bookmarkStart w:id="1041" w:name="_Toc20728"/>
      <w:bookmarkStart w:id="1042" w:name="_Toc80006141"/>
      <w:r>
        <w:t>第二节  特殊技术标准和要求</w:t>
      </w:r>
      <w:bookmarkEnd w:id="1039"/>
      <w:bookmarkEnd w:id="1040"/>
      <w:bookmarkEnd w:id="1041"/>
      <w:bookmarkEnd w:id="1042"/>
    </w:p>
    <w:p w14:paraId="2A5BADCB">
      <w:pPr>
        <w:keepNext/>
        <w:keepLines/>
        <w:widowControl w:val="0"/>
        <w:spacing w:before="260" w:after="260" w:line="413" w:lineRule="auto"/>
        <w:jc w:val="center"/>
        <w:outlineLvl w:val="1"/>
        <w:rPr>
          <w:rFonts w:ascii="Times New Roman" w:hAnsi="Times New Roman" w:eastAsia="黑体" w:cs="Times New Roman"/>
          <w:b w:val="0"/>
          <w:bCs w:val="0"/>
          <w:color w:val="000000"/>
          <w:kern w:val="2"/>
          <w:sz w:val="30"/>
          <w:szCs w:val="32"/>
          <w:lang w:val="en-US" w:eastAsia="zh-CN" w:bidi="ar-SA"/>
        </w:rPr>
      </w:pPr>
      <w:bookmarkStart w:id="1043" w:name="_Toc31479"/>
      <w:bookmarkStart w:id="1044" w:name="_Toc80006147"/>
      <w:bookmarkStart w:id="1045" w:name="_Toc300678561"/>
      <w:bookmarkStart w:id="1046" w:name="_Toc15710"/>
      <w:r>
        <w:rPr>
          <w:rFonts w:hint="eastAsia" w:ascii="Times New Roman" w:hAnsi="Times New Roman" w:eastAsia="黑体" w:cs="Times New Roman"/>
          <w:b/>
          <w:bCs/>
          <w:color w:val="000000"/>
          <w:kern w:val="2"/>
          <w:sz w:val="30"/>
          <w:szCs w:val="32"/>
          <w:lang w:val="en-US" w:eastAsia="zh-CN" w:bidi="ar-SA"/>
        </w:rPr>
        <w:t>（略）</w:t>
      </w:r>
      <w:bookmarkEnd w:id="1043"/>
    </w:p>
    <w:p w14:paraId="5F734F99">
      <w:pPr>
        <w:pStyle w:val="4"/>
        <w:bidi w:val="0"/>
      </w:pPr>
      <w:bookmarkStart w:id="1047" w:name="_Toc28319"/>
      <w:r>
        <w:t>第三节  适用的国家、行业以及地方规范、标准和规程</w:t>
      </w:r>
      <w:bookmarkEnd w:id="1044"/>
      <w:bookmarkEnd w:id="1045"/>
      <w:bookmarkEnd w:id="1046"/>
      <w:bookmarkEnd w:id="1047"/>
    </w:p>
    <w:p w14:paraId="568798F5">
      <w:pPr>
        <w:spacing w:line="360" w:lineRule="auto"/>
        <w:ind w:firstLine="480" w:firstLineChars="200"/>
        <w:jc w:val="left"/>
        <w:rPr>
          <w:color w:val="auto"/>
          <w:sz w:val="24"/>
          <w:szCs w:val="24"/>
          <w:highlight w:val="none"/>
        </w:rPr>
      </w:pPr>
      <w:r>
        <w:rPr>
          <w:color w:val="auto"/>
          <w:sz w:val="24"/>
          <w:szCs w:val="24"/>
          <w:highlight w:val="none"/>
        </w:rPr>
        <w:t>说明：本节内容只需列出规范、标准、规程等的名称、编号等内容。由招标人根据国家、行业和地方现行标准、规范和规程等，以及项目具体情况摘录。</w:t>
      </w:r>
    </w:p>
    <w:p w14:paraId="7451A91A">
      <w:pPr>
        <w:spacing w:line="360" w:lineRule="auto"/>
        <w:jc w:val="left"/>
        <w:rPr>
          <w:rFonts w:eastAsia="黑体"/>
          <w:color w:val="auto"/>
          <w:highlight w:val="none"/>
        </w:rPr>
      </w:pPr>
    </w:p>
    <w:p w14:paraId="59A097DF">
      <w:pPr>
        <w:spacing w:line="360" w:lineRule="auto"/>
        <w:jc w:val="left"/>
        <w:rPr>
          <w:rFonts w:eastAsia="黑体"/>
          <w:color w:val="auto"/>
          <w:highlight w:val="none"/>
        </w:rPr>
      </w:pPr>
    </w:p>
    <w:p w14:paraId="6DA5B021">
      <w:pPr>
        <w:spacing w:line="360" w:lineRule="auto"/>
        <w:jc w:val="left"/>
        <w:rPr>
          <w:rFonts w:eastAsia="黑体"/>
          <w:color w:val="auto"/>
          <w:highlight w:val="none"/>
        </w:rPr>
      </w:pPr>
    </w:p>
    <w:p w14:paraId="08F7DC2F">
      <w:pPr>
        <w:spacing w:line="360" w:lineRule="auto"/>
        <w:jc w:val="left"/>
        <w:rPr>
          <w:rFonts w:eastAsia="黑体"/>
          <w:color w:val="auto"/>
          <w:highlight w:val="none"/>
        </w:rPr>
      </w:pPr>
    </w:p>
    <w:p w14:paraId="688646F6">
      <w:pPr>
        <w:spacing w:line="360" w:lineRule="auto"/>
        <w:jc w:val="left"/>
        <w:rPr>
          <w:rFonts w:eastAsia="黑体"/>
          <w:color w:val="auto"/>
          <w:highlight w:val="none"/>
        </w:rPr>
      </w:pPr>
    </w:p>
    <w:p w14:paraId="4BC50E91">
      <w:pPr>
        <w:spacing w:line="360" w:lineRule="auto"/>
        <w:jc w:val="left"/>
        <w:rPr>
          <w:rFonts w:eastAsia="黑体"/>
          <w:color w:val="auto"/>
          <w:highlight w:val="none"/>
        </w:rPr>
      </w:pPr>
    </w:p>
    <w:p w14:paraId="326BA72B">
      <w:pPr>
        <w:spacing w:line="360" w:lineRule="auto"/>
        <w:jc w:val="left"/>
        <w:rPr>
          <w:rFonts w:eastAsia="黑体"/>
          <w:color w:val="auto"/>
          <w:highlight w:val="none"/>
        </w:rPr>
      </w:pPr>
    </w:p>
    <w:p w14:paraId="3BDF895F">
      <w:pPr>
        <w:spacing w:line="360" w:lineRule="auto"/>
        <w:jc w:val="left"/>
        <w:rPr>
          <w:rFonts w:eastAsia="黑体"/>
          <w:color w:val="auto"/>
          <w:highlight w:val="none"/>
        </w:rPr>
      </w:pPr>
    </w:p>
    <w:p w14:paraId="6A34CC9F">
      <w:pPr>
        <w:spacing w:line="360" w:lineRule="auto"/>
        <w:jc w:val="left"/>
        <w:rPr>
          <w:rFonts w:eastAsia="黑体"/>
          <w:color w:val="auto"/>
          <w:highlight w:val="none"/>
        </w:rPr>
      </w:pPr>
      <w:bookmarkStart w:id="1048" w:name="_Toc300678562"/>
    </w:p>
    <w:p w14:paraId="09270D6F">
      <w:pPr>
        <w:spacing w:line="360" w:lineRule="auto"/>
        <w:jc w:val="left"/>
        <w:rPr>
          <w:rFonts w:eastAsia="黑体"/>
          <w:color w:val="auto"/>
          <w:highlight w:val="none"/>
        </w:rPr>
      </w:pPr>
    </w:p>
    <w:p w14:paraId="2978F296">
      <w:pPr>
        <w:spacing w:line="360" w:lineRule="auto"/>
        <w:jc w:val="left"/>
        <w:rPr>
          <w:rFonts w:eastAsia="黑体"/>
          <w:color w:val="auto"/>
          <w:highlight w:val="none"/>
        </w:rPr>
      </w:pPr>
    </w:p>
    <w:p w14:paraId="7F7D124E">
      <w:pPr>
        <w:spacing w:line="360" w:lineRule="auto"/>
        <w:jc w:val="left"/>
        <w:rPr>
          <w:rFonts w:eastAsia="黑体"/>
          <w:color w:val="auto"/>
          <w:highlight w:val="none"/>
        </w:rPr>
      </w:pPr>
    </w:p>
    <w:p w14:paraId="3220A9C9">
      <w:pPr>
        <w:spacing w:line="360" w:lineRule="auto"/>
        <w:jc w:val="left"/>
        <w:rPr>
          <w:rFonts w:eastAsia="黑体"/>
          <w:color w:val="auto"/>
          <w:highlight w:val="none"/>
        </w:rPr>
      </w:pPr>
    </w:p>
    <w:bookmarkEnd w:id="1048"/>
    <w:p w14:paraId="78B3F8D4">
      <w:pPr>
        <w:spacing w:line="360" w:lineRule="auto"/>
        <w:jc w:val="left"/>
        <w:rPr>
          <w:color w:val="auto"/>
          <w:sz w:val="18"/>
          <w:szCs w:val="18"/>
          <w:highlight w:val="none"/>
        </w:rPr>
      </w:pPr>
      <w:bookmarkStart w:id="1049" w:name="_Toc300678563"/>
    </w:p>
    <w:p w14:paraId="7A165634">
      <w:pPr>
        <w:spacing w:line="360" w:lineRule="auto"/>
        <w:jc w:val="left"/>
        <w:rPr>
          <w:color w:val="auto"/>
          <w:sz w:val="18"/>
          <w:szCs w:val="18"/>
          <w:highlight w:val="none"/>
        </w:rPr>
      </w:pPr>
    </w:p>
    <w:p w14:paraId="0333FC2D">
      <w:pPr>
        <w:spacing w:line="360" w:lineRule="auto"/>
        <w:jc w:val="left"/>
        <w:rPr>
          <w:color w:val="auto"/>
          <w:sz w:val="18"/>
          <w:szCs w:val="18"/>
          <w:highlight w:val="none"/>
        </w:rPr>
      </w:pPr>
    </w:p>
    <w:p w14:paraId="720830F7">
      <w:pPr>
        <w:spacing w:line="360" w:lineRule="auto"/>
        <w:jc w:val="left"/>
        <w:rPr>
          <w:color w:val="auto"/>
          <w:sz w:val="18"/>
          <w:szCs w:val="18"/>
          <w:highlight w:val="none"/>
        </w:rPr>
      </w:pPr>
    </w:p>
    <w:p w14:paraId="3E069D42">
      <w:pPr>
        <w:pStyle w:val="29"/>
        <w:rPr>
          <w:color w:val="auto"/>
          <w:sz w:val="18"/>
          <w:szCs w:val="18"/>
          <w:highlight w:val="none"/>
        </w:rPr>
      </w:pPr>
    </w:p>
    <w:p w14:paraId="384083A2">
      <w:pPr>
        <w:rPr>
          <w:color w:val="auto"/>
          <w:sz w:val="18"/>
          <w:szCs w:val="18"/>
          <w:highlight w:val="none"/>
        </w:rPr>
      </w:pPr>
    </w:p>
    <w:p w14:paraId="235FED0A">
      <w:pPr>
        <w:pStyle w:val="29"/>
        <w:rPr>
          <w:color w:val="auto"/>
          <w:sz w:val="18"/>
          <w:szCs w:val="18"/>
          <w:highlight w:val="none"/>
        </w:rPr>
      </w:pPr>
    </w:p>
    <w:p w14:paraId="636CF6B4">
      <w:pPr>
        <w:rPr>
          <w:color w:val="auto"/>
          <w:sz w:val="18"/>
          <w:szCs w:val="18"/>
          <w:highlight w:val="none"/>
        </w:rPr>
      </w:pPr>
    </w:p>
    <w:p w14:paraId="783FF79F">
      <w:pPr>
        <w:pStyle w:val="29"/>
        <w:rPr>
          <w:color w:val="auto"/>
          <w:sz w:val="18"/>
          <w:szCs w:val="18"/>
          <w:highlight w:val="none"/>
        </w:rPr>
      </w:pPr>
    </w:p>
    <w:p w14:paraId="0A324086">
      <w:pPr>
        <w:rPr>
          <w:color w:val="auto"/>
          <w:sz w:val="18"/>
          <w:szCs w:val="18"/>
          <w:highlight w:val="none"/>
        </w:rPr>
      </w:pPr>
    </w:p>
    <w:p w14:paraId="162AF58D">
      <w:pPr>
        <w:pStyle w:val="29"/>
        <w:rPr>
          <w:color w:val="auto"/>
          <w:sz w:val="18"/>
          <w:szCs w:val="18"/>
          <w:highlight w:val="none"/>
        </w:rPr>
      </w:pPr>
    </w:p>
    <w:p w14:paraId="7D82CDBB">
      <w:pPr>
        <w:rPr>
          <w:color w:val="auto"/>
          <w:sz w:val="18"/>
          <w:szCs w:val="18"/>
          <w:highlight w:val="none"/>
        </w:rPr>
      </w:pPr>
    </w:p>
    <w:p w14:paraId="68841D82">
      <w:pPr>
        <w:pStyle w:val="29"/>
        <w:rPr>
          <w:color w:val="auto"/>
          <w:sz w:val="18"/>
          <w:szCs w:val="18"/>
          <w:highlight w:val="none"/>
        </w:rPr>
      </w:pPr>
    </w:p>
    <w:p w14:paraId="2D1A528C">
      <w:pPr>
        <w:rPr>
          <w:color w:val="auto"/>
          <w:sz w:val="18"/>
          <w:szCs w:val="18"/>
          <w:highlight w:val="none"/>
        </w:rPr>
      </w:pPr>
    </w:p>
    <w:p w14:paraId="7CA3A9EF">
      <w:pPr>
        <w:pStyle w:val="29"/>
      </w:pPr>
    </w:p>
    <w:p w14:paraId="5165C022">
      <w:pPr>
        <w:spacing w:line="360" w:lineRule="auto"/>
        <w:jc w:val="left"/>
        <w:rPr>
          <w:color w:val="auto"/>
          <w:sz w:val="18"/>
          <w:szCs w:val="18"/>
          <w:highlight w:val="none"/>
        </w:rPr>
      </w:pPr>
    </w:p>
    <w:p w14:paraId="38D411A9">
      <w:pPr>
        <w:pStyle w:val="3"/>
        <w:jc w:val="center"/>
        <w:rPr>
          <w:rFonts w:ascii="Times New Roman" w:hAnsi="Times New Roman" w:eastAsia="黑体"/>
          <w:b w:val="0"/>
          <w:bCs w:val="0"/>
          <w:color w:val="auto"/>
          <w:sz w:val="44"/>
          <w:szCs w:val="44"/>
          <w:highlight w:val="none"/>
        </w:rPr>
      </w:pPr>
      <w:bookmarkStart w:id="1050" w:name="_Toc80006148"/>
      <w:bookmarkStart w:id="1051" w:name="_Toc1235"/>
      <w:bookmarkStart w:id="1052" w:name="_Toc105"/>
      <w:r>
        <w:rPr>
          <w:rFonts w:ascii="Times New Roman" w:hAnsi="Times New Roman" w:eastAsia="黑体"/>
          <w:b w:val="0"/>
          <w:bCs w:val="0"/>
          <w:color w:val="auto"/>
          <w:sz w:val="44"/>
          <w:szCs w:val="44"/>
          <w:highlight w:val="none"/>
        </w:rPr>
        <w:t>第  四  卷</w:t>
      </w:r>
      <w:bookmarkEnd w:id="1049"/>
      <w:bookmarkEnd w:id="1050"/>
      <w:bookmarkEnd w:id="1051"/>
      <w:bookmarkEnd w:id="1052"/>
    </w:p>
    <w:p w14:paraId="3AAC47DA">
      <w:pPr>
        <w:spacing w:line="360" w:lineRule="auto"/>
        <w:jc w:val="left"/>
        <w:rPr>
          <w:color w:val="auto"/>
          <w:sz w:val="18"/>
          <w:szCs w:val="18"/>
          <w:highlight w:val="none"/>
        </w:rPr>
      </w:pPr>
      <w:r>
        <w:rPr>
          <w:rFonts w:eastAsia="黑体"/>
          <w:bCs/>
          <w:color w:val="auto"/>
          <w:sz w:val="44"/>
          <w:szCs w:val="44"/>
          <w:highlight w:val="none"/>
        </w:rPr>
        <w:br w:type="page"/>
      </w:r>
    </w:p>
    <w:p w14:paraId="354A42AB">
      <w:pPr>
        <w:pStyle w:val="3"/>
        <w:bidi w:val="0"/>
        <w:rPr>
          <w:rFonts w:hint="eastAsia"/>
        </w:rPr>
      </w:pPr>
      <w:bookmarkStart w:id="1053" w:name="_Toc80006149"/>
      <w:bookmarkStart w:id="1054" w:name="_Toc32693"/>
      <w:bookmarkStart w:id="1055" w:name="_Toc4439"/>
      <w:bookmarkStart w:id="1056" w:name="_Toc300678564"/>
      <w:r>
        <w:t>第八章 投标文件格式</w:t>
      </w:r>
      <w:bookmarkEnd w:id="1053"/>
      <w:bookmarkEnd w:id="1054"/>
      <w:bookmarkEnd w:id="1055"/>
      <w:bookmarkEnd w:id="1056"/>
    </w:p>
    <w:p w14:paraId="37CC2EAF">
      <w:pPr>
        <w:pStyle w:val="4"/>
        <w:bidi w:val="0"/>
      </w:pPr>
      <w:bookmarkStart w:id="1057" w:name="_Toc300678565"/>
      <w:bookmarkStart w:id="1058" w:name="_Toc13060"/>
      <w:bookmarkStart w:id="1059" w:name="_Toc80006150"/>
      <w:bookmarkStart w:id="1060" w:name="_Toc3858"/>
      <w:r>
        <w:t>第一</w:t>
      </w:r>
      <w:r>
        <w:rPr>
          <w:rFonts w:hint="eastAsia"/>
        </w:rPr>
        <w:t>节</w:t>
      </w:r>
      <w:r>
        <w:t xml:space="preserve"> 投标函</w:t>
      </w:r>
      <w:r>
        <w:rPr>
          <w:rFonts w:hint="eastAsia"/>
          <w:lang w:val="en-US" w:eastAsia="zh-CN"/>
        </w:rPr>
        <w:t>及附录</w:t>
      </w:r>
      <w:r>
        <w:t>格式</w:t>
      </w:r>
      <w:bookmarkEnd w:id="1057"/>
      <w:bookmarkEnd w:id="1058"/>
      <w:bookmarkEnd w:id="1059"/>
      <w:bookmarkEnd w:id="1060"/>
    </w:p>
    <w:p w14:paraId="4E27D5A9">
      <w:pPr>
        <w:widowControl/>
        <w:rPr>
          <w:rFonts w:eastAsia="黑体"/>
          <w:color w:val="auto"/>
          <w:kern w:val="0"/>
          <w:sz w:val="28"/>
          <w:szCs w:val="21"/>
          <w:highlight w:val="none"/>
        </w:rPr>
      </w:pPr>
    </w:p>
    <w:p w14:paraId="7CF11872">
      <w:pPr>
        <w:pStyle w:val="29"/>
        <w:rPr>
          <w:rFonts w:eastAsia="黑体"/>
          <w:color w:val="auto"/>
          <w:kern w:val="0"/>
          <w:sz w:val="28"/>
          <w:szCs w:val="21"/>
          <w:highlight w:val="none"/>
        </w:rPr>
      </w:pPr>
    </w:p>
    <w:p w14:paraId="5B91A7DB">
      <w:pPr>
        <w:rPr>
          <w:rFonts w:hint="eastAsia" w:ascii="宋体" w:hAnsi="宋体" w:eastAsia="宋体" w:cs="宋体"/>
          <w:color w:val="auto"/>
          <w:kern w:val="0"/>
          <w:sz w:val="24"/>
          <w:szCs w:val="20"/>
          <w:highlight w:val="none"/>
          <w:lang w:val="en-US" w:eastAsia="zh-CN"/>
        </w:rPr>
      </w:pPr>
      <w:r>
        <w:rPr>
          <w:rFonts w:hint="eastAsia" w:ascii="宋体" w:hAnsi="宋体" w:eastAsia="宋体" w:cs="宋体"/>
          <w:color w:val="auto"/>
          <w:kern w:val="0"/>
          <w:sz w:val="24"/>
          <w:szCs w:val="20"/>
          <w:highlight w:val="none"/>
          <w:lang w:val="en-US" w:eastAsia="zh-CN"/>
        </w:rPr>
        <w:t>封面：</w:t>
      </w:r>
    </w:p>
    <w:p w14:paraId="0951ACAC">
      <w:pPr>
        <w:pStyle w:val="29"/>
        <w:rPr>
          <w:rFonts w:hint="eastAsia" w:ascii="宋体" w:hAnsi="宋体" w:eastAsia="宋体" w:cs="宋体"/>
          <w:color w:val="auto"/>
          <w:kern w:val="0"/>
          <w:sz w:val="28"/>
          <w:szCs w:val="21"/>
          <w:highlight w:val="none"/>
        </w:rPr>
      </w:pPr>
    </w:p>
    <w:p w14:paraId="080B6819">
      <w:pPr>
        <w:pStyle w:val="29"/>
        <w:rPr>
          <w:rFonts w:hint="eastAsia" w:ascii="宋体" w:hAnsi="宋体" w:eastAsia="宋体" w:cs="宋体"/>
        </w:rPr>
      </w:pPr>
    </w:p>
    <w:p w14:paraId="60C5C5B0">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（项目名称）施工招标</w:t>
      </w:r>
    </w:p>
    <w:p w14:paraId="03F5F455">
      <w:pPr>
        <w:widowControl/>
        <w:spacing w:before="312"/>
        <w:jc w:val="center"/>
        <w:rPr>
          <w:rFonts w:hint="eastAsia" w:ascii="宋体" w:hAnsi="宋体" w:eastAsia="宋体" w:cs="宋体"/>
          <w:color w:val="auto"/>
          <w:kern w:val="0"/>
          <w:sz w:val="44"/>
          <w:szCs w:val="44"/>
          <w:highlight w:val="none"/>
        </w:rPr>
      </w:pPr>
      <w:r>
        <w:rPr>
          <w:rFonts w:hint="eastAsia" w:ascii="宋体" w:hAnsi="宋体" w:eastAsia="宋体" w:cs="宋体"/>
          <w:color w:val="auto"/>
          <w:kern w:val="0"/>
          <w:sz w:val="44"/>
          <w:szCs w:val="44"/>
          <w:highlight w:val="none"/>
        </w:rPr>
        <w:t>投  标  文  件</w:t>
      </w:r>
    </w:p>
    <w:p w14:paraId="552A3184">
      <w:pPr>
        <w:widowControl/>
        <w:jc w:val="center"/>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rPr>
        <w:t>（投标函</w:t>
      </w:r>
      <w:r>
        <w:rPr>
          <w:rFonts w:hint="eastAsia" w:ascii="宋体" w:hAnsi="宋体" w:eastAsia="宋体" w:cs="宋体"/>
          <w:color w:val="auto"/>
          <w:kern w:val="0"/>
          <w:sz w:val="32"/>
          <w:szCs w:val="32"/>
          <w:highlight w:val="none"/>
          <w:lang w:val="en-US" w:eastAsia="zh-CN"/>
        </w:rPr>
        <w:t>及附录</w:t>
      </w:r>
      <w:r>
        <w:rPr>
          <w:rFonts w:hint="eastAsia" w:ascii="宋体" w:hAnsi="宋体" w:eastAsia="宋体" w:cs="宋体"/>
          <w:color w:val="auto"/>
          <w:kern w:val="0"/>
          <w:sz w:val="32"/>
          <w:szCs w:val="32"/>
          <w:highlight w:val="none"/>
        </w:rPr>
        <w:t>）</w:t>
      </w:r>
    </w:p>
    <w:p w14:paraId="412BD185">
      <w:pPr>
        <w:spacing w:line="360" w:lineRule="auto"/>
        <w:jc w:val="left"/>
        <w:rPr>
          <w:rFonts w:hint="eastAsia" w:ascii="宋体" w:hAnsi="宋体" w:eastAsia="宋体" w:cs="宋体"/>
          <w:color w:val="auto"/>
          <w:sz w:val="18"/>
          <w:szCs w:val="18"/>
          <w:highlight w:val="none"/>
        </w:rPr>
      </w:pPr>
    </w:p>
    <w:p w14:paraId="616B7F4B">
      <w:pPr>
        <w:spacing w:line="360" w:lineRule="auto"/>
        <w:jc w:val="left"/>
        <w:rPr>
          <w:rFonts w:hint="eastAsia" w:ascii="宋体" w:hAnsi="宋体" w:eastAsia="宋体" w:cs="宋体"/>
          <w:color w:val="auto"/>
          <w:sz w:val="18"/>
          <w:szCs w:val="18"/>
          <w:highlight w:val="none"/>
        </w:rPr>
      </w:pPr>
    </w:p>
    <w:p w14:paraId="7BABC99A">
      <w:pPr>
        <w:spacing w:line="360" w:lineRule="auto"/>
        <w:jc w:val="left"/>
        <w:rPr>
          <w:rFonts w:hint="eastAsia" w:ascii="宋体" w:hAnsi="宋体" w:eastAsia="宋体" w:cs="宋体"/>
          <w:color w:val="auto"/>
          <w:sz w:val="18"/>
          <w:szCs w:val="18"/>
          <w:highlight w:val="none"/>
        </w:rPr>
      </w:pPr>
    </w:p>
    <w:p w14:paraId="4E816A6E">
      <w:pPr>
        <w:spacing w:line="360" w:lineRule="auto"/>
        <w:jc w:val="left"/>
        <w:rPr>
          <w:rFonts w:hint="eastAsia" w:ascii="宋体" w:hAnsi="宋体" w:eastAsia="宋体" w:cs="宋体"/>
          <w:color w:val="auto"/>
          <w:sz w:val="18"/>
          <w:szCs w:val="18"/>
          <w:highlight w:val="none"/>
        </w:rPr>
      </w:pPr>
    </w:p>
    <w:p w14:paraId="521918B8">
      <w:pPr>
        <w:spacing w:line="360" w:lineRule="auto"/>
        <w:jc w:val="left"/>
        <w:rPr>
          <w:rFonts w:hint="eastAsia" w:ascii="宋体" w:hAnsi="宋体" w:eastAsia="宋体" w:cs="宋体"/>
          <w:color w:val="auto"/>
          <w:sz w:val="18"/>
          <w:szCs w:val="18"/>
          <w:highlight w:val="none"/>
        </w:rPr>
      </w:pPr>
    </w:p>
    <w:p w14:paraId="0387F306">
      <w:pPr>
        <w:spacing w:line="360" w:lineRule="auto"/>
        <w:jc w:val="left"/>
        <w:rPr>
          <w:rFonts w:hint="eastAsia" w:ascii="宋体" w:hAnsi="宋体" w:eastAsia="宋体" w:cs="宋体"/>
          <w:color w:val="auto"/>
          <w:sz w:val="18"/>
          <w:szCs w:val="18"/>
          <w:highlight w:val="none"/>
        </w:rPr>
      </w:pPr>
    </w:p>
    <w:p w14:paraId="5B4DAD07">
      <w:pPr>
        <w:spacing w:line="360" w:lineRule="auto"/>
        <w:jc w:val="left"/>
        <w:rPr>
          <w:rFonts w:hint="eastAsia" w:ascii="宋体" w:hAnsi="宋体" w:eastAsia="宋体" w:cs="宋体"/>
          <w:color w:val="auto"/>
          <w:sz w:val="18"/>
          <w:szCs w:val="18"/>
          <w:highlight w:val="none"/>
        </w:rPr>
      </w:pPr>
    </w:p>
    <w:p w14:paraId="537C3B35">
      <w:pPr>
        <w:spacing w:line="360" w:lineRule="auto"/>
        <w:jc w:val="left"/>
        <w:rPr>
          <w:rFonts w:hint="eastAsia" w:ascii="宋体" w:hAnsi="宋体" w:eastAsia="宋体" w:cs="宋体"/>
          <w:color w:val="auto"/>
          <w:sz w:val="18"/>
          <w:szCs w:val="18"/>
          <w:highlight w:val="none"/>
        </w:rPr>
      </w:pPr>
    </w:p>
    <w:p w14:paraId="21BC8386">
      <w:pPr>
        <w:spacing w:line="360" w:lineRule="auto"/>
        <w:jc w:val="left"/>
        <w:rPr>
          <w:rFonts w:hint="eastAsia" w:ascii="宋体" w:hAnsi="宋体" w:eastAsia="宋体" w:cs="宋体"/>
          <w:color w:val="auto"/>
          <w:sz w:val="18"/>
          <w:szCs w:val="18"/>
          <w:highlight w:val="none"/>
        </w:rPr>
      </w:pPr>
    </w:p>
    <w:p w14:paraId="34368251">
      <w:pPr>
        <w:spacing w:line="360" w:lineRule="auto"/>
        <w:jc w:val="left"/>
        <w:rPr>
          <w:rFonts w:hint="eastAsia" w:ascii="宋体" w:hAnsi="宋体" w:eastAsia="宋体" w:cs="宋体"/>
          <w:color w:val="auto"/>
          <w:sz w:val="18"/>
          <w:szCs w:val="18"/>
          <w:highlight w:val="none"/>
        </w:rPr>
      </w:pPr>
    </w:p>
    <w:p w14:paraId="23364964">
      <w:pPr>
        <w:pStyle w:val="29"/>
        <w:rPr>
          <w:rFonts w:hint="eastAsia" w:ascii="宋体" w:hAnsi="宋体" w:eastAsia="宋体" w:cs="宋体"/>
          <w:color w:val="auto"/>
          <w:sz w:val="18"/>
          <w:szCs w:val="18"/>
          <w:highlight w:val="none"/>
        </w:rPr>
      </w:pPr>
    </w:p>
    <w:p w14:paraId="55D76C53">
      <w:pPr>
        <w:rPr>
          <w:rFonts w:hint="eastAsia" w:ascii="宋体" w:hAnsi="宋体" w:eastAsia="宋体" w:cs="宋体"/>
          <w:color w:val="auto"/>
          <w:sz w:val="18"/>
          <w:szCs w:val="18"/>
          <w:highlight w:val="none"/>
        </w:rPr>
      </w:pPr>
    </w:p>
    <w:p w14:paraId="0FFB06E3">
      <w:pPr>
        <w:pStyle w:val="29"/>
        <w:rPr>
          <w:rFonts w:hint="eastAsia" w:ascii="宋体" w:hAnsi="宋体" w:eastAsia="宋体" w:cs="宋体"/>
          <w:color w:val="auto"/>
          <w:sz w:val="18"/>
          <w:szCs w:val="18"/>
          <w:highlight w:val="none"/>
        </w:rPr>
      </w:pPr>
    </w:p>
    <w:p w14:paraId="263C292D">
      <w:pPr>
        <w:rPr>
          <w:rFonts w:hint="eastAsia" w:ascii="宋体" w:hAnsi="宋体" w:eastAsia="宋体" w:cs="宋体"/>
          <w:color w:val="auto"/>
          <w:sz w:val="18"/>
          <w:szCs w:val="18"/>
          <w:highlight w:val="none"/>
        </w:rPr>
      </w:pPr>
    </w:p>
    <w:p w14:paraId="70DBA978">
      <w:pPr>
        <w:pStyle w:val="29"/>
        <w:rPr>
          <w:rFonts w:hint="eastAsia" w:ascii="宋体" w:hAnsi="宋体" w:eastAsia="宋体" w:cs="宋体"/>
          <w:color w:val="auto"/>
          <w:sz w:val="18"/>
          <w:szCs w:val="18"/>
          <w:highlight w:val="none"/>
        </w:rPr>
      </w:pPr>
    </w:p>
    <w:p w14:paraId="74505F0F">
      <w:pPr>
        <w:rPr>
          <w:rFonts w:hint="eastAsia" w:ascii="宋体" w:hAnsi="宋体" w:eastAsia="宋体" w:cs="宋体"/>
          <w:color w:val="auto"/>
          <w:sz w:val="18"/>
          <w:szCs w:val="18"/>
          <w:highlight w:val="none"/>
        </w:rPr>
      </w:pPr>
    </w:p>
    <w:p w14:paraId="4B7A5906">
      <w:pPr>
        <w:pStyle w:val="29"/>
        <w:rPr>
          <w:rFonts w:hint="eastAsia"/>
        </w:rPr>
      </w:pPr>
    </w:p>
    <w:p w14:paraId="0020D94D">
      <w:pPr>
        <w:spacing w:line="360" w:lineRule="auto"/>
        <w:jc w:val="left"/>
        <w:rPr>
          <w:rFonts w:hint="eastAsia" w:ascii="宋体" w:hAnsi="宋体" w:eastAsia="宋体" w:cs="宋体"/>
          <w:color w:val="auto"/>
          <w:sz w:val="18"/>
          <w:szCs w:val="18"/>
          <w:highlight w:val="none"/>
        </w:rPr>
      </w:pPr>
    </w:p>
    <w:p w14:paraId="55B99DF3">
      <w:pPr>
        <w:pStyle w:val="29"/>
        <w:rPr>
          <w:rFonts w:hint="eastAsia"/>
        </w:rPr>
      </w:pPr>
    </w:p>
    <w:p w14:paraId="47CFB70D">
      <w:pPr>
        <w:spacing w:line="360" w:lineRule="auto"/>
        <w:jc w:val="left"/>
        <w:rPr>
          <w:rFonts w:hint="eastAsia" w:ascii="宋体" w:hAnsi="宋体" w:eastAsia="宋体" w:cs="宋体"/>
          <w:color w:val="auto"/>
          <w:sz w:val="18"/>
          <w:szCs w:val="18"/>
          <w:highlight w:val="none"/>
        </w:rPr>
      </w:pPr>
    </w:p>
    <w:p w14:paraId="2039CA6F">
      <w:pPr>
        <w:spacing w:line="360" w:lineRule="auto"/>
        <w:jc w:val="left"/>
        <w:rPr>
          <w:rFonts w:hint="eastAsia" w:ascii="宋体" w:hAnsi="宋体" w:eastAsia="宋体" w:cs="宋体"/>
          <w:color w:val="auto"/>
          <w:sz w:val="18"/>
          <w:szCs w:val="18"/>
          <w:highlight w:val="none"/>
        </w:rPr>
      </w:pPr>
    </w:p>
    <w:p w14:paraId="52B5527E">
      <w:pPr>
        <w:spacing w:line="360" w:lineRule="auto"/>
        <w:jc w:val="left"/>
        <w:rPr>
          <w:rFonts w:hint="eastAsia" w:ascii="宋体" w:hAnsi="宋体" w:eastAsia="宋体" w:cs="宋体"/>
          <w:color w:val="auto"/>
          <w:sz w:val="18"/>
          <w:szCs w:val="18"/>
          <w:highlight w:val="none"/>
        </w:rPr>
      </w:pPr>
    </w:p>
    <w:p w14:paraId="177E0E34">
      <w:pPr>
        <w:spacing w:line="360" w:lineRule="auto"/>
        <w:jc w:val="left"/>
        <w:rPr>
          <w:rFonts w:hint="eastAsia" w:ascii="宋体" w:hAnsi="宋体" w:eastAsia="宋体" w:cs="宋体"/>
          <w:color w:val="auto"/>
          <w:sz w:val="18"/>
          <w:szCs w:val="18"/>
          <w:highlight w:val="none"/>
        </w:rPr>
      </w:pPr>
    </w:p>
    <w:p w14:paraId="53D1F325">
      <w:pPr>
        <w:widowControl/>
        <w:spacing w:line="360" w:lineRule="auto"/>
        <w:jc w:val="left"/>
        <w:rPr>
          <w:rFonts w:hint="eastAsia" w:ascii="宋体" w:hAnsi="宋体" w:eastAsia="宋体" w:cs="宋体"/>
          <w:color w:val="auto"/>
          <w:kern w:val="0"/>
          <w:sz w:val="24"/>
          <w:szCs w:val="28"/>
          <w:highlight w:val="none"/>
        </w:rPr>
      </w:pPr>
      <w:r>
        <w:rPr>
          <w:rFonts w:hint="eastAsia" w:ascii="宋体" w:hAnsi="宋体" w:eastAsia="宋体" w:cs="宋体"/>
          <w:color w:val="auto"/>
          <w:kern w:val="0"/>
          <w:sz w:val="24"/>
          <w:szCs w:val="28"/>
          <w:highlight w:val="none"/>
        </w:rPr>
        <w:t xml:space="preserve">           投标人：</w:t>
      </w:r>
      <w:r>
        <w:rPr>
          <w:rFonts w:hint="eastAsia" w:ascii="宋体" w:hAnsi="宋体" w:eastAsia="宋体" w:cs="宋体"/>
          <w:color w:val="auto"/>
          <w:kern w:val="0"/>
          <w:sz w:val="24"/>
          <w:szCs w:val="28"/>
          <w:highlight w:val="none"/>
          <w:u w:val="single"/>
        </w:rPr>
        <w:t xml:space="preserve">                                  </w:t>
      </w:r>
      <w:r>
        <w:rPr>
          <w:rFonts w:hint="eastAsia" w:ascii="宋体" w:hAnsi="宋体" w:eastAsia="宋体" w:cs="宋体"/>
          <w:color w:val="auto"/>
          <w:kern w:val="0"/>
          <w:sz w:val="24"/>
          <w:szCs w:val="28"/>
          <w:highlight w:val="none"/>
        </w:rPr>
        <w:t>（盖单位章）</w:t>
      </w:r>
    </w:p>
    <w:p w14:paraId="6CB6C101">
      <w:pPr>
        <w:widowControl/>
        <w:spacing w:line="360" w:lineRule="auto"/>
        <w:jc w:val="left"/>
        <w:rPr>
          <w:rFonts w:hint="eastAsia" w:ascii="宋体" w:hAnsi="宋体" w:eastAsia="宋体" w:cs="宋体"/>
          <w:color w:val="auto"/>
          <w:kern w:val="0"/>
          <w:sz w:val="24"/>
          <w:szCs w:val="28"/>
          <w:highlight w:val="none"/>
          <w:lang w:val="en-US" w:eastAsia="zh-CN"/>
        </w:rPr>
      </w:pPr>
      <w:r>
        <w:rPr>
          <w:rFonts w:hint="eastAsia" w:ascii="宋体" w:hAnsi="宋体" w:eastAsia="宋体" w:cs="宋体"/>
          <w:color w:val="auto"/>
          <w:kern w:val="0"/>
          <w:sz w:val="24"/>
          <w:szCs w:val="28"/>
          <w:highlight w:val="none"/>
        </w:rPr>
        <w:t xml:space="preserve">           </w:t>
      </w:r>
      <w:r>
        <w:rPr>
          <w:rFonts w:hint="eastAsia" w:ascii="宋体" w:hAnsi="宋体" w:eastAsia="宋体" w:cs="宋体"/>
          <w:color w:val="auto"/>
          <w:kern w:val="0"/>
          <w:sz w:val="24"/>
          <w:szCs w:val="28"/>
          <w:highlight w:val="none"/>
          <w:lang w:val="en-US" w:eastAsia="zh-CN"/>
        </w:rPr>
        <w:t>日  期：年月日</w:t>
      </w:r>
    </w:p>
    <w:p w14:paraId="70FE9882">
      <w:pPr>
        <w:widowControl/>
        <w:rPr>
          <w:color w:val="auto"/>
          <w:szCs w:val="21"/>
          <w:highlight w:val="none"/>
        </w:rPr>
      </w:pPr>
      <w:r>
        <w:rPr>
          <w:color w:val="auto"/>
          <w:kern w:val="0"/>
          <w:highlight w:val="none"/>
        </w:rPr>
        <w:br w:type="page"/>
      </w:r>
      <w:bookmarkStart w:id="1061" w:name="_Toc300678566"/>
    </w:p>
    <w:p w14:paraId="7F51819E">
      <w:pPr>
        <w:pStyle w:val="7"/>
        <w:bidi w:val="0"/>
        <w:rPr>
          <w:rFonts w:hint="eastAsia" w:ascii="宋体" w:hAnsi="宋体" w:eastAsia="宋体" w:cs="宋体"/>
          <w:color w:val="auto"/>
          <w:sz w:val="24"/>
          <w:szCs w:val="24"/>
          <w:highlight w:val="none"/>
        </w:rPr>
      </w:pPr>
      <w:bookmarkStart w:id="1062" w:name="_Toc2102"/>
      <w:bookmarkStart w:id="1063" w:name="_Toc80006151"/>
      <w:bookmarkStart w:id="1064" w:name="_Toc9178578"/>
      <w:r>
        <w:rPr>
          <w:rFonts w:hint="eastAsia"/>
        </w:rPr>
        <w:t>目</w:t>
      </w:r>
      <w:r>
        <w:rPr>
          <w:rFonts w:hint="eastAsia"/>
          <w:lang w:val="en-US" w:eastAsia="zh-CN"/>
        </w:rPr>
        <w:t xml:space="preserve">  </w:t>
      </w:r>
      <w:r>
        <w:rPr>
          <w:rFonts w:hint="eastAsia"/>
        </w:rPr>
        <w:t>录</w:t>
      </w:r>
      <w:bookmarkEnd w:id="1061"/>
      <w:bookmarkEnd w:id="1062"/>
      <w:bookmarkEnd w:id="1063"/>
      <w:bookmarkEnd w:id="1064"/>
    </w:p>
    <w:p w14:paraId="4AE38AC9">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"_Toc300678567"</w:instrText>
      </w:r>
      <w:r>
        <w:rPr>
          <w:rFonts w:hint="eastAsia" w:ascii="宋体" w:hAnsi="宋体" w:eastAsia="宋体" w:cs="宋体"/>
          <w:color w:val="auto"/>
          <w:sz w:val="24"/>
          <w:szCs w:val="24"/>
          <w:highlight w:val="none"/>
        </w:rPr>
        <w:fldChar w:fldCharType="separate"/>
      </w:r>
      <w:r>
        <w:rPr>
          <w:rStyle w:val="51"/>
          <w:rFonts w:hint="eastAsia" w:ascii="宋体" w:hAnsi="宋体" w:eastAsia="宋体" w:cs="宋体"/>
          <w:color w:val="auto"/>
          <w:sz w:val="24"/>
          <w:szCs w:val="24"/>
          <w:highlight w:val="none"/>
          <w:u w:val="none"/>
        </w:rPr>
        <w:t>1.投标函及投标函附录</w:t>
      </w:r>
      <w:r>
        <w:rPr>
          <w:rFonts w:hint="eastAsia" w:ascii="宋体" w:hAnsi="宋体" w:eastAsia="宋体" w:cs="宋体"/>
          <w:color w:val="auto"/>
          <w:sz w:val="24"/>
          <w:szCs w:val="24"/>
          <w:highlight w:val="none"/>
        </w:rPr>
        <w:fldChar w:fldCharType="end"/>
      </w:r>
    </w:p>
    <w:p w14:paraId="2F2A77E6">
      <w:pPr>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"_Toc300678568"</w:instrText>
      </w:r>
      <w:r>
        <w:rPr>
          <w:rFonts w:hint="eastAsia" w:ascii="宋体" w:hAnsi="宋体" w:eastAsia="宋体" w:cs="宋体"/>
          <w:color w:val="auto"/>
          <w:sz w:val="24"/>
          <w:szCs w:val="24"/>
          <w:highlight w:val="none"/>
        </w:rPr>
        <w:fldChar w:fldCharType="separate"/>
      </w:r>
      <w:r>
        <w:rPr>
          <w:rStyle w:val="51"/>
          <w:rFonts w:hint="eastAsia" w:ascii="宋体" w:hAnsi="宋体" w:eastAsia="宋体" w:cs="宋体"/>
          <w:color w:val="auto"/>
          <w:sz w:val="24"/>
          <w:szCs w:val="24"/>
          <w:highlight w:val="none"/>
          <w:u w:val="none"/>
        </w:rPr>
        <w:t>（1）投标函</w:t>
      </w:r>
      <w:r>
        <w:rPr>
          <w:rFonts w:hint="eastAsia" w:ascii="宋体" w:hAnsi="宋体" w:eastAsia="宋体" w:cs="宋体"/>
          <w:color w:val="auto"/>
          <w:sz w:val="24"/>
          <w:szCs w:val="24"/>
          <w:highlight w:val="none"/>
        </w:rPr>
        <w:fldChar w:fldCharType="end"/>
      </w:r>
    </w:p>
    <w:p w14:paraId="54770C53">
      <w:pPr>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"_Toc300678569"</w:instrText>
      </w:r>
      <w:r>
        <w:rPr>
          <w:rFonts w:hint="eastAsia" w:ascii="宋体" w:hAnsi="宋体" w:eastAsia="宋体" w:cs="宋体"/>
          <w:color w:val="auto"/>
          <w:sz w:val="24"/>
          <w:szCs w:val="24"/>
          <w:highlight w:val="none"/>
        </w:rPr>
        <w:fldChar w:fldCharType="separate"/>
      </w:r>
      <w:r>
        <w:rPr>
          <w:rStyle w:val="51"/>
          <w:rFonts w:hint="eastAsia" w:ascii="宋体" w:hAnsi="宋体" w:eastAsia="宋体" w:cs="宋体"/>
          <w:color w:val="auto"/>
          <w:sz w:val="24"/>
          <w:szCs w:val="24"/>
          <w:highlight w:val="none"/>
          <w:u w:val="none"/>
        </w:rPr>
        <w:t>（2）投标函附录</w:t>
      </w:r>
      <w:r>
        <w:rPr>
          <w:rFonts w:hint="eastAsia" w:ascii="宋体" w:hAnsi="宋体" w:eastAsia="宋体" w:cs="宋体"/>
          <w:color w:val="auto"/>
          <w:sz w:val="24"/>
          <w:szCs w:val="24"/>
          <w:highlight w:val="none"/>
        </w:rPr>
        <w:fldChar w:fldCharType="end"/>
      </w:r>
    </w:p>
    <w:p w14:paraId="181C75A1">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"_Toc300678570"</w:instrText>
      </w:r>
      <w:r>
        <w:rPr>
          <w:rFonts w:hint="eastAsia" w:ascii="宋体" w:hAnsi="宋体" w:eastAsia="宋体" w:cs="宋体"/>
          <w:color w:val="auto"/>
          <w:sz w:val="24"/>
          <w:szCs w:val="24"/>
          <w:highlight w:val="none"/>
        </w:rPr>
        <w:fldChar w:fldCharType="separate"/>
      </w:r>
      <w:r>
        <w:rPr>
          <w:rStyle w:val="51"/>
          <w:rFonts w:hint="eastAsia" w:ascii="宋体" w:hAnsi="宋体" w:eastAsia="宋体" w:cs="宋体"/>
          <w:color w:val="auto"/>
          <w:sz w:val="24"/>
          <w:szCs w:val="24"/>
          <w:highlight w:val="none"/>
          <w:u w:val="none"/>
        </w:rPr>
        <w:t>2.法定代表人身份证明</w:t>
      </w:r>
      <w:r>
        <w:rPr>
          <w:rFonts w:hint="eastAsia" w:ascii="宋体" w:hAnsi="宋体" w:eastAsia="宋体" w:cs="宋体"/>
          <w:color w:val="auto"/>
          <w:sz w:val="24"/>
          <w:szCs w:val="24"/>
          <w:highlight w:val="none"/>
        </w:rPr>
        <w:fldChar w:fldCharType="end"/>
      </w:r>
    </w:p>
    <w:p w14:paraId="545D5FF4">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"_Toc300678571"</w:instrText>
      </w:r>
      <w:r>
        <w:rPr>
          <w:rFonts w:hint="eastAsia" w:ascii="宋体" w:hAnsi="宋体" w:eastAsia="宋体" w:cs="宋体"/>
          <w:color w:val="auto"/>
          <w:sz w:val="24"/>
          <w:szCs w:val="24"/>
          <w:highlight w:val="none"/>
        </w:rPr>
        <w:fldChar w:fldCharType="separate"/>
      </w:r>
      <w:r>
        <w:rPr>
          <w:rStyle w:val="51"/>
          <w:rFonts w:hint="eastAsia" w:ascii="宋体" w:hAnsi="宋体" w:eastAsia="宋体" w:cs="宋体"/>
          <w:color w:val="auto"/>
          <w:sz w:val="24"/>
          <w:szCs w:val="24"/>
          <w:highlight w:val="none"/>
          <w:u w:val="none"/>
        </w:rPr>
        <w:t>3.授权委托书</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（如有）</w:t>
      </w:r>
    </w:p>
    <w:p w14:paraId="233A135C">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"_Toc300678572"</w:instrText>
      </w:r>
      <w:r>
        <w:rPr>
          <w:rFonts w:hint="eastAsia" w:ascii="宋体" w:hAnsi="宋体" w:eastAsia="宋体" w:cs="宋体"/>
          <w:color w:val="auto"/>
          <w:sz w:val="24"/>
          <w:szCs w:val="24"/>
          <w:highlight w:val="none"/>
        </w:rPr>
        <w:fldChar w:fldCharType="separate"/>
      </w:r>
      <w:r>
        <w:rPr>
          <w:rStyle w:val="51"/>
          <w:rFonts w:hint="eastAsia" w:ascii="宋体" w:hAnsi="宋体" w:eastAsia="宋体" w:cs="宋体"/>
          <w:color w:val="auto"/>
          <w:sz w:val="24"/>
          <w:szCs w:val="24"/>
          <w:highlight w:val="none"/>
          <w:u w:val="none"/>
        </w:rPr>
        <w:t>4.</w:t>
      </w:r>
      <w:r>
        <w:rPr>
          <w:rStyle w:val="51"/>
          <w:rFonts w:hint="eastAsia" w:ascii="宋体" w:hAnsi="宋体" w:eastAsia="宋体" w:cs="宋体"/>
          <w:color w:val="auto"/>
          <w:sz w:val="24"/>
          <w:szCs w:val="24"/>
          <w:highlight w:val="none"/>
          <w:u w:val="none"/>
          <w:lang w:val="en-US" w:eastAsia="zh-CN"/>
        </w:rPr>
        <w:t>共同投标</w:t>
      </w:r>
      <w:r>
        <w:rPr>
          <w:rStyle w:val="51"/>
          <w:rFonts w:hint="eastAsia" w:ascii="宋体" w:hAnsi="宋体" w:eastAsia="宋体" w:cs="宋体"/>
          <w:color w:val="auto"/>
          <w:sz w:val="24"/>
          <w:szCs w:val="24"/>
          <w:highlight w:val="none"/>
          <w:u w:val="none"/>
        </w:rPr>
        <w:t>协议</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（如有）</w:t>
      </w:r>
    </w:p>
    <w:p w14:paraId="4673E370">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"_Toc300678573"</w:instrText>
      </w:r>
      <w:r>
        <w:rPr>
          <w:rFonts w:hint="eastAsia" w:ascii="宋体" w:hAnsi="宋体" w:eastAsia="宋体" w:cs="宋体"/>
          <w:color w:val="auto"/>
          <w:sz w:val="24"/>
          <w:szCs w:val="24"/>
          <w:highlight w:val="none"/>
        </w:rPr>
        <w:fldChar w:fldCharType="separate"/>
      </w:r>
      <w:r>
        <w:rPr>
          <w:rStyle w:val="51"/>
          <w:rFonts w:hint="eastAsia" w:ascii="宋体" w:hAnsi="宋体" w:eastAsia="宋体" w:cs="宋体"/>
          <w:color w:val="auto"/>
          <w:sz w:val="24"/>
          <w:szCs w:val="24"/>
          <w:highlight w:val="none"/>
          <w:u w:val="none"/>
        </w:rPr>
        <w:t>5.投标保证</w:t>
      </w:r>
      <w:r>
        <w:rPr>
          <w:rFonts w:hint="eastAsia" w:ascii="宋体" w:hAnsi="宋体" w:eastAsia="宋体" w:cs="宋体"/>
          <w:color w:val="auto"/>
          <w:sz w:val="24"/>
          <w:szCs w:val="24"/>
          <w:highlight w:val="none"/>
        </w:rPr>
        <w:fldChar w:fldCharType="end"/>
      </w:r>
    </w:p>
    <w:p w14:paraId="60DC90E0">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"_Toc300678574"</w:instrText>
      </w:r>
      <w:r>
        <w:rPr>
          <w:rFonts w:hint="eastAsia" w:ascii="宋体" w:hAnsi="宋体" w:eastAsia="宋体" w:cs="宋体"/>
          <w:color w:val="auto"/>
          <w:sz w:val="24"/>
          <w:szCs w:val="24"/>
          <w:highlight w:val="none"/>
        </w:rPr>
        <w:fldChar w:fldCharType="separate"/>
      </w:r>
      <w:r>
        <w:rPr>
          <w:rStyle w:val="51"/>
          <w:rFonts w:hint="eastAsia" w:ascii="宋体" w:hAnsi="宋体" w:eastAsia="宋体" w:cs="宋体"/>
          <w:color w:val="auto"/>
          <w:sz w:val="24"/>
          <w:szCs w:val="24"/>
          <w:highlight w:val="none"/>
          <w:u w:val="none"/>
        </w:rPr>
        <w:t>6.项目管理机构</w:t>
      </w:r>
      <w:r>
        <w:rPr>
          <w:rFonts w:hint="eastAsia" w:ascii="宋体" w:hAnsi="宋体" w:eastAsia="宋体" w:cs="宋体"/>
          <w:color w:val="auto"/>
          <w:sz w:val="24"/>
          <w:szCs w:val="24"/>
          <w:highlight w:val="none"/>
        </w:rPr>
        <w:fldChar w:fldCharType="end"/>
      </w:r>
    </w:p>
    <w:p w14:paraId="74763514">
      <w:pPr>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"_Toc300678575"</w:instrText>
      </w:r>
      <w:r>
        <w:rPr>
          <w:rFonts w:hint="eastAsia" w:ascii="宋体" w:hAnsi="宋体" w:eastAsia="宋体" w:cs="宋体"/>
          <w:color w:val="auto"/>
          <w:sz w:val="24"/>
          <w:szCs w:val="24"/>
          <w:highlight w:val="none"/>
        </w:rPr>
        <w:fldChar w:fldCharType="separate"/>
      </w:r>
      <w:r>
        <w:rPr>
          <w:rStyle w:val="51"/>
          <w:rFonts w:hint="eastAsia" w:ascii="宋体" w:hAnsi="宋体" w:eastAsia="宋体" w:cs="宋体"/>
          <w:color w:val="auto"/>
          <w:sz w:val="24"/>
          <w:szCs w:val="24"/>
          <w:highlight w:val="none"/>
          <w:u w:val="none"/>
        </w:rPr>
        <w:t>（1）</w:t>
      </w:r>
      <w:bookmarkStart w:id="1065" w:name="_Hlt11160713"/>
      <w:bookmarkEnd w:id="1065"/>
      <w:bookmarkStart w:id="1066" w:name="_Hlt11160712"/>
      <w:bookmarkEnd w:id="1066"/>
      <w:r>
        <w:rPr>
          <w:rStyle w:val="51"/>
          <w:rFonts w:hint="eastAsia" w:ascii="宋体" w:hAnsi="宋体" w:eastAsia="宋体" w:cs="宋体"/>
          <w:color w:val="auto"/>
          <w:sz w:val="24"/>
          <w:szCs w:val="24"/>
          <w:highlight w:val="none"/>
          <w:u w:val="none"/>
        </w:rPr>
        <w:t>项目管理机构组成表</w:t>
      </w:r>
      <w:r>
        <w:rPr>
          <w:rFonts w:hint="eastAsia" w:ascii="宋体" w:hAnsi="宋体" w:eastAsia="宋体" w:cs="宋体"/>
          <w:color w:val="auto"/>
          <w:sz w:val="24"/>
          <w:szCs w:val="24"/>
          <w:highlight w:val="none"/>
        </w:rPr>
        <w:fldChar w:fldCharType="end"/>
      </w:r>
    </w:p>
    <w:p w14:paraId="74793766">
      <w:pPr>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"_Toc300678576"</w:instrText>
      </w:r>
      <w:r>
        <w:rPr>
          <w:rFonts w:hint="eastAsia" w:ascii="宋体" w:hAnsi="宋体" w:eastAsia="宋体" w:cs="宋体"/>
          <w:color w:val="auto"/>
          <w:sz w:val="24"/>
          <w:szCs w:val="24"/>
          <w:highlight w:val="none"/>
        </w:rPr>
        <w:fldChar w:fldCharType="separate"/>
      </w:r>
      <w:r>
        <w:rPr>
          <w:rStyle w:val="51"/>
          <w:rFonts w:hint="eastAsia" w:ascii="宋体" w:hAnsi="宋体" w:eastAsia="宋体" w:cs="宋体"/>
          <w:color w:val="auto"/>
          <w:sz w:val="24"/>
          <w:szCs w:val="24"/>
          <w:highlight w:val="none"/>
          <w:u w:val="none"/>
        </w:rPr>
        <w:t>（2）主要人员简历表</w:t>
      </w:r>
      <w:r>
        <w:rPr>
          <w:rFonts w:hint="eastAsia" w:ascii="宋体" w:hAnsi="宋体" w:eastAsia="宋体" w:cs="宋体"/>
          <w:color w:val="auto"/>
          <w:sz w:val="24"/>
          <w:szCs w:val="24"/>
          <w:highlight w:val="none"/>
        </w:rPr>
        <w:fldChar w:fldCharType="end"/>
      </w:r>
    </w:p>
    <w:p w14:paraId="09FC6ADD">
      <w:pPr>
        <w:pageBreakBefore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"_Toc300678577"</w:instrText>
      </w:r>
      <w:r>
        <w:rPr>
          <w:rFonts w:hint="eastAsia" w:ascii="宋体" w:hAnsi="宋体" w:eastAsia="宋体" w:cs="宋体"/>
          <w:color w:val="auto"/>
          <w:sz w:val="24"/>
          <w:szCs w:val="24"/>
          <w:highlight w:val="none"/>
        </w:rPr>
        <w:fldChar w:fldCharType="separate"/>
      </w:r>
      <w:r>
        <w:rPr>
          <w:rStyle w:val="51"/>
          <w:rFonts w:hint="eastAsia" w:ascii="宋体" w:hAnsi="宋体" w:eastAsia="宋体" w:cs="宋体"/>
          <w:color w:val="auto"/>
          <w:sz w:val="24"/>
          <w:szCs w:val="24"/>
          <w:highlight w:val="none"/>
          <w:u w:val="none"/>
        </w:rPr>
        <w:t>①拟任项目经理简历表</w:t>
      </w:r>
      <w:r>
        <w:rPr>
          <w:rFonts w:hint="eastAsia" w:ascii="宋体" w:hAnsi="宋体" w:eastAsia="宋体" w:cs="宋体"/>
          <w:color w:val="auto"/>
          <w:sz w:val="24"/>
          <w:szCs w:val="24"/>
          <w:highlight w:val="none"/>
        </w:rPr>
        <w:fldChar w:fldCharType="end"/>
      </w:r>
    </w:p>
    <w:p w14:paraId="5CBE25DC">
      <w:pPr>
        <w:pageBreakBefore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"_Toc300678578"</w:instrText>
      </w:r>
      <w:r>
        <w:rPr>
          <w:rFonts w:hint="eastAsia" w:ascii="宋体" w:hAnsi="宋体" w:eastAsia="宋体" w:cs="宋体"/>
          <w:color w:val="auto"/>
          <w:sz w:val="24"/>
          <w:szCs w:val="24"/>
          <w:highlight w:val="none"/>
        </w:rPr>
        <w:fldChar w:fldCharType="separate"/>
      </w:r>
      <w:r>
        <w:rPr>
          <w:rStyle w:val="51"/>
          <w:rFonts w:hint="eastAsia" w:ascii="宋体" w:hAnsi="宋体" w:eastAsia="宋体" w:cs="宋体"/>
          <w:color w:val="auto"/>
          <w:sz w:val="24"/>
          <w:szCs w:val="24"/>
          <w:highlight w:val="none"/>
          <w:u w:val="none"/>
        </w:rPr>
        <w:t>②拟任技术负责人简历表</w:t>
      </w:r>
      <w:r>
        <w:rPr>
          <w:rFonts w:hint="eastAsia" w:ascii="宋体" w:hAnsi="宋体" w:eastAsia="宋体" w:cs="宋体"/>
          <w:color w:val="auto"/>
          <w:sz w:val="24"/>
          <w:szCs w:val="24"/>
          <w:highlight w:val="none"/>
        </w:rPr>
        <w:fldChar w:fldCharType="end"/>
      </w:r>
    </w:p>
    <w:p w14:paraId="675CB734">
      <w:pPr>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（3）项目管理机构自评表</w:t>
      </w:r>
    </w:p>
    <w:p w14:paraId="3FD56BCB">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"_Toc300678579"</w:instrText>
      </w:r>
      <w:r>
        <w:rPr>
          <w:rFonts w:hint="eastAsia" w:ascii="宋体" w:hAnsi="宋体" w:eastAsia="宋体" w:cs="宋体"/>
          <w:color w:val="auto"/>
          <w:sz w:val="24"/>
          <w:szCs w:val="24"/>
          <w:highlight w:val="none"/>
        </w:rPr>
        <w:fldChar w:fldCharType="separate"/>
      </w:r>
      <w:r>
        <w:rPr>
          <w:rStyle w:val="51"/>
          <w:rFonts w:hint="eastAsia" w:ascii="宋体" w:hAnsi="宋体" w:eastAsia="宋体" w:cs="宋体"/>
          <w:color w:val="auto"/>
          <w:sz w:val="24"/>
          <w:szCs w:val="24"/>
          <w:highlight w:val="none"/>
          <w:u w:val="none"/>
        </w:rPr>
        <w:t>7.拟分包计划表</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（如有）</w:t>
      </w:r>
    </w:p>
    <w:p w14:paraId="6AAB5647">
      <w:pPr>
        <w:pageBreakBefore w:val="0"/>
        <w:kinsoku/>
        <w:wordWrap/>
        <w:overflowPunct/>
        <w:topLinePunct w:val="0"/>
        <w:autoSpaceDE/>
        <w:autoSpaceDN/>
        <w:bidi w:val="0"/>
        <w:adjustRightInd/>
        <w:snapToGrid/>
        <w:spacing w:line="360" w:lineRule="auto"/>
        <w:ind w:firstLine="480" w:firstLineChars="200"/>
        <w:textAlignment w:val="auto"/>
        <w:rPr>
          <w:rStyle w:val="51"/>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fldChar w:fldCharType="begin"/>
      </w:r>
      <w:r>
        <w:rPr>
          <w:rStyle w:val="51"/>
          <w:rFonts w:hint="eastAsia" w:ascii="宋体" w:hAnsi="宋体" w:eastAsia="宋体" w:cs="宋体"/>
          <w:color w:val="auto"/>
          <w:sz w:val="24"/>
          <w:szCs w:val="24"/>
          <w:highlight w:val="none"/>
          <w:u w:val="none"/>
        </w:rPr>
        <w:instrText xml:space="preserve">HYPERLINK \l "_Toc300678580"</w:instrText>
      </w:r>
      <w:r>
        <w:rPr>
          <w:rFonts w:hint="eastAsia" w:ascii="宋体" w:hAnsi="宋体" w:eastAsia="宋体" w:cs="宋体"/>
          <w:color w:val="auto"/>
          <w:sz w:val="24"/>
          <w:szCs w:val="24"/>
          <w:highlight w:val="none"/>
        </w:rPr>
        <w:fldChar w:fldCharType="separate"/>
      </w:r>
      <w:r>
        <w:rPr>
          <w:rStyle w:val="51"/>
          <w:rFonts w:hint="eastAsia" w:ascii="宋体" w:hAnsi="宋体" w:eastAsia="宋体" w:cs="宋体"/>
          <w:color w:val="auto"/>
          <w:sz w:val="24"/>
          <w:szCs w:val="24"/>
          <w:highlight w:val="none"/>
          <w:u w:val="none"/>
        </w:rPr>
        <w:t>8.资格审查、信用等资料</w:t>
      </w:r>
      <w:r>
        <w:rPr>
          <w:rFonts w:hint="eastAsia" w:ascii="宋体" w:hAnsi="宋体" w:eastAsia="宋体" w:cs="宋体"/>
          <w:color w:val="auto"/>
          <w:sz w:val="24"/>
          <w:szCs w:val="24"/>
          <w:highlight w:val="none"/>
        </w:rPr>
        <w:fldChar w:fldCharType="end"/>
      </w:r>
    </w:p>
    <w:p w14:paraId="5AB14F44">
      <w:pPr>
        <w:pageBreakBefore w:val="0"/>
        <w:kinsoku/>
        <w:wordWrap/>
        <w:overflowPunct/>
        <w:topLinePunct w:val="0"/>
        <w:autoSpaceDE/>
        <w:autoSpaceDN/>
        <w:bidi w:val="0"/>
        <w:adjustRightInd/>
        <w:snapToGrid/>
        <w:spacing w:line="360" w:lineRule="auto"/>
        <w:ind w:firstLine="720" w:firstLineChars="300"/>
        <w:textAlignment w:val="auto"/>
        <w:rPr>
          <w:rStyle w:val="51"/>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fldChar w:fldCharType="begin"/>
      </w:r>
      <w:r>
        <w:rPr>
          <w:rStyle w:val="51"/>
          <w:rFonts w:hint="eastAsia" w:ascii="宋体" w:hAnsi="宋体" w:eastAsia="宋体" w:cs="宋体"/>
          <w:color w:val="auto"/>
          <w:sz w:val="24"/>
          <w:szCs w:val="24"/>
          <w:highlight w:val="none"/>
          <w:u w:val="none"/>
        </w:rPr>
        <w:instrText xml:space="preserve">HYPERLINK \l "_Toc300678581"</w:instrText>
      </w:r>
      <w:r>
        <w:rPr>
          <w:rFonts w:hint="eastAsia" w:ascii="宋体" w:hAnsi="宋体" w:eastAsia="宋体" w:cs="宋体"/>
          <w:color w:val="auto"/>
          <w:sz w:val="24"/>
          <w:szCs w:val="24"/>
          <w:highlight w:val="none"/>
        </w:rPr>
        <w:fldChar w:fldCharType="separate"/>
      </w:r>
      <w:r>
        <w:rPr>
          <w:rStyle w:val="51"/>
          <w:rFonts w:hint="eastAsia" w:ascii="宋体" w:hAnsi="宋体" w:eastAsia="宋体" w:cs="宋体"/>
          <w:color w:val="auto"/>
          <w:sz w:val="24"/>
          <w:szCs w:val="24"/>
          <w:highlight w:val="none"/>
          <w:u w:val="none"/>
        </w:rPr>
        <w:t>（1）投标人基本情况表</w:t>
      </w:r>
      <w:r>
        <w:rPr>
          <w:rFonts w:hint="eastAsia" w:ascii="宋体" w:hAnsi="宋体" w:eastAsia="宋体" w:cs="宋体"/>
          <w:color w:val="auto"/>
          <w:sz w:val="24"/>
          <w:szCs w:val="24"/>
          <w:highlight w:val="none"/>
        </w:rPr>
        <w:fldChar w:fldCharType="end"/>
      </w:r>
    </w:p>
    <w:p w14:paraId="33EC4FC9">
      <w:pPr>
        <w:pageBreakBefore w:val="0"/>
        <w:kinsoku/>
        <w:wordWrap/>
        <w:overflowPunct/>
        <w:topLinePunct w:val="0"/>
        <w:autoSpaceDE/>
        <w:autoSpaceDN/>
        <w:bidi w:val="0"/>
        <w:adjustRightInd/>
        <w:snapToGrid/>
        <w:spacing w:line="360" w:lineRule="auto"/>
        <w:ind w:firstLine="720" w:firstLineChars="300"/>
        <w:textAlignment w:val="auto"/>
        <w:rPr>
          <w:rStyle w:val="51"/>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fldChar w:fldCharType="begin"/>
      </w:r>
      <w:r>
        <w:rPr>
          <w:rStyle w:val="51"/>
          <w:rFonts w:hint="eastAsia" w:ascii="宋体" w:hAnsi="宋体" w:eastAsia="宋体" w:cs="宋体"/>
          <w:color w:val="auto"/>
          <w:sz w:val="24"/>
          <w:szCs w:val="24"/>
          <w:highlight w:val="none"/>
          <w:u w:val="none"/>
        </w:rPr>
        <w:instrText xml:space="preserve">HYPERLINK \l "_Toc300678582"</w:instrText>
      </w:r>
      <w:r>
        <w:rPr>
          <w:rFonts w:hint="eastAsia" w:ascii="宋体" w:hAnsi="宋体" w:eastAsia="宋体" w:cs="宋体"/>
          <w:color w:val="auto"/>
          <w:sz w:val="24"/>
          <w:szCs w:val="24"/>
          <w:highlight w:val="none"/>
        </w:rPr>
        <w:fldChar w:fldCharType="separate"/>
      </w:r>
      <w:r>
        <w:rPr>
          <w:rStyle w:val="51"/>
          <w:rFonts w:hint="eastAsia" w:ascii="宋体" w:hAnsi="宋体" w:eastAsia="宋体" w:cs="宋体"/>
          <w:color w:val="auto"/>
          <w:sz w:val="24"/>
          <w:szCs w:val="24"/>
          <w:highlight w:val="none"/>
          <w:u w:val="none"/>
        </w:rPr>
        <w:t>（2）</w:t>
      </w:r>
      <w:r>
        <w:rPr>
          <w:rFonts w:hint="eastAsia" w:ascii="宋体" w:hAnsi="宋体" w:eastAsia="宋体" w:cs="宋体"/>
          <w:color w:val="auto"/>
          <w:sz w:val="24"/>
          <w:szCs w:val="24"/>
          <w:highlight w:val="none"/>
        </w:rPr>
        <w:fldChar w:fldCharType="end"/>
      </w:r>
      <w:r>
        <w:rPr>
          <w:rStyle w:val="51"/>
          <w:rFonts w:hint="eastAsia" w:ascii="宋体" w:hAnsi="宋体" w:eastAsia="宋体" w:cs="宋体"/>
          <w:color w:val="auto"/>
          <w:sz w:val="24"/>
          <w:szCs w:val="24"/>
          <w:highlight w:val="none"/>
          <w:u w:val="none"/>
        </w:rPr>
        <w:t>投标人证件复印件</w:t>
      </w:r>
    </w:p>
    <w:p w14:paraId="0AD7A07A">
      <w:pPr>
        <w:pageBreakBefore w:val="0"/>
        <w:kinsoku/>
        <w:wordWrap/>
        <w:overflowPunct/>
        <w:topLinePunct w:val="0"/>
        <w:autoSpaceDE/>
        <w:autoSpaceDN/>
        <w:bidi w:val="0"/>
        <w:adjustRightInd/>
        <w:snapToGrid/>
        <w:spacing w:line="360" w:lineRule="auto"/>
        <w:ind w:firstLine="720" w:firstLineChars="300"/>
        <w:textAlignment w:val="auto"/>
        <w:rPr>
          <w:rStyle w:val="51"/>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fldChar w:fldCharType="begin"/>
      </w:r>
      <w:r>
        <w:rPr>
          <w:rStyle w:val="51"/>
          <w:rFonts w:hint="eastAsia" w:ascii="宋体" w:hAnsi="宋体" w:eastAsia="宋体" w:cs="宋体"/>
          <w:color w:val="auto"/>
          <w:sz w:val="24"/>
          <w:szCs w:val="24"/>
          <w:highlight w:val="none"/>
          <w:u w:val="none"/>
        </w:rPr>
        <w:instrText xml:space="preserve">HYPERLINK \l "_Toc300678584"</w:instrText>
      </w:r>
      <w:r>
        <w:rPr>
          <w:rFonts w:hint="eastAsia" w:ascii="宋体" w:hAnsi="宋体" w:eastAsia="宋体" w:cs="宋体"/>
          <w:color w:val="auto"/>
          <w:sz w:val="24"/>
          <w:szCs w:val="24"/>
          <w:highlight w:val="none"/>
        </w:rPr>
        <w:fldChar w:fldCharType="separate"/>
      </w:r>
      <w:r>
        <w:rPr>
          <w:rStyle w:val="51"/>
          <w:rFonts w:hint="eastAsia" w:ascii="宋体" w:hAnsi="宋体" w:eastAsia="宋体" w:cs="宋体"/>
          <w:color w:val="auto"/>
          <w:sz w:val="24"/>
          <w:szCs w:val="24"/>
          <w:highlight w:val="none"/>
          <w:u w:val="none"/>
        </w:rPr>
        <w:t>（3）</w:t>
      </w:r>
      <w:r>
        <w:rPr>
          <w:rFonts w:hint="eastAsia" w:ascii="宋体" w:hAnsi="宋体" w:eastAsia="宋体" w:cs="宋体"/>
          <w:color w:val="auto"/>
          <w:sz w:val="24"/>
          <w:szCs w:val="24"/>
          <w:highlight w:val="none"/>
        </w:rPr>
        <w:fldChar w:fldCharType="end"/>
      </w:r>
      <w:r>
        <w:rPr>
          <w:rStyle w:val="51"/>
          <w:rFonts w:hint="eastAsia" w:ascii="宋体" w:hAnsi="宋体" w:eastAsia="宋体" w:cs="宋体"/>
          <w:color w:val="auto"/>
          <w:sz w:val="24"/>
          <w:szCs w:val="24"/>
          <w:highlight w:val="none"/>
          <w:u w:val="none"/>
        </w:rPr>
        <w:t>近年完成的类似工程业绩情况表</w:t>
      </w:r>
    </w:p>
    <w:p w14:paraId="63A1F319">
      <w:pPr>
        <w:pageBreakBefore w:val="0"/>
        <w:kinsoku/>
        <w:wordWrap/>
        <w:overflowPunct/>
        <w:topLinePunct w:val="0"/>
        <w:autoSpaceDE/>
        <w:autoSpaceDN/>
        <w:bidi w:val="0"/>
        <w:adjustRightInd/>
        <w:snapToGrid/>
        <w:spacing w:line="360" w:lineRule="auto"/>
        <w:ind w:firstLine="720" w:firstLineChars="300"/>
        <w:textAlignment w:val="auto"/>
        <w:rPr>
          <w:rStyle w:val="51"/>
          <w:rFonts w:hint="eastAsia" w:ascii="宋体" w:hAnsi="宋体" w:eastAsia="宋体" w:cs="宋体"/>
          <w:color w:val="auto"/>
          <w:sz w:val="24"/>
          <w:szCs w:val="24"/>
          <w:highlight w:val="none"/>
          <w:u w:val="none"/>
        </w:rPr>
      </w:pPr>
      <w:r>
        <w:rPr>
          <w:rStyle w:val="51"/>
          <w:rFonts w:hint="eastAsia" w:ascii="宋体" w:hAnsi="宋体" w:eastAsia="宋体" w:cs="宋体"/>
          <w:color w:val="auto"/>
          <w:sz w:val="24"/>
          <w:szCs w:val="24"/>
          <w:highlight w:val="none"/>
          <w:u w:val="none"/>
        </w:rPr>
        <w:t>（4）投标人奖项情况</w:t>
      </w:r>
    </w:p>
    <w:p w14:paraId="29D3AB76">
      <w:pPr>
        <w:pageBreakBefore w:val="0"/>
        <w:kinsoku/>
        <w:wordWrap/>
        <w:overflowPunct/>
        <w:topLinePunct w:val="0"/>
        <w:autoSpaceDE/>
        <w:autoSpaceDN/>
        <w:bidi w:val="0"/>
        <w:adjustRightInd/>
        <w:snapToGrid/>
        <w:spacing w:line="360" w:lineRule="auto"/>
        <w:ind w:firstLine="720" w:firstLineChars="300"/>
        <w:textAlignment w:val="auto"/>
        <w:rPr>
          <w:rStyle w:val="51"/>
          <w:rFonts w:hint="eastAsia" w:ascii="宋体" w:hAnsi="宋体" w:eastAsia="宋体" w:cs="宋体"/>
          <w:color w:val="auto"/>
          <w:sz w:val="24"/>
          <w:szCs w:val="24"/>
          <w:highlight w:val="none"/>
          <w:u w:val="none"/>
        </w:rPr>
      </w:pPr>
      <w:r>
        <w:rPr>
          <w:rStyle w:val="51"/>
          <w:rFonts w:hint="eastAsia" w:ascii="宋体" w:hAnsi="宋体" w:eastAsia="宋体" w:cs="宋体"/>
          <w:color w:val="auto"/>
          <w:sz w:val="24"/>
          <w:szCs w:val="24"/>
          <w:highlight w:val="none"/>
          <w:u w:val="none"/>
        </w:rPr>
        <w:t>（5）投标人标准化工地情况</w:t>
      </w:r>
    </w:p>
    <w:p w14:paraId="0A0872EE">
      <w:pPr>
        <w:pageBreakBefore w:val="0"/>
        <w:kinsoku/>
        <w:wordWrap/>
        <w:overflowPunct/>
        <w:topLinePunct w:val="0"/>
        <w:autoSpaceDE/>
        <w:autoSpaceDN/>
        <w:bidi w:val="0"/>
        <w:adjustRightInd/>
        <w:snapToGrid/>
        <w:spacing w:line="360" w:lineRule="auto"/>
        <w:ind w:firstLine="720" w:firstLineChars="300"/>
        <w:textAlignment w:val="auto"/>
        <w:rPr>
          <w:rStyle w:val="51"/>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fldChar w:fldCharType="begin"/>
      </w:r>
      <w:r>
        <w:rPr>
          <w:rStyle w:val="51"/>
          <w:rFonts w:hint="eastAsia" w:ascii="宋体" w:hAnsi="宋体" w:eastAsia="宋体" w:cs="宋体"/>
          <w:color w:val="auto"/>
          <w:sz w:val="24"/>
          <w:szCs w:val="24"/>
          <w:highlight w:val="none"/>
          <w:u w:val="none"/>
        </w:rPr>
        <w:instrText xml:space="preserve">HYPERLINK \l "_Toc300678586"</w:instrText>
      </w:r>
      <w:r>
        <w:rPr>
          <w:rFonts w:hint="eastAsia" w:ascii="宋体" w:hAnsi="宋体" w:eastAsia="宋体" w:cs="宋体"/>
          <w:color w:val="auto"/>
          <w:sz w:val="24"/>
          <w:szCs w:val="24"/>
          <w:highlight w:val="none"/>
        </w:rPr>
        <w:fldChar w:fldCharType="separate"/>
      </w:r>
      <w:r>
        <w:rPr>
          <w:rStyle w:val="51"/>
          <w:rFonts w:hint="eastAsia" w:ascii="宋体" w:hAnsi="宋体" w:eastAsia="宋体" w:cs="宋体"/>
          <w:color w:val="auto"/>
          <w:sz w:val="24"/>
          <w:szCs w:val="24"/>
          <w:highlight w:val="none"/>
          <w:u w:val="none"/>
        </w:rPr>
        <w:t>（6）</w:t>
      </w:r>
      <w:r>
        <w:rPr>
          <w:rFonts w:hint="eastAsia" w:ascii="宋体" w:hAnsi="宋体" w:eastAsia="宋体" w:cs="宋体"/>
          <w:color w:val="auto"/>
          <w:sz w:val="24"/>
          <w:szCs w:val="24"/>
          <w:highlight w:val="none"/>
        </w:rPr>
        <w:fldChar w:fldCharType="end"/>
      </w:r>
      <w:r>
        <w:rPr>
          <w:rStyle w:val="51"/>
          <w:rFonts w:hint="eastAsia" w:ascii="宋体" w:hAnsi="宋体" w:eastAsia="宋体" w:cs="宋体"/>
          <w:color w:val="auto"/>
          <w:sz w:val="24"/>
          <w:szCs w:val="24"/>
          <w:highlight w:val="none"/>
          <w:u w:val="none"/>
        </w:rPr>
        <w:t>投标人信用评价情况</w:t>
      </w:r>
    </w:p>
    <w:p w14:paraId="21373C8F">
      <w:pPr>
        <w:pageBreakBefore w:val="0"/>
        <w:kinsoku/>
        <w:wordWrap/>
        <w:overflowPunct/>
        <w:topLinePunct w:val="0"/>
        <w:autoSpaceDE/>
        <w:autoSpaceDN/>
        <w:bidi w:val="0"/>
        <w:adjustRightInd/>
        <w:snapToGrid/>
        <w:spacing w:line="360" w:lineRule="auto"/>
        <w:ind w:firstLine="720" w:firstLineChars="300"/>
        <w:textAlignment w:val="auto"/>
        <w:rPr>
          <w:rStyle w:val="51"/>
          <w:rFonts w:hint="eastAsia" w:ascii="宋体" w:hAnsi="宋体" w:eastAsia="宋体" w:cs="宋体"/>
          <w:color w:val="auto"/>
          <w:sz w:val="24"/>
          <w:szCs w:val="24"/>
          <w:highlight w:val="none"/>
          <w:u w:val="none"/>
        </w:rPr>
      </w:pPr>
      <w:r>
        <w:rPr>
          <w:rStyle w:val="51"/>
          <w:rFonts w:hint="eastAsia" w:ascii="宋体" w:hAnsi="宋体" w:eastAsia="宋体" w:cs="宋体"/>
          <w:color w:val="auto"/>
          <w:sz w:val="24"/>
          <w:szCs w:val="24"/>
          <w:highlight w:val="none"/>
          <w:u w:val="none"/>
        </w:rPr>
        <w:t>（7）投标人施工项目季度考评综合优良率情况</w:t>
      </w:r>
    </w:p>
    <w:p w14:paraId="1D604B02">
      <w:pPr>
        <w:pageBreakBefore w:val="0"/>
        <w:kinsoku/>
        <w:wordWrap/>
        <w:overflowPunct/>
        <w:topLinePunct w:val="0"/>
        <w:autoSpaceDE/>
        <w:autoSpaceDN/>
        <w:bidi w:val="0"/>
        <w:adjustRightInd/>
        <w:snapToGrid/>
        <w:spacing w:line="360" w:lineRule="auto"/>
        <w:ind w:firstLine="720" w:firstLineChars="300"/>
        <w:textAlignment w:val="auto"/>
        <w:rPr>
          <w:rStyle w:val="51"/>
          <w:rFonts w:hint="eastAsia" w:ascii="宋体" w:hAnsi="宋体" w:eastAsia="宋体" w:cs="宋体"/>
          <w:color w:val="auto"/>
          <w:sz w:val="24"/>
          <w:szCs w:val="24"/>
          <w:highlight w:val="none"/>
          <w:u w:val="none"/>
        </w:rPr>
      </w:pPr>
      <w:r>
        <w:rPr>
          <w:rStyle w:val="51"/>
          <w:rFonts w:hint="eastAsia" w:ascii="宋体" w:hAnsi="宋体" w:eastAsia="宋体" w:cs="宋体"/>
          <w:color w:val="auto"/>
          <w:sz w:val="24"/>
          <w:szCs w:val="24"/>
          <w:highlight w:val="none"/>
          <w:u w:val="none"/>
        </w:rPr>
        <w:t>（8）拟任项目经理</w:t>
      </w:r>
      <w:r>
        <w:rPr>
          <w:rStyle w:val="51"/>
          <w:rFonts w:hint="eastAsia" w:ascii="宋体" w:hAnsi="宋体" w:eastAsia="宋体" w:cs="宋体"/>
          <w:color w:val="auto"/>
          <w:sz w:val="24"/>
          <w:szCs w:val="24"/>
          <w:highlight w:val="none"/>
          <w:u w:val="none"/>
          <w:lang w:val="en-US" w:eastAsia="zh-CN"/>
        </w:rPr>
        <w:t>不良信用信息</w:t>
      </w:r>
      <w:r>
        <w:rPr>
          <w:rStyle w:val="51"/>
          <w:rFonts w:hint="eastAsia" w:ascii="宋体" w:hAnsi="宋体" w:eastAsia="宋体" w:cs="宋体"/>
          <w:color w:val="auto"/>
          <w:sz w:val="24"/>
          <w:szCs w:val="24"/>
          <w:highlight w:val="none"/>
          <w:u w:val="none"/>
        </w:rPr>
        <w:t>证明资料复印件</w:t>
      </w:r>
    </w:p>
    <w:p w14:paraId="5FD74913">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9.企业资信及履约能力（或业绩及信用）自评表</w:t>
      </w:r>
    </w:p>
    <w:p w14:paraId="3AD587C2">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"_Toc300678591"</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10.承诺书</w:t>
      </w:r>
      <w:r>
        <w:rPr>
          <w:rFonts w:hint="eastAsia" w:ascii="宋体" w:hAnsi="宋体" w:eastAsia="宋体" w:cs="宋体"/>
          <w:color w:val="auto"/>
          <w:sz w:val="24"/>
          <w:szCs w:val="24"/>
          <w:highlight w:val="none"/>
        </w:rPr>
        <w:fldChar w:fldCharType="end"/>
      </w:r>
    </w:p>
    <w:p w14:paraId="79D33B53">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11.投标信息表</w:t>
      </w:r>
    </w:p>
    <w:p w14:paraId="15424EF8">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12.其他</w:t>
      </w:r>
    </w:p>
    <w:p w14:paraId="20588154">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p>
    <w:p w14:paraId="5197A1ED">
      <w:pPr>
        <w:pStyle w:val="7"/>
        <w:bidi w:val="0"/>
        <w:rPr>
          <w:rFonts w:hint="eastAsia"/>
        </w:rPr>
      </w:pPr>
      <w:bookmarkStart w:id="1067" w:name="_Toc300678567"/>
      <w:bookmarkStart w:id="1068" w:name="_Toc80006152"/>
      <w:bookmarkStart w:id="1069" w:name="_Toc28991"/>
      <w:bookmarkStart w:id="1070" w:name="_Toc9178579"/>
      <w:r>
        <w:rPr>
          <w:rFonts w:hint="eastAsia"/>
        </w:rPr>
        <w:t>1.投标函及投标函附录</w:t>
      </w:r>
      <w:bookmarkEnd w:id="1067"/>
      <w:bookmarkEnd w:id="1068"/>
      <w:bookmarkEnd w:id="1069"/>
      <w:bookmarkEnd w:id="1070"/>
    </w:p>
    <w:p w14:paraId="06A2F72D">
      <w:pPr>
        <w:pStyle w:val="6"/>
        <w:bidi w:val="0"/>
        <w:rPr>
          <w:rFonts w:hint="eastAsia"/>
        </w:rPr>
      </w:pPr>
      <w:bookmarkStart w:id="1071" w:name="_Toc300678568"/>
      <w:r>
        <w:rPr>
          <w:rFonts w:hint="eastAsia"/>
        </w:rPr>
        <w:t>（1）投  标  函</w:t>
      </w:r>
      <w:bookmarkEnd w:id="1071"/>
    </w:p>
    <w:p w14:paraId="41AF750B">
      <w:pPr>
        <w:rPr>
          <w:rFonts w:hint="eastAsia" w:ascii="宋体" w:hAnsi="宋体" w:eastAsia="宋体" w:cs="宋体"/>
          <w:color w:val="auto"/>
          <w:sz w:val="24"/>
          <w:szCs w:val="24"/>
          <w:highlight w:val="none"/>
        </w:rPr>
      </w:pPr>
    </w:p>
    <w:p w14:paraId="7B9B69A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（招标人名称）</w:t>
      </w:r>
    </w:p>
    <w:p w14:paraId="241496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在考察现场并充分研究</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（招标项目及标段）施工招标文件的全部内容后，我方兹以：</w:t>
      </w:r>
    </w:p>
    <w:p w14:paraId="62DADDAB">
      <w:pPr>
        <w:spacing w:line="360" w:lineRule="auto"/>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278F7086">
      <w:pPr>
        <w:spacing w:line="360" w:lineRule="auto"/>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RMB￥：</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314E9C8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的投标价格和按合同约定有权得到的其它金额，并严格按照合同约定，施工、竣工和交付本工程并维修其中的任何缺陷。</w:t>
      </w:r>
    </w:p>
    <w:p w14:paraId="730EDCF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如果我方中标，我方保证按照合同约定的开工日期开始本工程的施工，</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□天（日历日）□月□年内竣工，并确保工程质量达到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标准。我方同意本投标函在招标文件规定的提交投标文件截止时间后，在招标文件规定的投标有效期期满前对我方具有约束力，且随时准备接受你方发出的中标通知书。</w:t>
      </w:r>
    </w:p>
    <w:p w14:paraId="3B7B19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随本投标函递交的投标函附录是本投标函的组成部分，对我方构成约束力。</w:t>
      </w:r>
    </w:p>
    <w:p w14:paraId="27E2D76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我方承诺：若我方中标，承诺在规定时间内按投标人须知前附表规定提交履约保证金。</w:t>
      </w:r>
    </w:p>
    <w:p w14:paraId="3915E5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在签署协议书之前，你方的中标通知书连同本投标函，包括投标函附录，对双方具有约束力。</w:t>
      </w:r>
    </w:p>
    <w:p w14:paraId="4832F81A">
      <w:pPr>
        <w:ind w:firstLine="480" w:firstLineChars="200"/>
        <w:rPr>
          <w:rFonts w:hint="eastAsia" w:ascii="宋体" w:hAnsi="宋体" w:eastAsia="宋体" w:cs="宋体"/>
          <w:color w:val="auto"/>
          <w:sz w:val="24"/>
          <w:szCs w:val="24"/>
          <w:highlight w:val="none"/>
        </w:rPr>
      </w:pPr>
    </w:p>
    <w:p w14:paraId="51A07D14">
      <w:pPr>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投标人（盖单位章）：</w:t>
      </w:r>
    </w:p>
    <w:p w14:paraId="654F0A7C">
      <w:pPr>
        <w:ind w:firstLine="480" w:firstLineChars="200"/>
        <w:rPr>
          <w:rFonts w:hint="eastAsia" w:ascii="宋体" w:hAnsi="宋体" w:eastAsia="宋体" w:cs="宋体"/>
          <w:color w:val="auto"/>
          <w:sz w:val="24"/>
          <w:szCs w:val="24"/>
          <w:highlight w:val="none"/>
        </w:rPr>
      </w:pPr>
    </w:p>
    <w:p w14:paraId="04F259BC">
      <w:pPr>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法定代表人或其委托代理人（签字或盖章）：</w:t>
      </w:r>
    </w:p>
    <w:p w14:paraId="1A8312F6">
      <w:pPr>
        <w:ind w:firstLine="480" w:firstLineChars="200"/>
        <w:rPr>
          <w:rFonts w:hint="eastAsia" w:ascii="宋体" w:hAnsi="宋体" w:eastAsia="宋体" w:cs="宋体"/>
          <w:color w:val="auto"/>
          <w:sz w:val="24"/>
          <w:szCs w:val="24"/>
          <w:highlight w:val="none"/>
        </w:rPr>
      </w:pPr>
    </w:p>
    <w:p w14:paraId="497B878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606AFDF1">
      <w:pPr>
        <w:spacing w:line="360" w:lineRule="auto"/>
        <w:rPr>
          <w:rFonts w:hint="eastAsia" w:ascii="宋体" w:hAnsi="宋体" w:eastAsia="宋体" w:cs="宋体"/>
          <w:color w:val="auto"/>
          <w:sz w:val="24"/>
          <w:szCs w:val="24"/>
          <w:highlight w:val="none"/>
        </w:rPr>
        <w:sectPr>
          <w:pgSz w:w="11907" w:h="16840"/>
          <w:pgMar w:top="1440" w:right="1440" w:bottom="1440" w:left="1440" w:header="851" w:footer="850" w:gutter="0"/>
          <w:pgNumType w:fmt="decimal"/>
          <w:cols w:space="720" w:num="1"/>
          <w:docGrid w:linePitch="326" w:charSpace="0"/>
        </w:sectPr>
      </w:pPr>
    </w:p>
    <w:p w14:paraId="4BC8E3B1">
      <w:pPr>
        <w:pStyle w:val="6"/>
        <w:bidi w:val="0"/>
        <w:rPr>
          <w:rFonts w:hint="eastAsia"/>
        </w:rPr>
      </w:pPr>
      <w:bookmarkStart w:id="1072" w:name="_Toc300678569"/>
      <w:r>
        <w:rPr>
          <w:rFonts w:hint="eastAsia"/>
        </w:rPr>
        <w:t>（2）投标函附录</w:t>
      </w:r>
      <w:bookmarkEnd w:id="1072"/>
    </w:p>
    <w:p w14:paraId="782B16F7">
      <w:pPr>
        <w:spacing w:after="287" w:afterLines="5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u w:val="single"/>
        </w:rPr>
        <w:t xml:space="preserve">                  </w:t>
      </w:r>
      <w:r>
        <w:rPr>
          <w:rFonts w:hint="eastAsia" w:ascii="宋体" w:hAnsi="宋体" w:eastAsia="宋体" w:cs="宋体"/>
          <w:color w:val="auto"/>
          <w:sz w:val="24"/>
          <w:szCs w:val="24"/>
          <w:highlight w:val="none"/>
        </w:rPr>
        <w:t>（招标项目及标段名称）</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2931"/>
        <w:gridCol w:w="1546"/>
        <w:gridCol w:w="2707"/>
        <w:gridCol w:w="871"/>
      </w:tblGrid>
      <w:tr w14:paraId="058C8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0D2138E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 号</w:t>
            </w:r>
          </w:p>
        </w:tc>
        <w:tc>
          <w:tcPr>
            <w:tcW w:w="2931" w:type="dxa"/>
            <w:noWrap w:val="0"/>
            <w:vAlign w:val="center"/>
          </w:tcPr>
          <w:p w14:paraId="5C41C5D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条款内容</w:t>
            </w:r>
          </w:p>
        </w:tc>
        <w:tc>
          <w:tcPr>
            <w:tcW w:w="1546" w:type="dxa"/>
            <w:noWrap w:val="0"/>
            <w:vAlign w:val="center"/>
          </w:tcPr>
          <w:p w14:paraId="375A873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合同条款号</w:t>
            </w:r>
          </w:p>
        </w:tc>
        <w:tc>
          <w:tcPr>
            <w:tcW w:w="2707" w:type="dxa"/>
            <w:noWrap w:val="0"/>
            <w:vAlign w:val="center"/>
          </w:tcPr>
          <w:p w14:paraId="6C14958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约定内容</w:t>
            </w:r>
          </w:p>
        </w:tc>
        <w:tc>
          <w:tcPr>
            <w:tcW w:w="871" w:type="dxa"/>
            <w:noWrap w:val="0"/>
            <w:vAlign w:val="center"/>
          </w:tcPr>
          <w:p w14:paraId="1EC0A94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tc>
      </w:tr>
      <w:tr w14:paraId="2C034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72D2C2E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931" w:type="dxa"/>
            <w:noWrap w:val="0"/>
            <w:vAlign w:val="center"/>
          </w:tcPr>
          <w:p w14:paraId="20903DF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w:t>
            </w:r>
          </w:p>
        </w:tc>
        <w:tc>
          <w:tcPr>
            <w:tcW w:w="1546" w:type="dxa"/>
            <w:noWrap w:val="0"/>
            <w:tcMar>
              <w:left w:w="170" w:type="dxa"/>
            </w:tcMar>
            <w:vAlign w:val="center"/>
          </w:tcPr>
          <w:p w14:paraId="28305410">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343F4F86">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姓名：  </w:t>
            </w:r>
          </w:p>
        </w:tc>
        <w:tc>
          <w:tcPr>
            <w:tcW w:w="871" w:type="dxa"/>
            <w:noWrap w:val="0"/>
            <w:vAlign w:val="center"/>
          </w:tcPr>
          <w:p w14:paraId="128E9AD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14A33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0FD7009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931" w:type="dxa"/>
            <w:noWrap w:val="0"/>
            <w:vAlign w:val="center"/>
          </w:tcPr>
          <w:p w14:paraId="7491ADB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w:t>
            </w:r>
          </w:p>
        </w:tc>
        <w:tc>
          <w:tcPr>
            <w:tcW w:w="1546" w:type="dxa"/>
            <w:noWrap w:val="0"/>
            <w:tcMar>
              <w:left w:w="170" w:type="dxa"/>
            </w:tcMar>
            <w:vAlign w:val="center"/>
          </w:tcPr>
          <w:p w14:paraId="23CABA48">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53A21217">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871" w:type="dxa"/>
            <w:noWrap w:val="0"/>
            <w:vAlign w:val="center"/>
          </w:tcPr>
          <w:p w14:paraId="7BC5718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8032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57A988C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931" w:type="dxa"/>
            <w:noWrap w:val="0"/>
            <w:vAlign w:val="center"/>
          </w:tcPr>
          <w:p w14:paraId="3799FAE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质量标准</w:t>
            </w:r>
          </w:p>
        </w:tc>
        <w:tc>
          <w:tcPr>
            <w:tcW w:w="1546" w:type="dxa"/>
            <w:noWrap w:val="0"/>
            <w:tcMar>
              <w:left w:w="170" w:type="dxa"/>
            </w:tcMar>
            <w:vAlign w:val="center"/>
          </w:tcPr>
          <w:p w14:paraId="50642FB0">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2637E85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u w:val="single"/>
              </w:rPr>
            </w:pPr>
          </w:p>
        </w:tc>
        <w:tc>
          <w:tcPr>
            <w:tcW w:w="871" w:type="dxa"/>
            <w:noWrap w:val="0"/>
            <w:vAlign w:val="center"/>
          </w:tcPr>
          <w:p w14:paraId="0E1F4B9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46A6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53C62D0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931" w:type="dxa"/>
            <w:noWrap w:val="0"/>
            <w:vAlign w:val="center"/>
          </w:tcPr>
          <w:p w14:paraId="4ACD566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保修要求</w:t>
            </w:r>
          </w:p>
        </w:tc>
        <w:tc>
          <w:tcPr>
            <w:tcW w:w="1546" w:type="dxa"/>
            <w:noWrap w:val="0"/>
            <w:tcMar>
              <w:left w:w="170" w:type="dxa"/>
            </w:tcMar>
            <w:vAlign w:val="center"/>
          </w:tcPr>
          <w:p w14:paraId="5F54E72F">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1008CA7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u w:val="single"/>
              </w:rPr>
            </w:pPr>
          </w:p>
        </w:tc>
        <w:tc>
          <w:tcPr>
            <w:tcW w:w="871" w:type="dxa"/>
            <w:noWrap w:val="0"/>
            <w:vAlign w:val="center"/>
          </w:tcPr>
          <w:p w14:paraId="5C78B1F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B22C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4AC1CC8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931" w:type="dxa"/>
            <w:noWrap w:val="0"/>
            <w:vAlign w:val="center"/>
          </w:tcPr>
          <w:p w14:paraId="560D16F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w:t>
            </w:r>
          </w:p>
        </w:tc>
        <w:tc>
          <w:tcPr>
            <w:tcW w:w="1546" w:type="dxa"/>
            <w:noWrap w:val="0"/>
            <w:tcMar>
              <w:left w:w="170" w:type="dxa"/>
            </w:tcMar>
            <w:vAlign w:val="center"/>
          </w:tcPr>
          <w:p w14:paraId="468A7370">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6BFD33B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14:paraId="265A79D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05FE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6B6F965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931" w:type="dxa"/>
            <w:noWrap w:val="0"/>
            <w:vAlign w:val="center"/>
          </w:tcPr>
          <w:p w14:paraId="06E65FF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承包人履约担保金额</w:t>
            </w:r>
          </w:p>
        </w:tc>
        <w:tc>
          <w:tcPr>
            <w:tcW w:w="1546" w:type="dxa"/>
            <w:noWrap w:val="0"/>
            <w:tcMar>
              <w:left w:w="170" w:type="dxa"/>
            </w:tcMar>
            <w:vAlign w:val="center"/>
          </w:tcPr>
          <w:p w14:paraId="2F7FA960">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38377DF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14:paraId="06E5F07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DAFC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6CC4671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931" w:type="dxa"/>
            <w:noWrap w:val="0"/>
            <w:vAlign w:val="center"/>
          </w:tcPr>
          <w:p w14:paraId="32034F8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分包</w:t>
            </w:r>
          </w:p>
        </w:tc>
        <w:tc>
          <w:tcPr>
            <w:tcW w:w="1546" w:type="dxa"/>
            <w:noWrap w:val="0"/>
            <w:tcMar>
              <w:left w:w="170" w:type="dxa"/>
            </w:tcMar>
            <w:vAlign w:val="center"/>
          </w:tcPr>
          <w:p w14:paraId="2AC66594">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19F8801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见分包项目情况表</w:t>
            </w:r>
          </w:p>
        </w:tc>
        <w:tc>
          <w:tcPr>
            <w:tcW w:w="871" w:type="dxa"/>
            <w:noWrap w:val="0"/>
            <w:vAlign w:val="center"/>
          </w:tcPr>
          <w:p w14:paraId="4280B4F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45C1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6496CFD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931" w:type="dxa"/>
            <w:noWrap w:val="0"/>
            <w:vAlign w:val="center"/>
          </w:tcPr>
          <w:p w14:paraId="0D0261D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逾期竣工违约金</w:t>
            </w:r>
          </w:p>
        </w:tc>
        <w:tc>
          <w:tcPr>
            <w:tcW w:w="1546" w:type="dxa"/>
            <w:noWrap w:val="0"/>
            <w:tcMar>
              <w:left w:w="170" w:type="dxa"/>
            </w:tcMar>
            <w:vAlign w:val="center"/>
          </w:tcPr>
          <w:p w14:paraId="6AD06AF5">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0BAAB69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元/天</w:t>
            </w:r>
          </w:p>
        </w:tc>
        <w:tc>
          <w:tcPr>
            <w:tcW w:w="871" w:type="dxa"/>
            <w:noWrap w:val="0"/>
            <w:vAlign w:val="center"/>
          </w:tcPr>
          <w:p w14:paraId="2F4A795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5D0D3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6098BCD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931" w:type="dxa"/>
            <w:noWrap w:val="0"/>
            <w:vAlign w:val="center"/>
          </w:tcPr>
          <w:p w14:paraId="4BBBBBE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逾期竣工违约金最高限额</w:t>
            </w:r>
          </w:p>
        </w:tc>
        <w:tc>
          <w:tcPr>
            <w:tcW w:w="1546" w:type="dxa"/>
            <w:noWrap w:val="0"/>
            <w:tcMar>
              <w:left w:w="170" w:type="dxa"/>
            </w:tcMar>
            <w:vAlign w:val="center"/>
          </w:tcPr>
          <w:p w14:paraId="4BDC2EC5">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05D37DDF">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871" w:type="dxa"/>
            <w:noWrap w:val="0"/>
            <w:vAlign w:val="center"/>
          </w:tcPr>
          <w:p w14:paraId="28D6827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268A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1BB3645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931" w:type="dxa"/>
            <w:noWrap w:val="0"/>
            <w:vAlign w:val="center"/>
          </w:tcPr>
          <w:p w14:paraId="01E2483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预付款额度</w:t>
            </w:r>
          </w:p>
        </w:tc>
        <w:tc>
          <w:tcPr>
            <w:tcW w:w="1546" w:type="dxa"/>
            <w:noWrap w:val="0"/>
            <w:tcMar>
              <w:left w:w="170" w:type="dxa"/>
            </w:tcMar>
            <w:vAlign w:val="center"/>
          </w:tcPr>
          <w:p w14:paraId="081B1EBA">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0D0837E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14:paraId="2358C3D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1D7B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6002241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931" w:type="dxa"/>
            <w:noWrap w:val="0"/>
            <w:vAlign w:val="center"/>
          </w:tcPr>
          <w:p w14:paraId="591437A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质量保证金额度</w:t>
            </w:r>
          </w:p>
        </w:tc>
        <w:tc>
          <w:tcPr>
            <w:tcW w:w="1546" w:type="dxa"/>
            <w:noWrap w:val="0"/>
            <w:tcMar>
              <w:left w:w="170" w:type="dxa"/>
            </w:tcMar>
            <w:vAlign w:val="center"/>
          </w:tcPr>
          <w:p w14:paraId="2CA5049D">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7656D9F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14:paraId="14D9FEC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52047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2541E2D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931" w:type="dxa"/>
            <w:noWrap w:val="0"/>
            <w:vAlign w:val="center"/>
          </w:tcPr>
          <w:p w14:paraId="5A7A4E98">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1546" w:type="dxa"/>
            <w:noWrap w:val="0"/>
            <w:tcMar>
              <w:left w:w="170" w:type="dxa"/>
            </w:tcMar>
            <w:vAlign w:val="center"/>
          </w:tcPr>
          <w:p w14:paraId="2155251C">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2784CB3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14:paraId="60C1262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9B6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38DD9C3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2931" w:type="dxa"/>
            <w:noWrap w:val="0"/>
            <w:vAlign w:val="center"/>
          </w:tcPr>
          <w:p w14:paraId="0CE561C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1546" w:type="dxa"/>
            <w:noWrap w:val="0"/>
            <w:vAlign w:val="center"/>
          </w:tcPr>
          <w:p w14:paraId="4B249A9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707" w:type="dxa"/>
            <w:noWrap w:val="0"/>
            <w:vAlign w:val="center"/>
          </w:tcPr>
          <w:p w14:paraId="3F2758C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14:paraId="6C5663B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14:paraId="7F22E562">
      <w:pPr>
        <w:ind w:firstLine="464" w:firstLineChars="200"/>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投标人</w:t>
      </w:r>
      <w:r>
        <w:rPr>
          <w:rFonts w:hint="eastAsia" w:ascii="宋体" w:hAnsi="宋体" w:eastAsia="宋体" w:cs="宋体"/>
          <w:color w:val="auto"/>
          <w:sz w:val="24"/>
          <w:szCs w:val="24"/>
          <w:highlight w:val="none"/>
        </w:rPr>
        <w:t>（盖单位章）：</w:t>
      </w:r>
    </w:p>
    <w:p w14:paraId="45F3F418">
      <w:pPr>
        <w:ind w:firstLine="464"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法定代表人或其委托代理人</w:t>
      </w:r>
      <w:r>
        <w:rPr>
          <w:rFonts w:hint="eastAsia" w:ascii="宋体" w:hAnsi="宋体" w:eastAsia="宋体" w:cs="宋体"/>
          <w:color w:val="auto"/>
          <w:sz w:val="24"/>
          <w:szCs w:val="24"/>
          <w:highlight w:val="none"/>
        </w:rPr>
        <w:t>（签字或盖章）：</w:t>
      </w:r>
    </w:p>
    <w:p w14:paraId="10AAF7D8">
      <w:pP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    日</w:t>
      </w:r>
      <w:r>
        <w:rPr>
          <w:rFonts w:hint="eastAsia" w:ascii="宋体" w:hAnsi="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期：   年  月  日</w:t>
      </w:r>
      <w:bookmarkStart w:id="1073" w:name="_Toc300678570"/>
    </w:p>
    <w:p w14:paraId="14035FD9">
      <w:pPr>
        <w:ind w:firstLine="348"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说明：投标人可以在响应招标文件规定的实质性要求和条件的基础上，作出其他有利于招标人的承诺。</w:t>
      </w:r>
    </w:p>
    <w:p w14:paraId="6F83A65A">
      <w:pPr>
        <w:ind w:firstLine="464"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此类承诺可在本表中予以补充填写。</w:t>
      </w:r>
    </w:p>
    <w:p w14:paraId="30773360">
      <w:pPr>
        <w:pStyle w:val="7"/>
        <w:bidi w:val="0"/>
        <w:rPr>
          <w:rFonts w:hint="eastAsia"/>
        </w:rPr>
      </w:pPr>
      <w:bookmarkStart w:id="1074" w:name="_Toc9178580"/>
      <w:bookmarkStart w:id="1075" w:name="_Toc30327"/>
      <w:bookmarkStart w:id="1076" w:name="_Toc80006153"/>
      <w:r>
        <w:rPr>
          <w:rFonts w:hint="eastAsia"/>
        </w:rPr>
        <w:t>2.法定代表人身份证明</w:t>
      </w:r>
      <w:bookmarkEnd w:id="1073"/>
      <w:bookmarkEnd w:id="1074"/>
      <w:bookmarkEnd w:id="1075"/>
      <w:bookmarkEnd w:id="1076"/>
    </w:p>
    <w:p w14:paraId="17531789">
      <w:pPr>
        <w:widowControl/>
        <w:topLinePunct/>
        <w:spacing w:line="600" w:lineRule="atLeast"/>
        <w:ind w:firstLine="42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投标人名称：</w:t>
      </w:r>
    </w:p>
    <w:p w14:paraId="6999DF90">
      <w:pPr>
        <w:widowControl/>
        <w:topLinePunct/>
        <w:spacing w:line="600" w:lineRule="atLeas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单位性质：</w:t>
      </w:r>
    </w:p>
    <w:p w14:paraId="22218B97">
      <w:pPr>
        <w:widowControl/>
        <w:topLinePunct/>
        <w:spacing w:line="600" w:lineRule="atLeas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    年   月  日</w:t>
      </w:r>
    </w:p>
    <w:p w14:paraId="56DA6E2C">
      <w:pPr>
        <w:widowControl/>
        <w:topLinePunct/>
        <w:spacing w:line="600" w:lineRule="atLeas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p>
    <w:p w14:paraId="60CD620E">
      <w:pPr>
        <w:widowControl/>
        <w:topLinePunct/>
        <w:spacing w:line="600" w:lineRule="atLeast"/>
        <w:ind w:firstLine="42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姓名：      性别：      年龄：      职务：</w:t>
      </w:r>
    </w:p>
    <w:p w14:paraId="490219F3">
      <w:pPr>
        <w:widowControl/>
        <w:topLinePunct/>
        <w:spacing w:line="600" w:lineRule="atLeas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（投标人名称）的法定代表人。</w:t>
      </w:r>
    </w:p>
    <w:p w14:paraId="4CA4B407">
      <w:pPr>
        <w:widowControl/>
        <w:topLinePunct/>
        <w:spacing w:line="600" w:lineRule="atLeas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2D66A984">
      <w:pPr>
        <w:widowControl/>
        <w:topLinePunct/>
        <w:spacing w:line="440" w:lineRule="atLeast"/>
        <w:rPr>
          <w:rFonts w:hint="eastAsia" w:ascii="宋体" w:hAnsi="宋体" w:eastAsia="宋体" w:cs="宋体"/>
          <w:color w:val="auto"/>
          <w:kern w:val="0"/>
          <w:sz w:val="24"/>
          <w:szCs w:val="24"/>
          <w:highlight w:val="none"/>
        </w:rPr>
      </w:pPr>
    </w:p>
    <w:p w14:paraId="1A25C9D8">
      <w:pPr>
        <w:widowControl/>
        <w:topLinePunct/>
        <w:spacing w:line="460" w:lineRule="atLeast"/>
        <w:ind w:firstLine="464"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附：法定代表人身份证复印件（正面和反面）</w:t>
      </w:r>
    </w:p>
    <w:p w14:paraId="102BEAD7">
      <w:pPr>
        <w:widowControl/>
        <w:topLinePunct/>
        <w:spacing w:line="440" w:lineRule="atLeast"/>
        <w:ind w:firstLine="610"/>
        <w:rPr>
          <w:rFonts w:hint="eastAsia" w:ascii="宋体" w:hAnsi="宋体" w:eastAsia="宋体" w:cs="宋体"/>
          <w:color w:val="auto"/>
          <w:kern w:val="0"/>
          <w:sz w:val="24"/>
          <w:szCs w:val="24"/>
          <w:highlight w:val="none"/>
        </w:rPr>
      </w:pPr>
    </w:p>
    <w:p w14:paraId="0C74BECA">
      <w:pPr>
        <w:widowControl/>
        <w:topLinePunct/>
        <w:spacing w:line="440" w:lineRule="atLeast"/>
        <w:ind w:firstLine="2879"/>
        <w:rPr>
          <w:rFonts w:hint="eastAsia" w:ascii="宋体" w:hAnsi="宋体" w:eastAsia="宋体" w:cs="宋体"/>
          <w:color w:val="auto"/>
          <w:kern w:val="0"/>
          <w:sz w:val="24"/>
          <w:szCs w:val="24"/>
          <w:highlight w:val="none"/>
        </w:rPr>
      </w:pPr>
    </w:p>
    <w:p w14:paraId="142F3EF2">
      <w:pPr>
        <w:widowControl/>
        <w:topLinePunct/>
        <w:spacing w:line="440" w:lineRule="atLeast"/>
        <w:ind w:firstLine="464"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投标人：（盖单位章）</w:t>
      </w:r>
    </w:p>
    <w:p w14:paraId="579BD9C7">
      <w:pPr>
        <w:widowControl/>
        <w:topLinePunct/>
        <w:spacing w:line="440" w:lineRule="atLeast"/>
        <w:jc w:val="both"/>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年   月   日</w:t>
      </w:r>
      <w:bookmarkStart w:id="1077" w:name="_Toc300678571"/>
    </w:p>
    <w:p w14:paraId="1D5231C7">
      <w:pPr>
        <w:widowControl/>
        <w:topLinePunct/>
        <w:spacing w:line="44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说明：1.复印件是指复印件或扫描件或影印件，下同。</w:t>
      </w:r>
    </w:p>
    <w:p w14:paraId="152BD830">
      <w:pPr>
        <w:widowControl/>
        <w:topLinePunct/>
        <w:spacing w:line="440" w:lineRule="atLeast"/>
        <w:ind w:firstLine="464" w:firstLineChars="200"/>
        <w:jc w:val="both"/>
        <w:rPr>
          <w:rFonts w:hint="eastAsia" w:ascii="宋体" w:hAnsi="宋体" w:eastAsia="宋体" w:cs="宋体"/>
          <w:color w:val="auto"/>
          <w:kern w:val="0"/>
          <w:sz w:val="24"/>
          <w:szCs w:val="24"/>
          <w:highlight w:val="none"/>
        </w:rPr>
      </w:pPr>
      <w:r>
        <w:rPr>
          <w:rFonts w:hint="eastAsia" w:ascii="宋体" w:hAnsi="宋体" w:eastAsia="宋体" w:cs="宋体"/>
          <w:color w:val="000000"/>
          <w:kern w:val="0"/>
          <w:sz w:val="24"/>
          <w:szCs w:val="24"/>
        </w:rPr>
        <w:t>2.</w:t>
      </w:r>
      <w:r>
        <w:rPr>
          <w:rFonts w:hint="eastAsia" w:ascii="宋体" w:hAnsi="宋体" w:eastAsia="宋体" w:cs="宋体"/>
          <w:bCs/>
          <w:color w:val="000000"/>
          <w:kern w:val="0"/>
          <w:sz w:val="24"/>
          <w:szCs w:val="24"/>
        </w:rPr>
        <w:t>由法定代表人参加开标会议的，请按投标人须知前附表的规定另行准备法定代表人身份证明原件一份，在参加开标会时单独提交。</w:t>
      </w:r>
    </w:p>
    <w:p w14:paraId="31965D18">
      <w:pPr>
        <w:widowControl/>
        <w:topLinePunct/>
        <w:spacing w:line="440" w:lineRule="atLeast"/>
        <w:ind w:firstLine="3480" w:firstLineChars="1500"/>
        <w:jc w:val="right"/>
        <w:rPr>
          <w:rFonts w:hint="eastAsia" w:ascii="宋体" w:hAnsi="宋体" w:eastAsia="宋体" w:cs="宋体"/>
          <w:color w:val="auto"/>
          <w:kern w:val="0"/>
          <w:sz w:val="24"/>
          <w:szCs w:val="24"/>
          <w:highlight w:val="none"/>
        </w:rPr>
        <w:sectPr>
          <w:pgSz w:w="11906" w:h="16838"/>
          <w:pgMar w:top="1440" w:right="1588" w:bottom="1440" w:left="1440" w:header="850" w:footer="851" w:gutter="0"/>
          <w:pgNumType w:fmt="decimal"/>
          <w:cols w:space="720" w:num="1"/>
          <w:docGrid w:type="linesAndChars" w:linePitch="574" w:charSpace="-1683"/>
        </w:sectPr>
      </w:pPr>
    </w:p>
    <w:p w14:paraId="2F7F4E74">
      <w:pPr>
        <w:pStyle w:val="7"/>
        <w:bidi w:val="0"/>
        <w:rPr>
          <w:rFonts w:hint="eastAsia"/>
        </w:rPr>
      </w:pPr>
      <w:bookmarkStart w:id="1078" w:name="_Toc9178581"/>
      <w:bookmarkStart w:id="1079" w:name="_Toc11457"/>
      <w:bookmarkStart w:id="1080" w:name="_Toc80006154"/>
      <w:r>
        <w:rPr>
          <w:rFonts w:hint="eastAsia"/>
        </w:rPr>
        <w:t>3.授权委托书</w:t>
      </w:r>
      <w:bookmarkEnd w:id="1077"/>
      <w:bookmarkEnd w:id="1078"/>
      <w:bookmarkEnd w:id="1079"/>
      <w:bookmarkEnd w:id="1080"/>
    </w:p>
    <w:p w14:paraId="6296E6BB">
      <w:pPr>
        <w:widowControl/>
        <w:topLinePunct/>
        <w:spacing w:line="44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（姓名）系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（投标人名称）的法定代表人，现委托</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（姓名）为我方代理人。代理人根据授权，以我方名义签署、澄清、说明、补正、递交、撤回、修改</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（招标项目及标段）</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施工招标投标文件，其法律后果由我方承担。</w:t>
      </w:r>
    </w:p>
    <w:p w14:paraId="79BE51C4">
      <w:pPr>
        <w:widowControl/>
        <w:topLinePunct/>
        <w:spacing w:line="44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委托期限：</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CB15C70">
      <w:pPr>
        <w:widowControl/>
        <w:topLinePunct/>
        <w:spacing w:line="44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代理人无转委托权。</w:t>
      </w:r>
    </w:p>
    <w:p w14:paraId="0FF74080">
      <w:pPr>
        <w:widowControl/>
        <w:topLinePunct/>
        <w:spacing w:line="440" w:lineRule="exact"/>
        <w:ind w:firstLine="61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附：法定代表人及委托代理人身份证复印件（正面和反面）</w:t>
      </w:r>
    </w:p>
    <w:p w14:paraId="4E9A1080">
      <w:pPr>
        <w:widowControl/>
        <w:topLinePunct/>
        <w:spacing w:line="440" w:lineRule="atLeast"/>
        <w:ind w:firstLine="610"/>
        <w:rPr>
          <w:rFonts w:hint="eastAsia" w:ascii="宋体" w:hAnsi="宋体" w:eastAsia="宋体" w:cs="宋体"/>
          <w:color w:val="auto"/>
          <w:kern w:val="0"/>
          <w:sz w:val="24"/>
          <w:szCs w:val="24"/>
          <w:highlight w:val="none"/>
        </w:rPr>
      </w:pPr>
    </w:p>
    <w:p w14:paraId="51578471">
      <w:pPr>
        <w:widowControl/>
        <w:topLinePunct/>
        <w:spacing w:line="440" w:lineRule="atLeast"/>
        <w:ind w:firstLine="2879"/>
        <w:rPr>
          <w:rFonts w:hint="eastAsia" w:ascii="宋体" w:hAnsi="宋体" w:eastAsia="宋体" w:cs="宋体"/>
          <w:color w:val="auto"/>
          <w:kern w:val="0"/>
          <w:sz w:val="24"/>
          <w:szCs w:val="24"/>
          <w:highlight w:val="none"/>
        </w:rPr>
      </w:pPr>
    </w:p>
    <w:p w14:paraId="27ED0203">
      <w:pPr>
        <w:widowControl/>
        <w:topLinePunct/>
        <w:spacing w:line="440" w:lineRule="atLeast"/>
        <w:ind w:firstLine="287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投标人：（盖单位章）</w:t>
      </w:r>
    </w:p>
    <w:p w14:paraId="1466486E">
      <w:pPr>
        <w:widowControl/>
        <w:topLinePunct/>
        <w:spacing w:line="440" w:lineRule="atLeast"/>
        <w:ind w:firstLine="287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法定代表人：（签字</w:t>
      </w:r>
      <w:r>
        <w:rPr>
          <w:rFonts w:hint="eastAsia" w:ascii="宋体" w:hAnsi="宋体" w:eastAsia="宋体" w:cs="宋体"/>
          <w:color w:val="auto"/>
          <w:sz w:val="24"/>
          <w:szCs w:val="24"/>
          <w:highlight w:val="none"/>
        </w:rPr>
        <w:t>或盖章</w:t>
      </w:r>
      <w:r>
        <w:rPr>
          <w:rFonts w:hint="eastAsia" w:ascii="宋体" w:hAnsi="宋体" w:eastAsia="宋体" w:cs="宋体"/>
          <w:color w:val="auto"/>
          <w:kern w:val="0"/>
          <w:sz w:val="24"/>
          <w:szCs w:val="24"/>
          <w:highlight w:val="none"/>
        </w:rPr>
        <w:t>）</w:t>
      </w:r>
    </w:p>
    <w:p w14:paraId="4299AFD2">
      <w:pPr>
        <w:widowControl/>
        <w:topLinePunct/>
        <w:spacing w:line="440" w:lineRule="atLeast"/>
        <w:ind w:firstLine="287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委托代理人：（签字</w:t>
      </w:r>
      <w:r>
        <w:rPr>
          <w:rFonts w:hint="eastAsia" w:ascii="宋体" w:hAnsi="宋体" w:eastAsia="宋体" w:cs="宋体"/>
          <w:color w:val="auto"/>
          <w:sz w:val="24"/>
          <w:szCs w:val="24"/>
          <w:highlight w:val="none"/>
        </w:rPr>
        <w:t>或盖章</w:t>
      </w:r>
      <w:r>
        <w:rPr>
          <w:rFonts w:hint="eastAsia" w:ascii="宋体" w:hAnsi="宋体" w:eastAsia="宋体" w:cs="宋体"/>
          <w:color w:val="auto"/>
          <w:kern w:val="0"/>
          <w:sz w:val="24"/>
          <w:szCs w:val="24"/>
          <w:highlight w:val="none"/>
        </w:rPr>
        <w:t>）</w:t>
      </w:r>
    </w:p>
    <w:p w14:paraId="05AA0579">
      <w:pPr>
        <w:widowControl/>
        <w:topLinePunct/>
        <w:spacing w:line="440" w:lineRule="atLeast"/>
        <w:ind w:firstLine="2879"/>
        <w:rPr>
          <w:rFonts w:hint="eastAsia" w:ascii="宋体" w:hAnsi="宋体" w:eastAsia="宋体" w:cs="宋体"/>
          <w:color w:val="auto"/>
          <w:kern w:val="0"/>
          <w:sz w:val="24"/>
          <w:szCs w:val="24"/>
          <w:highlight w:val="none"/>
        </w:rPr>
      </w:pPr>
    </w:p>
    <w:p w14:paraId="0F4A5F21">
      <w:pPr>
        <w:widowControl/>
        <w:topLinePunct/>
        <w:spacing w:line="440" w:lineRule="atLeast"/>
        <w:ind w:left="1836" w:firstLine="3204"/>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  月  日</w:t>
      </w:r>
    </w:p>
    <w:p w14:paraId="232BFD2B">
      <w:pPr>
        <w:widowControl/>
        <w:topLinePunct/>
        <w:spacing w:line="440" w:lineRule="atLeast"/>
        <w:jc w:val="left"/>
        <w:rPr>
          <w:rFonts w:hint="eastAsia" w:ascii="宋体" w:hAnsi="宋体" w:eastAsia="宋体" w:cs="宋体"/>
          <w:color w:val="auto"/>
          <w:kern w:val="0"/>
          <w:sz w:val="24"/>
          <w:szCs w:val="24"/>
          <w:highlight w:val="none"/>
        </w:rPr>
      </w:pPr>
    </w:p>
    <w:p w14:paraId="00477AEC">
      <w:pPr>
        <w:widowControl/>
        <w:topLinePunct/>
        <w:spacing w:line="440" w:lineRule="atLeast"/>
        <w:jc w:val="left"/>
        <w:rPr>
          <w:rFonts w:hint="eastAsia" w:ascii="宋体" w:hAnsi="宋体" w:eastAsia="宋体" w:cs="宋体"/>
          <w:color w:val="auto"/>
          <w:kern w:val="0"/>
          <w:sz w:val="24"/>
          <w:szCs w:val="24"/>
          <w:highlight w:val="none"/>
        </w:rPr>
      </w:pPr>
    </w:p>
    <w:p w14:paraId="4CAB8840">
      <w:pPr>
        <w:widowControl/>
        <w:topLinePunct/>
        <w:spacing w:line="440" w:lineRule="atLeast"/>
        <w:jc w:val="left"/>
        <w:rPr>
          <w:rFonts w:hint="eastAsia" w:ascii="宋体" w:hAnsi="宋体" w:eastAsia="宋体" w:cs="宋体"/>
          <w:color w:val="000000"/>
          <w:sz w:val="24"/>
          <w:szCs w:val="24"/>
        </w:rPr>
      </w:pPr>
      <w:r>
        <w:rPr>
          <w:rFonts w:hint="eastAsia" w:ascii="宋体" w:hAnsi="宋体" w:eastAsia="宋体" w:cs="宋体"/>
          <w:color w:val="000000"/>
          <w:kern w:val="0"/>
          <w:sz w:val="24"/>
          <w:szCs w:val="24"/>
        </w:rPr>
        <w:t>说明：由授权委托代理人参加开标会议的，</w:t>
      </w:r>
      <w:r>
        <w:rPr>
          <w:rFonts w:hint="eastAsia" w:ascii="宋体" w:hAnsi="宋体" w:eastAsia="宋体" w:cs="宋体"/>
          <w:bCs/>
          <w:color w:val="000000"/>
          <w:kern w:val="0"/>
          <w:sz w:val="24"/>
          <w:szCs w:val="24"/>
        </w:rPr>
        <w:t>请按投标人须知前附表的规定另行准备</w:t>
      </w:r>
      <w:r>
        <w:rPr>
          <w:rFonts w:hint="eastAsia" w:ascii="宋体" w:hAnsi="宋体" w:eastAsia="宋体" w:cs="宋体"/>
          <w:color w:val="000000"/>
          <w:kern w:val="0"/>
          <w:sz w:val="24"/>
          <w:szCs w:val="24"/>
        </w:rPr>
        <w:t>授权委托书原件一份，</w:t>
      </w:r>
      <w:r>
        <w:rPr>
          <w:rFonts w:hint="eastAsia" w:ascii="宋体" w:hAnsi="宋体" w:eastAsia="宋体" w:cs="宋体"/>
          <w:bCs/>
          <w:color w:val="000000"/>
          <w:kern w:val="0"/>
          <w:sz w:val="24"/>
          <w:szCs w:val="24"/>
        </w:rPr>
        <w:t>在参加开标会时单独提交。</w:t>
      </w:r>
    </w:p>
    <w:p w14:paraId="72603925">
      <w:pPr>
        <w:widowControl/>
        <w:topLinePunct/>
        <w:spacing w:line="440" w:lineRule="atLeast"/>
        <w:jc w:val="left"/>
        <w:rPr>
          <w:rFonts w:hint="eastAsia" w:ascii="宋体" w:hAnsi="宋体" w:eastAsia="宋体" w:cs="宋体"/>
          <w:color w:val="auto"/>
          <w:kern w:val="0"/>
          <w:sz w:val="24"/>
          <w:szCs w:val="24"/>
          <w:highlight w:val="none"/>
        </w:rPr>
      </w:pPr>
    </w:p>
    <w:p w14:paraId="54BA34F6">
      <w:pPr>
        <w:widowControl/>
        <w:topLinePunct/>
        <w:spacing w:line="440" w:lineRule="atLeast"/>
        <w:jc w:val="left"/>
        <w:rPr>
          <w:rFonts w:hint="eastAsia" w:ascii="宋体" w:hAnsi="宋体" w:eastAsia="宋体" w:cs="宋体"/>
          <w:color w:val="auto"/>
          <w:kern w:val="0"/>
          <w:sz w:val="24"/>
          <w:szCs w:val="24"/>
          <w:highlight w:val="none"/>
        </w:rPr>
      </w:pPr>
    </w:p>
    <w:p w14:paraId="21095D26">
      <w:pPr>
        <w:widowControl/>
        <w:topLinePunct/>
        <w:spacing w:line="440" w:lineRule="atLeast"/>
        <w:jc w:val="left"/>
        <w:rPr>
          <w:rFonts w:hint="eastAsia" w:ascii="宋体" w:hAnsi="宋体" w:eastAsia="宋体" w:cs="宋体"/>
          <w:color w:val="auto"/>
          <w:sz w:val="24"/>
          <w:szCs w:val="24"/>
          <w:highlight w:val="none"/>
        </w:rPr>
      </w:pPr>
      <w:bookmarkStart w:id="1081" w:name="_Toc300678572"/>
    </w:p>
    <w:p w14:paraId="426855DD">
      <w:pPr>
        <w:rPr>
          <w:rFonts w:hint="eastAsia" w:ascii="宋体" w:hAnsi="宋体" w:eastAsia="宋体" w:cs="宋体"/>
          <w:b w:val="0"/>
          <w:bCs w:val="0"/>
          <w:color w:val="auto"/>
          <w:sz w:val="24"/>
          <w:szCs w:val="24"/>
          <w:highlight w:val="none"/>
        </w:rPr>
      </w:pPr>
      <w:bookmarkStart w:id="1082" w:name="_Toc9178582"/>
      <w:bookmarkStart w:id="1083" w:name="_Toc80006155"/>
      <w:bookmarkStart w:id="1084" w:name="_Toc25409"/>
      <w:r>
        <w:rPr>
          <w:rFonts w:hint="eastAsia" w:ascii="宋体" w:hAnsi="宋体" w:eastAsia="宋体" w:cs="宋体"/>
          <w:b w:val="0"/>
          <w:bCs w:val="0"/>
          <w:color w:val="auto"/>
          <w:sz w:val="24"/>
          <w:szCs w:val="24"/>
          <w:highlight w:val="none"/>
        </w:rPr>
        <w:br w:type="page"/>
      </w:r>
    </w:p>
    <w:p w14:paraId="26C75856">
      <w:pPr>
        <w:pStyle w:val="7"/>
        <w:bidi w:val="0"/>
        <w:rPr>
          <w:rFonts w:hint="eastAsia"/>
        </w:rPr>
      </w:pPr>
      <w:r>
        <w:rPr>
          <w:rFonts w:hint="eastAsia"/>
        </w:rPr>
        <w:t>4.</w:t>
      </w:r>
      <w:bookmarkEnd w:id="1081"/>
      <w:bookmarkEnd w:id="1082"/>
      <w:r>
        <w:rPr>
          <w:rFonts w:hint="eastAsia"/>
          <w:lang w:val="en-US" w:eastAsia="zh-CN"/>
        </w:rPr>
        <w:t>共同投标协议</w:t>
      </w:r>
      <w:r>
        <w:rPr>
          <w:rFonts w:hint="eastAsia"/>
        </w:rPr>
        <w:t>（</w:t>
      </w:r>
      <w:r>
        <w:rPr>
          <w:rFonts w:hint="eastAsia"/>
          <w:lang w:val="en-US" w:eastAsia="zh-CN"/>
        </w:rPr>
        <w:t>本项目不适用</w:t>
      </w:r>
      <w:r>
        <w:rPr>
          <w:rFonts w:hint="eastAsia"/>
        </w:rPr>
        <w:t>）</w:t>
      </w:r>
      <w:bookmarkEnd w:id="1083"/>
      <w:bookmarkEnd w:id="1084"/>
    </w:p>
    <w:p w14:paraId="59DC2F54">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牵头人名称：</w:t>
      </w:r>
    </w:p>
    <w:p w14:paraId="77582777">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303D944E">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法定住所：</w:t>
      </w:r>
    </w:p>
    <w:p w14:paraId="3A20FB3A">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成员二名称：</w:t>
      </w:r>
    </w:p>
    <w:p w14:paraId="14003F84">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6E9A269D">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法定住所：</w:t>
      </w:r>
    </w:p>
    <w:p w14:paraId="05783435">
      <w:pPr>
        <w:keepNext w:val="0"/>
        <w:keepLines w:val="0"/>
        <w:pageBreakBefore w:val="0"/>
        <w:widowControl w:val="0"/>
        <w:kinsoku/>
        <w:wordWrap/>
        <w:overflowPunct/>
        <w:topLinePunct w:val="0"/>
        <w:autoSpaceDE/>
        <w:autoSpaceDN/>
        <w:bidi w:val="0"/>
        <w:adjustRightInd/>
        <w:snapToGrid w:val="0"/>
        <w:spacing w:line="300" w:lineRule="auto"/>
        <w:ind w:firstLine="600" w:firstLineChars="2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339829B4">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鉴于上述各成员单位经过友好协商，自愿组成联合体，共同参加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（招标人名称）（以下简称招标人）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（招标项目及标段）（以下简称本招标项目）的施工投标并争取赢得本工程施工承包合同（以下简称合同）。现就联合体投标事宜订立如下协议：</w:t>
      </w:r>
    </w:p>
    <w:p w14:paraId="3FF3DBAF">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（某成员单位名称）为牵头人。</w:t>
      </w:r>
    </w:p>
    <w:p w14:paraId="3DFCA287">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2．在本招标项目投标阶段，联合体牵头人合法代表联合体各</w:t>
      </w:r>
      <w:r>
        <w:rPr>
          <w:rFonts w:hint="eastAsia" w:ascii="宋体" w:hAnsi="宋体" w:eastAsia="宋体" w:cs="宋体"/>
          <w:color w:val="auto"/>
          <w:sz w:val="24"/>
          <w:szCs w:val="24"/>
          <w:highlight w:val="none"/>
          <w:lang w:val="en-US" w:eastAsia="zh-CN"/>
        </w:rPr>
        <w:t>方</w:t>
      </w:r>
      <w:r>
        <w:rPr>
          <w:rFonts w:hint="eastAsia" w:ascii="宋体" w:hAnsi="宋体" w:eastAsia="宋体" w:cs="宋体"/>
          <w:color w:val="auto"/>
          <w:sz w:val="24"/>
          <w:szCs w:val="24"/>
          <w:highlight w:val="none"/>
        </w:rPr>
        <w:t>负责本工程投标文件编制活动，代表联合体提交和接收相关的资料、信息及指示，并处理与投标和中标有关的一切事务；联合体中标后，联合体牵头人负责合同订立和合同实施阶段的主办、组织和协调工作。</w:t>
      </w:r>
    </w:p>
    <w:p w14:paraId="61577954">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将严格按照招标文件的各项要求，递交投标文件，履行投标义务和中标后的合同，共同承担合同规定的一切义务和责任，联合体各成员单位按照内部职责的部分，承担各自所负的责任和风险，并向招标人承担连带责任。</w:t>
      </w:r>
    </w:p>
    <w:p w14:paraId="64DD4152">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4．联合体各</w:t>
      </w:r>
      <w:r>
        <w:rPr>
          <w:rFonts w:hint="eastAsia" w:ascii="宋体" w:hAnsi="宋体" w:eastAsia="宋体" w:cs="宋体"/>
          <w:color w:val="auto"/>
          <w:sz w:val="24"/>
          <w:szCs w:val="24"/>
          <w:highlight w:val="none"/>
          <w:lang w:val="en-US" w:eastAsia="zh-CN"/>
        </w:rPr>
        <w:t>方</w:t>
      </w:r>
      <w:r>
        <w:rPr>
          <w:rFonts w:hint="eastAsia" w:ascii="宋体" w:hAnsi="宋体" w:eastAsia="宋体" w:cs="宋体"/>
          <w:color w:val="auto"/>
          <w:sz w:val="24"/>
          <w:szCs w:val="24"/>
          <w:highlight w:val="none"/>
        </w:rPr>
        <w:t>单位内部的职责分工如下：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。按照本条上述分工，联合体成员单位各自所承担的合同工作量比例如下</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按100%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7B4CD8E">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5．投标工作和联合体在中标后工程实施过程中的有关费用按各自承担的工作量分摊。</w:t>
      </w:r>
    </w:p>
    <w:p w14:paraId="308860DF">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6．联合体中标后，本联合体协议是合同的附件，对联合体各</w:t>
      </w:r>
      <w:r>
        <w:rPr>
          <w:rFonts w:hint="eastAsia" w:ascii="宋体" w:hAnsi="宋体" w:eastAsia="宋体" w:cs="宋体"/>
          <w:color w:val="auto"/>
          <w:sz w:val="24"/>
          <w:szCs w:val="24"/>
          <w:highlight w:val="none"/>
          <w:lang w:val="en-US" w:eastAsia="zh-CN"/>
        </w:rPr>
        <w:t>方</w:t>
      </w:r>
      <w:r>
        <w:rPr>
          <w:rFonts w:hint="eastAsia" w:ascii="宋体" w:hAnsi="宋体" w:eastAsia="宋体" w:cs="宋体"/>
          <w:color w:val="auto"/>
          <w:sz w:val="24"/>
          <w:szCs w:val="24"/>
          <w:highlight w:val="none"/>
        </w:rPr>
        <w:t>单位有合同约束力。</w:t>
      </w:r>
    </w:p>
    <w:p w14:paraId="364F12B8">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7．本协议书自签署之日起生效，联合体未中标或者中标时合同履行完毕后自动失效。</w:t>
      </w:r>
    </w:p>
    <w:p w14:paraId="45418C7A">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8．本协议书一式    份，联合体成员和招标人各执   份。</w:t>
      </w:r>
    </w:p>
    <w:p w14:paraId="191368F3">
      <w:pPr>
        <w:keepNext w:val="0"/>
        <w:keepLines w:val="0"/>
        <w:pageBreakBefore w:val="0"/>
        <w:widowControl w:val="0"/>
        <w:kinsoku/>
        <w:wordWrap/>
        <w:overflowPunct/>
        <w:topLinePunct w:val="0"/>
        <w:autoSpaceDE/>
        <w:autoSpaceDN/>
        <w:bidi w:val="0"/>
        <w:adjustRightInd/>
        <w:snapToGrid w:val="0"/>
        <w:spacing w:line="300" w:lineRule="auto"/>
        <w:ind w:firstLine="2040" w:firstLineChars="8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牵头人名称：（盖单位章）</w:t>
      </w:r>
    </w:p>
    <w:p w14:paraId="180EDCEE">
      <w:pPr>
        <w:keepNext w:val="0"/>
        <w:keepLines w:val="0"/>
        <w:pageBreakBefore w:val="0"/>
        <w:widowControl w:val="0"/>
        <w:kinsoku/>
        <w:wordWrap/>
        <w:overflowPunct/>
        <w:topLinePunct w:val="0"/>
        <w:autoSpaceDE/>
        <w:autoSpaceDN/>
        <w:bidi w:val="0"/>
        <w:adjustRightInd/>
        <w:snapToGrid w:val="0"/>
        <w:spacing w:line="300" w:lineRule="auto"/>
        <w:ind w:firstLine="2040" w:firstLineChars="8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法定代表人或其委托代理人：（签字或盖章）</w:t>
      </w:r>
    </w:p>
    <w:p w14:paraId="624E14CB">
      <w:pPr>
        <w:keepNext w:val="0"/>
        <w:keepLines w:val="0"/>
        <w:pageBreakBefore w:val="0"/>
        <w:widowControl w:val="0"/>
        <w:kinsoku/>
        <w:wordWrap/>
        <w:overflowPunct/>
        <w:topLinePunct w:val="0"/>
        <w:autoSpaceDE/>
        <w:autoSpaceDN/>
        <w:bidi w:val="0"/>
        <w:adjustRightInd/>
        <w:snapToGrid w:val="0"/>
        <w:spacing w:line="300" w:lineRule="auto"/>
        <w:ind w:firstLine="2040" w:firstLineChars="8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成员二名称：（盖单位章）</w:t>
      </w:r>
    </w:p>
    <w:p w14:paraId="608A4482">
      <w:pPr>
        <w:keepNext w:val="0"/>
        <w:keepLines w:val="0"/>
        <w:pageBreakBefore w:val="0"/>
        <w:widowControl w:val="0"/>
        <w:kinsoku/>
        <w:wordWrap/>
        <w:overflowPunct/>
        <w:topLinePunct w:val="0"/>
        <w:autoSpaceDE/>
        <w:autoSpaceDN/>
        <w:bidi w:val="0"/>
        <w:adjustRightInd/>
        <w:snapToGrid w:val="0"/>
        <w:spacing w:line="300" w:lineRule="auto"/>
        <w:ind w:firstLine="2040" w:firstLineChars="8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法定代表人或其委托代理人：（签字或盖章）</w:t>
      </w:r>
    </w:p>
    <w:p w14:paraId="76586CBD">
      <w:pPr>
        <w:keepNext w:val="0"/>
        <w:keepLines w:val="0"/>
        <w:pageBreakBefore w:val="0"/>
        <w:widowControl w:val="0"/>
        <w:kinsoku/>
        <w:wordWrap/>
        <w:overflowPunct/>
        <w:topLinePunct w:val="0"/>
        <w:autoSpaceDE/>
        <w:autoSpaceDN/>
        <w:bidi w:val="0"/>
        <w:adjustRightInd/>
        <w:snapToGrid w:val="0"/>
        <w:spacing w:line="300" w:lineRule="auto"/>
        <w:ind w:firstLine="2400" w:firstLineChars="1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3E513D50">
      <w:pPr>
        <w:keepNext w:val="0"/>
        <w:keepLines w:val="0"/>
        <w:pageBreakBefore w:val="0"/>
        <w:widowControl w:val="0"/>
        <w:kinsoku/>
        <w:wordWrap/>
        <w:overflowPunct/>
        <w:topLinePunct w:val="0"/>
        <w:autoSpaceDE/>
        <w:autoSpaceDN/>
        <w:bidi w:val="0"/>
        <w:adjustRightInd/>
        <w:snapToGrid w:val="0"/>
        <w:spacing w:line="300" w:lineRule="auto"/>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p w14:paraId="7875F956">
      <w:pPr>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说明：本协议书由委托代理人签署的，应附法定代表人签署的授权委托书。</w:t>
      </w:r>
    </w:p>
    <w:p w14:paraId="0749DF7C">
      <w:pPr>
        <w:pStyle w:val="7"/>
        <w:bidi w:val="0"/>
        <w:rPr>
          <w:rFonts w:hint="eastAsia"/>
        </w:rPr>
      </w:pPr>
      <w:bookmarkStart w:id="1085" w:name="_Toc80006156"/>
      <w:bookmarkStart w:id="1086" w:name="_Toc300678573"/>
      <w:bookmarkStart w:id="1087" w:name="_Toc9178583"/>
      <w:bookmarkStart w:id="1088" w:name="_Toc29210"/>
      <w:r>
        <w:rPr>
          <w:rFonts w:hint="eastAsia"/>
        </w:rPr>
        <w:t>5.投标保证</w:t>
      </w:r>
      <w:bookmarkEnd w:id="1085"/>
      <w:bookmarkEnd w:id="1086"/>
      <w:bookmarkEnd w:id="1087"/>
      <w:bookmarkEnd w:id="1088"/>
    </w:p>
    <w:p w14:paraId="4F20EFA7">
      <w:pPr>
        <w:spacing w:line="4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不要求提交投标保证金。</w:t>
      </w:r>
    </w:p>
    <w:p w14:paraId="085D52DD">
      <w:pPr>
        <w:bidi w:val="0"/>
        <w:rPr>
          <w:rFonts w:hint="eastAsia"/>
        </w:rPr>
      </w:pPr>
      <w:bookmarkStart w:id="1089" w:name="_Toc9178584"/>
      <w:bookmarkStart w:id="1090" w:name="_Toc300678574"/>
      <w:bookmarkStart w:id="1091" w:name="_Toc80006157"/>
      <w:bookmarkStart w:id="1092" w:name="_Toc13106"/>
    </w:p>
    <w:p w14:paraId="1582429F">
      <w:pPr>
        <w:bidi w:val="0"/>
        <w:rPr>
          <w:rFonts w:hint="eastAsia"/>
        </w:rPr>
      </w:pPr>
    </w:p>
    <w:p w14:paraId="401D7743">
      <w:pPr>
        <w:bidi w:val="0"/>
        <w:rPr>
          <w:rFonts w:hint="eastAsia"/>
        </w:rPr>
      </w:pPr>
    </w:p>
    <w:p w14:paraId="0751B39F">
      <w:pPr>
        <w:pStyle w:val="29"/>
        <w:tabs>
          <w:tab w:val="left" w:pos="3520"/>
        </w:tabs>
        <w:rPr>
          <w:rFonts w:hint="eastAsia" w:eastAsia="宋体"/>
          <w:lang w:eastAsia="zh-CN"/>
        </w:rPr>
      </w:pPr>
      <w:r>
        <w:rPr>
          <w:rFonts w:hint="eastAsia"/>
          <w:lang w:eastAsia="zh-CN"/>
        </w:rPr>
        <w:tab/>
      </w:r>
    </w:p>
    <w:p w14:paraId="3ACB18A5">
      <w:pPr>
        <w:rPr>
          <w:rFonts w:hint="eastAsia"/>
        </w:rPr>
      </w:pPr>
    </w:p>
    <w:p w14:paraId="44D56B94">
      <w:pPr>
        <w:pStyle w:val="29"/>
        <w:rPr>
          <w:rFonts w:hint="eastAsia"/>
        </w:rPr>
      </w:pPr>
    </w:p>
    <w:p w14:paraId="0AA15257">
      <w:pPr>
        <w:bidi w:val="0"/>
        <w:rPr>
          <w:rFonts w:hint="eastAsia"/>
        </w:rPr>
      </w:pPr>
    </w:p>
    <w:p w14:paraId="3E216E9D">
      <w:pPr>
        <w:pStyle w:val="7"/>
        <w:bidi w:val="0"/>
        <w:rPr>
          <w:rFonts w:hint="eastAsia"/>
        </w:rPr>
      </w:pPr>
      <w:r>
        <w:rPr>
          <w:rFonts w:hint="eastAsia"/>
        </w:rPr>
        <w:t>6.项目管理机构</w:t>
      </w:r>
      <w:bookmarkEnd w:id="1089"/>
      <w:bookmarkEnd w:id="1090"/>
      <w:bookmarkEnd w:id="1091"/>
      <w:bookmarkEnd w:id="1092"/>
    </w:p>
    <w:p w14:paraId="26D92C73">
      <w:pPr>
        <w:pStyle w:val="6"/>
        <w:bidi w:val="0"/>
        <w:rPr>
          <w:rFonts w:hint="eastAsia"/>
        </w:rPr>
      </w:pPr>
      <w:bookmarkStart w:id="1093" w:name="_Toc80006158"/>
      <w:bookmarkStart w:id="1094" w:name="_Toc22767"/>
      <w:bookmarkStart w:id="1095" w:name="_Toc80006268"/>
      <w:bookmarkStart w:id="1096" w:name="_Toc79998444"/>
      <w:bookmarkStart w:id="1097" w:name="_Toc79998888"/>
      <w:r>
        <w:rPr>
          <w:rFonts w:hint="eastAsia"/>
        </w:rPr>
        <w:t>（1）项目管理机构组成表</w:t>
      </w:r>
      <w:bookmarkEnd w:id="1093"/>
      <w:bookmarkEnd w:id="1094"/>
      <w:bookmarkEnd w:id="1095"/>
      <w:bookmarkEnd w:id="1096"/>
      <w:bookmarkEnd w:id="1097"/>
    </w:p>
    <w:tbl>
      <w:tblPr>
        <w:tblStyle w:val="4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710"/>
        <w:gridCol w:w="1185"/>
        <w:gridCol w:w="899"/>
        <w:gridCol w:w="947"/>
        <w:gridCol w:w="806"/>
        <w:gridCol w:w="2370"/>
        <w:gridCol w:w="1681"/>
      </w:tblGrid>
      <w:tr w14:paraId="3EC0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vMerge w:val="restart"/>
            <w:noWrap w:val="0"/>
            <w:vAlign w:val="center"/>
          </w:tcPr>
          <w:p w14:paraId="6315C41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382" w:type="pct"/>
            <w:vMerge w:val="restart"/>
            <w:noWrap w:val="0"/>
            <w:vAlign w:val="center"/>
          </w:tcPr>
          <w:p w14:paraId="4815EF0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性别</w:t>
            </w:r>
          </w:p>
        </w:tc>
        <w:tc>
          <w:tcPr>
            <w:tcW w:w="3342" w:type="pct"/>
            <w:gridSpan w:val="5"/>
            <w:noWrap w:val="0"/>
            <w:vAlign w:val="center"/>
          </w:tcPr>
          <w:p w14:paraId="0065D90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执业或岗位资格证明</w:t>
            </w:r>
          </w:p>
        </w:tc>
        <w:tc>
          <w:tcPr>
            <w:tcW w:w="905" w:type="pct"/>
            <w:vMerge w:val="restart"/>
            <w:noWrap w:val="0"/>
            <w:vAlign w:val="center"/>
          </w:tcPr>
          <w:p w14:paraId="5DE0BDE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拟在本项目担任的工作岗位</w:t>
            </w:r>
          </w:p>
        </w:tc>
      </w:tr>
      <w:tr w14:paraId="24BD0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vMerge w:val="continue"/>
            <w:noWrap w:val="0"/>
            <w:vAlign w:val="center"/>
          </w:tcPr>
          <w:p w14:paraId="5DA9D54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vMerge w:val="continue"/>
            <w:noWrap w:val="0"/>
            <w:vAlign w:val="center"/>
          </w:tcPr>
          <w:p w14:paraId="792E72B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14:paraId="3E745D0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证书名称</w:t>
            </w:r>
          </w:p>
        </w:tc>
        <w:tc>
          <w:tcPr>
            <w:tcW w:w="484" w:type="pct"/>
            <w:noWrap w:val="0"/>
            <w:vAlign w:val="center"/>
          </w:tcPr>
          <w:p w14:paraId="044C9E5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级别</w:t>
            </w:r>
          </w:p>
        </w:tc>
        <w:tc>
          <w:tcPr>
            <w:tcW w:w="510" w:type="pct"/>
            <w:noWrap w:val="0"/>
            <w:vAlign w:val="center"/>
          </w:tcPr>
          <w:p w14:paraId="4E9B020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证号</w:t>
            </w:r>
          </w:p>
        </w:tc>
        <w:tc>
          <w:tcPr>
            <w:tcW w:w="434" w:type="pct"/>
            <w:noWrap w:val="0"/>
            <w:vAlign w:val="center"/>
          </w:tcPr>
          <w:p w14:paraId="612FDB3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专业</w:t>
            </w:r>
          </w:p>
        </w:tc>
        <w:tc>
          <w:tcPr>
            <w:tcW w:w="1275" w:type="pct"/>
            <w:noWrap w:val="0"/>
            <w:vAlign w:val="center"/>
          </w:tcPr>
          <w:p w14:paraId="2B3F517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p>
        </w:tc>
        <w:tc>
          <w:tcPr>
            <w:tcW w:w="905" w:type="pct"/>
            <w:vMerge w:val="continue"/>
            <w:noWrap w:val="0"/>
            <w:vAlign w:val="center"/>
          </w:tcPr>
          <w:p w14:paraId="79CEF1F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247F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14:paraId="7C8DF4D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14:paraId="5212686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14:paraId="42204BF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14:paraId="5525F94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14:paraId="69DD4D7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14:paraId="483B7DE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14:paraId="10DA862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14:paraId="6344315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1614A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14:paraId="22D563C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14:paraId="5679F5F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14:paraId="0B7E54A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14:paraId="2E8AFB9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14:paraId="34AA244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14:paraId="2203283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14:paraId="3D2B204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14:paraId="5D3F0DB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741E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14:paraId="1FECA13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14:paraId="1D4C951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14:paraId="675E2D1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14:paraId="3E1ACFB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14:paraId="776F106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14:paraId="3F314DA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14:paraId="368C780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14:paraId="1F30CF7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03A7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14:paraId="346463E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14:paraId="2F42F74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14:paraId="44013A9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14:paraId="045FF3B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14:paraId="68DC0AB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14:paraId="5337C36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14:paraId="4686F3C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14:paraId="4814F95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F326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14:paraId="1A9A300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14:paraId="309CD1D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14:paraId="4EB8A8B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14:paraId="08DD1C9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14:paraId="389B9F8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14:paraId="62F86E6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14:paraId="4C5268C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14:paraId="5B783CF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2EF9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14:paraId="6AACEEF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14:paraId="58816DB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14:paraId="45B8663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14:paraId="797F580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14:paraId="37D290A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14:paraId="6602F86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14:paraId="43A5036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14:paraId="00F6002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7A6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14:paraId="7CB7BB5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14:paraId="218B62D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14:paraId="6F5F2BF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14:paraId="6239926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14:paraId="7F6CAAA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14:paraId="379B479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14:paraId="66F2634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14:paraId="6AAE5FF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86C0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14:paraId="36C1954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14:paraId="58F5161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14:paraId="0118950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14:paraId="3CAFA4B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14:paraId="1984C48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14:paraId="2889DC4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14:paraId="1717F28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14:paraId="72F9E22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0EC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14:paraId="053D582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14:paraId="11457FE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14:paraId="59FE167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14:paraId="62E0436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14:paraId="1F60B69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14:paraId="1B46F1E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14:paraId="5C6C10A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14:paraId="4828645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14:paraId="514DA4EF">
      <w:pPr>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说明：项目管理机构人员是指项目经理。</w:t>
      </w:r>
    </w:p>
    <w:p w14:paraId="1F66AD05">
      <w:pPr>
        <w:bidi w:val="0"/>
        <w:rPr>
          <w:rFonts w:hint="eastAsia"/>
        </w:rPr>
      </w:pPr>
      <w:r>
        <w:rPr>
          <w:rFonts w:hint="eastAsia"/>
        </w:rPr>
        <w:br w:type="page"/>
      </w:r>
      <w:bookmarkStart w:id="1098" w:name="_Toc9178585"/>
      <w:bookmarkStart w:id="1099" w:name="_Toc300678575"/>
    </w:p>
    <w:bookmarkEnd w:id="1098"/>
    <w:bookmarkEnd w:id="1099"/>
    <w:p w14:paraId="151B4C9C">
      <w:pPr>
        <w:pStyle w:val="6"/>
        <w:bidi w:val="0"/>
        <w:rPr>
          <w:rFonts w:hint="eastAsia"/>
        </w:rPr>
      </w:pPr>
      <w:bookmarkStart w:id="1100" w:name="_Toc79998445"/>
      <w:bookmarkStart w:id="1101" w:name="_Toc80006269"/>
      <w:bookmarkStart w:id="1102" w:name="_Toc79998889"/>
      <w:bookmarkStart w:id="1103" w:name="_Toc300678576"/>
      <w:bookmarkStart w:id="1104" w:name="_Toc80006159"/>
      <w:r>
        <w:rPr>
          <w:rFonts w:hint="eastAsia"/>
        </w:rPr>
        <w:t>（2）拟任项目经理简历表</w:t>
      </w:r>
    </w:p>
    <w:bookmarkEnd w:id="1100"/>
    <w:bookmarkEnd w:id="1101"/>
    <w:bookmarkEnd w:id="1102"/>
    <w:bookmarkEnd w:id="1103"/>
    <w:bookmarkEnd w:id="1104"/>
    <w:tbl>
      <w:tblPr>
        <w:tblStyle w:val="4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8"/>
        <w:gridCol w:w="1153"/>
        <w:gridCol w:w="1266"/>
        <w:gridCol w:w="1420"/>
        <w:gridCol w:w="2055"/>
        <w:gridCol w:w="2091"/>
      </w:tblGrid>
      <w:tr w14:paraId="3DCB7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14:paraId="78FD9A7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1302" w:type="pct"/>
            <w:gridSpan w:val="2"/>
            <w:noWrap w:val="0"/>
            <w:vAlign w:val="center"/>
          </w:tcPr>
          <w:p w14:paraId="5B77CD9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5" w:type="pct"/>
            <w:noWrap w:val="0"/>
            <w:vAlign w:val="center"/>
          </w:tcPr>
          <w:p w14:paraId="2695D3A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称</w:t>
            </w:r>
          </w:p>
        </w:tc>
        <w:tc>
          <w:tcPr>
            <w:tcW w:w="2231" w:type="pct"/>
            <w:gridSpan w:val="2"/>
            <w:noWrap w:val="0"/>
            <w:vAlign w:val="center"/>
          </w:tcPr>
          <w:p w14:paraId="3CF3F66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29794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14:paraId="5F3DB29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p>
        </w:tc>
        <w:tc>
          <w:tcPr>
            <w:tcW w:w="621" w:type="pct"/>
            <w:noWrap w:val="0"/>
            <w:vAlign w:val="center"/>
          </w:tcPr>
          <w:p w14:paraId="10226F2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81" w:type="pct"/>
            <w:noWrap w:val="0"/>
            <w:vAlign w:val="center"/>
          </w:tcPr>
          <w:p w14:paraId="090E4AB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年龄</w:t>
            </w:r>
          </w:p>
        </w:tc>
        <w:tc>
          <w:tcPr>
            <w:tcW w:w="765" w:type="pct"/>
            <w:noWrap w:val="0"/>
            <w:vAlign w:val="center"/>
          </w:tcPr>
          <w:p w14:paraId="3AB4BB7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14:paraId="0EDD2CD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拟在本工程任职</w:t>
            </w:r>
          </w:p>
        </w:tc>
        <w:tc>
          <w:tcPr>
            <w:tcW w:w="1124" w:type="pct"/>
            <w:noWrap w:val="0"/>
            <w:vAlign w:val="center"/>
          </w:tcPr>
          <w:p w14:paraId="0D94028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w:t>
            </w:r>
          </w:p>
        </w:tc>
      </w:tr>
      <w:tr w14:paraId="6F6ED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02" w:type="pct"/>
            <w:gridSpan w:val="3"/>
            <w:noWrap w:val="0"/>
            <w:vAlign w:val="center"/>
          </w:tcPr>
          <w:p w14:paraId="787C45D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注册建造师执业资格等级</w:t>
            </w:r>
          </w:p>
        </w:tc>
        <w:tc>
          <w:tcPr>
            <w:tcW w:w="765" w:type="pct"/>
            <w:noWrap w:val="0"/>
            <w:vAlign w:val="center"/>
          </w:tcPr>
          <w:p w14:paraId="74ACFFE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级</w:t>
            </w:r>
          </w:p>
        </w:tc>
        <w:tc>
          <w:tcPr>
            <w:tcW w:w="1107" w:type="pct"/>
            <w:noWrap w:val="0"/>
            <w:vAlign w:val="center"/>
          </w:tcPr>
          <w:p w14:paraId="735B59D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建造师专业</w:t>
            </w:r>
          </w:p>
        </w:tc>
        <w:tc>
          <w:tcPr>
            <w:tcW w:w="1124" w:type="pct"/>
            <w:noWrap w:val="0"/>
            <w:vAlign w:val="center"/>
          </w:tcPr>
          <w:p w14:paraId="3C914CA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4B58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02" w:type="pct"/>
            <w:gridSpan w:val="3"/>
            <w:noWrap w:val="0"/>
            <w:vAlign w:val="center"/>
          </w:tcPr>
          <w:p w14:paraId="2ABD822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安全生产考核合格证书证号</w:t>
            </w:r>
          </w:p>
        </w:tc>
        <w:tc>
          <w:tcPr>
            <w:tcW w:w="2997" w:type="pct"/>
            <w:gridSpan w:val="3"/>
            <w:noWrap w:val="0"/>
            <w:vAlign w:val="center"/>
          </w:tcPr>
          <w:p w14:paraId="555717B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056D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6"/>
            <w:noWrap w:val="0"/>
            <w:vAlign w:val="center"/>
          </w:tcPr>
          <w:p w14:paraId="1826B2C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主要工作经历</w:t>
            </w:r>
          </w:p>
        </w:tc>
      </w:tr>
      <w:tr w14:paraId="69AA2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14:paraId="072BB37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起止时间</w:t>
            </w:r>
          </w:p>
        </w:tc>
        <w:tc>
          <w:tcPr>
            <w:tcW w:w="2068" w:type="pct"/>
            <w:gridSpan w:val="3"/>
            <w:noWrap w:val="0"/>
            <w:vAlign w:val="center"/>
          </w:tcPr>
          <w:p w14:paraId="103674E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参加过的类似项目名称</w:t>
            </w:r>
          </w:p>
        </w:tc>
        <w:tc>
          <w:tcPr>
            <w:tcW w:w="1107" w:type="pct"/>
            <w:noWrap w:val="0"/>
            <w:vAlign w:val="center"/>
          </w:tcPr>
          <w:p w14:paraId="13702E8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工程概况说明</w:t>
            </w:r>
          </w:p>
        </w:tc>
        <w:tc>
          <w:tcPr>
            <w:tcW w:w="1124" w:type="pct"/>
            <w:noWrap w:val="0"/>
            <w:vAlign w:val="center"/>
          </w:tcPr>
          <w:p w14:paraId="79481DD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发包人及联系电话</w:t>
            </w:r>
          </w:p>
        </w:tc>
      </w:tr>
      <w:tr w14:paraId="0A19B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14:paraId="51D28F8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68" w:type="pct"/>
            <w:gridSpan w:val="3"/>
            <w:noWrap w:val="0"/>
            <w:vAlign w:val="center"/>
          </w:tcPr>
          <w:p w14:paraId="5C7B4F7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14:paraId="4A79971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24" w:type="pct"/>
            <w:noWrap w:val="0"/>
            <w:vAlign w:val="center"/>
          </w:tcPr>
          <w:p w14:paraId="02425F2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54E71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14:paraId="120C414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p w14:paraId="7550F93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68" w:type="pct"/>
            <w:gridSpan w:val="3"/>
            <w:noWrap w:val="0"/>
            <w:vAlign w:val="center"/>
          </w:tcPr>
          <w:p w14:paraId="06EB56A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14:paraId="65C3B68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24" w:type="pct"/>
            <w:noWrap w:val="0"/>
            <w:vAlign w:val="center"/>
          </w:tcPr>
          <w:p w14:paraId="00B708C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1742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14:paraId="01BC75A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68" w:type="pct"/>
            <w:gridSpan w:val="3"/>
            <w:noWrap w:val="0"/>
            <w:vAlign w:val="center"/>
          </w:tcPr>
          <w:p w14:paraId="10E38C1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14:paraId="7758582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24" w:type="pct"/>
            <w:noWrap w:val="0"/>
            <w:vAlign w:val="center"/>
          </w:tcPr>
          <w:p w14:paraId="78924A3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7CB8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6"/>
            <w:noWrap w:val="0"/>
            <w:vAlign w:val="center"/>
          </w:tcPr>
          <w:p w14:paraId="044F711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获奖情况</w:t>
            </w:r>
          </w:p>
        </w:tc>
      </w:tr>
      <w:tr w14:paraId="4E8C6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14:paraId="2B6CA41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68" w:type="pct"/>
            <w:gridSpan w:val="3"/>
            <w:noWrap w:val="0"/>
            <w:vAlign w:val="center"/>
          </w:tcPr>
          <w:p w14:paraId="47A59BE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14:paraId="720295C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24" w:type="pct"/>
            <w:noWrap w:val="0"/>
            <w:vAlign w:val="center"/>
          </w:tcPr>
          <w:p w14:paraId="50199CD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4E82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14:paraId="616E11C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68" w:type="pct"/>
            <w:gridSpan w:val="3"/>
            <w:noWrap w:val="0"/>
            <w:vAlign w:val="center"/>
          </w:tcPr>
          <w:p w14:paraId="3A1C524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14:paraId="1DFBA8D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24" w:type="pct"/>
            <w:noWrap w:val="0"/>
            <w:vAlign w:val="center"/>
          </w:tcPr>
          <w:p w14:paraId="642B4C7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14:paraId="624B3FB0">
      <w:pPr>
        <w:spacing w:line="30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27426ACA">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1.请提供拟任项目经理的建造师注册证书、项目负责人安全生产考核合格证书、身份证的复印件。</w:t>
      </w:r>
    </w:p>
    <w:p w14:paraId="07AC93F7">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拟任本招标项目的项目经理在其他项目担任项目经理并发生过变更撤换的，投标人应当在投标文件中如实注明其变更撤换情况，提供经住房城乡建设主管部门备案的变更撤换资料复印件（或其官方网站查询的变更撤换信息的截图）和竣工验收资料复印件（项目已竣工的提供）。未发生以上情形的，请投标人提供不存在上述情形的承诺书（格式自拟）。（适用于：项目经理业绩、奖项加分的项目，且投标人在投标文件中已按招标文件规定提供符合加分的项目经理业绩或奖项证明材料的）</w:t>
      </w:r>
    </w:p>
    <w:p w14:paraId="3B2D2512">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3.类似工程业绩考核期限</w:t>
      </w:r>
      <w:r>
        <w:rPr>
          <w:rFonts w:hint="eastAsia" w:ascii="宋体" w:hAnsi="宋体" w:eastAsia="宋体" w:cs="宋体"/>
          <w:color w:val="auto"/>
          <w:sz w:val="24"/>
          <w:szCs w:val="24"/>
          <w:highlight w:val="none"/>
          <w:lang w:val="en-US" w:eastAsia="zh-CN"/>
        </w:rPr>
        <w:t>自投标截止之日前</w:t>
      </w:r>
      <w:r>
        <w:rPr>
          <w:rFonts w:hint="eastAsia" w:ascii="宋体" w:hAnsi="宋体" w:eastAsia="宋体" w:cs="宋体"/>
          <w:color w:val="auto"/>
          <w:sz w:val="24"/>
          <w:szCs w:val="24"/>
          <w:highlight w:val="none"/>
          <w:lang w:eastAsia="zh-CN"/>
        </w:rPr>
        <w:t>3年</w:t>
      </w:r>
      <w:r>
        <w:rPr>
          <w:rFonts w:hint="eastAsia" w:ascii="宋体" w:hAnsi="宋体" w:eastAsia="宋体" w:cs="宋体"/>
          <w:color w:val="auto"/>
          <w:sz w:val="24"/>
          <w:szCs w:val="24"/>
          <w:highlight w:val="none"/>
        </w:rPr>
        <w:t>，自竣工验收资料中建设单位签字之日起计算。类似工程业绩考核依据中竣工验收备案表未体现建设单位签字之日的以竣工验收备案表“竣工验收日期”栏中注明的时间为准）。</w:t>
      </w:r>
    </w:p>
    <w:p w14:paraId="34004F82">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4.请附类似工程业绩证明资料（具体要求见本招标文件第二章投标人须知）。</w:t>
      </w:r>
    </w:p>
    <w:p w14:paraId="469F552F">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5.请附拟任项目经理奖项证明文件（关键页）复印件（具体要求见本招标文件第三章评标办法）。</w:t>
      </w:r>
    </w:p>
    <w:p w14:paraId="27F6CE13">
      <w:pPr>
        <w:ind w:firstLine="480" w:firstLineChars="200"/>
        <w:rPr>
          <w:rFonts w:hint="eastAsia" w:ascii="宋体" w:hAnsi="宋体" w:eastAsia="宋体" w:cs="宋体"/>
          <w:color w:val="auto"/>
          <w:sz w:val="24"/>
          <w:szCs w:val="24"/>
          <w:highlight w:val="none"/>
        </w:rPr>
      </w:pPr>
    </w:p>
    <w:p w14:paraId="3993EE59">
      <w:pPr>
        <w:ind w:firstLine="480" w:firstLineChars="200"/>
        <w:rPr>
          <w:rFonts w:hint="eastAsia" w:ascii="宋体" w:hAnsi="宋体" w:eastAsia="宋体" w:cs="宋体"/>
          <w:color w:val="auto"/>
          <w:sz w:val="24"/>
          <w:szCs w:val="24"/>
          <w:highlight w:val="none"/>
        </w:rPr>
      </w:pPr>
    </w:p>
    <w:p w14:paraId="73823377">
      <w:pPr>
        <w:ind w:firstLine="480" w:firstLineChars="200"/>
        <w:rPr>
          <w:rFonts w:hint="eastAsia" w:ascii="宋体" w:hAnsi="宋体" w:eastAsia="宋体" w:cs="宋体"/>
          <w:color w:val="auto"/>
          <w:sz w:val="24"/>
          <w:szCs w:val="24"/>
          <w:highlight w:val="none"/>
        </w:rPr>
      </w:pPr>
    </w:p>
    <w:p w14:paraId="131848BA">
      <w:pPr>
        <w:ind w:firstLine="480" w:firstLineChars="200"/>
        <w:rPr>
          <w:rFonts w:hint="eastAsia" w:ascii="宋体" w:hAnsi="宋体" w:eastAsia="宋体" w:cs="宋体"/>
          <w:color w:val="auto"/>
          <w:sz w:val="24"/>
          <w:szCs w:val="24"/>
          <w:highlight w:val="none"/>
        </w:rPr>
      </w:pPr>
    </w:p>
    <w:p w14:paraId="6B74C5A8">
      <w:pPr>
        <w:ind w:firstLine="480" w:firstLineChars="200"/>
        <w:rPr>
          <w:rFonts w:hint="eastAsia" w:ascii="宋体" w:hAnsi="宋体" w:eastAsia="宋体" w:cs="宋体"/>
          <w:color w:val="auto"/>
          <w:sz w:val="24"/>
          <w:szCs w:val="24"/>
          <w:highlight w:val="none"/>
        </w:rPr>
      </w:pPr>
    </w:p>
    <w:p w14:paraId="3F94DCF1">
      <w:pPr>
        <w:pStyle w:val="6"/>
        <w:bidi w:val="0"/>
        <w:rPr>
          <w:rFonts w:hint="eastAsia"/>
        </w:rPr>
      </w:pPr>
      <w:bookmarkStart w:id="1105" w:name="_Toc300678578"/>
      <w:r>
        <w:rPr>
          <w:rFonts w:hint="eastAsia"/>
        </w:rPr>
        <w:t>（3）项目经理自评表</w:t>
      </w:r>
    </w:p>
    <w:tbl>
      <w:tblPr>
        <w:tblStyle w:val="4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9"/>
        <w:gridCol w:w="4777"/>
        <w:gridCol w:w="2149"/>
      </w:tblGrid>
      <w:tr w14:paraId="5CA1F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3842" w:type="pct"/>
            <w:gridSpan w:val="2"/>
            <w:noWrap w:val="0"/>
            <w:vAlign w:val="center"/>
          </w:tcPr>
          <w:p w14:paraId="2120236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评审内容</w:t>
            </w:r>
          </w:p>
          <w:p w14:paraId="248E7FE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（项目名称、奖项名称）</w:t>
            </w:r>
          </w:p>
        </w:tc>
        <w:tc>
          <w:tcPr>
            <w:tcW w:w="1157" w:type="pct"/>
            <w:noWrap w:val="0"/>
            <w:vAlign w:val="center"/>
          </w:tcPr>
          <w:p w14:paraId="4A68CCF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p w14:paraId="43033FD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材料所在的页码</w:t>
            </w:r>
          </w:p>
        </w:tc>
      </w:tr>
      <w:tr w14:paraId="4B20C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1270" w:type="pct"/>
            <w:noWrap w:val="0"/>
            <w:vAlign w:val="center"/>
          </w:tcPr>
          <w:p w14:paraId="6F456EA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业绩</w:t>
            </w:r>
          </w:p>
        </w:tc>
        <w:tc>
          <w:tcPr>
            <w:tcW w:w="2571" w:type="pct"/>
            <w:noWrap w:val="0"/>
            <w:vAlign w:val="top"/>
          </w:tcPr>
          <w:p w14:paraId="115190F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7" w:type="pct"/>
            <w:noWrap w:val="0"/>
            <w:vAlign w:val="top"/>
          </w:tcPr>
          <w:p w14:paraId="59DFC98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13AC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1270" w:type="pct"/>
            <w:vMerge w:val="restart"/>
            <w:noWrap w:val="0"/>
            <w:vAlign w:val="center"/>
          </w:tcPr>
          <w:p w14:paraId="12F496B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奖项</w:t>
            </w:r>
          </w:p>
        </w:tc>
        <w:tc>
          <w:tcPr>
            <w:tcW w:w="2571" w:type="pct"/>
            <w:noWrap w:val="0"/>
            <w:vAlign w:val="top"/>
          </w:tcPr>
          <w:p w14:paraId="0FC36A1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7" w:type="pct"/>
            <w:noWrap w:val="0"/>
            <w:vAlign w:val="top"/>
          </w:tcPr>
          <w:p w14:paraId="65C6DEE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16BDB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70" w:type="pct"/>
            <w:vMerge w:val="continue"/>
            <w:noWrap w:val="0"/>
            <w:vAlign w:val="center"/>
          </w:tcPr>
          <w:p w14:paraId="1401F95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571" w:type="pct"/>
            <w:noWrap w:val="0"/>
            <w:vAlign w:val="top"/>
          </w:tcPr>
          <w:p w14:paraId="4DE2A990">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1157" w:type="pct"/>
            <w:noWrap w:val="0"/>
            <w:vAlign w:val="top"/>
          </w:tcPr>
          <w:p w14:paraId="28B0D73F">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r>
      <w:tr w14:paraId="34AE4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70" w:type="pct"/>
            <w:vMerge w:val="restart"/>
            <w:noWrap w:val="0"/>
            <w:vAlign w:val="center"/>
          </w:tcPr>
          <w:p w14:paraId="309A2EA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不良信用信息</w:t>
            </w:r>
          </w:p>
        </w:tc>
        <w:tc>
          <w:tcPr>
            <w:tcW w:w="2571" w:type="pct"/>
            <w:noWrap w:val="0"/>
            <w:vAlign w:val="top"/>
          </w:tcPr>
          <w:p w14:paraId="12106C17">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1157" w:type="pct"/>
            <w:noWrap w:val="0"/>
            <w:vAlign w:val="top"/>
          </w:tcPr>
          <w:p w14:paraId="4132762F">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r>
      <w:tr w14:paraId="467F3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270" w:type="pct"/>
            <w:vMerge w:val="continue"/>
            <w:noWrap w:val="0"/>
            <w:vAlign w:val="top"/>
          </w:tcPr>
          <w:p w14:paraId="192EC9E4">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571" w:type="pct"/>
            <w:noWrap w:val="0"/>
            <w:vAlign w:val="top"/>
          </w:tcPr>
          <w:p w14:paraId="2FF2BF8A">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1157" w:type="pct"/>
            <w:noWrap w:val="0"/>
            <w:vAlign w:val="top"/>
          </w:tcPr>
          <w:p w14:paraId="50ADDDA4">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r>
    </w:tbl>
    <w:p w14:paraId="74D4A2A9">
      <w:pPr>
        <w:rPr>
          <w:rFonts w:hint="eastAsia" w:ascii="宋体" w:hAnsi="宋体" w:eastAsia="宋体" w:cs="宋体"/>
          <w:color w:val="auto"/>
          <w:sz w:val="24"/>
          <w:szCs w:val="24"/>
          <w:highlight w:val="none"/>
        </w:rPr>
      </w:pPr>
    </w:p>
    <w:bookmarkEnd w:id="1105"/>
    <w:p w14:paraId="21111893">
      <w:pPr>
        <w:rPr>
          <w:rFonts w:hint="eastAsia" w:ascii="宋体" w:hAnsi="宋体" w:eastAsia="宋体" w:cs="宋体"/>
          <w:color w:val="auto"/>
          <w:sz w:val="24"/>
          <w:szCs w:val="24"/>
          <w:highlight w:val="none"/>
        </w:rPr>
      </w:pPr>
      <w:bookmarkStart w:id="1106" w:name="_Toc300678579"/>
    </w:p>
    <w:p w14:paraId="56326DA8">
      <w:pPr>
        <w:rPr>
          <w:rFonts w:hint="eastAsia" w:ascii="宋体" w:hAnsi="宋体" w:eastAsia="宋体" w:cs="宋体"/>
          <w:color w:val="auto"/>
          <w:sz w:val="24"/>
          <w:szCs w:val="24"/>
          <w:highlight w:val="none"/>
        </w:rPr>
      </w:pPr>
    </w:p>
    <w:p w14:paraId="306E9E7C">
      <w:pPr>
        <w:rPr>
          <w:rFonts w:hint="eastAsia" w:ascii="宋体" w:hAnsi="宋体" w:eastAsia="宋体" w:cs="宋体"/>
          <w:color w:val="auto"/>
          <w:sz w:val="24"/>
          <w:szCs w:val="24"/>
          <w:highlight w:val="none"/>
        </w:rPr>
      </w:pPr>
    </w:p>
    <w:p w14:paraId="3ED2EE9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34CFAA2">
      <w:pPr>
        <w:pStyle w:val="7"/>
        <w:bidi w:val="0"/>
        <w:rPr>
          <w:rFonts w:hint="eastAsia"/>
        </w:rPr>
      </w:pPr>
      <w:bookmarkStart w:id="1107" w:name="_Toc80006160"/>
      <w:bookmarkStart w:id="1108" w:name="_Toc9178586"/>
      <w:bookmarkStart w:id="1109" w:name="_Toc22234"/>
      <w:r>
        <w:rPr>
          <w:rFonts w:hint="eastAsia"/>
        </w:rPr>
        <w:t>7.拟分包计划表</w:t>
      </w:r>
      <w:bookmarkEnd w:id="1106"/>
      <w:bookmarkEnd w:id="1107"/>
      <w:bookmarkEnd w:id="1108"/>
      <w:bookmarkEnd w:id="1109"/>
    </w:p>
    <w:tbl>
      <w:tblPr>
        <w:tblStyle w:val="4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
        <w:gridCol w:w="2140"/>
        <w:gridCol w:w="838"/>
        <w:gridCol w:w="1062"/>
        <w:gridCol w:w="1196"/>
        <w:gridCol w:w="1189"/>
        <w:gridCol w:w="1194"/>
        <w:gridCol w:w="713"/>
      </w:tblGrid>
      <w:tr w14:paraId="290F7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restart"/>
            <w:noWrap w:val="0"/>
            <w:tcMar>
              <w:left w:w="108" w:type="dxa"/>
              <w:right w:w="108" w:type="dxa"/>
            </w:tcMar>
            <w:vAlign w:val="center"/>
          </w:tcPr>
          <w:p w14:paraId="5BC0D4B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152" w:type="pct"/>
            <w:vMerge w:val="restart"/>
            <w:noWrap w:val="0"/>
            <w:vAlign w:val="center"/>
          </w:tcPr>
          <w:p w14:paraId="29A78E5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拟分包项目名称、范围及理由</w:t>
            </w:r>
          </w:p>
        </w:tc>
        <w:tc>
          <w:tcPr>
            <w:tcW w:w="2950" w:type="pct"/>
            <w:gridSpan w:val="5"/>
            <w:noWrap w:val="0"/>
            <w:vAlign w:val="center"/>
          </w:tcPr>
          <w:p w14:paraId="76BCBE5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拟选分包人</w:t>
            </w:r>
          </w:p>
        </w:tc>
        <w:tc>
          <w:tcPr>
            <w:tcW w:w="384" w:type="pct"/>
            <w:vMerge w:val="restart"/>
            <w:noWrap w:val="0"/>
            <w:vAlign w:val="center"/>
          </w:tcPr>
          <w:p w14:paraId="5EE4344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6E5A0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14:paraId="54172A9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14:paraId="731335D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023" w:type="pct"/>
            <w:gridSpan w:val="2"/>
            <w:noWrap w:val="0"/>
            <w:vAlign w:val="center"/>
          </w:tcPr>
          <w:p w14:paraId="778DF4F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拟选分包人名称</w:t>
            </w:r>
          </w:p>
        </w:tc>
        <w:tc>
          <w:tcPr>
            <w:tcW w:w="644" w:type="pct"/>
            <w:noWrap w:val="0"/>
            <w:vAlign w:val="center"/>
          </w:tcPr>
          <w:p w14:paraId="4CA3EE9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注册地点</w:t>
            </w:r>
          </w:p>
        </w:tc>
        <w:tc>
          <w:tcPr>
            <w:tcW w:w="640" w:type="pct"/>
            <w:noWrap w:val="0"/>
            <w:vAlign w:val="center"/>
          </w:tcPr>
          <w:p w14:paraId="60F70E1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企业资质</w:t>
            </w:r>
          </w:p>
        </w:tc>
        <w:tc>
          <w:tcPr>
            <w:tcW w:w="641" w:type="pct"/>
            <w:noWrap w:val="0"/>
            <w:vAlign w:val="center"/>
          </w:tcPr>
          <w:p w14:paraId="7A38509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有关业绩</w:t>
            </w:r>
          </w:p>
        </w:tc>
        <w:tc>
          <w:tcPr>
            <w:tcW w:w="384" w:type="pct"/>
            <w:vMerge w:val="continue"/>
            <w:noWrap w:val="0"/>
            <w:vAlign w:val="center"/>
          </w:tcPr>
          <w:p w14:paraId="7072C54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1EC29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restart"/>
            <w:noWrap w:val="0"/>
            <w:tcMar>
              <w:left w:w="108" w:type="dxa"/>
              <w:right w:w="108" w:type="dxa"/>
            </w:tcMar>
            <w:vAlign w:val="center"/>
          </w:tcPr>
          <w:p w14:paraId="73BADE8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restart"/>
            <w:noWrap w:val="0"/>
            <w:vAlign w:val="center"/>
          </w:tcPr>
          <w:p w14:paraId="1F6D286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505B252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571" w:type="pct"/>
            <w:noWrap w:val="0"/>
            <w:vAlign w:val="center"/>
          </w:tcPr>
          <w:p w14:paraId="0077265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2D6488C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1910CBC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70DED4F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2498B70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51FA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14:paraId="5D6F138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14:paraId="0BEE53A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783C2FA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571" w:type="pct"/>
            <w:noWrap w:val="0"/>
            <w:vAlign w:val="center"/>
          </w:tcPr>
          <w:p w14:paraId="52F5C7B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0EA11CD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2E0F32A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16433C8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24E572C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4217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14:paraId="46EC5DD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14:paraId="484E71E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77CC994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71" w:type="pct"/>
            <w:noWrap w:val="0"/>
            <w:vAlign w:val="center"/>
          </w:tcPr>
          <w:p w14:paraId="2A7CF56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57D1FF8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0599B6B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2F8B412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54A552B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55208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restart"/>
            <w:noWrap w:val="0"/>
            <w:tcMar>
              <w:left w:w="108" w:type="dxa"/>
              <w:right w:w="108" w:type="dxa"/>
            </w:tcMar>
            <w:vAlign w:val="center"/>
          </w:tcPr>
          <w:p w14:paraId="7B468A9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restart"/>
            <w:noWrap w:val="0"/>
            <w:vAlign w:val="center"/>
          </w:tcPr>
          <w:p w14:paraId="486401C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1882C49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571" w:type="pct"/>
            <w:noWrap w:val="0"/>
            <w:vAlign w:val="center"/>
          </w:tcPr>
          <w:p w14:paraId="6DC5E02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08C026B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712FFCD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00421F2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7A960F7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65F9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14:paraId="2879E5A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14:paraId="5C68000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13AF7E2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571" w:type="pct"/>
            <w:noWrap w:val="0"/>
            <w:vAlign w:val="center"/>
          </w:tcPr>
          <w:p w14:paraId="2D20545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0C49A93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59855A2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5102804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7DCF553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29C5D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14:paraId="2DED3D8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14:paraId="54FE138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3AADE4F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71" w:type="pct"/>
            <w:noWrap w:val="0"/>
            <w:vAlign w:val="center"/>
          </w:tcPr>
          <w:p w14:paraId="719DB26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518C706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583CF63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4B55AA4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089A76D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F544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restart"/>
            <w:noWrap w:val="0"/>
            <w:tcMar>
              <w:left w:w="108" w:type="dxa"/>
              <w:right w:w="108" w:type="dxa"/>
            </w:tcMar>
            <w:vAlign w:val="center"/>
          </w:tcPr>
          <w:p w14:paraId="604E145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restart"/>
            <w:noWrap w:val="0"/>
            <w:vAlign w:val="center"/>
          </w:tcPr>
          <w:p w14:paraId="37CF02E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3D69F29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571" w:type="pct"/>
            <w:noWrap w:val="0"/>
            <w:vAlign w:val="center"/>
          </w:tcPr>
          <w:p w14:paraId="4E18118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3CD0FCB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1BFEC04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1AF302E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6F07B64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1D816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14:paraId="240A278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14:paraId="162F931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38CA307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571" w:type="pct"/>
            <w:noWrap w:val="0"/>
            <w:vAlign w:val="center"/>
          </w:tcPr>
          <w:p w14:paraId="00349C8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1DC0D37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65EBE9B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790EF63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03C7BAE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68C2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14:paraId="1C57947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14:paraId="61D01FB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5EA89D6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71" w:type="pct"/>
            <w:noWrap w:val="0"/>
            <w:vAlign w:val="center"/>
          </w:tcPr>
          <w:p w14:paraId="2A95993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2B38581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19F8EE4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02220CD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6B77294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C993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restart"/>
            <w:noWrap w:val="0"/>
            <w:tcMar>
              <w:left w:w="108" w:type="dxa"/>
              <w:right w:w="108" w:type="dxa"/>
            </w:tcMar>
            <w:vAlign w:val="center"/>
          </w:tcPr>
          <w:p w14:paraId="0DC9E40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restart"/>
            <w:noWrap w:val="0"/>
            <w:vAlign w:val="center"/>
          </w:tcPr>
          <w:p w14:paraId="1B05090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60F12AB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571" w:type="pct"/>
            <w:noWrap w:val="0"/>
            <w:vAlign w:val="center"/>
          </w:tcPr>
          <w:p w14:paraId="3A4C820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3B45E95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6D424D3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5BC8394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404242D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BA32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14:paraId="7684099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14:paraId="69F0F5A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44D02E8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571" w:type="pct"/>
            <w:noWrap w:val="0"/>
            <w:vAlign w:val="center"/>
          </w:tcPr>
          <w:p w14:paraId="41EE96F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29EB0C7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5E2C23F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1FFBC43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2BD7BDE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B43A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14:paraId="5923F1F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14:paraId="51DED68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4FDE08C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71" w:type="pct"/>
            <w:noWrap w:val="0"/>
            <w:vAlign w:val="center"/>
          </w:tcPr>
          <w:p w14:paraId="2AC87C1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2587829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0803DBF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541AC01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0E25911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14:paraId="2D3E3E8D">
      <w:pPr>
        <w:spacing w:line="360" w:lineRule="auto"/>
        <w:ind w:right="42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说明：本表所列分包仅限于承包人自行施工范围内的非主体、非关键工程。</w:t>
      </w:r>
    </w:p>
    <w:p w14:paraId="3C917569">
      <w:pPr>
        <w:pStyle w:val="7"/>
        <w:bidi w:val="0"/>
        <w:rPr>
          <w:rFonts w:hint="eastAsia" w:ascii="宋体" w:hAnsi="宋体" w:eastAsia="宋体" w:cs="宋体"/>
          <w:b/>
          <w:bCs/>
          <w:color w:val="auto"/>
          <w:szCs w:val="24"/>
          <w:highlight w:val="none"/>
        </w:rPr>
      </w:pPr>
      <w:bookmarkStart w:id="1110" w:name="_Toc300678580"/>
      <w:r>
        <w:rPr>
          <w:rFonts w:hint="eastAsia" w:ascii="宋体" w:hAnsi="宋体" w:eastAsia="宋体" w:cs="宋体"/>
          <w:bCs/>
          <w:color w:val="auto"/>
          <w:szCs w:val="24"/>
          <w:highlight w:val="none"/>
        </w:rPr>
        <w:br w:type="page"/>
      </w:r>
      <w:bookmarkStart w:id="1111" w:name="_Toc9178587"/>
      <w:r>
        <w:rPr>
          <w:rFonts w:hint="eastAsia"/>
        </w:rPr>
        <w:t>8.资格审查等资料</w:t>
      </w:r>
      <w:bookmarkEnd w:id="1110"/>
      <w:bookmarkEnd w:id="1111"/>
    </w:p>
    <w:p w14:paraId="7194A59B">
      <w:pPr>
        <w:pStyle w:val="6"/>
        <w:bidi w:val="0"/>
        <w:rPr>
          <w:rFonts w:hint="eastAsia"/>
        </w:rPr>
      </w:pPr>
      <w:bookmarkStart w:id="1112" w:name="_Toc300678581"/>
      <w:r>
        <w:rPr>
          <w:rFonts w:hint="eastAsia"/>
        </w:rPr>
        <w:t>（1）投标人基本情况表</w:t>
      </w:r>
      <w:bookmarkEnd w:id="1112"/>
    </w:p>
    <w:tbl>
      <w:tblPr>
        <w:tblStyle w:val="4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0"/>
        <w:gridCol w:w="1168"/>
        <w:gridCol w:w="1059"/>
        <w:gridCol w:w="918"/>
        <w:gridCol w:w="464"/>
        <w:gridCol w:w="1387"/>
        <w:gridCol w:w="288"/>
        <w:gridCol w:w="788"/>
        <w:gridCol w:w="1343"/>
      </w:tblGrid>
      <w:tr w14:paraId="3A8BC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14:paraId="603679F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w:t>
            </w:r>
          </w:p>
        </w:tc>
        <w:tc>
          <w:tcPr>
            <w:tcW w:w="3992" w:type="pct"/>
            <w:gridSpan w:val="8"/>
            <w:noWrap w:val="0"/>
            <w:vAlign w:val="center"/>
          </w:tcPr>
          <w:p w14:paraId="24F9716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8DA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14:paraId="7EDD1CB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p>
        </w:tc>
        <w:tc>
          <w:tcPr>
            <w:tcW w:w="1943" w:type="pct"/>
            <w:gridSpan w:val="4"/>
            <w:noWrap w:val="0"/>
            <w:vAlign w:val="center"/>
          </w:tcPr>
          <w:p w14:paraId="03D06EF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47" w:type="pct"/>
            <w:noWrap w:val="0"/>
            <w:vAlign w:val="center"/>
          </w:tcPr>
          <w:p w14:paraId="131214D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1301" w:type="pct"/>
            <w:gridSpan w:val="3"/>
            <w:noWrap w:val="0"/>
            <w:vAlign w:val="center"/>
          </w:tcPr>
          <w:p w14:paraId="22CA990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58277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vMerge w:val="restart"/>
            <w:noWrap w:val="0"/>
            <w:vAlign w:val="center"/>
          </w:tcPr>
          <w:p w14:paraId="30AD125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w:t>
            </w:r>
          </w:p>
        </w:tc>
        <w:tc>
          <w:tcPr>
            <w:tcW w:w="629" w:type="pct"/>
            <w:noWrap w:val="0"/>
            <w:vAlign w:val="center"/>
          </w:tcPr>
          <w:p w14:paraId="1E05FA3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tc>
        <w:tc>
          <w:tcPr>
            <w:tcW w:w="1313" w:type="pct"/>
            <w:gridSpan w:val="3"/>
            <w:noWrap w:val="0"/>
            <w:vAlign w:val="center"/>
          </w:tcPr>
          <w:p w14:paraId="0CD2DB0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47" w:type="pct"/>
            <w:noWrap w:val="0"/>
            <w:vAlign w:val="center"/>
          </w:tcPr>
          <w:p w14:paraId="610D8D1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tc>
        <w:tc>
          <w:tcPr>
            <w:tcW w:w="1301" w:type="pct"/>
            <w:gridSpan w:val="3"/>
            <w:noWrap w:val="0"/>
            <w:vAlign w:val="center"/>
          </w:tcPr>
          <w:p w14:paraId="5277ED4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5D41A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vMerge w:val="continue"/>
            <w:noWrap w:val="0"/>
            <w:vAlign w:val="center"/>
          </w:tcPr>
          <w:p w14:paraId="5EA8517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29" w:type="pct"/>
            <w:noWrap w:val="0"/>
            <w:vAlign w:val="center"/>
          </w:tcPr>
          <w:p w14:paraId="1E7DA24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真</w:t>
            </w:r>
          </w:p>
        </w:tc>
        <w:tc>
          <w:tcPr>
            <w:tcW w:w="1313" w:type="pct"/>
            <w:gridSpan w:val="3"/>
            <w:noWrap w:val="0"/>
            <w:vAlign w:val="center"/>
          </w:tcPr>
          <w:p w14:paraId="18DC600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47" w:type="pct"/>
            <w:noWrap w:val="0"/>
            <w:vAlign w:val="center"/>
          </w:tcPr>
          <w:p w14:paraId="0E6653C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网  址</w:t>
            </w:r>
          </w:p>
        </w:tc>
        <w:tc>
          <w:tcPr>
            <w:tcW w:w="1301" w:type="pct"/>
            <w:gridSpan w:val="3"/>
            <w:noWrap w:val="0"/>
            <w:vAlign w:val="center"/>
          </w:tcPr>
          <w:p w14:paraId="6B11DEF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5A48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14:paraId="7F0996D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组织结构</w:t>
            </w:r>
          </w:p>
        </w:tc>
        <w:tc>
          <w:tcPr>
            <w:tcW w:w="3992" w:type="pct"/>
            <w:gridSpan w:val="8"/>
            <w:noWrap w:val="0"/>
            <w:vAlign w:val="center"/>
          </w:tcPr>
          <w:p w14:paraId="5812B72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5AE7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14:paraId="42E4669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629" w:type="pct"/>
            <w:noWrap w:val="0"/>
            <w:vAlign w:val="center"/>
          </w:tcPr>
          <w:p w14:paraId="4C50CB2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569" w:type="pct"/>
            <w:noWrap w:val="0"/>
            <w:vAlign w:val="center"/>
          </w:tcPr>
          <w:p w14:paraId="76EA6E7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44" w:type="pct"/>
            <w:gridSpan w:val="2"/>
            <w:noWrap w:val="0"/>
            <w:vAlign w:val="center"/>
          </w:tcPr>
          <w:p w14:paraId="0312080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902" w:type="pct"/>
            <w:gridSpan w:val="2"/>
            <w:noWrap w:val="0"/>
            <w:vAlign w:val="center"/>
          </w:tcPr>
          <w:p w14:paraId="0BEA378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24" w:type="pct"/>
            <w:noWrap w:val="0"/>
            <w:vAlign w:val="center"/>
          </w:tcPr>
          <w:p w14:paraId="44B4611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721" w:type="pct"/>
            <w:noWrap w:val="0"/>
            <w:vAlign w:val="center"/>
          </w:tcPr>
          <w:p w14:paraId="3821128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EC70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14:paraId="56E9896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技术负责人</w:t>
            </w:r>
          </w:p>
        </w:tc>
        <w:tc>
          <w:tcPr>
            <w:tcW w:w="629" w:type="pct"/>
            <w:noWrap w:val="0"/>
            <w:vAlign w:val="center"/>
          </w:tcPr>
          <w:p w14:paraId="3AEB45E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569" w:type="pct"/>
            <w:noWrap w:val="0"/>
            <w:vAlign w:val="center"/>
          </w:tcPr>
          <w:p w14:paraId="7CE65D6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44" w:type="pct"/>
            <w:gridSpan w:val="2"/>
            <w:noWrap w:val="0"/>
            <w:vAlign w:val="center"/>
          </w:tcPr>
          <w:p w14:paraId="3C3B703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902" w:type="pct"/>
            <w:gridSpan w:val="2"/>
            <w:noWrap w:val="0"/>
            <w:vAlign w:val="center"/>
          </w:tcPr>
          <w:p w14:paraId="7F00118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24" w:type="pct"/>
            <w:noWrap w:val="0"/>
            <w:vAlign w:val="center"/>
          </w:tcPr>
          <w:p w14:paraId="08BAE28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721" w:type="pct"/>
            <w:noWrap w:val="0"/>
            <w:vAlign w:val="center"/>
          </w:tcPr>
          <w:p w14:paraId="5D07088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8300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14:paraId="213A0EB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p>
        </w:tc>
        <w:tc>
          <w:tcPr>
            <w:tcW w:w="1199" w:type="pct"/>
            <w:gridSpan w:val="2"/>
            <w:noWrap w:val="0"/>
            <w:vAlign w:val="center"/>
          </w:tcPr>
          <w:p w14:paraId="5B83BB1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793" w:type="pct"/>
            <w:gridSpan w:val="6"/>
            <w:noWrap w:val="0"/>
            <w:vAlign w:val="center"/>
          </w:tcPr>
          <w:p w14:paraId="242C9F0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员工总人数：</w:t>
            </w:r>
          </w:p>
        </w:tc>
      </w:tr>
      <w:tr w14:paraId="28EF3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14:paraId="52E484A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企业资质等级</w:t>
            </w:r>
          </w:p>
        </w:tc>
        <w:tc>
          <w:tcPr>
            <w:tcW w:w="629" w:type="pct"/>
            <w:noWrap w:val="0"/>
            <w:vAlign w:val="center"/>
          </w:tcPr>
          <w:p w14:paraId="34457E8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69" w:type="pct"/>
            <w:noWrap w:val="0"/>
            <w:vAlign w:val="center"/>
          </w:tcPr>
          <w:p w14:paraId="4A68253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94" w:type="pct"/>
            <w:vMerge w:val="restart"/>
            <w:noWrap w:val="0"/>
            <w:vAlign w:val="center"/>
          </w:tcPr>
          <w:p w14:paraId="676647D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tc>
        <w:tc>
          <w:tcPr>
            <w:tcW w:w="1152" w:type="pct"/>
            <w:gridSpan w:val="3"/>
            <w:noWrap w:val="0"/>
            <w:vAlign w:val="center"/>
          </w:tcPr>
          <w:p w14:paraId="0AC94F9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项目经理人员</w:t>
            </w:r>
          </w:p>
        </w:tc>
        <w:tc>
          <w:tcPr>
            <w:tcW w:w="1146" w:type="pct"/>
            <w:gridSpan w:val="2"/>
            <w:noWrap w:val="0"/>
            <w:vAlign w:val="center"/>
          </w:tcPr>
          <w:p w14:paraId="0FAB61C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1C4B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14:paraId="1C7A6A9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营业执照号</w:t>
            </w:r>
          </w:p>
        </w:tc>
        <w:tc>
          <w:tcPr>
            <w:tcW w:w="629" w:type="pct"/>
            <w:noWrap w:val="0"/>
            <w:vAlign w:val="center"/>
          </w:tcPr>
          <w:p w14:paraId="4D9E021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69" w:type="pct"/>
            <w:noWrap w:val="0"/>
            <w:vAlign w:val="center"/>
          </w:tcPr>
          <w:p w14:paraId="24BE814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94" w:type="pct"/>
            <w:vMerge w:val="continue"/>
            <w:noWrap w:val="0"/>
            <w:vAlign w:val="center"/>
          </w:tcPr>
          <w:p w14:paraId="09A8905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gridSpan w:val="3"/>
            <w:noWrap w:val="0"/>
            <w:vAlign w:val="center"/>
          </w:tcPr>
          <w:p w14:paraId="5272998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高级职称人员</w:t>
            </w:r>
          </w:p>
        </w:tc>
        <w:tc>
          <w:tcPr>
            <w:tcW w:w="1146" w:type="pct"/>
            <w:gridSpan w:val="2"/>
            <w:noWrap w:val="0"/>
            <w:vAlign w:val="center"/>
          </w:tcPr>
          <w:p w14:paraId="6D18730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4112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14:paraId="4EC8BD9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注册资金</w:t>
            </w:r>
          </w:p>
        </w:tc>
        <w:tc>
          <w:tcPr>
            <w:tcW w:w="629" w:type="pct"/>
            <w:noWrap w:val="0"/>
            <w:vAlign w:val="center"/>
          </w:tcPr>
          <w:p w14:paraId="6E114AE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69" w:type="pct"/>
            <w:noWrap w:val="0"/>
            <w:vAlign w:val="center"/>
          </w:tcPr>
          <w:p w14:paraId="157AB92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94" w:type="pct"/>
            <w:vMerge w:val="continue"/>
            <w:noWrap w:val="0"/>
            <w:vAlign w:val="center"/>
          </w:tcPr>
          <w:p w14:paraId="112783D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gridSpan w:val="3"/>
            <w:noWrap w:val="0"/>
            <w:vAlign w:val="center"/>
          </w:tcPr>
          <w:p w14:paraId="12E5302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中级职称人员</w:t>
            </w:r>
          </w:p>
        </w:tc>
        <w:tc>
          <w:tcPr>
            <w:tcW w:w="1146" w:type="pct"/>
            <w:gridSpan w:val="2"/>
            <w:noWrap w:val="0"/>
            <w:vAlign w:val="center"/>
          </w:tcPr>
          <w:p w14:paraId="36AF52D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4097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14:paraId="1D68A58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629" w:type="pct"/>
            <w:noWrap w:val="0"/>
            <w:vAlign w:val="center"/>
          </w:tcPr>
          <w:p w14:paraId="3BD6423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69" w:type="pct"/>
            <w:noWrap w:val="0"/>
            <w:vAlign w:val="center"/>
          </w:tcPr>
          <w:p w14:paraId="4A5EC46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94" w:type="pct"/>
            <w:vMerge w:val="continue"/>
            <w:noWrap w:val="0"/>
            <w:vAlign w:val="center"/>
          </w:tcPr>
          <w:p w14:paraId="5E70119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gridSpan w:val="3"/>
            <w:noWrap w:val="0"/>
            <w:vAlign w:val="center"/>
          </w:tcPr>
          <w:p w14:paraId="7BD58C5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初级职称人员</w:t>
            </w:r>
          </w:p>
        </w:tc>
        <w:tc>
          <w:tcPr>
            <w:tcW w:w="1146" w:type="pct"/>
            <w:gridSpan w:val="2"/>
            <w:noWrap w:val="0"/>
            <w:vAlign w:val="center"/>
          </w:tcPr>
          <w:p w14:paraId="03A4BAF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A076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14:paraId="6A7FC14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629" w:type="pct"/>
            <w:noWrap w:val="0"/>
            <w:vAlign w:val="center"/>
          </w:tcPr>
          <w:p w14:paraId="3A25BEE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69" w:type="pct"/>
            <w:noWrap w:val="0"/>
            <w:vAlign w:val="center"/>
          </w:tcPr>
          <w:p w14:paraId="37FC214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94" w:type="pct"/>
            <w:vMerge w:val="continue"/>
            <w:noWrap w:val="0"/>
            <w:vAlign w:val="center"/>
          </w:tcPr>
          <w:p w14:paraId="7588F35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gridSpan w:val="3"/>
            <w:noWrap w:val="0"/>
            <w:vAlign w:val="center"/>
          </w:tcPr>
          <w:p w14:paraId="07C4F3A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  工</w:t>
            </w:r>
          </w:p>
        </w:tc>
        <w:tc>
          <w:tcPr>
            <w:tcW w:w="1146" w:type="pct"/>
            <w:gridSpan w:val="2"/>
            <w:noWrap w:val="0"/>
            <w:vAlign w:val="center"/>
          </w:tcPr>
          <w:p w14:paraId="793BEBD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7D71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1007" w:type="pct"/>
            <w:noWrap w:val="0"/>
            <w:vAlign w:val="center"/>
          </w:tcPr>
          <w:p w14:paraId="1D6D53C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经营范围</w:t>
            </w:r>
          </w:p>
        </w:tc>
        <w:tc>
          <w:tcPr>
            <w:tcW w:w="3992" w:type="pct"/>
            <w:gridSpan w:val="8"/>
            <w:noWrap w:val="0"/>
            <w:vAlign w:val="center"/>
          </w:tcPr>
          <w:p w14:paraId="321936C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9E9E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1007" w:type="pct"/>
            <w:noWrap w:val="0"/>
            <w:vAlign w:val="center"/>
          </w:tcPr>
          <w:p w14:paraId="360F10D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c>
          <w:tcPr>
            <w:tcW w:w="3992" w:type="pct"/>
            <w:gridSpan w:val="8"/>
            <w:noWrap w:val="0"/>
            <w:vAlign w:val="center"/>
          </w:tcPr>
          <w:p w14:paraId="4A9D1D4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14:paraId="2F080D2E">
      <w:pPr>
        <w:jc w:val="center"/>
        <w:rPr>
          <w:rFonts w:hint="eastAsia" w:ascii="宋体" w:hAnsi="宋体" w:eastAsia="宋体" w:cs="宋体"/>
          <w:color w:val="auto"/>
          <w:sz w:val="24"/>
          <w:szCs w:val="24"/>
          <w:highlight w:val="none"/>
        </w:rPr>
      </w:pPr>
    </w:p>
    <w:p w14:paraId="40B75B32">
      <w:pPr>
        <w:spacing w:line="300" w:lineRule="auto"/>
        <w:ind w:left="719" w:leftChars="228" w:hanging="240" w:hanging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说明：若以联合体形式投标的，则</w:t>
      </w:r>
      <w:r>
        <w:rPr>
          <w:rFonts w:hint="eastAsia" w:ascii="宋体" w:hAnsi="宋体" w:eastAsia="宋体" w:cs="宋体"/>
          <w:color w:val="auto"/>
          <w:sz w:val="24"/>
          <w:szCs w:val="24"/>
          <w:highlight w:val="none"/>
          <w:lang w:eastAsia="zh-CN"/>
        </w:rPr>
        <w:t>联合体各方</w:t>
      </w:r>
      <w:r>
        <w:rPr>
          <w:rFonts w:hint="eastAsia" w:ascii="宋体" w:hAnsi="宋体" w:eastAsia="宋体" w:cs="宋体"/>
          <w:color w:val="auto"/>
          <w:sz w:val="24"/>
          <w:szCs w:val="24"/>
          <w:highlight w:val="none"/>
        </w:rPr>
        <w:t>均须分别填写《投标人基本情况表》</w:t>
      </w:r>
    </w:p>
    <w:p w14:paraId="778B3096">
      <w:pPr>
        <w:spacing w:line="300" w:lineRule="auto"/>
        <w:ind w:left="720" w:hanging="720" w:hanging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384357F">
      <w:pPr>
        <w:pStyle w:val="5"/>
        <w:bidi w:val="0"/>
        <w:ind w:left="0" w:leftChars="0" w:firstLine="482" w:firstLineChars="200"/>
        <w:rPr>
          <w:rFonts w:hint="eastAsia"/>
        </w:rPr>
      </w:pPr>
      <w:bookmarkStart w:id="1113" w:name="_Toc11255"/>
      <w:bookmarkStart w:id="1114" w:name="_Toc22513"/>
      <w:bookmarkStart w:id="1115" w:name="_Toc300678583"/>
      <w:r>
        <w:rPr>
          <w:rFonts w:hint="eastAsia"/>
        </w:rPr>
        <w:t>（2）投标人证件复印件</w:t>
      </w:r>
      <w:bookmarkEnd w:id="1113"/>
      <w:bookmarkEnd w:id="1114"/>
    </w:p>
    <w:p w14:paraId="0E7683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说明：复印件包括企业营业执照、资质证书、安全生产许可证书的复印件。</w:t>
      </w:r>
    </w:p>
    <w:p w14:paraId="17827DAB">
      <w:pPr>
        <w:spacing w:line="360" w:lineRule="auto"/>
        <w:ind w:firstLine="600" w:firstLineChars="250"/>
        <w:rPr>
          <w:rFonts w:hint="eastAsia" w:ascii="宋体" w:hAnsi="宋体" w:eastAsia="宋体" w:cs="宋体"/>
          <w:color w:val="auto"/>
          <w:sz w:val="24"/>
          <w:szCs w:val="24"/>
          <w:highlight w:val="none"/>
        </w:rPr>
      </w:pPr>
    </w:p>
    <w:p w14:paraId="56B214DF">
      <w:pPr>
        <w:pStyle w:val="6"/>
        <w:bidi w:val="0"/>
        <w:rPr>
          <w:rFonts w:hint="eastAsia"/>
        </w:rPr>
      </w:pPr>
      <w:r>
        <w:rPr>
          <w:rFonts w:hint="eastAsia"/>
        </w:rPr>
        <w:t>（3）近年完成的类似工程业绩情况表</w:t>
      </w:r>
      <w:bookmarkEnd w:id="1115"/>
    </w:p>
    <w:tbl>
      <w:tblPr>
        <w:tblStyle w:val="4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2"/>
        <w:gridCol w:w="6603"/>
      </w:tblGrid>
      <w:tr w14:paraId="74438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3ECFBAF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3555" w:type="pct"/>
            <w:noWrap w:val="0"/>
            <w:vAlign w:val="center"/>
          </w:tcPr>
          <w:p w14:paraId="17D5DE3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61E3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739109A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项目所在地</w:t>
            </w:r>
          </w:p>
        </w:tc>
        <w:tc>
          <w:tcPr>
            <w:tcW w:w="3555" w:type="pct"/>
            <w:noWrap w:val="0"/>
            <w:vAlign w:val="center"/>
          </w:tcPr>
          <w:p w14:paraId="5519EB6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DE8E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723C61F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发包人名称</w:t>
            </w:r>
          </w:p>
        </w:tc>
        <w:tc>
          <w:tcPr>
            <w:tcW w:w="3555" w:type="pct"/>
            <w:noWrap w:val="0"/>
            <w:vAlign w:val="center"/>
          </w:tcPr>
          <w:p w14:paraId="2C6D9C5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6D98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236B4A1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发包人地址</w:t>
            </w:r>
          </w:p>
        </w:tc>
        <w:tc>
          <w:tcPr>
            <w:tcW w:w="3555" w:type="pct"/>
            <w:noWrap w:val="0"/>
            <w:vAlign w:val="center"/>
          </w:tcPr>
          <w:p w14:paraId="3A7C7D1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0AC5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30F8FB9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发包人联系人及电话</w:t>
            </w:r>
          </w:p>
        </w:tc>
        <w:tc>
          <w:tcPr>
            <w:tcW w:w="3555" w:type="pct"/>
            <w:noWrap w:val="0"/>
            <w:vAlign w:val="center"/>
          </w:tcPr>
          <w:p w14:paraId="1EBA492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3322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16511DB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合同价格</w:t>
            </w:r>
          </w:p>
        </w:tc>
        <w:tc>
          <w:tcPr>
            <w:tcW w:w="3555" w:type="pct"/>
            <w:noWrap w:val="0"/>
            <w:vAlign w:val="center"/>
          </w:tcPr>
          <w:p w14:paraId="2513F99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EBB7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6D2336F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开工日期</w:t>
            </w:r>
          </w:p>
        </w:tc>
        <w:tc>
          <w:tcPr>
            <w:tcW w:w="3555" w:type="pct"/>
            <w:noWrap w:val="0"/>
            <w:vAlign w:val="center"/>
          </w:tcPr>
          <w:p w14:paraId="5C941AA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A093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7859EAE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竣工日期</w:t>
            </w:r>
          </w:p>
        </w:tc>
        <w:tc>
          <w:tcPr>
            <w:tcW w:w="3555" w:type="pct"/>
            <w:noWrap w:val="0"/>
            <w:vAlign w:val="center"/>
          </w:tcPr>
          <w:p w14:paraId="2514478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F40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3822D2B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承担的工作</w:t>
            </w:r>
          </w:p>
        </w:tc>
        <w:tc>
          <w:tcPr>
            <w:tcW w:w="3555" w:type="pct"/>
            <w:noWrap w:val="0"/>
            <w:vAlign w:val="center"/>
          </w:tcPr>
          <w:p w14:paraId="25A7F52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9DD1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13ED75C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w:t>
            </w:r>
          </w:p>
        </w:tc>
        <w:tc>
          <w:tcPr>
            <w:tcW w:w="3555" w:type="pct"/>
            <w:noWrap w:val="0"/>
            <w:vAlign w:val="center"/>
          </w:tcPr>
          <w:p w14:paraId="77FB4F9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4ABA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2665C9E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w:t>
            </w:r>
          </w:p>
        </w:tc>
        <w:tc>
          <w:tcPr>
            <w:tcW w:w="3555" w:type="pct"/>
            <w:noWrap w:val="0"/>
            <w:vAlign w:val="center"/>
          </w:tcPr>
          <w:p w14:paraId="0524C9A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11CCC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5B193E2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技术负责人</w:t>
            </w:r>
          </w:p>
        </w:tc>
        <w:tc>
          <w:tcPr>
            <w:tcW w:w="3555" w:type="pct"/>
            <w:noWrap w:val="0"/>
            <w:vAlign w:val="center"/>
          </w:tcPr>
          <w:p w14:paraId="4D7390F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18E36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63D10C4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总监理工程师及电话</w:t>
            </w:r>
          </w:p>
        </w:tc>
        <w:tc>
          <w:tcPr>
            <w:tcW w:w="3555" w:type="pct"/>
            <w:noWrap w:val="0"/>
            <w:vAlign w:val="center"/>
          </w:tcPr>
          <w:p w14:paraId="032DA77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C5B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1B1810A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项目描述</w:t>
            </w:r>
          </w:p>
        </w:tc>
        <w:tc>
          <w:tcPr>
            <w:tcW w:w="3555" w:type="pct"/>
            <w:noWrap w:val="0"/>
            <w:vAlign w:val="center"/>
          </w:tcPr>
          <w:p w14:paraId="382425B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610F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6D6092A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c>
          <w:tcPr>
            <w:tcW w:w="3555" w:type="pct"/>
            <w:noWrap w:val="0"/>
            <w:vAlign w:val="center"/>
          </w:tcPr>
          <w:p w14:paraId="3A137BB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14:paraId="0D8507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bookmarkStart w:id="1116" w:name="_Hlk75203509"/>
    </w:p>
    <w:p w14:paraId="50591B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1.类似工程业绩考核期限</w:t>
      </w:r>
      <w:r>
        <w:rPr>
          <w:rFonts w:hint="eastAsia" w:ascii="宋体" w:hAnsi="宋体" w:eastAsia="宋体" w:cs="宋体"/>
          <w:color w:val="auto"/>
          <w:sz w:val="24"/>
          <w:szCs w:val="24"/>
          <w:highlight w:val="none"/>
          <w:lang w:val="en-US" w:eastAsia="zh-CN"/>
        </w:rPr>
        <w:t>自投标截止之日前</w:t>
      </w:r>
      <w:r>
        <w:rPr>
          <w:rFonts w:hint="eastAsia" w:ascii="宋体" w:hAnsi="宋体" w:eastAsia="宋体" w:cs="宋体"/>
          <w:color w:val="auto"/>
          <w:sz w:val="24"/>
          <w:szCs w:val="24"/>
          <w:highlight w:val="none"/>
          <w:lang w:eastAsia="zh-CN"/>
        </w:rPr>
        <w:t>3年</w:t>
      </w:r>
      <w:r>
        <w:rPr>
          <w:rFonts w:hint="eastAsia" w:ascii="宋体" w:hAnsi="宋体" w:eastAsia="宋体" w:cs="宋体"/>
          <w:color w:val="auto"/>
          <w:sz w:val="24"/>
          <w:szCs w:val="24"/>
          <w:highlight w:val="none"/>
        </w:rPr>
        <w:t>，自竣工验收资料中建设单位签字之日起计算。类似工程业绩考核依据中竣工验收备案表未体现建设单位签字之日的以竣工验收备案表“竣工验收日期”栏中注明的时间为准）。</w:t>
      </w:r>
    </w:p>
    <w:p w14:paraId="4AA52F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2.请附类似工程业绩证明资料（具体要求见本招标文件第二章投标人须知）。</w:t>
      </w:r>
      <w:bookmarkStart w:id="1117" w:name="_Toc300678584"/>
    </w:p>
    <w:bookmarkEnd w:id="1116"/>
    <w:bookmarkEnd w:id="1117"/>
    <w:p w14:paraId="008869E3">
      <w:pPr>
        <w:spacing w:line="400" w:lineRule="exact"/>
        <w:rPr>
          <w:rFonts w:hint="eastAsia" w:ascii="宋体" w:hAnsi="宋体" w:eastAsia="宋体" w:cs="宋体"/>
          <w:color w:val="auto"/>
          <w:sz w:val="24"/>
          <w:szCs w:val="24"/>
          <w:highlight w:val="none"/>
        </w:rPr>
      </w:pPr>
    </w:p>
    <w:p w14:paraId="0A3AB0DE">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br w:type="page"/>
      </w:r>
    </w:p>
    <w:p w14:paraId="2D5917EC">
      <w:pPr>
        <w:pStyle w:val="6"/>
        <w:bidi w:val="0"/>
        <w:rPr>
          <w:rFonts w:hint="eastAsia"/>
        </w:rPr>
      </w:pPr>
      <w:r>
        <w:rPr>
          <w:rFonts w:hint="eastAsia"/>
        </w:rPr>
        <w:t>（4）</w:t>
      </w:r>
      <w:bookmarkStart w:id="1118" w:name="_Hlk53732994"/>
      <w:r>
        <w:rPr>
          <w:rFonts w:hint="eastAsia"/>
        </w:rPr>
        <w:t>投标人奖项情况</w:t>
      </w:r>
      <w:bookmarkEnd w:id="1118"/>
    </w:p>
    <w:tbl>
      <w:tblPr>
        <w:tblStyle w:val="4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3402"/>
        <w:gridCol w:w="2322"/>
        <w:gridCol w:w="2322"/>
      </w:tblGrid>
      <w:tr w14:paraId="192A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14:paraId="2945519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831" w:type="pct"/>
            <w:noWrap w:val="0"/>
            <w:vAlign w:val="center"/>
          </w:tcPr>
          <w:p w14:paraId="25C6F99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w:t>
            </w:r>
          </w:p>
        </w:tc>
        <w:tc>
          <w:tcPr>
            <w:tcW w:w="1250" w:type="pct"/>
            <w:noWrap w:val="0"/>
            <w:vAlign w:val="center"/>
          </w:tcPr>
          <w:p w14:paraId="67B0108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奖项名称</w:t>
            </w:r>
          </w:p>
        </w:tc>
        <w:tc>
          <w:tcPr>
            <w:tcW w:w="1250" w:type="pct"/>
            <w:noWrap w:val="0"/>
            <w:vAlign w:val="center"/>
          </w:tcPr>
          <w:p w14:paraId="33783B1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获奖时间</w:t>
            </w:r>
          </w:p>
        </w:tc>
      </w:tr>
      <w:tr w14:paraId="1BC63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14:paraId="272F0B7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14:paraId="0CBFBD4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2595031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585A2EB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784E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14:paraId="45E7ECA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14:paraId="0F81881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4E46993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4DCE92A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214C6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14:paraId="3D41B05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14:paraId="19F41BF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64C7231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76763BA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14:paraId="1E3345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w:t>
      </w:r>
    </w:p>
    <w:p w14:paraId="0E0951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请附奖项证明资料复印件（具体要求见本招标文件第三章评标办法）</w:t>
      </w:r>
      <w:r>
        <w:rPr>
          <w:rFonts w:hint="eastAsia" w:ascii="宋体" w:hAnsi="宋体" w:eastAsia="宋体" w:cs="宋体"/>
          <w:color w:val="auto"/>
          <w:sz w:val="24"/>
          <w:szCs w:val="24"/>
          <w:highlight w:val="none"/>
          <w:lang w:eastAsia="zh-CN"/>
        </w:rPr>
        <w:t>；</w:t>
      </w:r>
    </w:p>
    <w:p w14:paraId="763550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2.省</w:t>
      </w:r>
      <w:r>
        <w:rPr>
          <w:rFonts w:hint="eastAsia" w:ascii="宋体" w:hAnsi="宋体" w:eastAsia="宋体" w:cs="宋体"/>
          <w:color w:val="auto"/>
          <w:sz w:val="24"/>
          <w:szCs w:val="24"/>
          <w:highlight w:val="none"/>
        </w:rPr>
        <w:t>外由省级建设行政主管部门或省级建筑业协会评定的综合工程质量奖项，</w:t>
      </w:r>
      <w:r>
        <w:rPr>
          <w:rFonts w:hint="eastAsia" w:ascii="宋体" w:hAnsi="宋体" w:eastAsia="宋体" w:cs="宋体"/>
          <w:color w:val="auto"/>
          <w:sz w:val="24"/>
          <w:szCs w:val="24"/>
          <w:highlight w:val="none"/>
          <w:lang w:val="en-US" w:eastAsia="zh-CN"/>
        </w:rPr>
        <w:t>须提供</w:t>
      </w:r>
      <w:r>
        <w:rPr>
          <w:rFonts w:hint="eastAsia" w:ascii="宋体" w:hAnsi="宋体" w:eastAsia="宋体" w:cs="宋体"/>
          <w:color w:val="auto"/>
          <w:sz w:val="24"/>
          <w:szCs w:val="24"/>
          <w:highlight w:val="none"/>
        </w:rPr>
        <w:t>当地省级建设行政主管部门发布的评标办法</w:t>
      </w:r>
      <w:r>
        <w:rPr>
          <w:rFonts w:hint="eastAsia" w:ascii="宋体" w:hAnsi="宋体" w:eastAsia="宋体" w:cs="宋体"/>
          <w:color w:val="auto"/>
          <w:sz w:val="24"/>
          <w:szCs w:val="24"/>
          <w:highlight w:val="none"/>
          <w:lang w:val="en-US" w:eastAsia="zh-CN"/>
        </w:rPr>
        <w:t>文件复印件及官网查询截图</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证明</w:t>
      </w:r>
      <w:r>
        <w:rPr>
          <w:rFonts w:hint="eastAsia" w:ascii="宋体" w:hAnsi="宋体" w:eastAsia="宋体" w:cs="宋体"/>
          <w:color w:val="auto"/>
          <w:sz w:val="24"/>
          <w:szCs w:val="24"/>
          <w:highlight w:val="none"/>
        </w:rPr>
        <w:t>每年该综合工程质量奖项数量控制在 100 项以内 (含)的</w:t>
      </w:r>
      <w:r>
        <w:rPr>
          <w:rFonts w:hint="eastAsia" w:ascii="宋体" w:hAnsi="宋体" w:eastAsia="宋体" w:cs="宋体"/>
          <w:color w:val="auto"/>
          <w:sz w:val="24"/>
          <w:szCs w:val="24"/>
          <w:highlight w:val="none"/>
          <w:lang w:val="en-US" w:eastAsia="zh-CN"/>
        </w:rPr>
        <w:t>文件复印件（如有）</w:t>
      </w:r>
      <w:r>
        <w:rPr>
          <w:rFonts w:hint="eastAsia" w:ascii="宋体" w:hAnsi="宋体" w:eastAsia="宋体" w:cs="宋体"/>
          <w:color w:val="auto"/>
          <w:sz w:val="24"/>
          <w:szCs w:val="24"/>
          <w:highlight w:val="none"/>
          <w:lang w:eastAsia="zh-CN"/>
        </w:rPr>
        <w:t>；</w:t>
      </w:r>
    </w:p>
    <w:p w14:paraId="7D9470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获奖文件能够分辨专业类别的，以获奖文件为准；获奖文件中无法分辨专业类别的，</w:t>
      </w:r>
      <w:r>
        <w:rPr>
          <w:rFonts w:hint="eastAsia" w:ascii="宋体" w:hAnsi="宋体" w:eastAsia="宋体" w:cs="宋体"/>
          <w:color w:val="auto"/>
          <w:sz w:val="24"/>
          <w:szCs w:val="24"/>
          <w:highlight w:val="none"/>
          <w:lang w:val="en-US" w:eastAsia="zh-CN"/>
        </w:rPr>
        <w:t>须提供</w:t>
      </w:r>
      <w:r>
        <w:rPr>
          <w:rFonts w:hint="eastAsia" w:ascii="宋体" w:hAnsi="宋体" w:eastAsia="宋体" w:cs="宋体"/>
          <w:color w:val="auto"/>
          <w:sz w:val="24"/>
          <w:szCs w:val="24"/>
          <w:highlight w:val="none"/>
        </w:rPr>
        <w:t>奖项申报材料（省级相应行政主管部门、省级协会盖章的相应材料）；仍然无法辨别专业类别的，须提供获奖项目的中标通知书或合同作为证明材料。</w:t>
      </w:r>
    </w:p>
    <w:p w14:paraId="45944347">
      <w:pPr>
        <w:rPr>
          <w:rFonts w:hint="eastAsia" w:ascii="宋体" w:hAnsi="宋体" w:eastAsia="宋体" w:cs="宋体"/>
          <w:color w:val="auto"/>
          <w:sz w:val="24"/>
          <w:szCs w:val="24"/>
          <w:highlight w:val="none"/>
        </w:rPr>
      </w:pPr>
    </w:p>
    <w:p w14:paraId="059064CC">
      <w:pPr>
        <w:rPr>
          <w:rFonts w:hint="eastAsia" w:ascii="宋体" w:hAnsi="宋体" w:eastAsia="宋体" w:cs="宋体"/>
          <w:color w:val="auto"/>
          <w:sz w:val="24"/>
          <w:szCs w:val="24"/>
          <w:highlight w:val="none"/>
        </w:rPr>
      </w:pPr>
    </w:p>
    <w:p w14:paraId="7340141D">
      <w:pPr>
        <w:pStyle w:val="6"/>
        <w:bidi w:val="0"/>
        <w:rPr>
          <w:rFonts w:hint="eastAsia"/>
        </w:rPr>
      </w:pPr>
      <w:r>
        <w:rPr>
          <w:rFonts w:hint="eastAsia"/>
        </w:rPr>
        <w:t>（5）投标人标准化工地情况</w:t>
      </w:r>
    </w:p>
    <w:tbl>
      <w:tblPr>
        <w:tblStyle w:val="4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3402"/>
        <w:gridCol w:w="2322"/>
        <w:gridCol w:w="2322"/>
      </w:tblGrid>
      <w:tr w14:paraId="36C0E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14:paraId="5FC9F52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831" w:type="pct"/>
            <w:noWrap w:val="0"/>
            <w:vAlign w:val="center"/>
          </w:tcPr>
          <w:p w14:paraId="1B640DD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w:t>
            </w:r>
          </w:p>
        </w:tc>
        <w:tc>
          <w:tcPr>
            <w:tcW w:w="1250" w:type="pct"/>
            <w:noWrap w:val="0"/>
            <w:vAlign w:val="center"/>
          </w:tcPr>
          <w:p w14:paraId="5F4191F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标准化工地名称</w:t>
            </w:r>
          </w:p>
        </w:tc>
        <w:tc>
          <w:tcPr>
            <w:tcW w:w="1250" w:type="pct"/>
            <w:noWrap w:val="0"/>
            <w:vAlign w:val="center"/>
          </w:tcPr>
          <w:p w14:paraId="086744A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获得时间</w:t>
            </w:r>
          </w:p>
        </w:tc>
      </w:tr>
      <w:tr w14:paraId="0502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14:paraId="591B9EF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14:paraId="207131D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52164A2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6A8F325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30C2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14:paraId="07F1AB2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14:paraId="2923AF6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07F921A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6558243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DBA4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14:paraId="684A1BF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14:paraId="6D89A48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78A7DA3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5F2D734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14:paraId="47738B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注：</w:t>
      </w:r>
      <w:r>
        <w:rPr>
          <w:rFonts w:hint="eastAsia" w:ascii="宋体" w:hAnsi="宋体" w:eastAsia="宋体" w:cs="宋体"/>
          <w:color w:val="auto"/>
          <w:sz w:val="24"/>
          <w:szCs w:val="24"/>
          <w:highlight w:val="none"/>
        </w:rPr>
        <w:t>请附标准化工地证明资料复印件（具体要求见本招标文件第三章评标办法）。</w:t>
      </w:r>
    </w:p>
    <w:p w14:paraId="5147F400">
      <w:pPr>
        <w:rPr>
          <w:rFonts w:hint="eastAsia" w:ascii="宋体" w:hAnsi="宋体" w:eastAsia="宋体" w:cs="宋体"/>
          <w:color w:val="auto"/>
          <w:sz w:val="24"/>
          <w:szCs w:val="24"/>
          <w:highlight w:val="none"/>
        </w:rPr>
      </w:pPr>
    </w:p>
    <w:p w14:paraId="0E07B448">
      <w:pPr>
        <w:rPr>
          <w:rFonts w:hint="eastAsia" w:ascii="宋体" w:hAnsi="宋体" w:eastAsia="宋体" w:cs="宋体"/>
          <w:color w:val="auto"/>
          <w:sz w:val="24"/>
          <w:szCs w:val="24"/>
          <w:highlight w:val="none"/>
        </w:rPr>
      </w:pPr>
    </w:p>
    <w:p w14:paraId="70FEB9C8">
      <w:pPr>
        <w:rPr>
          <w:rFonts w:hint="eastAsia" w:ascii="宋体" w:hAnsi="宋体" w:eastAsia="宋体" w:cs="宋体"/>
          <w:color w:val="auto"/>
          <w:sz w:val="24"/>
          <w:szCs w:val="24"/>
          <w:highlight w:val="none"/>
        </w:rPr>
      </w:pPr>
    </w:p>
    <w:p w14:paraId="362576E9">
      <w:pPr>
        <w:pStyle w:val="6"/>
        <w:bidi w:val="0"/>
        <w:rPr>
          <w:rFonts w:hint="eastAsia"/>
        </w:rPr>
      </w:pPr>
      <w:r>
        <w:rPr>
          <w:rFonts w:hint="eastAsia" w:ascii="宋体" w:hAnsi="宋体" w:eastAsia="宋体" w:cs="宋体"/>
          <w:b w:val="0"/>
          <w:bCs w:val="0"/>
          <w:color w:val="auto"/>
          <w:szCs w:val="24"/>
          <w:highlight w:val="none"/>
        </w:rPr>
        <w:br w:type="page"/>
      </w:r>
      <w:bookmarkStart w:id="1119" w:name="_Hlk53733018"/>
      <w:r>
        <w:rPr>
          <w:rFonts w:hint="eastAsia"/>
        </w:rPr>
        <w:t>（6）投标人信用评价情况</w:t>
      </w:r>
      <w:bookmarkEnd w:id="1119"/>
    </w:p>
    <w:p w14:paraId="43229A3E">
      <w:pPr>
        <w:ind w:firstLine="435"/>
        <w:rPr>
          <w:rFonts w:hint="eastAsia" w:ascii="宋体" w:hAnsi="宋体" w:eastAsia="宋体" w:cs="宋体"/>
          <w:color w:val="auto"/>
          <w:sz w:val="24"/>
          <w:szCs w:val="24"/>
          <w:highlight w:val="none"/>
        </w:rPr>
      </w:pPr>
    </w:p>
    <w:tbl>
      <w:tblPr>
        <w:tblStyle w:val="4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6170"/>
      </w:tblGrid>
      <w:tr w14:paraId="667E3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7" w:type="pct"/>
            <w:noWrap w:val="0"/>
            <w:vAlign w:val="center"/>
          </w:tcPr>
          <w:p w14:paraId="5BCE135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p w14:paraId="5C04A54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提交投标文件截止之时</w:t>
            </w:r>
          </w:p>
          <w:p w14:paraId="5067702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最新公</w:t>
            </w:r>
            <w:r>
              <w:rPr>
                <w:rFonts w:hint="eastAsia" w:ascii="宋体" w:hAnsi="宋体" w:eastAsia="宋体" w:cs="宋体"/>
                <w:color w:val="auto"/>
                <w:sz w:val="24"/>
                <w:szCs w:val="24"/>
                <w:highlight w:val="none"/>
                <w:lang w:eastAsia="zh-CN"/>
              </w:rPr>
              <w:t>告</w:t>
            </w:r>
            <w:r>
              <w:rPr>
                <w:rFonts w:hint="eastAsia" w:ascii="宋体" w:hAnsi="宋体" w:eastAsia="宋体" w:cs="宋体"/>
                <w:color w:val="auto"/>
                <w:sz w:val="24"/>
                <w:szCs w:val="24"/>
                <w:highlight w:val="none"/>
              </w:rPr>
              <w:t>的信用评价结果</w:t>
            </w:r>
          </w:p>
          <w:p w14:paraId="1E804EF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22" w:type="pct"/>
            <w:noWrap w:val="0"/>
            <w:vAlign w:val="top"/>
          </w:tcPr>
          <w:p w14:paraId="60B03721">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p w14:paraId="1F0D0B95">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请附“湖南省智慧住建云—湖南省建筑市场监管公共服务平台”上查询的信用评价结果详细信息网页截图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省外企业无施工单位信用评价查询结果的，可以提供注册地省级住房和城乡建设部门提供的施工单位信用评价结果（百分制）作为评审依据。</w:t>
            </w:r>
          </w:p>
        </w:tc>
      </w:tr>
      <w:tr w14:paraId="2405B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7" w:type="pct"/>
            <w:noWrap w:val="0"/>
            <w:vAlign w:val="center"/>
          </w:tcPr>
          <w:p w14:paraId="24B0B30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p w14:paraId="401761B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未参加信用评价的投标人</w:t>
            </w:r>
          </w:p>
        </w:tc>
        <w:tc>
          <w:tcPr>
            <w:tcW w:w="3322" w:type="pct"/>
            <w:noWrap w:val="0"/>
            <w:vAlign w:val="top"/>
          </w:tcPr>
          <w:p w14:paraId="4627D206">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A5FE1BC">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p w14:paraId="1C85CCCB">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注：未参加信用评价的投标人请填写“未参加”，已参加信用评价的投标人请填写“\”。</w:t>
            </w:r>
          </w:p>
        </w:tc>
      </w:tr>
    </w:tbl>
    <w:p w14:paraId="3BC96DF5">
      <w:pPr>
        <w:rPr>
          <w:rFonts w:hint="eastAsia" w:ascii="宋体" w:hAnsi="宋体" w:eastAsia="宋体" w:cs="宋体"/>
          <w:color w:val="auto"/>
          <w:sz w:val="24"/>
          <w:szCs w:val="24"/>
          <w:highlight w:val="none"/>
        </w:rPr>
      </w:pPr>
    </w:p>
    <w:p w14:paraId="5A5BB99F">
      <w:pPr>
        <w:rPr>
          <w:rFonts w:hint="eastAsia" w:ascii="宋体" w:hAnsi="宋体" w:eastAsia="宋体" w:cs="宋体"/>
          <w:color w:val="auto"/>
          <w:sz w:val="24"/>
          <w:szCs w:val="24"/>
          <w:highlight w:val="none"/>
          <w:lang w:val="zh-CN"/>
        </w:rPr>
      </w:pPr>
    </w:p>
    <w:p w14:paraId="75EA466C">
      <w:pPr>
        <w:pStyle w:val="6"/>
        <w:bidi w:val="0"/>
        <w:rPr>
          <w:rFonts w:hint="eastAsia"/>
          <w:sz w:val="24"/>
          <w:szCs w:val="24"/>
        </w:rPr>
      </w:pPr>
      <w:r>
        <w:rPr>
          <w:rFonts w:hint="eastAsia"/>
          <w:sz w:val="24"/>
          <w:szCs w:val="24"/>
        </w:rPr>
        <w:t>（</w:t>
      </w:r>
      <w:r>
        <w:rPr>
          <w:rFonts w:hint="eastAsia"/>
          <w:sz w:val="24"/>
          <w:szCs w:val="24"/>
          <w:lang w:val="en-US" w:eastAsia="zh-CN"/>
        </w:rPr>
        <w:t>7</w:t>
      </w:r>
      <w:r>
        <w:rPr>
          <w:rFonts w:hint="eastAsia"/>
          <w:sz w:val="24"/>
          <w:szCs w:val="24"/>
        </w:rPr>
        <w:t>）投标人施工项目季度考评综合优良率情况</w:t>
      </w:r>
    </w:p>
    <w:p w14:paraId="18057223">
      <w:pPr>
        <w:rPr>
          <w:rFonts w:hint="eastAsia" w:ascii="宋体" w:hAnsi="宋体" w:eastAsia="宋体" w:cs="宋体"/>
          <w:color w:val="auto"/>
          <w:sz w:val="24"/>
          <w:szCs w:val="24"/>
          <w:highlight w:val="none"/>
        </w:rPr>
      </w:pPr>
    </w:p>
    <w:tbl>
      <w:tblPr>
        <w:tblStyle w:val="4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6170"/>
      </w:tblGrid>
      <w:tr w14:paraId="74FAD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7" w:type="pct"/>
            <w:noWrap w:val="0"/>
            <w:vAlign w:val="center"/>
          </w:tcPr>
          <w:p w14:paraId="147615C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提交投标文件截止之时</w:t>
            </w:r>
          </w:p>
          <w:p w14:paraId="36F40D6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最新公布的</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评价结果</w:t>
            </w:r>
          </w:p>
        </w:tc>
        <w:tc>
          <w:tcPr>
            <w:tcW w:w="3322" w:type="pct"/>
            <w:noWrap w:val="0"/>
            <w:vAlign w:val="center"/>
          </w:tcPr>
          <w:p w14:paraId="6FEF0A1C">
            <w:pPr>
              <w:keepNext w:val="0"/>
              <w:keepLines w:val="0"/>
              <w:suppressLineNumbers w:val="0"/>
              <w:spacing w:before="0" w:beforeAutospacing="0" w:after="0" w:afterAutospacing="0"/>
              <w:ind w:left="0" w:right="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请附“湖南省智慧住建云—湖南省建筑市场监管公共服务平台”上查询的</w:t>
            </w:r>
            <w:r>
              <w:rPr>
                <w:rFonts w:hint="eastAsia" w:ascii="宋体" w:hAnsi="宋体" w:eastAsia="宋体" w:cs="宋体"/>
                <w:bCs w:val="0"/>
                <w:color w:val="auto"/>
                <w:sz w:val="24"/>
                <w:szCs w:val="24"/>
                <w:highlight w:val="none"/>
              </w:rPr>
              <w:t>企业</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bCs w:val="0"/>
                <w:color w:val="auto"/>
                <w:sz w:val="24"/>
                <w:szCs w:val="24"/>
                <w:highlight w:val="none"/>
              </w:rPr>
              <w:t>评价结果</w:t>
            </w:r>
            <w:r>
              <w:rPr>
                <w:rFonts w:hint="eastAsia" w:ascii="宋体" w:hAnsi="宋体" w:eastAsia="宋体" w:cs="宋体"/>
                <w:color w:val="auto"/>
                <w:sz w:val="24"/>
                <w:szCs w:val="24"/>
                <w:highlight w:val="none"/>
              </w:rPr>
              <w:t>详细信息网页截图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省外企业无</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查询结果的，可以提供注册地省级住房和城乡建设部门提供的企业</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得分作为评审依据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官网查询截图）</w:t>
            </w:r>
            <w:r>
              <w:rPr>
                <w:rFonts w:hint="eastAsia" w:ascii="宋体" w:hAnsi="宋体" w:eastAsia="宋体" w:cs="宋体"/>
                <w:color w:val="auto"/>
                <w:sz w:val="24"/>
                <w:szCs w:val="24"/>
                <w:highlight w:val="none"/>
                <w:lang w:eastAsia="zh-CN"/>
              </w:rPr>
              <w:t>。</w:t>
            </w:r>
          </w:p>
        </w:tc>
      </w:tr>
      <w:tr w14:paraId="5F8C5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7" w:type="pct"/>
            <w:noWrap w:val="0"/>
            <w:vAlign w:val="center"/>
          </w:tcPr>
          <w:p w14:paraId="60673A0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p w14:paraId="4E943A9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没有参加</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评价的投标人</w:t>
            </w:r>
          </w:p>
        </w:tc>
        <w:tc>
          <w:tcPr>
            <w:tcW w:w="3322" w:type="pct"/>
            <w:noWrap w:val="0"/>
            <w:vAlign w:val="top"/>
          </w:tcPr>
          <w:p w14:paraId="3AC357AD">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p w14:paraId="6A903E25">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p w14:paraId="6226A459">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p w14:paraId="4826AF73">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E7053A9">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p w14:paraId="37DD282D">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注：没有参加</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评价的投标人请填写“未参加”，已参加</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评价的投标人请填写“\”。</w:t>
            </w:r>
          </w:p>
        </w:tc>
      </w:tr>
    </w:tbl>
    <w:p w14:paraId="02617E9D">
      <w:pPr>
        <w:rPr>
          <w:rFonts w:hint="eastAsia" w:ascii="宋体" w:hAnsi="宋体" w:eastAsia="宋体" w:cs="宋体"/>
          <w:color w:val="auto"/>
          <w:sz w:val="24"/>
          <w:szCs w:val="24"/>
          <w:highlight w:val="none"/>
        </w:rPr>
      </w:pPr>
    </w:p>
    <w:p w14:paraId="3687CF86">
      <w:pPr>
        <w:rPr>
          <w:rFonts w:hint="eastAsia" w:ascii="宋体" w:hAnsi="宋体" w:eastAsia="宋体" w:cs="宋体"/>
          <w:color w:val="auto"/>
          <w:sz w:val="24"/>
          <w:szCs w:val="24"/>
          <w:highlight w:val="none"/>
        </w:rPr>
      </w:pPr>
    </w:p>
    <w:p w14:paraId="73ACF466">
      <w:pPr>
        <w:rPr>
          <w:rFonts w:hint="eastAsia" w:ascii="宋体" w:hAnsi="宋体" w:eastAsia="宋体" w:cs="宋体"/>
          <w:color w:val="auto"/>
          <w:sz w:val="24"/>
          <w:szCs w:val="24"/>
          <w:highlight w:val="none"/>
        </w:rPr>
      </w:pPr>
    </w:p>
    <w:p w14:paraId="45D7EECF">
      <w:pPr>
        <w:pStyle w:val="6"/>
        <w:bidi w:val="0"/>
        <w:rPr>
          <w:rFonts w:hint="eastAsia"/>
        </w:rPr>
      </w:pPr>
      <w:r>
        <w:rPr>
          <w:rFonts w:hint="eastAsia"/>
        </w:rPr>
        <w:t>（</w:t>
      </w:r>
      <w:r>
        <w:rPr>
          <w:rFonts w:hint="eastAsia"/>
          <w:lang w:val="en-US" w:eastAsia="zh-CN"/>
        </w:rPr>
        <w:t>8</w:t>
      </w:r>
      <w:r>
        <w:rPr>
          <w:rFonts w:hint="eastAsia"/>
        </w:rPr>
        <w:t>）</w:t>
      </w:r>
      <w:bookmarkStart w:id="1120" w:name="_Hlk53729905"/>
      <w:bookmarkStart w:id="1121" w:name="_Hlk53733054"/>
      <w:r>
        <w:rPr>
          <w:rFonts w:hint="eastAsia"/>
        </w:rPr>
        <w:t>拟任项目</w:t>
      </w:r>
      <w:bookmarkStart w:id="1122" w:name="_Hlk53730093"/>
      <w:r>
        <w:rPr>
          <w:rFonts w:hint="eastAsia"/>
        </w:rPr>
        <w:t>经理</w:t>
      </w:r>
      <w:bookmarkEnd w:id="1120"/>
      <w:r>
        <w:rPr>
          <w:rFonts w:hint="eastAsia"/>
          <w:lang w:val="en-US" w:eastAsia="zh-CN"/>
        </w:rPr>
        <w:t>不良信用信息</w:t>
      </w:r>
      <w:r>
        <w:rPr>
          <w:rFonts w:hint="eastAsia"/>
        </w:rPr>
        <w:t>证明资料</w:t>
      </w:r>
      <w:bookmarkEnd w:id="1122"/>
      <w:r>
        <w:rPr>
          <w:rFonts w:hint="eastAsia"/>
        </w:rPr>
        <w:t>复印件</w:t>
      </w:r>
    </w:p>
    <w:bookmarkEnd w:id="1121"/>
    <w:p w14:paraId="0D02E126">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r>
        <w:rPr>
          <w:rFonts w:hint="eastAsia" w:ascii="宋体" w:hAnsi="宋体" w:eastAsia="宋体" w:cs="宋体"/>
          <w:color w:val="auto"/>
          <w:sz w:val="24"/>
          <w:szCs w:val="24"/>
          <w:highlight w:val="none"/>
          <w:lang w:val="en-US" w:eastAsia="zh-CN"/>
        </w:rPr>
        <w:t>不良信用信息</w:t>
      </w:r>
      <w:r>
        <w:rPr>
          <w:rFonts w:hint="eastAsia" w:ascii="宋体" w:hAnsi="宋体" w:eastAsia="宋体" w:cs="宋体"/>
          <w:color w:val="auto"/>
          <w:sz w:val="24"/>
          <w:szCs w:val="24"/>
          <w:highlight w:val="none"/>
        </w:rPr>
        <w:t>证明资料具体要求见本招标文件第三章评标办法。拟任工程总承包项目负责人在扣分有效期内如无</w:t>
      </w:r>
      <w:r>
        <w:rPr>
          <w:rFonts w:hint="eastAsia" w:ascii="宋体" w:hAnsi="宋体" w:eastAsia="宋体" w:cs="宋体"/>
          <w:color w:val="auto"/>
          <w:sz w:val="24"/>
          <w:szCs w:val="24"/>
          <w:highlight w:val="none"/>
          <w:lang w:val="en-US" w:eastAsia="zh-CN"/>
        </w:rPr>
        <w:t>不良信用信息</w:t>
      </w:r>
      <w:r>
        <w:rPr>
          <w:rFonts w:hint="eastAsia" w:ascii="宋体" w:hAnsi="宋体" w:eastAsia="宋体" w:cs="宋体"/>
          <w:color w:val="auto"/>
          <w:sz w:val="24"/>
          <w:szCs w:val="24"/>
          <w:highlight w:val="none"/>
        </w:rPr>
        <w:t>的，投标人需注明“拟任工程总承包项目负责人在扣分有效期内无</w:t>
      </w:r>
      <w:r>
        <w:rPr>
          <w:rFonts w:hint="eastAsia" w:ascii="宋体" w:hAnsi="宋体" w:eastAsia="宋体" w:cs="宋体"/>
          <w:color w:val="auto"/>
          <w:sz w:val="24"/>
          <w:szCs w:val="24"/>
          <w:highlight w:val="none"/>
          <w:lang w:val="en-US" w:eastAsia="zh-CN"/>
        </w:rPr>
        <w:t>不良信用信息</w:t>
      </w:r>
      <w:r>
        <w:rPr>
          <w:rFonts w:hint="eastAsia" w:ascii="宋体" w:hAnsi="宋体" w:eastAsia="宋体" w:cs="宋体"/>
          <w:color w:val="auto"/>
          <w:sz w:val="24"/>
          <w:szCs w:val="24"/>
          <w:highlight w:val="none"/>
        </w:rPr>
        <w:t>”。</w:t>
      </w:r>
    </w:p>
    <w:p w14:paraId="347039F9">
      <w:pPr>
        <w:ind w:firstLine="240" w:firstLineChars="100"/>
        <w:rPr>
          <w:rFonts w:hint="eastAsia" w:ascii="宋体" w:hAnsi="宋体" w:eastAsia="宋体" w:cs="宋体"/>
          <w:color w:val="auto"/>
          <w:sz w:val="24"/>
          <w:szCs w:val="24"/>
          <w:highlight w:val="none"/>
        </w:rPr>
      </w:pPr>
    </w:p>
    <w:p w14:paraId="7151AE66">
      <w:pPr>
        <w:ind w:firstLine="240" w:firstLineChars="100"/>
        <w:rPr>
          <w:rFonts w:hint="eastAsia" w:ascii="宋体" w:hAnsi="宋体" w:eastAsia="宋体" w:cs="宋体"/>
          <w:color w:val="auto"/>
          <w:sz w:val="24"/>
          <w:szCs w:val="24"/>
          <w:highlight w:val="none"/>
        </w:rPr>
        <w:sectPr>
          <w:pgSz w:w="11907" w:h="16840"/>
          <w:pgMar w:top="1418" w:right="1418" w:bottom="1418" w:left="1418" w:header="851" w:footer="850" w:gutter="0"/>
          <w:pgNumType w:fmt="decimal"/>
          <w:cols w:space="720" w:num="1"/>
          <w:docGrid w:linePitch="326" w:charSpace="0"/>
        </w:sectPr>
      </w:pPr>
    </w:p>
    <w:p w14:paraId="6ADD8A0C">
      <w:pPr>
        <w:pStyle w:val="7"/>
        <w:bidi w:val="0"/>
        <w:rPr>
          <w:rFonts w:hint="eastAsia"/>
        </w:rPr>
      </w:pPr>
      <w:bookmarkStart w:id="1123" w:name="_Toc20771"/>
      <w:bookmarkStart w:id="1124" w:name="_Toc80006161"/>
      <w:bookmarkStart w:id="1125" w:name="_Toc69199942"/>
      <w:bookmarkStart w:id="1126" w:name="_Hlk53733080"/>
      <w:r>
        <w:rPr>
          <w:rFonts w:hint="eastAsia"/>
        </w:rPr>
        <w:t>9.企业资信及履约能力（业绩及信用）自评表</w:t>
      </w:r>
      <w:bookmarkEnd w:id="1123"/>
      <w:bookmarkEnd w:id="1124"/>
      <w:bookmarkEnd w:id="1125"/>
    </w:p>
    <w:bookmarkEnd w:id="1126"/>
    <w:tbl>
      <w:tblPr>
        <w:tblStyle w:val="4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9"/>
        <w:gridCol w:w="608"/>
        <w:gridCol w:w="15"/>
        <w:gridCol w:w="1104"/>
        <w:gridCol w:w="3794"/>
        <w:gridCol w:w="1411"/>
      </w:tblGrid>
      <w:tr w14:paraId="56AA1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trPr>
        <w:tc>
          <w:tcPr>
            <w:tcW w:w="1249" w:type="pct"/>
            <w:noWrap w:val="0"/>
            <w:vAlign w:val="center"/>
          </w:tcPr>
          <w:p w14:paraId="1585C6F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评审对象</w:t>
            </w:r>
          </w:p>
        </w:tc>
        <w:tc>
          <w:tcPr>
            <w:tcW w:w="2986" w:type="pct"/>
            <w:gridSpan w:val="4"/>
            <w:noWrap w:val="0"/>
            <w:vAlign w:val="center"/>
          </w:tcPr>
          <w:p w14:paraId="654CC99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评审内容</w:t>
            </w:r>
          </w:p>
          <w:p w14:paraId="744FB0C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（项目名称、奖项名称）</w:t>
            </w:r>
          </w:p>
        </w:tc>
        <w:tc>
          <w:tcPr>
            <w:tcW w:w="763" w:type="pct"/>
            <w:noWrap w:val="0"/>
            <w:vAlign w:val="center"/>
          </w:tcPr>
          <w:p w14:paraId="2AC2357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材料所在的页码</w:t>
            </w:r>
          </w:p>
        </w:tc>
      </w:tr>
      <w:tr w14:paraId="75803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restart"/>
            <w:noWrap w:val="0"/>
            <w:vAlign w:val="center"/>
          </w:tcPr>
          <w:p w14:paraId="0FE869E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独立投标人（施工资质）或联合体中施工单位</w:t>
            </w:r>
          </w:p>
        </w:tc>
        <w:tc>
          <w:tcPr>
            <w:tcW w:w="337" w:type="pct"/>
            <w:gridSpan w:val="2"/>
            <w:vMerge w:val="restart"/>
            <w:noWrap w:val="0"/>
            <w:vAlign w:val="center"/>
          </w:tcPr>
          <w:p w14:paraId="7E239E1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奖项</w:t>
            </w:r>
          </w:p>
        </w:tc>
        <w:tc>
          <w:tcPr>
            <w:tcW w:w="597" w:type="pct"/>
            <w:vMerge w:val="restart"/>
            <w:noWrap w:val="0"/>
            <w:vAlign w:val="center"/>
          </w:tcPr>
          <w:p w14:paraId="19DAA16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国家级</w:t>
            </w:r>
          </w:p>
        </w:tc>
        <w:tc>
          <w:tcPr>
            <w:tcW w:w="2051" w:type="pct"/>
            <w:noWrap w:val="0"/>
            <w:vAlign w:val="center"/>
          </w:tcPr>
          <w:p w14:paraId="012795D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64EF654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50C0D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3264C1E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54D3D6F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14:paraId="169AFF2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14:paraId="37792C9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5F8639D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B267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2E1408A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23DDD9B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14:paraId="4C745DF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14:paraId="7B94F03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3A3BA8E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29C8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54CC85A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4097FC4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restart"/>
            <w:noWrap w:val="0"/>
            <w:vAlign w:val="center"/>
          </w:tcPr>
          <w:p w14:paraId="70E548D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省级</w:t>
            </w:r>
          </w:p>
        </w:tc>
        <w:tc>
          <w:tcPr>
            <w:tcW w:w="2051" w:type="pct"/>
            <w:noWrap w:val="0"/>
            <w:vAlign w:val="center"/>
          </w:tcPr>
          <w:p w14:paraId="7F9AF0B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1869D6E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5C36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4A3B4D6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183B919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14:paraId="2836BC9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14:paraId="1C86AE6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52E2D64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17D50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12697C9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077DE83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14:paraId="2F3C0CA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14:paraId="44E0ADB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5E6C89C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24592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105F064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restart"/>
            <w:noWrap w:val="0"/>
            <w:vAlign w:val="center"/>
          </w:tcPr>
          <w:p w14:paraId="44F4D93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标准化工地</w:t>
            </w:r>
          </w:p>
        </w:tc>
        <w:tc>
          <w:tcPr>
            <w:tcW w:w="597" w:type="pct"/>
            <w:vMerge w:val="restart"/>
            <w:noWrap w:val="0"/>
            <w:vAlign w:val="center"/>
          </w:tcPr>
          <w:p w14:paraId="56B7406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国家级</w:t>
            </w:r>
          </w:p>
        </w:tc>
        <w:tc>
          <w:tcPr>
            <w:tcW w:w="2051" w:type="pct"/>
            <w:noWrap w:val="0"/>
            <w:vAlign w:val="center"/>
          </w:tcPr>
          <w:p w14:paraId="203B5EF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026D7A5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540A5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41E0933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1C6F311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14:paraId="4201253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14:paraId="4884DA7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24ECABD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29E2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2288E5F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3DD7B0D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14:paraId="6AC5036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14:paraId="3396F38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4B37AAD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14A0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1D7C8F7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0C5F6DE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14:paraId="17FBB45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14:paraId="595695D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3868573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0CFD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6A1AAF9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0B00BDC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restart"/>
            <w:noWrap w:val="0"/>
            <w:vAlign w:val="center"/>
          </w:tcPr>
          <w:p w14:paraId="28D9FA5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省级</w:t>
            </w:r>
          </w:p>
        </w:tc>
        <w:tc>
          <w:tcPr>
            <w:tcW w:w="2051" w:type="pct"/>
            <w:noWrap w:val="0"/>
            <w:vAlign w:val="center"/>
          </w:tcPr>
          <w:p w14:paraId="2FCD241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0EA1DDB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721F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4C0F0E4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1FCD0FE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14:paraId="5A53282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14:paraId="6A94944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6261751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5BE63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1A9DDF0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03AE899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14:paraId="007331F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14:paraId="7216AE7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139C4C7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A9C7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7356488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160C7AC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14:paraId="2C3DBDB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14:paraId="1FAA617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6A2A5E5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6479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14FF68C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34" w:type="pct"/>
            <w:gridSpan w:val="3"/>
            <w:vMerge w:val="restart"/>
            <w:noWrap w:val="0"/>
            <w:vAlign w:val="center"/>
          </w:tcPr>
          <w:p w14:paraId="55C6821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类似工程业绩</w:t>
            </w:r>
          </w:p>
        </w:tc>
        <w:tc>
          <w:tcPr>
            <w:tcW w:w="2051" w:type="pct"/>
            <w:noWrap w:val="0"/>
            <w:vAlign w:val="center"/>
          </w:tcPr>
          <w:p w14:paraId="23D06CF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180C01F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220A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37AEF92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34" w:type="pct"/>
            <w:gridSpan w:val="3"/>
            <w:vMerge w:val="continue"/>
            <w:noWrap w:val="0"/>
            <w:vAlign w:val="center"/>
          </w:tcPr>
          <w:p w14:paraId="660B871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14:paraId="0D2DA89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25CEF7E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5846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restart"/>
            <w:noWrap w:val="0"/>
            <w:vAlign w:val="center"/>
          </w:tcPr>
          <w:p w14:paraId="5439C6D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拟任项目经理</w:t>
            </w:r>
          </w:p>
        </w:tc>
        <w:tc>
          <w:tcPr>
            <w:tcW w:w="329" w:type="pct"/>
            <w:vMerge w:val="restart"/>
            <w:noWrap w:val="0"/>
            <w:vAlign w:val="center"/>
          </w:tcPr>
          <w:p w14:paraId="00C5D3C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奖项</w:t>
            </w:r>
          </w:p>
        </w:tc>
        <w:tc>
          <w:tcPr>
            <w:tcW w:w="605" w:type="pct"/>
            <w:gridSpan w:val="2"/>
            <w:noWrap w:val="0"/>
            <w:vAlign w:val="center"/>
          </w:tcPr>
          <w:p w14:paraId="3E79380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国家级</w:t>
            </w:r>
          </w:p>
        </w:tc>
        <w:tc>
          <w:tcPr>
            <w:tcW w:w="2051" w:type="pct"/>
            <w:noWrap w:val="0"/>
            <w:vAlign w:val="center"/>
          </w:tcPr>
          <w:p w14:paraId="1365C81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5E812E3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6A5A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6C112481">
            <w:pPr>
              <w:keepNext w:val="0"/>
              <w:keepLines w:val="0"/>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p>
        </w:tc>
        <w:tc>
          <w:tcPr>
            <w:tcW w:w="329" w:type="pct"/>
            <w:vMerge w:val="continue"/>
            <w:noWrap w:val="0"/>
            <w:vAlign w:val="center"/>
          </w:tcPr>
          <w:p w14:paraId="5A5608D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05" w:type="pct"/>
            <w:gridSpan w:val="2"/>
            <w:noWrap w:val="0"/>
            <w:vAlign w:val="center"/>
          </w:tcPr>
          <w:p w14:paraId="170D318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省级</w:t>
            </w:r>
          </w:p>
        </w:tc>
        <w:tc>
          <w:tcPr>
            <w:tcW w:w="2051" w:type="pct"/>
            <w:noWrap w:val="0"/>
            <w:vAlign w:val="center"/>
          </w:tcPr>
          <w:p w14:paraId="4909320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54249C3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3F10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617D5AAB">
            <w:pPr>
              <w:keepNext w:val="0"/>
              <w:keepLines w:val="0"/>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p>
        </w:tc>
        <w:tc>
          <w:tcPr>
            <w:tcW w:w="934" w:type="pct"/>
            <w:gridSpan w:val="3"/>
            <w:noWrap w:val="0"/>
            <w:vAlign w:val="center"/>
          </w:tcPr>
          <w:p w14:paraId="788C38D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类似工程业绩</w:t>
            </w:r>
          </w:p>
        </w:tc>
        <w:tc>
          <w:tcPr>
            <w:tcW w:w="2051" w:type="pct"/>
            <w:noWrap w:val="0"/>
            <w:vAlign w:val="center"/>
          </w:tcPr>
          <w:p w14:paraId="62348F7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65CC8F5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5C9F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0054B976">
            <w:pPr>
              <w:keepNext w:val="0"/>
              <w:keepLines w:val="0"/>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p>
        </w:tc>
        <w:tc>
          <w:tcPr>
            <w:tcW w:w="934" w:type="pct"/>
            <w:gridSpan w:val="3"/>
            <w:noWrap w:val="0"/>
            <w:vAlign w:val="center"/>
          </w:tcPr>
          <w:p w14:paraId="3089147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不良信用信息</w:t>
            </w:r>
          </w:p>
        </w:tc>
        <w:tc>
          <w:tcPr>
            <w:tcW w:w="2051" w:type="pct"/>
            <w:noWrap w:val="0"/>
            <w:vAlign w:val="center"/>
          </w:tcPr>
          <w:p w14:paraId="7E54569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0F47B74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14:paraId="3936FFC9">
      <w:pPr>
        <w:rPr>
          <w:rFonts w:hint="eastAsia" w:ascii="宋体" w:hAnsi="宋体" w:eastAsia="宋体" w:cs="宋体"/>
          <w:color w:val="auto"/>
          <w:sz w:val="24"/>
          <w:szCs w:val="24"/>
          <w:highlight w:val="none"/>
        </w:rPr>
      </w:pPr>
    </w:p>
    <w:p w14:paraId="046FD252">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A773903">
      <w:pPr>
        <w:pStyle w:val="7"/>
        <w:bidi w:val="0"/>
        <w:rPr>
          <w:rFonts w:hint="eastAsia"/>
        </w:rPr>
      </w:pPr>
      <w:bookmarkStart w:id="1127" w:name="_Toc80006162"/>
      <w:bookmarkStart w:id="1128" w:name="_Toc470"/>
      <w:bookmarkStart w:id="1129" w:name="_Toc69199943"/>
      <w:r>
        <w:rPr>
          <w:rFonts w:hint="eastAsia"/>
        </w:rPr>
        <w:t>10.承 诺 书</w:t>
      </w:r>
      <w:bookmarkEnd w:id="1127"/>
      <w:bookmarkEnd w:id="1128"/>
      <w:bookmarkEnd w:id="1129"/>
    </w:p>
    <w:p w14:paraId="06C7D6AE">
      <w:pPr>
        <w:snapToGrid w:val="0"/>
        <w:spacing w:line="360" w:lineRule="auto"/>
        <w:rPr>
          <w:rFonts w:hint="eastAsia" w:ascii="宋体" w:hAnsi="宋体" w:eastAsia="宋体" w:cs="宋体"/>
          <w:color w:val="auto"/>
          <w:sz w:val="24"/>
          <w:szCs w:val="24"/>
          <w:highlight w:val="none"/>
        </w:rPr>
      </w:pPr>
    </w:p>
    <w:p w14:paraId="6869E7DE">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（招标人名称）：</w:t>
      </w:r>
    </w:p>
    <w:p w14:paraId="763A4680">
      <w:pPr>
        <w:snapToGrid w:val="0"/>
        <w:spacing w:line="360" w:lineRule="auto"/>
        <w:rPr>
          <w:rFonts w:hint="eastAsia" w:ascii="宋体" w:hAnsi="宋体" w:eastAsia="宋体" w:cs="宋体"/>
          <w:color w:val="auto"/>
          <w:sz w:val="24"/>
          <w:szCs w:val="24"/>
          <w:highlight w:val="none"/>
        </w:rPr>
      </w:pPr>
    </w:p>
    <w:p w14:paraId="1839431B">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w:t>
      </w:r>
    </w:p>
    <w:p w14:paraId="43075990">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1.我方拟派往</w:t>
      </w:r>
      <w:r>
        <w:rPr>
          <w:rFonts w:hint="eastAsia" w:ascii="宋体" w:hAnsi="宋体" w:eastAsia="宋体" w:cs="宋体"/>
          <w:color w:val="auto"/>
          <w:sz w:val="24"/>
          <w:szCs w:val="24"/>
          <w:highlight w:val="none"/>
          <w:u w:val="single"/>
        </w:rPr>
        <w:t xml:space="preserve">   招标项目及标段       </w:t>
      </w:r>
      <w:r>
        <w:rPr>
          <w:rFonts w:hint="eastAsia" w:ascii="宋体" w:hAnsi="宋体" w:eastAsia="宋体" w:cs="宋体"/>
          <w:color w:val="auto"/>
          <w:sz w:val="24"/>
          <w:szCs w:val="24"/>
          <w:highlight w:val="none"/>
        </w:rPr>
        <w:t xml:space="preserve"> 的项目经理能够到位履行职责，如不能到位，我方自愿接受处罚和被予不良行为记录。</w:t>
      </w:r>
    </w:p>
    <w:p w14:paraId="7B953FE4">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2.我方不存在第二章“投标人须知”第1.4.3项规定的任何一种情形。</w:t>
      </w:r>
    </w:p>
    <w:p w14:paraId="5E2084FE">
      <w:pPr>
        <w:snapToGrid w:val="0"/>
        <w:spacing w:line="360" w:lineRule="auto"/>
        <w:ind w:firstLine="480" w:firstLineChars="200"/>
        <w:rPr>
          <w:rFonts w:hint="eastAsia" w:ascii="宋体" w:hAnsi="宋体" w:eastAsia="宋体" w:cs="宋体"/>
          <w:color w:val="auto"/>
          <w:sz w:val="24"/>
          <w:szCs w:val="24"/>
          <w:highlight w:val="none"/>
          <w:lang w:val="sq-AL"/>
        </w:rPr>
      </w:pPr>
      <w:r>
        <w:rPr>
          <w:rFonts w:hint="eastAsia" w:ascii="宋体" w:hAnsi="宋体" w:eastAsia="宋体" w:cs="宋体"/>
          <w:color w:val="auto"/>
          <w:sz w:val="24"/>
          <w:szCs w:val="24"/>
          <w:highlight w:val="none"/>
          <w:lang w:val="sq-AL"/>
        </w:rPr>
        <w:t>3.我方严格遵守相关法律法规规定，没有串通投标、资质挂靠等违法、违规行为，投标文件所投入的管理、技术人员均为我公司正式在职人员。</w:t>
      </w:r>
    </w:p>
    <w:p w14:paraId="1E2611B5">
      <w:pPr>
        <w:snapToGrid w:val="0"/>
        <w:spacing w:line="360" w:lineRule="auto"/>
        <w:ind w:firstLine="480" w:firstLineChars="200"/>
        <w:rPr>
          <w:rFonts w:hint="eastAsia" w:ascii="宋体" w:hAnsi="宋体" w:eastAsia="宋体" w:cs="宋体"/>
          <w:color w:val="auto"/>
          <w:sz w:val="24"/>
          <w:szCs w:val="24"/>
          <w:highlight w:val="none"/>
          <w:lang w:val="sq-AL"/>
        </w:rPr>
      </w:pPr>
      <w:r>
        <w:rPr>
          <w:rFonts w:hint="eastAsia" w:ascii="宋体" w:hAnsi="宋体" w:eastAsia="宋体" w:cs="宋体"/>
          <w:color w:val="auto"/>
          <w:sz w:val="24"/>
          <w:szCs w:val="24"/>
          <w:highlight w:val="none"/>
          <w:lang w:val="sq-AL"/>
        </w:rPr>
        <w:t>4.我方保证提供的资质、业绩等证明材料真实、合法、有效，</w:t>
      </w:r>
      <w:r>
        <w:rPr>
          <w:rFonts w:hint="eastAsia" w:ascii="宋体" w:hAnsi="宋体" w:eastAsia="宋体" w:cs="宋体"/>
          <w:color w:val="auto"/>
          <w:sz w:val="24"/>
          <w:szCs w:val="24"/>
          <w:highlight w:val="none"/>
        </w:rPr>
        <w:t>并愿意承担因我方就此弄虚作假所引起的一切后果。</w:t>
      </w:r>
    </w:p>
    <w:p w14:paraId="722FCA35">
      <w:pPr>
        <w:snapToGrid w:val="0"/>
        <w:spacing w:line="360" w:lineRule="auto"/>
        <w:ind w:firstLine="480" w:firstLineChars="200"/>
        <w:rPr>
          <w:rFonts w:hint="eastAsia" w:ascii="宋体" w:hAnsi="宋体" w:eastAsia="宋体" w:cs="宋体"/>
          <w:color w:val="auto"/>
          <w:sz w:val="24"/>
          <w:szCs w:val="24"/>
          <w:highlight w:val="none"/>
          <w:lang w:val="sq-AL"/>
        </w:rPr>
      </w:pPr>
      <w:r>
        <w:rPr>
          <w:rFonts w:hint="eastAsia" w:ascii="宋体" w:hAnsi="宋体" w:eastAsia="宋体" w:cs="宋体"/>
          <w:color w:val="auto"/>
          <w:sz w:val="24"/>
          <w:szCs w:val="24"/>
          <w:highlight w:val="none"/>
          <w:lang w:val="sq-AL"/>
        </w:rPr>
        <w:t>5.我方不参与不正当竞争，不向招标人、招标代理机构、交易中心、评标专家以及行业监督部门行贿以谋取不正当利益。</w:t>
      </w:r>
    </w:p>
    <w:p w14:paraId="6DAFBCDF">
      <w:pPr>
        <w:snapToGrid w:val="0"/>
        <w:spacing w:line="360" w:lineRule="auto"/>
        <w:ind w:firstLine="480" w:firstLineChars="200"/>
        <w:rPr>
          <w:rFonts w:hint="eastAsia" w:ascii="宋体" w:hAnsi="宋体" w:eastAsia="宋体" w:cs="宋体"/>
          <w:color w:val="auto"/>
          <w:sz w:val="24"/>
          <w:szCs w:val="24"/>
          <w:highlight w:val="none"/>
          <w:lang w:val="sq-AL"/>
        </w:rPr>
      </w:pPr>
      <w:r>
        <w:rPr>
          <w:rFonts w:hint="eastAsia" w:ascii="宋体" w:hAnsi="宋体" w:eastAsia="宋体" w:cs="宋体"/>
          <w:color w:val="auto"/>
          <w:sz w:val="24"/>
          <w:szCs w:val="24"/>
          <w:highlight w:val="none"/>
          <w:lang w:val="sq-AL"/>
        </w:rPr>
        <w:t>6.我方严格按照招、投标文件约定签订合同，不将中标项目转包或违法分包。</w:t>
      </w:r>
    </w:p>
    <w:p w14:paraId="7C4713EC">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sq-AL"/>
        </w:rPr>
        <w:t>7.</w:t>
      </w:r>
      <w:r>
        <w:rPr>
          <w:rFonts w:hint="eastAsia" w:ascii="宋体" w:hAnsi="宋体" w:eastAsia="宋体" w:cs="宋体"/>
          <w:color w:val="auto"/>
          <w:sz w:val="24"/>
          <w:szCs w:val="24"/>
          <w:highlight w:val="none"/>
        </w:rPr>
        <w:t>一旦我方中标，坚决维护农民工的合法权益，按时足额支付农民工工资，绝不拖欠。</w:t>
      </w:r>
    </w:p>
    <w:p w14:paraId="0AAAFAB7">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001BF300">
      <w:pPr>
        <w:snapToGrid w:val="0"/>
        <w:spacing w:line="360" w:lineRule="auto"/>
        <w:ind w:firstLine="480" w:firstLineChars="200"/>
        <w:rPr>
          <w:rFonts w:hint="eastAsia" w:ascii="宋体" w:hAnsi="宋体" w:eastAsia="宋体" w:cs="宋体"/>
          <w:color w:val="auto"/>
          <w:sz w:val="24"/>
          <w:szCs w:val="24"/>
          <w:highlight w:val="none"/>
        </w:rPr>
      </w:pPr>
    </w:p>
    <w:p w14:paraId="00929AC0">
      <w:pPr>
        <w:snapToGrid w:val="0"/>
        <w:spacing w:line="360" w:lineRule="auto"/>
        <w:ind w:firstLine="480" w:firstLineChars="200"/>
        <w:rPr>
          <w:rFonts w:hint="eastAsia" w:ascii="宋体" w:hAnsi="宋体" w:eastAsia="宋体" w:cs="宋体"/>
          <w:color w:val="auto"/>
          <w:sz w:val="24"/>
          <w:szCs w:val="24"/>
          <w:highlight w:val="none"/>
        </w:rPr>
      </w:pPr>
    </w:p>
    <w:p w14:paraId="3B7B45D5">
      <w:pPr>
        <w:snapToGrid w:val="0"/>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投标人：（盖单位章）</w:t>
      </w:r>
    </w:p>
    <w:p w14:paraId="1FE716E6">
      <w:pPr>
        <w:snapToGrid w:val="0"/>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法定代表人或其委托代理人：（签字或盖章）</w:t>
      </w:r>
    </w:p>
    <w:p w14:paraId="44B2BE0F">
      <w:pPr>
        <w:snapToGrid w:val="0"/>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p w14:paraId="67F032FE">
      <w:pPr>
        <w:widowControl/>
        <w:jc w:val="left"/>
        <w:rPr>
          <w:rFonts w:hint="eastAsia" w:ascii="宋体" w:hAnsi="宋体" w:eastAsia="宋体" w:cs="宋体"/>
          <w:bCs/>
          <w:color w:val="auto"/>
          <w:kern w:val="0"/>
          <w:sz w:val="24"/>
          <w:szCs w:val="24"/>
          <w:highlight w:val="none"/>
        </w:rPr>
      </w:pPr>
    </w:p>
    <w:p w14:paraId="5864A386">
      <w:pPr>
        <w:pStyle w:val="229"/>
        <w:rPr>
          <w:rFonts w:hint="eastAsia" w:ascii="宋体" w:hAnsi="宋体" w:eastAsia="宋体" w:cs="宋体"/>
          <w:b/>
          <w:color w:val="auto"/>
          <w:sz w:val="24"/>
          <w:szCs w:val="24"/>
          <w:highlight w:val="none"/>
        </w:rPr>
      </w:pPr>
    </w:p>
    <w:p w14:paraId="63D4EC9C">
      <w:pPr>
        <w:pStyle w:val="22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p>
    <w:p w14:paraId="328DF7DD">
      <w:pPr>
        <w:pStyle w:val="7"/>
        <w:bidi w:val="0"/>
        <w:rPr>
          <w:rFonts w:hint="eastAsia"/>
        </w:rPr>
      </w:pPr>
      <w:bookmarkStart w:id="1130" w:name="_Toc24066"/>
      <w:bookmarkStart w:id="1131" w:name="_Toc80006163"/>
      <w:r>
        <w:rPr>
          <w:rFonts w:hint="eastAsia"/>
        </w:rPr>
        <w:t>11.投标信息表</w:t>
      </w:r>
      <w:bookmarkEnd w:id="1130"/>
      <w:bookmarkEnd w:id="1131"/>
    </w:p>
    <w:tbl>
      <w:tblPr>
        <w:tblStyle w:val="40"/>
        <w:tblW w:w="9439" w:type="dxa"/>
        <w:jc w:val="center"/>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1661"/>
        <w:gridCol w:w="1750"/>
        <w:gridCol w:w="1200"/>
        <w:gridCol w:w="4828"/>
      </w:tblGrid>
      <w:tr w14:paraId="145C1E28">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tcBorders>
              <w:top w:val="single" w:color="auto" w:sz="4" w:space="0"/>
              <w:left w:val="single" w:color="000000" w:sz="8" w:space="0"/>
              <w:bottom w:val="single" w:color="000000" w:sz="8" w:space="0"/>
              <w:right w:val="single" w:color="000000" w:sz="8" w:space="0"/>
            </w:tcBorders>
            <w:noWrap w:val="0"/>
            <w:tcMar>
              <w:left w:w="108" w:type="dxa"/>
              <w:right w:w="108" w:type="dxa"/>
            </w:tcMar>
            <w:vAlign w:val="center"/>
          </w:tcPr>
          <w:p w14:paraId="41BD2D4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p>
        </w:tc>
        <w:tc>
          <w:tcPr>
            <w:tcW w:w="6028" w:type="dxa"/>
            <w:gridSpan w:val="2"/>
            <w:tcBorders>
              <w:top w:val="single" w:color="auto" w:sz="4" w:space="0"/>
              <w:left w:val="nil"/>
              <w:bottom w:val="single" w:color="000000" w:sz="8" w:space="0"/>
              <w:right w:val="single" w:color="000000" w:sz="8" w:space="0"/>
            </w:tcBorders>
            <w:noWrap w:val="0"/>
            <w:tcMar>
              <w:left w:w="108" w:type="dxa"/>
              <w:right w:w="108" w:type="dxa"/>
            </w:tcMar>
            <w:vAlign w:val="center"/>
          </w:tcPr>
          <w:p w14:paraId="67F7BB6D">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3B2382EA">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tcBorders>
              <w:top w:val="nil"/>
              <w:left w:val="single" w:color="000000" w:sz="8" w:space="0"/>
              <w:bottom w:val="single" w:color="000000" w:sz="8" w:space="0"/>
              <w:right w:val="single" w:color="000000" w:sz="8" w:space="0"/>
            </w:tcBorders>
            <w:noWrap w:val="0"/>
            <w:tcMar>
              <w:left w:w="108" w:type="dxa"/>
              <w:right w:w="108" w:type="dxa"/>
            </w:tcMar>
            <w:vAlign w:val="center"/>
          </w:tcPr>
          <w:p w14:paraId="221AB80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投标报价（万元）</w:t>
            </w:r>
          </w:p>
        </w:tc>
        <w:tc>
          <w:tcPr>
            <w:tcW w:w="6028" w:type="dxa"/>
            <w:gridSpan w:val="2"/>
            <w:tcBorders>
              <w:top w:val="nil"/>
              <w:left w:val="nil"/>
              <w:bottom w:val="single" w:color="000000" w:sz="8" w:space="0"/>
              <w:right w:val="single" w:color="000000" w:sz="8" w:space="0"/>
            </w:tcBorders>
            <w:noWrap w:val="0"/>
            <w:tcMar>
              <w:left w:w="108" w:type="dxa"/>
              <w:right w:w="108" w:type="dxa"/>
            </w:tcMar>
            <w:vAlign w:val="center"/>
          </w:tcPr>
          <w:p w14:paraId="5DECE34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37DD5567">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tcBorders>
              <w:top w:val="nil"/>
              <w:left w:val="single" w:color="000000" w:sz="8" w:space="0"/>
              <w:bottom w:val="single" w:color="000000" w:sz="8" w:space="0"/>
              <w:right w:val="single" w:color="000000" w:sz="8" w:space="0"/>
            </w:tcBorders>
            <w:noWrap w:val="0"/>
            <w:tcMar>
              <w:left w:w="108" w:type="dxa"/>
              <w:right w:w="108" w:type="dxa"/>
            </w:tcMar>
            <w:vAlign w:val="center"/>
          </w:tcPr>
          <w:p w14:paraId="30F59A0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其中暂估价（万元）</w:t>
            </w:r>
          </w:p>
        </w:tc>
        <w:tc>
          <w:tcPr>
            <w:tcW w:w="6028" w:type="dxa"/>
            <w:gridSpan w:val="2"/>
            <w:tcBorders>
              <w:top w:val="nil"/>
              <w:left w:val="nil"/>
              <w:bottom w:val="single" w:color="000000" w:sz="8" w:space="0"/>
              <w:right w:val="single" w:color="000000" w:sz="8" w:space="0"/>
            </w:tcBorders>
            <w:noWrap w:val="0"/>
            <w:tcMar>
              <w:left w:w="108" w:type="dxa"/>
              <w:right w:w="108" w:type="dxa"/>
            </w:tcMar>
            <w:vAlign w:val="center"/>
          </w:tcPr>
          <w:p w14:paraId="3D549AA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541AEFBC">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restart"/>
            <w:tcBorders>
              <w:top w:val="nil"/>
              <w:left w:val="single" w:color="000000" w:sz="8" w:space="0"/>
              <w:right w:val="single" w:color="000000" w:sz="8" w:space="0"/>
            </w:tcBorders>
            <w:noWrap w:val="0"/>
            <w:tcMar>
              <w:left w:w="108" w:type="dxa"/>
              <w:right w:w="108" w:type="dxa"/>
            </w:tcMar>
            <w:vAlign w:val="center"/>
          </w:tcPr>
          <w:p w14:paraId="06364DC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类似工程业绩</w:t>
            </w:r>
          </w:p>
        </w:tc>
        <w:tc>
          <w:tcPr>
            <w:tcW w:w="1200" w:type="dxa"/>
            <w:tcBorders>
              <w:top w:val="nil"/>
              <w:left w:val="nil"/>
              <w:bottom w:val="single" w:color="auto" w:sz="4" w:space="0"/>
              <w:right w:val="single" w:color="000000" w:sz="8" w:space="0"/>
            </w:tcBorders>
            <w:noWrap w:val="0"/>
            <w:tcMar>
              <w:left w:w="108" w:type="dxa"/>
              <w:right w:w="108" w:type="dxa"/>
            </w:tcMar>
            <w:vAlign w:val="center"/>
          </w:tcPr>
          <w:p w14:paraId="6955403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4828" w:type="dxa"/>
            <w:tcBorders>
              <w:top w:val="nil"/>
              <w:left w:val="nil"/>
              <w:bottom w:val="single" w:color="auto" w:sz="4" w:space="0"/>
              <w:right w:val="single" w:color="000000" w:sz="8" w:space="0"/>
            </w:tcBorders>
            <w:noWrap w:val="0"/>
            <w:vAlign w:val="center"/>
          </w:tcPr>
          <w:p w14:paraId="451B185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6C49B0A4">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000000" w:sz="8" w:space="0"/>
              <w:right w:val="single" w:color="000000" w:sz="8" w:space="0"/>
            </w:tcBorders>
            <w:noWrap w:val="0"/>
            <w:tcMar>
              <w:left w:w="108" w:type="dxa"/>
              <w:right w:w="108" w:type="dxa"/>
            </w:tcMar>
            <w:vAlign w:val="center"/>
          </w:tcPr>
          <w:p w14:paraId="14FC446B">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tcBorders>
              <w:top w:val="nil"/>
              <w:left w:val="nil"/>
              <w:bottom w:val="single" w:color="auto" w:sz="4" w:space="0"/>
              <w:right w:val="single" w:color="000000" w:sz="8" w:space="0"/>
            </w:tcBorders>
            <w:noWrap w:val="0"/>
            <w:tcMar>
              <w:left w:w="108" w:type="dxa"/>
              <w:right w:w="108" w:type="dxa"/>
            </w:tcMar>
            <w:vAlign w:val="center"/>
          </w:tcPr>
          <w:p w14:paraId="3CD4F33D">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4828" w:type="dxa"/>
            <w:tcBorders>
              <w:top w:val="nil"/>
              <w:left w:val="nil"/>
              <w:bottom w:val="single" w:color="auto" w:sz="4" w:space="0"/>
              <w:right w:val="single" w:color="000000" w:sz="8" w:space="0"/>
            </w:tcBorders>
            <w:noWrap w:val="0"/>
            <w:vAlign w:val="center"/>
          </w:tcPr>
          <w:p w14:paraId="15C2FA0B">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07066269">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000000" w:sz="8" w:space="0"/>
              <w:right w:val="single" w:color="000000" w:sz="8" w:space="0"/>
            </w:tcBorders>
            <w:noWrap w:val="0"/>
            <w:tcMar>
              <w:left w:w="108" w:type="dxa"/>
              <w:right w:w="108" w:type="dxa"/>
            </w:tcMar>
            <w:vAlign w:val="center"/>
          </w:tcPr>
          <w:p w14:paraId="4E108C1B">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tcBorders>
              <w:top w:val="nil"/>
              <w:left w:val="nil"/>
              <w:bottom w:val="single" w:color="auto" w:sz="4" w:space="0"/>
              <w:right w:val="single" w:color="000000" w:sz="8" w:space="0"/>
            </w:tcBorders>
            <w:noWrap w:val="0"/>
            <w:tcMar>
              <w:left w:w="108" w:type="dxa"/>
              <w:right w:w="108" w:type="dxa"/>
            </w:tcMar>
            <w:vAlign w:val="center"/>
          </w:tcPr>
          <w:p w14:paraId="642C401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4828" w:type="dxa"/>
            <w:tcBorders>
              <w:top w:val="nil"/>
              <w:left w:val="nil"/>
              <w:bottom w:val="single" w:color="auto" w:sz="4" w:space="0"/>
              <w:right w:val="single" w:color="000000" w:sz="8" w:space="0"/>
            </w:tcBorders>
            <w:noWrap w:val="0"/>
            <w:vAlign w:val="center"/>
          </w:tcPr>
          <w:p w14:paraId="59A5655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01F2F44B">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000000" w:sz="8" w:space="0"/>
              <w:right w:val="single" w:color="000000" w:sz="8" w:space="0"/>
            </w:tcBorders>
            <w:noWrap w:val="0"/>
            <w:tcMar>
              <w:left w:w="108" w:type="dxa"/>
              <w:right w:w="108" w:type="dxa"/>
            </w:tcMar>
            <w:vAlign w:val="center"/>
          </w:tcPr>
          <w:p w14:paraId="571F6C29">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tcBorders>
              <w:top w:val="nil"/>
              <w:left w:val="nil"/>
              <w:bottom w:val="single" w:color="auto" w:sz="4" w:space="0"/>
              <w:right w:val="single" w:color="000000" w:sz="8" w:space="0"/>
            </w:tcBorders>
            <w:noWrap w:val="0"/>
            <w:tcMar>
              <w:left w:w="108" w:type="dxa"/>
              <w:right w:w="108" w:type="dxa"/>
            </w:tcMar>
            <w:vAlign w:val="center"/>
          </w:tcPr>
          <w:p w14:paraId="35FEA4A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4828" w:type="dxa"/>
            <w:tcBorders>
              <w:top w:val="nil"/>
              <w:left w:val="nil"/>
              <w:bottom w:val="single" w:color="auto" w:sz="4" w:space="0"/>
              <w:right w:val="single" w:color="000000" w:sz="8" w:space="0"/>
            </w:tcBorders>
            <w:noWrap w:val="0"/>
            <w:vAlign w:val="center"/>
          </w:tcPr>
          <w:p w14:paraId="622B4CA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17C4C377">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restart"/>
            <w:tcBorders>
              <w:top w:val="single" w:color="auto" w:sz="4" w:space="0"/>
              <w:left w:val="single" w:color="auto" w:sz="4" w:space="0"/>
              <w:right w:val="single" w:color="000000" w:sz="8" w:space="0"/>
            </w:tcBorders>
            <w:noWrap w:val="0"/>
            <w:tcMar>
              <w:left w:w="108" w:type="dxa"/>
              <w:right w:w="108" w:type="dxa"/>
            </w:tcMar>
            <w:vAlign w:val="center"/>
          </w:tcPr>
          <w:p w14:paraId="7A02027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表彰奖励情况</w:t>
            </w:r>
          </w:p>
        </w:tc>
        <w:tc>
          <w:tcPr>
            <w:tcW w:w="1200" w:type="dxa"/>
            <w:vMerge w:val="restart"/>
            <w:tcBorders>
              <w:top w:val="single" w:color="auto" w:sz="4" w:space="0"/>
              <w:left w:val="nil"/>
              <w:right w:val="single" w:color="auto" w:sz="4" w:space="0"/>
            </w:tcBorders>
            <w:noWrap w:val="0"/>
            <w:tcMar>
              <w:left w:w="108" w:type="dxa"/>
              <w:right w:w="108" w:type="dxa"/>
            </w:tcMar>
            <w:vAlign w:val="center"/>
          </w:tcPr>
          <w:p w14:paraId="742ED5F9">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国家级</w:t>
            </w:r>
          </w:p>
        </w:tc>
        <w:tc>
          <w:tcPr>
            <w:tcW w:w="4828" w:type="dxa"/>
            <w:tcBorders>
              <w:top w:val="single" w:color="auto" w:sz="4" w:space="0"/>
              <w:left w:val="nil"/>
              <w:bottom w:val="single" w:color="auto" w:sz="4" w:space="0"/>
              <w:right w:val="single" w:color="auto" w:sz="4" w:space="0"/>
            </w:tcBorders>
            <w:noWrap w:val="0"/>
            <w:vAlign w:val="center"/>
          </w:tcPr>
          <w:p w14:paraId="5C3927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14:paraId="334959A1">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auto" w:sz="4" w:space="0"/>
              <w:right w:val="single" w:color="000000" w:sz="8" w:space="0"/>
            </w:tcBorders>
            <w:noWrap w:val="0"/>
            <w:tcMar>
              <w:left w:w="108" w:type="dxa"/>
              <w:right w:w="108" w:type="dxa"/>
            </w:tcMar>
            <w:vAlign w:val="center"/>
          </w:tcPr>
          <w:p w14:paraId="086E747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vMerge w:val="continue"/>
            <w:tcBorders>
              <w:left w:val="nil"/>
              <w:right w:val="single" w:color="auto" w:sz="4" w:space="0"/>
            </w:tcBorders>
            <w:noWrap w:val="0"/>
            <w:tcMar>
              <w:left w:w="108" w:type="dxa"/>
              <w:right w:w="108" w:type="dxa"/>
            </w:tcMar>
            <w:vAlign w:val="center"/>
          </w:tcPr>
          <w:p w14:paraId="398BCB2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4828" w:type="dxa"/>
            <w:tcBorders>
              <w:top w:val="single" w:color="auto" w:sz="4" w:space="0"/>
              <w:left w:val="nil"/>
              <w:bottom w:val="single" w:color="auto" w:sz="4" w:space="0"/>
              <w:right w:val="single" w:color="auto" w:sz="4" w:space="0"/>
            </w:tcBorders>
            <w:noWrap w:val="0"/>
            <w:vAlign w:val="center"/>
          </w:tcPr>
          <w:p w14:paraId="6EBF9F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14:paraId="25BAF3CC">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auto" w:sz="4" w:space="0"/>
              <w:right w:val="single" w:color="000000" w:sz="8" w:space="0"/>
            </w:tcBorders>
            <w:noWrap w:val="0"/>
            <w:tcMar>
              <w:left w:w="108" w:type="dxa"/>
              <w:right w:w="108" w:type="dxa"/>
            </w:tcMar>
            <w:vAlign w:val="center"/>
          </w:tcPr>
          <w:p w14:paraId="14A500BA">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vMerge w:val="continue"/>
            <w:tcBorders>
              <w:left w:val="nil"/>
              <w:bottom w:val="single" w:color="auto" w:sz="4" w:space="0"/>
              <w:right w:val="single" w:color="auto" w:sz="4" w:space="0"/>
            </w:tcBorders>
            <w:noWrap w:val="0"/>
            <w:tcMar>
              <w:left w:w="108" w:type="dxa"/>
              <w:right w:w="108" w:type="dxa"/>
            </w:tcMar>
            <w:vAlign w:val="center"/>
          </w:tcPr>
          <w:p w14:paraId="366B2A0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4828" w:type="dxa"/>
            <w:tcBorders>
              <w:top w:val="single" w:color="auto" w:sz="4" w:space="0"/>
              <w:left w:val="nil"/>
              <w:bottom w:val="single" w:color="auto" w:sz="4" w:space="0"/>
              <w:right w:val="single" w:color="auto" w:sz="4" w:space="0"/>
            </w:tcBorders>
            <w:noWrap w:val="0"/>
            <w:vAlign w:val="center"/>
          </w:tcPr>
          <w:p w14:paraId="2DE160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r>
      <w:tr w14:paraId="28FE4EB1">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auto" w:sz="4" w:space="0"/>
              <w:right w:val="single" w:color="000000" w:sz="8" w:space="0"/>
            </w:tcBorders>
            <w:noWrap w:val="0"/>
            <w:tcMar>
              <w:left w:w="108" w:type="dxa"/>
              <w:right w:w="108" w:type="dxa"/>
            </w:tcMar>
            <w:vAlign w:val="center"/>
          </w:tcPr>
          <w:p w14:paraId="568BFA50">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vMerge w:val="restart"/>
            <w:tcBorders>
              <w:top w:val="single" w:color="auto" w:sz="4" w:space="0"/>
              <w:left w:val="nil"/>
              <w:right w:val="single" w:color="auto" w:sz="4" w:space="0"/>
            </w:tcBorders>
            <w:noWrap w:val="0"/>
            <w:tcMar>
              <w:left w:w="108" w:type="dxa"/>
              <w:right w:w="108" w:type="dxa"/>
            </w:tcMar>
            <w:vAlign w:val="center"/>
          </w:tcPr>
          <w:p w14:paraId="6CAC612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省级</w:t>
            </w:r>
          </w:p>
        </w:tc>
        <w:tc>
          <w:tcPr>
            <w:tcW w:w="4828" w:type="dxa"/>
            <w:tcBorders>
              <w:top w:val="single" w:color="auto" w:sz="4" w:space="0"/>
              <w:left w:val="nil"/>
              <w:bottom w:val="single" w:color="auto" w:sz="4" w:space="0"/>
              <w:right w:val="single" w:color="auto" w:sz="4" w:space="0"/>
            </w:tcBorders>
            <w:noWrap w:val="0"/>
            <w:vAlign w:val="center"/>
          </w:tcPr>
          <w:p w14:paraId="21482A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14:paraId="3C18FAD2">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auto" w:sz="4" w:space="0"/>
              <w:right w:val="single" w:color="000000" w:sz="8" w:space="0"/>
            </w:tcBorders>
            <w:noWrap w:val="0"/>
            <w:tcMar>
              <w:left w:w="108" w:type="dxa"/>
              <w:right w:w="108" w:type="dxa"/>
            </w:tcMar>
            <w:vAlign w:val="center"/>
          </w:tcPr>
          <w:p w14:paraId="4AA692F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vMerge w:val="continue"/>
            <w:tcBorders>
              <w:left w:val="nil"/>
              <w:right w:val="single" w:color="auto" w:sz="4" w:space="0"/>
            </w:tcBorders>
            <w:noWrap w:val="0"/>
            <w:tcMar>
              <w:left w:w="108" w:type="dxa"/>
              <w:right w:w="108" w:type="dxa"/>
            </w:tcMar>
            <w:vAlign w:val="center"/>
          </w:tcPr>
          <w:p w14:paraId="6E287137">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4828" w:type="dxa"/>
            <w:tcBorders>
              <w:top w:val="single" w:color="auto" w:sz="4" w:space="0"/>
              <w:left w:val="nil"/>
              <w:bottom w:val="single" w:color="auto" w:sz="4" w:space="0"/>
              <w:right w:val="single" w:color="auto" w:sz="4" w:space="0"/>
            </w:tcBorders>
            <w:noWrap w:val="0"/>
            <w:vAlign w:val="center"/>
          </w:tcPr>
          <w:p w14:paraId="686706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14:paraId="35A82610">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auto" w:sz="4" w:space="0"/>
              <w:right w:val="single" w:color="000000" w:sz="8" w:space="0"/>
            </w:tcBorders>
            <w:noWrap w:val="0"/>
            <w:tcMar>
              <w:left w:w="108" w:type="dxa"/>
              <w:right w:w="108" w:type="dxa"/>
            </w:tcMar>
            <w:vAlign w:val="center"/>
          </w:tcPr>
          <w:p w14:paraId="1D201AA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vMerge w:val="continue"/>
            <w:tcBorders>
              <w:left w:val="nil"/>
              <w:bottom w:val="single" w:color="auto" w:sz="4" w:space="0"/>
              <w:right w:val="single" w:color="auto" w:sz="4" w:space="0"/>
            </w:tcBorders>
            <w:noWrap w:val="0"/>
            <w:tcMar>
              <w:left w:w="108" w:type="dxa"/>
              <w:right w:w="108" w:type="dxa"/>
            </w:tcMar>
            <w:vAlign w:val="center"/>
          </w:tcPr>
          <w:p w14:paraId="39992C6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4828" w:type="dxa"/>
            <w:tcBorders>
              <w:top w:val="single" w:color="auto" w:sz="4" w:space="0"/>
              <w:left w:val="nil"/>
              <w:bottom w:val="single" w:color="auto" w:sz="4" w:space="0"/>
              <w:right w:val="single" w:color="auto" w:sz="4" w:space="0"/>
            </w:tcBorders>
            <w:noWrap w:val="0"/>
            <w:vAlign w:val="center"/>
          </w:tcPr>
          <w:p w14:paraId="4ADD3A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r>
      <w:tr w14:paraId="02E4AB03">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restart"/>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1B051E6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w:t>
            </w: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055E2B9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0A80FBED">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09EB06C1">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continue"/>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5536CC6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24DD4AA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类似工程业绩</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213905B0">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7A6292A0">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continue"/>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27BBE68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31A3CE2A">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表彰奖励 </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36B960AD">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38E51D12">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tcBorders>
              <w:top w:val="single" w:color="auto" w:sz="4" w:space="0"/>
              <w:left w:val="single" w:color="auto" w:sz="4" w:space="0"/>
              <w:right w:val="single" w:color="auto" w:sz="4" w:space="0"/>
            </w:tcBorders>
            <w:noWrap w:val="0"/>
            <w:tcMar>
              <w:left w:w="108" w:type="dxa"/>
              <w:right w:w="108" w:type="dxa"/>
            </w:tcMar>
            <w:vAlign w:val="center"/>
          </w:tcPr>
          <w:p w14:paraId="0177E22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技术负责人</w:t>
            </w:r>
          </w:p>
        </w:tc>
        <w:tc>
          <w:tcPr>
            <w:tcW w:w="1750" w:type="dxa"/>
            <w:tcBorders>
              <w:top w:val="single" w:color="auto" w:sz="4" w:space="0"/>
              <w:left w:val="single" w:color="auto" w:sz="4" w:space="0"/>
              <w:right w:val="single" w:color="auto" w:sz="4" w:space="0"/>
            </w:tcBorders>
            <w:noWrap w:val="0"/>
            <w:tcMar>
              <w:left w:w="108" w:type="dxa"/>
              <w:right w:w="108" w:type="dxa"/>
            </w:tcMar>
            <w:vAlign w:val="center"/>
          </w:tcPr>
          <w:p w14:paraId="6D245C0A">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73D8E7C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427CC8A5">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restart"/>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795DF51F">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投标担</w:t>
            </w:r>
          </w:p>
          <w:p w14:paraId="74F7A19A">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保信息</w:t>
            </w: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45CD785D">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担保机构</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2B6B80E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356C1582">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continue"/>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02F4234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65FAE39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经营地址</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1DF4979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7EFACF04">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continue"/>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64EC9E8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097E944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017287F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bl>
    <w:p w14:paraId="1828CB65">
      <w:pPr>
        <w:rPr>
          <w:rFonts w:eastAsia="仿宋"/>
          <w:color w:val="auto"/>
          <w:highlight w:val="none"/>
        </w:rPr>
      </w:pPr>
    </w:p>
    <w:p w14:paraId="228807AB">
      <w:pPr>
        <w:pStyle w:val="7"/>
        <w:bidi w:val="0"/>
      </w:pPr>
      <w:bookmarkStart w:id="1132" w:name="_Toc9178589"/>
      <w:bookmarkStart w:id="1133" w:name="_Toc80006164"/>
      <w:bookmarkStart w:id="1134" w:name="_Toc22496"/>
      <w:r>
        <w:rPr>
          <w:rFonts w:hint="eastAsia"/>
        </w:rPr>
        <w:t>1</w:t>
      </w:r>
      <w:r>
        <w:t>2</w:t>
      </w:r>
      <w:r>
        <w:rPr>
          <w:rFonts w:hint="eastAsia"/>
        </w:rPr>
        <w:t>.</w:t>
      </w:r>
      <w:r>
        <w:t>其他</w:t>
      </w:r>
      <w:bookmarkEnd w:id="1132"/>
      <w:bookmarkEnd w:id="1133"/>
      <w:bookmarkEnd w:id="1134"/>
    </w:p>
    <w:p w14:paraId="6102B851">
      <w:pPr>
        <w:widowControl/>
        <w:rPr>
          <w:color w:val="auto"/>
          <w:highlight w:val="none"/>
        </w:rPr>
      </w:pPr>
    </w:p>
    <w:p w14:paraId="5A4F8CC7">
      <w:pPr>
        <w:rPr>
          <w:color w:val="auto"/>
          <w:highlight w:val="none"/>
        </w:rPr>
      </w:pPr>
    </w:p>
    <w:p w14:paraId="5FFC0BDC">
      <w:pPr>
        <w:rPr>
          <w:color w:val="auto"/>
          <w:highlight w:val="none"/>
        </w:rPr>
      </w:pPr>
    </w:p>
    <w:p w14:paraId="589548BB">
      <w:pPr>
        <w:jc w:val="left"/>
        <w:rPr>
          <w:color w:val="auto"/>
          <w:highlight w:val="none"/>
        </w:rPr>
      </w:pPr>
      <w:r>
        <w:rPr>
          <w:color w:val="auto"/>
          <w:highlight w:val="none"/>
        </w:rPr>
        <w:br w:type="page"/>
      </w:r>
    </w:p>
    <w:p w14:paraId="47E960A8">
      <w:pPr>
        <w:pStyle w:val="4"/>
        <w:bidi w:val="0"/>
      </w:pPr>
      <w:bookmarkStart w:id="1135" w:name="_Toc300678593"/>
      <w:bookmarkStart w:id="1136" w:name="_Toc80006165"/>
      <w:bookmarkStart w:id="1137" w:name="_Toc30028"/>
      <w:bookmarkStart w:id="1138" w:name="_Toc29583"/>
      <w:r>
        <w:t>第二</w:t>
      </w:r>
      <w:r>
        <w:rPr>
          <w:rFonts w:hint="eastAsia"/>
        </w:rPr>
        <w:t>节</w:t>
      </w:r>
      <w:r>
        <w:t xml:space="preserve"> 投标报价</w:t>
      </w:r>
      <w:bookmarkEnd w:id="1135"/>
      <w:r>
        <w:t>格式</w:t>
      </w:r>
      <w:bookmarkEnd w:id="1136"/>
      <w:bookmarkEnd w:id="1137"/>
      <w:bookmarkEnd w:id="1138"/>
    </w:p>
    <w:p w14:paraId="16DF107C">
      <w:pPr>
        <w:widowControl/>
        <w:rPr>
          <w:color w:val="auto"/>
          <w:highlight w:val="none"/>
        </w:rPr>
      </w:pPr>
    </w:p>
    <w:p w14:paraId="65C2CC5F">
      <w:pPr>
        <w:rPr>
          <w:rFonts w:hint="eastAsia" w:ascii="Times New Roman" w:hAnsi="Times New Roman" w:eastAsia="黑体" w:cs="Times New Roman"/>
          <w:color w:val="auto"/>
          <w:kern w:val="0"/>
          <w:sz w:val="28"/>
          <w:szCs w:val="21"/>
          <w:highlight w:val="none"/>
          <w:lang w:val="en-US" w:eastAsia="zh-CN"/>
        </w:rPr>
      </w:pPr>
    </w:p>
    <w:p w14:paraId="1C328EA8">
      <w:pPr>
        <w:rPr>
          <w:rFonts w:hint="eastAsia" w:ascii="宋体" w:hAnsi="宋体" w:eastAsia="宋体" w:cs="宋体"/>
          <w:color w:val="auto"/>
          <w:kern w:val="0"/>
          <w:sz w:val="24"/>
          <w:szCs w:val="20"/>
          <w:highlight w:val="none"/>
          <w:lang w:val="en-US" w:eastAsia="zh-CN"/>
        </w:rPr>
      </w:pPr>
      <w:r>
        <w:rPr>
          <w:rFonts w:hint="eastAsia" w:ascii="宋体" w:hAnsi="宋体" w:eastAsia="宋体" w:cs="宋体"/>
          <w:color w:val="auto"/>
          <w:kern w:val="0"/>
          <w:sz w:val="24"/>
          <w:szCs w:val="20"/>
          <w:highlight w:val="none"/>
          <w:lang w:val="en-US" w:eastAsia="zh-CN"/>
        </w:rPr>
        <w:t>封面：</w:t>
      </w:r>
    </w:p>
    <w:p w14:paraId="361FB12C">
      <w:pPr>
        <w:widowControl/>
        <w:rPr>
          <w:rFonts w:hint="eastAsia" w:ascii="宋体" w:hAnsi="宋体" w:eastAsia="宋体" w:cs="宋体"/>
          <w:color w:val="auto"/>
          <w:highlight w:val="none"/>
        </w:rPr>
      </w:pPr>
    </w:p>
    <w:p w14:paraId="0017EC58">
      <w:pPr>
        <w:widowControl/>
        <w:rPr>
          <w:rFonts w:hint="eastAsia" w:ascii="宋体" w:hAnsi="宋体" w:eastAsia="宋体" w:cs="宋体"/>
          <w:color w:val="auto"/>
          <w:highlight w:val="none"/>
        </w:rPr>
      </w:pPr>
    </w:p>
    <w:p w14:paraId="2C44CC8E">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（项目名称）施工招标</w:t>
      </w:r>
    </w:p>
    <w:p w14:paraId="1CFC0304">
      <w:pPr>
        <w:spacing w:before="240" w:beforeLines="100"/>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投  标  文  件</w:t>
      </w:r>
    </w:p>
    <w:p w14:paraId="66CCF4E7">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（投标报价）</w:t>
      </w:r>
    </w:p>
    <w:p w14:paraId="44FFD44E">
      <w:pPr>
        <w:widowControl/>
        <w:rPr>
          <w:rFonts w:hint="eastAsia" w:ascii="宋体" w:hAnsi="宋体" w:eastAsia="宋体" w:cs="宋体"/>
          <w:color w:val="auto"/>
          <w:highlight w:val="none"/>
        </w:rPr>
      </w:pPr>
    </w:p>
    <w:p w14:paraId="2855D8C8">
      <w:pPr>
        <w:widowControl/>
        <w:rPr>
          <w:rFonts w:hint="eastAsia" w:ascii="宋体" w:hAnsi="宋体" w:eastAsia="宋体" w:cs="宋体"/>
          <w:color w:val="auto"/>
          <w:highlight w:val="none"/>
        </w:rPr>
      </w:pPr>
    </w:p>
    <w:p w14:paraId="634A2078">
      <w:pPr>
        <w:widowControl/>
        <w:rPr>
          <w:rFonts w:hint="eastAsia" w:ascii="宋体" w:hAnsi="宋体" w:eastAsia="宋体" w:cs="宋体"/>
          <w:color w:val="auto"/>
          <w:highlight w:val="none"/>
        </w:rPr>
      </w:pPr>
    </w:p>
    <w:p w14:paraId="5DFA9C15">
      <w:pPr>
        <w:widowControl/>
        <w:rPr>
          <w:rFonts w:hint="eastAsia" w:ascii="宋体" w:hAnsi="宋体" w:eastAsia="宋体" w:cs="宋体"/>
          <w:color w:val="auto"/>
          <w:highlight w:val="none"/>
        </w:rPr>
      </w:pPr>
    </w:p>
    <w:p w14:paraId="6E3E6A3F">
      <w:pPr>
        <w:widowControl/>
        <w:rPr>
          <w:rFonts w:hint="eastAsia" w:ascii="宋体" w:hAnsi="宋体" w:eastAsia="宋体" w:cs="宋体"/>
          <w:color w:val="auto"/>
          <w:highlight w:val="none"/>
        </w:rPr>
      </w:pPr>
    </w:p>
    <w:p w14:paraId="382F81A8">
      <w:pPr>
        <w:widowControl/>
        <w:rPr>
          <w:rFonts w:hint="eastAsia" w:ascii="宋体" w:hAnsi="宋体" w:eastAsia="宋体" w:cs="宋体"/>
          <w:color w:val="auto"/>
          <w:highlight w:val="none"/>
        </w:rPr>
      </w:pPr>
    </w:p>
    <w:p w14:paraId="01BE9D6A">
      <w:pPr>
        <w:widowControl/>
        <w:rPr>
          <w:rFonts w:hint="eastAsia" w:ascii="宋体" w:hAnsi="宋体" w:eastAsia="宋体" w:cs="宋体"/>
          <w:color w:val="auto"/>
          <w:highlight w:val="none"/>
        </w:rPr>
      </w:pPr>
    </w:p>
    <w:p w14:paraId="4A772760">
      <w:pPr>
        <w:widowControl/>
        <w:rPr>
          <w:rFonts w:hint="eastAsia" w:ascii="宋体" w:hAnsi="宋体" w:eastAsia="宋体" w:cs="宋体"/>
          <w:color w:val="auto"/>
          <w:highlight w:val="none"/>
        </w:rPr>
      </w:pPr>
    </w:p>
    <w:p w14:paraId="184E3642">
      <w:pPr>
        <w:widowControl/>
        <w:rPr>
          <w:rFonts w:hint="eastAsia" w:ascii="宋体" w:hAnsi="宋体" w:eastAsia="宋体" w:cs="宋体"/>
          <w:color w:val="auto"/>
          <w:highlight w:val="none"/>
        </w:rPr>
      </w:pPr>
    </w:p>
    <w:p w14:paraId="6918AE7A">
      <w:pPr>
        <w:widowControl/>
        <w:rPr>
          <w:rFonts w:hint="eastAsia" w:ascii="宋体" w:hAnsi="宋体" w:eastAsia="宋体" w:cs="宋体"/>
          <w:color w:val="auto"/>
          <w:highlight w:val="none"/>
        </w:rPr>
      </w:pPr>
    </w:p>
    <w:p w14:paraId="558B7F19">
      <w:pPr>
        <w:widowControl/>
        <w:rPr>
          <w:rFonts w:hint="eastAsia" w:ascii="宋体" w:hAnsi="宋体" w:eastAsia="宋体" w:cs="宋体"/>
          <w:color w:val="auto"/>
          <w:highlight w:val="none"/>
        </w:rPr>
      </w:pPr>
    </w:p>
    <w:p w14:paraId="20A1B3FF">
      <w:pPr>
        <w:widowControl/>
        <w:rPr>
          <w:rFonts w:hint="eastAsia" w:ascii="宋体" w:hAnsi="宋体" w:eastAsia="宋体" w:cs="宋体"/>
          <w:color w:val="auto"/>
          <w:highlight w:val="none"/>
        </w:rPr>
      </w:pPr>
    </w:p>
    <w:p w14:paraId="26D52E34">
      <w:pPr>
        <w:widowControl/>
        <w:rPr>
          <w:rFonts w:hint="eastAsia" w:ascii="宋体" w:hAnsi="宋体" w:eastAsia="宋体" w:cs="宋体"/>
          <w:color w:val="auto"/>
          <w:highlight w:val="none"/>
        </w:rPr>
      </w:pPr>
    </w:p>
    <w:p w14:paraId="08B55D11">
      <w:pPr>
        <w:widowControl/>
        <w:rPr>
          <w:rFonts w:hint="eastAsia" w:ascii="宋体" w:hAnsi="宋体" w:eastAsia="宋体" w:cs="宋体"/>
          <w:color w:val="auto"/>
          <w:highlight w:val="none"/>
        </w:rPr>
      </w:pPr>
    </w:p>
    <w:p w14:paraId="0ACD68FD">
      <w:pPr>
        <w:widowControl/>
        <w:rPr>
          <w:rFonts w:hint="eastAsia" w:ascii="宋体" w:hAnsi="宋体" w:eastAsia="宋体" w:cs="宋体"/>
          <w:color w:val="auto"/>
          <w:highlight w:val="none"/>
        </w:rPr>
      </w:pPr>
    </w:p>
    <w:p w14:paraId="612D6E4A">
      <w:pPr>
        <w:widowControl/>
        <w:rPr>
          <w:rFonts w:hint="eastAsia" w:ascii="宋体" w:hAnsi="宋体" w:eastAsia="宋体" w:cs="宋体"/>
          <w:color w:val="auto"/>
          <w:highlight w:val="none"/>
        </w:rPr>
      </w:pPr>
    </w:p>
    <w:p w14:paraId="2F009A56">
      <w:pPr>
        <w:widowControl/>
        <w:rPr>
          <w:rFonts w:hint="eastAsia" w:ascii="宋体" w:hAnsi="宋体" w:eastAsia="宋体" w:cs="宋体"/>
          <w:color w:val="auto"/>
          <w:highlight w:val="none"/>
        </w:rPr>
      </w:pPr>
    </w:p>
    <w:p w14:paraId="2B6D2605">
      <w:pPr>
        <w:widowControl/>
        <w:rPr>
          <w:rFonts w:hint="eastAsia" w:ascii="宋体" w:hAnsi="宋体" w:eastAsia="宋体" w:cs="宋体"/>
          <w:color w:val="auto"/>
          <w:highlight w:val="none"/>
        </w:rPr>
      </w:pPr>
    </w:p>
    <w:p w14:paraId="2717B9A3">
      <w:pPr>
        <w:widowControl/>
        <w:rPr>
          <w:rFonts w:hint="eastAsia" w:ascii="宋体" w:hAnsi="宋体" w:eastAsia="宋体" w:cs="宋体"/>
          <w:color w:val="auto"/>
          <w:highlight w:val="none"/>
        </w:rPr>
      </w:pPr>
    </w:p>
    <w:p w14:paraId="344736E0">
      <w:pPr>
        <w:widowControl/>
        <w:rPr>
          <w:rFonts w:hint="eastAsia" w:ascii="宋体" w:hAnsi="宋体" w:eastAsia="宋体" w:cs="宋体"/>
          <w:color w:val="auto"/>
          <w:highlight w:val="none"/>
        </w:rPr>
      </w:pPr>
    </w:p>
    <w:p w14:paraId="5826094D">
      <w:pPr>
        <w:widowControl/>
        <w:rPr>
          <w:rFonts w:hint="eastAsia" w:ascii="宋体" w:hAnsi="宋体" w:eastAsia="宋体" w:cs="宋体"/>
          <w:color w:val="auto"/>
          <w:highlight w:val="none"/>
        </w:rPr>
      </w:pPr>
    </w:p>
    <w:p w14:paraId="7018FC04">
      <w:pPr>
        <w:widowControl/>
        <w:rPr>
          <w:rFonts w:hint="eastAsia" w:ascii="宋体" w:hAnsi="宋体" w:eastAsia="宋体" w:cs="宋体"/>
          <w:color w:val="auto"/>
          <w:highlight w:val="none"/>
        </w:rPr>
      </w:pPr>
    </w:p>
    <w:p w14:paraId="5F5D5D19">
      <w:pPr>
        <w:widowControl/>
        <w:rPr>
          <w:rFonts w:hint="eastAsia" w:ascii="宋体" w:hAnsi="宋体" w:eastAsia="宋体" w:cs="宋体"/>
          <w:color w:val="auto"/>
          <w:highlight w:val="none"/>
        </w:rPr>
      </w:pPr>
    </w:p>
    <w:p w14:paraId="0244D235">
      <w:pPr>
        <w:widowControl/>
        <w:rPr>
          <w:rFonts w:hint="eastAsia" w:ascii="宋体" w:hAnsi="宋体" w:eastAsia="宋体" w:cs="宋体"/>
          <w:color w:val="auto"/>
          <w:highlight w:val="none"/>
        </w:rPr>
      </w:pPr>
    </w:p>
    <w:p w14:paraId="62CE63FD">
      <w:pPr>
        <w:widowControl/>
        <w:rPr>
          <w:rFonts w:hint="eastAsia" w:ascii="宋体" w:hAnsi="宋体" w:eastAsia="宋体" w:cs="宋体"/>
          <w:color w:val="auto"/>
          <w:highlight w:val="none"/>
        </w:rPr>
      </w:pPr>
    </w:p>
    <w:p w14:paraId="7D16DD33">
      <w:pPr>
        <w:widowControl/>
        <w:rPr>
          <w:rFonts w:hint="eastAsia" w:ascii="宋体" w:hAnsi="宋体" w:eastAsia="宋体" w:cs="宋体"/>
          <w:color w:val="auto"/>
          <w:highlight w:val="none"/>
        </w:rPr>
      </w:pPr>
    </w:p>
    <w:p w14:paraId="0A6E66C4">
      <w:pPr>
        <w:widowControl/>
        <w:rPr>
          <w:rFonts w:hint="eastAsia" w:ascii="宋体" w:hAnsi="宋体" w:eastAsia="宋体" w:cs="宋体"/>
          <w:color w:val="auto"/>
          <w:highlight w:val="none"/>
        </w:rPr>
      </w:pPr>
    </w:p>
    <w:p w14:paraId="4AD432C6">
      <w:pPr>
        <w:widowControl/>
        <w:rPr>
          <w:rFonts w:hint="eastAsia" w:ascii="宋体" w:hAnsi="宋体" w:eastAsia="宋体" w:cs="宋体"/>
          <w:color w:val="auto"/>
          <w:highlight w:val="none"/>
        </w:rPr>
      </w:pPr>
    </w:p>
    <w:p w14:paraId="42E2F0CD">
      <w:pPr>
        <w:widowControl/>
        <w:rPr>
          <w:rFonts w:hint="eastAsia" w:ascii="宋体" w:hAnsi="宋体" w:eastAsia="宋体" w:cs="宋体"/>
          <w:color w:val="auto"/>
          <w:highlight w:val="none"/>
        </w:rPr>
      </w:pPr>
    </w:p>
    <w:p w14:paraId="74B6F1E8">
      <w:pPr>
        <w:widowControl/>
        <w:spacing w:line="360" w:lineRule="auto"/>
        <w:jc w:val="left"/>
        <w:rPr>
          <w:rFonts w:hint="eastAsia" w:ascii="宋体" w:hAnsi="宋体" w:eastAsia="宋体" w:cs="宋体"/>
          <w:color w:val="auto"/>
          <w:kern w:val="0"/>
          <w:sz w:val="24"/>
          <w:szCs w:val="28"/>
          <w:highlight w:val="none"/>
        </w:rPr>
      </w:pPr>
      <w:r>
        <w:rPr>
          <w:rFonts w:hint="eastAsia" w:ascii="宋体" w:hAnsi="宋体" w:eastAsia="宋体" w:cs="宋体"/>
          <w:color w:val="auto"/>
          <w:kern w:val="0"/>
          <w:sz w:val="24"/>
          <w:szCs w:val="28"/>
          <w:highlight w:val="none"/>
        </w:rPr>
        <w:t xml:space="preserve">           投标人：</w:t>
      </w:r>
      <w:r>
        <w:rPr>
          <w:rFonts w:hint="eastAsia" w:ascii="宋体" w:hAnsi="宋体" w:eastAsia="宋体" w:cs="宋体"/>
          <w:color w:val="auto"/>
          <w:kern w:val="0"/>
          <w:sz w:val="24"/>
          <w:szCs w:val="28"/>
          <w:highlight w:val="none"/>
          <w:u w:val="single"/>
        </w:rPr>
        <w:t xml:space="preserve">                                  </w:t>
      </w:r>
      <w:r>
        <w:rPr>
          <w:rFonts w:hint="eastAsia" w:ascii="宋体" w:hAnsi="宋体" w:eastAsia="宋体" w:cs="宋体"/>
          <w:color w:val="auto"/>
          <w:kern w:val="0"/>
          <w:sz w:val="24"/>
          <w:szCs w:val="28"/>
          <w:highlight w:val="none"/>
        </w:rPr>
        <w:t>（盖单位章）</w:t>
      </w:r>
    </w:p>
    <w:p w14:paraId="72C23DA9">
      <w:pPr>
        <w:widowControl/>
        <w:rPr>
          <w:rFonts w:hint="eastAsia" w:ascii="宋体" w:hAnsi="宋体" w:eastAsia="宋体" w:cs="宋体"/>
          <w:color w:val="auto"/>
          <w:highlight w:val="none"/>
        </w:rPr>
      </w:pPr>
      <w:r>
        <w:rPr>
          <w:rFonts w:hint="eastAsia" w:ascii="宋体" w:hAnsi="宋体" w:eastAsia="宋体" w:cs="宋体"/>
          <w:color w:val="auto"/>
          <w:kern w:val="0"/>
          <w:sz w:val="24"/>
          <w:szCs w:val="28"/>
          <w:highlight w:val="none"/>
        </w:rPr>
        <w:t xml:space="preserve">           </w:t>
      </w:r>
      <w:r>
        <w:rPr>
          <w:rFonts w:hint="eastAsia" w:ascii="宋体" w:hAnsi="宋体" w:eastAsia="宋体" w:cs="宋体"/>
          <w:color w:val="auto"/>
          <w:kern w:val="0"/>
          <w:sz w:val="24"/>
          <w:szCs w:val="28"/>
          <w:highlight w:val="none"/>
          <w:lang w:val="en-US" w:eastAsia="zh-CN"/>
        </w:rPr>
        <w:t>日  期：年月日</w:t>
      </w:r>
    </w:p>
    <w:p w14:paraId="43C463D7">
      <w:pPr>
        <w:widowControl/>
        <w:rPr>
          <w:rFonts w:eastAsia="黑体"/>
          <w:color w:val="auto"/>
          <w:sz w:val="28"/>
          <w:szCs w:val="28"/>
          <w:highlight w:val="none"/>
        </w:rPr>
      </w:pPr>
      <w:r>
        <w:rPr>
          <w:rFonts w:eastAsia="黑体"/>
          <w:color w:val="auto"/>
          <w:sz w:val="28"/>
          <w:szCs w:val="28"/>
          <w:highlight w:val="none"/>
        </w:rPr>
        <w:br w:type="page"/>
      </w:r>
      <w:bookmarkStart w:id="1139" w:name="_Toc300678594"/>
    </w:p>
    <w:p w14:paraId="4927CB01">
      <w:pPr>
        <w:pStyle w:val="7"/>
        <w:bidi w:val="0"/>
        <w:rPr>
          <w:rFonts w:hint="eastAsia"/>
        </w:rPr>
      </w:pPr>
      <w:bookmarkStart w:id="1140" w:name="_Toc10072"/>
      <w:bookmarkStart w:id="1141" w:name="_Toc80006166"/>
      <w:bookmarkStart w:id="1142" w:name="_Toc9178591"/>
      <w:r>
        <w:rPr>
          <w:rFonts w:hint="eastAsia"/>
        </w:rPr>
        <w:t>目</w:t>
      </w:r>
      <w:r>
        <w:rPr>
          <w:rFonts w:hint="eastAsia"/>
          <w:lang w:val="en-US" w:eastAsia="zh-CN"/>
        </w:rPr>
        <w:t xml:space="preserve">  </w:t>
      </w:r>
      <w:r>
        <w:rPr>
          <w:rFonts w:hint="eastAsia"/>
        </w:rPr>
        <w:t>录</w:t>
      </w:r>
      <w:bookmarkEnd w:id="1139"/>
      <w:bookmarkEnd w:id="1140"/>
      <w:bookmarkEnd w:id="1141"/>
      <w:bookmarkEnd w:id="1142"/>
    </w:p>
    <w:p w14:paraId="43C5C326">
      <w:pPr>
        <w:spacing w:line="360" w:lineRule="auto"/>
        <w:jc w:val="center"/>
        <w:rPr>
          <w:rFonts w:hint="eastAsia" w:ascii="宋体" w:hAnsi="宋体" w:eastAsia="宋体" w:cs="宋体"/>
          <w:color w:val="auto"/>
          <w:sz w:val="24"/>
          <w:szCs w:val="24"/>
          <w:highlight w:val="none"/>
        </w:rPr>
      </w:pPr>
    </w:p>
    <w:p w14:paraId="26199A4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"_Toc300678595"</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Style w:val="51"/>
          <w:rFonts w:hint="eastAsia" w:ascii="宋体" w:hAnsi="宋体" w:eastAsia="宋体" w:cs="宋体"/>
          <w:color w:val="auto"/>
          <w:sz w:val="24"/>
          <w:szCs w:val="24"/>
          <w:highlight w:val="none"/>
          <w:u w:val="none"/>
        </w:rPr>
        <w:t>已标价工程量清单内容</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end"/>
      </w:r>
    </w:p>
    <w:p w14:paraId="1A9BC2C7">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"_Toc300678596"</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w:t>
      </w:r>
      <w:r>
        <w:rPr>
          <w:rStyle w:val="51"/>
          <w:rFonts w:hint="eastAsia" w:ascii="宋体" w:hAnsi="宋体" w:eastAsia="宋体" w:cs="宋体"/>
          <w:color w:val="auto"/>
          <w:sz w:val="24"/>
          <w:szCs w:val="24"/>
          <w:highlight w:val="none"/>
          <w:u w:val="none"/>
        </w:rPr>
        <w:t>已标价工程量清单格式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end"/>
      </w:r>
    </w:p>
    <w:p w14:paraId="0AA60B12">
      <w:pPr>
        <w:autoSpaceDE w:val="0"/>
        <w:autoSpaceDN w:val="0"/>
        <w:adjustRightInd w:val="0"/>
        <w:spacing w:before="64" w:line="360" w:lineRule="auto"/>
        <w:ind w:right="-23" w:firstLine="420" w:firstLineChars="200"/>
        <w:jc w:val="left"/>
        <w:rPr>
          <w:color w:val="auto"/>
          <w:kern w:val="0"/>
          <w:szCs w:val="21"/>
          <w:highlight w:val="none"/>
        </w:rPr>
      </w:pPr>
      <w:r>
        <w:rPr>
          <w:color w:val="auto"/>
          <w:highlight w:val="none"/>
        </w:rPr>
        <w:t xml:space="preserve">   </w:t>
      </w:r>
    </w:p>
    <w:p w14:paraId="3BD1BCC3">
      <w:pPr>
        <w:autoSpaceDE w:val="0"/>
        <w:autoSpaceDN w:val="0"/>
        <w:adjustRightInd w:val="0"/>
        <w:spacing w:before="64"/>
        <w:ind w:right="-23" w:firstLine="420" w:firstLineChars="200"/>
        <w:jc w:val="left"/>
        <w:rPr>
          <w:color w:val="auto"/>
          <w:kern w:val="0"/>
          <w:szCs w:val="21"/>
          <w:highlight w:val="none"/>
        </w:rPr>
      </w:pPr>
    </w:p>
    <w:p w14:paraId="789F5395">
      <w:pPr>
        <w:autoSpaceDE w:val="0"/>
        <w:autoSpaceDN w:val="0"/>
        <w:adjustRightInd w:val="0"/>
        <w:spacing w:before="64"/>
        <w:ind w:right="-23" w:firstLine="420" w:firstLineChars="200"/>
        <w:jc w:val="left"/>
        <w:rPr>
          <w:color w:val="auto"/>
          <w:kern w:val="0"/>
          <w:szCs w:val="21"/>
          <w:highlight w:val="none"/>
        </w:rPr>
      </w:pPr>
    </w:p>
    <w:p w14:paraId="5C39D595">
      <w:pPr>
        <w:autoSpaceDE w:val="0"/>
        <w:autoSpaceDN w:val="0"/>
        <w:adjustRightInd w:val="0"/>
        <w:spacing w:before="64"/>
        <w:ind w:right="-23" w:firstLine="420" w:firstLineChars="200"/>
        <w:jc w:val="left"/>
        <w:rPr>
          <w:color w:val="auto"/>
          <w:kern w:val="0"/>
          <w:szCs w:val="21"/>
          <w:highlight w:val="none"/>
        </w:rPr>
      </w:pPr>
    </w:p>
    <w:p w14:paraId="5135F76B">
      <w:pPr>
        <w:autoSpaceDE w:val="0"/>
        <w:autoSpaceDN w:val="0"/>
        <w:adjustRightInd w:val="0"/>
        <w:spacing w:before="64"/>
        <w:ind w:right="-23" w:firstLine="420" w:firstLineChars="200"/>
        <w:jc w:val="left"/>
        <w:rPr>
          <w:color w:val="auto"/>
          <w:kern w:val="0"/>
          <w:szCs w:val="21"/>
          <w:highlight w:val="none"/>
        </w:rPr>
      </w:pPr>
    </w:p>
    <w:p w14:paraId="1D5B130D">
      <w:pPr>
        <w:autoSpaceDE w:val="0"/>
        <w:autoSpaceDN w:val="0"/>
        <w:adjustRightInd w:val="0"/>
        <w:spacing w:before="64"/>
        <w:ind w:right="-23" w:firstLine="420" w:firstLineChars="200"/>
        <w:jc w:val="left"/>
        <w:rPr>
          <w:color w:val="auto"/>
          <w:kern w:val="0"/>
          <w:szCs w:val="21"/>
          <w:highlight w:val="none"/>
        </w:rPr>
      </w:pPr>
    </w:p>
    <w:p w14:paraId="3BA88E03">
      <w:pPr>
        <w:autoSpaceDE w:val="0"/>
        <w:autoSpaceDN w:val="0"/>
        <w:adjustRightInd w:val="0"/>
        <w:spacing w:before="64"/>
        <w:ind w:right="-23" w:firstLine="420" w:firstLineChars="200"/>
        <w:jc w:val="left"/>
        <w:rPr>
          <w:color w:val="auto"/>
          <w:kern w:val="0"/>
          <w:szCs w:val="21"/>
          <w:highlight w:val="none"/>
        </w:rPr>
      </w:pPr>
    </w:p>
    <w:p w14:paraId="214DC9E6">
      <w:pPr>
        <w:widowControl/>
        <w:jc w:val="left"/>
        <w:rPr>
          <w:color w:val="auto"/>
          <w:kern w:val="0"/>
          <w:szCs w:val="21"/>
          <w:highlight w:val="none"/>
        </w:rPr>
      </w:pPr>
      <w:r>
        <w:rPr>
          <w:color w:val="auto"/>
          <w:kern w:val="0"/>
          <w:szCs w:val="21"/>
          <w:highlight w:val="none"/>
        </w:rPr>
        <w:br w:type="page"/>
      </w:r>
    </w:p>
    <w:p w14:paraId="2FAC8091">
      <w:pPr>
        <w:pStyle w:val="5"/>
        <w:bidi w:val="0"/>
        <w:rPr>
          <w:rFonts w:hint="eastAsia"/>
        </w:rPr>
      </w:pPr>
      <w:bookmarkStart w:id="1143" w:name="_Toc20883"/>
      <w:bookmarkStart w:id="1144" w:name="_Toc300678595"/>
      <w:bookmarkStart w:id="1145" w:name="_Toc20334"/>
      <w:bookmarkStart w:id="1146" w:name="_Toc9178592"/>
      <w:bookmarkStart w:id="1147" w:name="_Toc80006167"/>
      <w:bookmarkStart w:id="1148" w:name="_Toc24266"/>
      <w:r>
        <w:rPr>
          <w:rFonts w:hint="eastAsia"/>
        </w:rPr>
        <w:t>1.已标价工程量清单内容</w:t>
      </w:r>
      <w:bookmarkEnd w:id="1143"/>
      <w:bookmarkEnd w:id="1144"/>
      <w:bookmarkEnd w:id="1145"/>
      <w:bookmarkEnd w:id="1146"/>
      <w:bookmarkEnd w:id="1147"/>
      <w:bookmarkEnd w:id="1148"/>
    </w:p>
    <w:p w14:paraId="1ED1113E">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（1）投标总价封面；</w:t>
      </w:r>
    </w:p>
    <w:p w14:paraId="43877F15">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（2）投标总价扉页</w:t>
      </w:r>
    </w:p>
    <w:p w14:paraId="18EC5DE6">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（3）工程计价总说明</w:t>
      </w:r>
    </w:p>
    <w:p w14:paraId="74186DE4">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（4）建设项目投标报价汇总表</w:t>
      </w:r>
    </w:p>
    <w:p w14:paraId="2CCE5D6F">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（5）单项工程投标报价汇总表</w:t>
      </w:r>
    </w:p>
    <w:p w14:paraId="6D734BA0">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（6）单位工程投标报价汇总表</w:t>
      </w:r>
    </w:p>
    <w:p w14:paraId="4C7E4E74">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（7）分部分项工程项目清单与措施项目清单计价表</w:t>
      </w:r>
    </w:p>
    <w:p w14:paraId="6002568E">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（8）综合单价分析表</w:t>
      </w:r>
    </w:p>
    <w:p w14:paraId="3028D458">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（9）总价措施项目清单计费表</w:t>
      </w:r>
    </w:p>
    <w:p w14:paraId="1A484DD5">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（10）绿色施工安全防护措施项目费计价表（招投标）</w:t>
      </w:r>
    </w:p>
    <w:p w14:paraId="1401E864">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（11）其他项目清单与计价汇总表</w:t>
      </w:r>
    </w:p>
    <w:p w14:paraId="73D874D5">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（12）暂列金额明细表</w:t>
      </w:r>
    </w:p>
    <w:p w14:paraId="5EEFDA96">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（13）材料暂估单价及调整表</w:t>
      </w:r>
    </w:p>
    <w:p w14:paraId="73AE288B">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（14）专业工程/分部分项工程暂估价及结算价表</w:t>
      </w:r>
    </w:p>
    <w:p w14:paraId="61B20EF6">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（15）计日工表</w:t>
      </w:r>
    </w:p>
    <w:p w14:paraId="7C6BADFF">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（16）总承包服务费计价表</w:t>
      </w:r>
    </w:p>
    <w:p w14:paraId="01C61487">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（17）部分其他项目费计价表</w:t>
      </w:r>
    </w:p>
    <w:p w14:paraId="4A2DC5C2">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（18）发包人提供材料一览表</w:t>
      </w:r>
    </w:p>
    <w:p w14:paraId="44BC6F4D">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（19）人工、材料、机械汇总表</w:t>
      </w:r>
    </w:p>
    <w:p w14:paraId="14ADF4C6">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（20）重点评审的工程量清单综合单价（含单价措施项目）表</w:t>
      </w:r>
    </w:p>
    <w:p w14:paraId="6A28B322">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（21）重点评审的材料单价表</w:t>
      </w:r>
    </w:p>
    <w:p w14:paraId="39400911">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说明：以上表格如为空白表格，可不提供。</w:t>
      </w:r>
      <w:bookmarkStart w:id="1149" w:name="_Toc300678597"/>
    </w:p>
    <w:bookmarkEnd w:id="1149"/>
    <w:p w14:paraId="07F4919A">
      <w:pPr>
        <w:bidi w:val="0"/>
        <w:rPr>
          <w:rFonts w:hint="eastAsia"/>
        </w:rPr>
      </w:pPr>
      <w:bookmarkStart w:id="1150" w:name="_Toc17674"/>
      <w:bookmarkStart w:id="1151" w:name="_Toc80006168"/>
    </w:p>
    <w:p w14:paraId="72D997F7">
      <w:pPr>
        <w:pStyle w:val="5"/>
        <w:pageBreakBefore w:val="0"/>
        <w:kinsoku/>
        <w:wordWrap/>
        <w:overflowPunct/>
        <w:topLinePunct w:val="0"/>
        <w:bidi w:val="0"/>
        <w:snapToGrid/>
        <w:spacing w:line="360" w:lineRule="auto"/>
        <w:ind w:firstLine="482" w:firstLineChars="200"/>
        <w:textAlignment w:val="auto"/>
        <w:rPr>
          <w:rFonts w:hint="eastAsia" w:ascii="宋体" w:hAnsi="宋体" w:eastAsia="宋体" w:cs="宋体"/>
          <w:color w:val="auto"/>
          <w:sz w:val="24"/>
          <w:szCs w:val="24"/>
          <w:highlight w:val="none"/>
        </w:rPr>
      </w:pPr>
      <w:bookmarkStart w:id="1152" w:name="_Toc27606"/>
      <w:bookmarkStart w:id="1153" w:name="_Toc32633"/>
      <w:r>
        <w:rPr>
          <w:rFonts w:hint="eastAsia" w:ascii="宋体" w:hAnsi="宋体" w:eastAsia="宋体" w:cs="宋体"/>
          <w:sz w:val="24"/>
          <w:szCs w:val="24"/>
        </w:rPr>
        <w:t>2.已标价工程量清单格式</w:t>
      </w:r>
      <w:bookmarkEnd w:id="1150"/>
      <w:bookmarkEnd w:id="1151"/>
      <w:bookmarkEnd w:id="1152"/>
      <w:bookmarkEnd w:id="1153"/>
    </w:p>
    <w:p w14:paraId="0DE18168">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已标价工程量清单按照《湖南省住房和城乡建设厅关于印发&lt;湖南省建设工程计价办法&gt;及&lt;湖南省建设工程消耗量标准&gt;的通知》（湘建价【2020】56号）等文件规定的格式填写。由计价软件打印的已标价工程量清单与上述文件格式不一致的，以计价软件打印的表格为准。投标人采用的计价软件应当通过了湖南建设工程造价管理总站的测评。</w:t>
      </w:r>
    </w:p>
    <w:sectPr>
      <w:pgSz w:w="11907" w:h="16840"/>
      <w:pgMar w:top="1440" w:right="1440" w:bottom="1440" w:left="1440" w:header="851" w:footer="850" w:gutter="0"/>
      <w:pgNumType w:fmt="decimal"/>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MS Sans Serif">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onospace">
    <w:altName w:val="Segoe Print"/>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MingLiU">
    <w:panose1 w:val="02020509000000000000"/>
    <w:charset w:val="88"/>
    <w:family w:val="modern"/>
    <w:pitch w:val="default"/>
    <w:sig w:usb0="A00002FF" w:usb1="28CFFCFA" w:usb2="00000016" w:usb3="00000000" w:csb0="0010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FZShuSong-Z01">
    <w:altName w:val="宋体"/>
    <w:panose1 w:val="02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楷体_GB2312">
    <w:panose1 w:val="02010609030101010101"/>
    <w:charset w:val="86"/>
    <w:family w:val="modern"/>
    <w:pitch w:val="default"/>
    <w:sig w:usb0="00000001" w:usb1="080E0000" w:usb2="00000000" w:usb3="00000000" w:csb0="00040000"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CC7BE">
    <w:pPr>
      <w:framePr w:wrap="around" w:vAnchor="text" w:hAnchor="margin" w:xAlign="center" w:y="1"/>
      <w:rPr>
        <w:rStyle w:val="44"/>
      </w:rPr>
    </w:pPr>
    <w:r>
      <w:fldChar w:fldCharType="begin"/>
    </w:r>
    <w:r>
      <w:rPr>
        <w:rStyle w:val="44"/>
      </w:rPr>
      <w:instrText xml:space="preserve">PAGE  </w:instrText>
    </w:r>
    <w:r>
      <w:fldChar w:fldCharType="separate"/>
    </w:r>
    <w:r>
      <w:rPr>
        <w:rStyle w:val="44"/>
      </w:rPr>
      <w:t>368</w:t>
    </w:r>
    <w:r>
      <w:fldChar w:fldCharType="end"/>
    </w:r>
  </w:p>
  <w:p w14:paraId="171A3EC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05A98">
    <w:pPr>
      <w:widowControl w:val="0"/>
      <w:snapToGrid w:val="0"/>
      <w:rPr>
        <w:rFonts w:ascii="宋体" w:hAnsi="宋体" w:eastAsia="宋体" w:cs="Times New Roman"/>
        <w:kern w:val="2"/>
        <w:sz w:val="24"/>
        <w:szCs w:val="24"/>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325FE">
    <w:pPr>
      <w:widowControl w:val="0"/>
      <w:snapToGrid w:val="0"/>
      <w:jc w:val="center"/>
      <w:rPr>
        <w:rFonts w:ascii="Times New Roman" w:hAnsi="Times New Roman" w:eastAsia="宋体" w:cs="Times New Roman"/>
        <w:kern w:val="2"/>
        <w:sz w:val="18"/>
        <w:szCs w:val="18"/>
        <w:lang w:val="en-US" w:eastAsia="zh-CN" w:bidi="ar-SA"/>
      </w:rPr>
    </w:pPr>
  </w:p>
  <w:p w14:paraId="251CDCE9">
    <w:pPr>
      <w:widowControl w:val="0"/>
      <w:snapToGrid w:val="0"/>
      <w:jc w:val="left"/>
      <w:rPr>
        <w:rFonts w:ascii="Times New Roman" w:hAnsi="Times New Roman" w:eastAsia="宋体" w:cs="Times New Roman"/>
        <w:kern w:val="2"/>
        <w:sz w:val="18"/>
        <w:szCs w:val="1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B1A48">
    <w:pPr>
      <w:widowControl w:val="0"/>
      <w:snapToGrid w:val="0"/>
      <w:rPr>
        <w:rFonts w:ascii="宋体" w:hAnsi="宋体" w:eastAsia="宋体" w:cs="Times New Roman"/>
        <w:kern w:val="2"/>
        <w:sz w:val="24"/>
        <w:szCs w:val="24"/>
        <w:lang w:val="en-US" w:eastAsia="zh-CN" w:bidi="ar-SA"/>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053CBB">
                          <w:pPr>
                            <w:pStyle w:val="2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1053CBB">
                    <w:pPr>
                      <w:pStyle w:val="2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96DF1">
    <w:pPr>
      <w:widowControl w:val="0"/>
      <w:snapToGrid w:val="0"/>
      <w:jc w:val="center"/>
      <w:rPr>
        <w:rFonts w:ascii="Times New Roman" w:hAnsi="Times New Roman" w:eastAsia="宋体" w:cs="Times New Roman"/>
        <w:kern w:val="2"/>
        <w:sz w:val="18"/>
        <w:szCs w:val="18"/>
        <w:lang w:val="en-US" w:eastAsia="zh-CN" w:bidi="ar-S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09E89E">
                          <w:pPr>
                            <w:pStyle w:val="2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6609E89E">
                    <w:pPr>
                      <w:pStyle w:val="27"/>
                    </w:pPr>
                    <w:r>
                      <w:fldChar w:fldCharType="begin"/>
                    </w:r>
                    <w:r>
                      <w:instrText xml:space="preserve"> PAGE  \* MERGEFORMAT </w:instrText>
                    </w:r>
                    <w:r>
                      <w:fldChar w:fldCharType="separate"/>
                    </w:r>
                    <w:r>
                      <w:t>1</w:t>
                    </w:r>
                    <w:r>
                      <w:fldChar w:fldCharType="end"/>
                    </w:r>
                  </w:p>
                </w:txbxContent>
              </v:textbox>
            </v:shape>
          </w:pict>
        </mc:Fallback>
      </mc:AlternateContent>
    </w:r>
  </w:p>
  <w:p w14:paraId="4B2458E6">
    <w:pPr>
      <w:widowControl w:val="0"/>
      <w:snapToGrid w:val="0"/>
      <w:jc w:val="left"/>
      <w:rPr>
        <w:rFonts w:ascii="Times New Roman" w:hAnsi="Times New Roman" w:eastAsia="宋体" w:cs="Times New Roman"/>
        <w:kern w:val="2"/>
        <w:sz w:val="18"/>
        <w:szCs w:val="18"/>
        <w:lang w:val="en-US" w:eastAsia="zh-CN"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B595B">
    <w:pPr>
      <w:pStyle w:val="27"/>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282F9B">
                          <w:pPr>
                            <w:pStyle w:val="27"/>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4E282F9B">
                    <w:pPr>
                      <w:pStyle w:val="27"/>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FDCCE">
    <w:pPr>
      <w:pStyle w:val="2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A6EB4D">
                          <w:pPr>
                            <w:pStyle w:val="27"/>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132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1A6EB4D">
                    <w:pPr>
                      <w:pStyle w:val="27"/>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132</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C3BAB">
    <w:pPr>
      <w:pStyle w:val="27"/>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105DB9">
                          <w:pPr>
                            <w:pStyle w:val="27"/>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16105DB9">
                    <w:pPr>
                      <w:pStyle w:val="27"/>
                    </w:pPr>
                    <w:r>
                      <w:fldChar w:fldCharType="begin"/>
                    </w:r>
                    <w:r>
                      <w:instrText xml:space="preserve"> PAGE  \* MERGEFORMAT </w:instrText>
                    </w:r>
                    <w:r>
                      <w:fldChar w:fldCharType="separate"/>
                    </w:r>
                    <w:r>
                      <w:t>23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260AE">
    <w:pPr>
      <w:pStyle w:val="2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12B58">
    <w:pPr>
      <w:pStyle w:val="28"/>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1E80D">
    <w:pPr>
      <w:pStyle w:val="2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BD58E1"/>
    <w:multiLevelType w:val="singleLevel"/>
    <w:tmpl w:val="D7BD58E1"/>
    <w:lvl w:ilvl="0" w:tentative="0">
      <w:start w:val="1"/>
      <w:numFmt w:val="decimal"/>
      <w:suff w:val="nothing"/>
      <w:lvlText w:val="%1、"/>
      <w:lvlJc w:val="left"/>
    </w:lvl>
  </w:abstractNum>
  <w:abstractNum w:abstractNumId="1">
    <w:nsid w:val="E221B81A"/>
    <w:multiLevelType w:val="singleLevel"/>
    <w:tmpl w:val="E221B81A"/>
    <w:lvl w:ilvl="0" w:tentative="0">
      <w:start w:val="1"/>
      <w:numFmt w:val="decimal"/>
      <w:suff w:val="nothing"/>
      <w:lvlText w:val="（%1）"/>
      <w:lvlJc w:val="left"/>
    </w:lvl>
  </w:abstractNum>
  <w:abstractNum w:abstractNumId="2">
    <w:nsid w:val="5CF0CE0C"/>
    <w:multiLevelType w:val="singleLevel"/>
    <w:tmpl w:val="5CF0CE0C"/>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28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xNmYxNzRmZmJmZWZlZGE5Mzk4NDEwYjI1MWY2NTEifQ=="/>
  </w:docVars>
  <w:rsids>
    <w:rsidRoot w:val="00172A27"/>
    <w:rsid w:val="0000012A"/>
    <w:rsid w:val="00000419"/>
    <w:rsid w:val="00001661"/>
    <w:rsid w:val="000017EF"/>
    <w:rsid w:val="00001EBE"/>
    <w:rsid w:val="00002B9C"/>
    <w:rsid w:val="00003E74"/>
    <w:rsid w:val="00006179"/>
    <w:rsid w:val="000072F2"/>
    <w:rsid w:val="000077BA"/>
    <w:rsid w:val="0001026F"/>
    <w:rsid w:val="00010A79"/>
    <w:rsid w:val="00010E33"/>
    <w:rsid w:val="00010E3D"/>
    <w:rsid w:val="000110F2"/>
    <w:rsid w:val="00011D1C"/>
    <w:rsid w:val="00011E53"/>
    <w:rsid w:val="000124E1"/>
    <w:rsid w:val="00013B8E"/>
    <w:rsid w:val="000143C6"/>
    <w:rsid w:val="00015048"/>
    <w:rsid w:val="00021910"/>
    <w:rsid w:val="0002245E"/>
    <w:rsid w:val="00022B7F"/>
    <w:rsid w:val="00023378"/>
    <w:rsid w:val="00023647"/>
    <w:rsid w:val="000236D4"/>
    <w:rsid w:val="00023A43"/>
    <w:rsid w:val="000247D1"/>
    <w:rsid w:val="00025DA7"/>
    <w:rsid w:val="00025FC6"/>
    <w:rsid w:val="000260C3"/>
    <w:rsid w:val="000304C7"/>
    <w:rsid w:val="00030732"/>
    <w:rsid w:val="00030909"/>
    <w:rsid w:val="0003143E"/>
    <w:rsid w:val="00031D21"/>
    <w:rsid w:val="0003301E"/>
    <w:rsid w:val="000339CF"/>
    <w:rsid w:val="00033B73"/>
    <w:rsid w:val="00033D2B"/>
    <w:rsid w:val="00033F28"/>
    <w:rsid w:val="00034BC3"/>
    <w:rsid w:val="0003592D"/>
    <w:rsid w:val="00035EF7"/>
    <w:rsid w:val="00037802"/>
    <w:rsid w:val="0004080D"/>
    <w:rsid w:val="00040E6E"/>
    <w:rsid w:val="000410E0"/>
    <w:rsid w:val="00041860"/>
    <w:rsid w:val="00041A17"/>
    <w:rsid w:val="00042481"/>
    <w:rsid w:val="00042805"/>
    <w:rsid w:val="00043C85"/>
    <w:rsid w:val="00044C89"/>
    <w:rsid w:val="000456C5"/>
    <w:rsid w:val="000460BB"/>
    <w:rsid w:val="000477E0"/>
    <w:rsid w:val="000509BE"/>
    <w:rsid w:val="00050A9D"/>
    <w:rsid w:val="00050AB0"/>
    <w:rsid w:val="000514EB"/>
    <w:rsid w:val="0005359C"/>
    <w:rsid w:val="000549C7"/>
    <w:rsid w:val="0005509E"/>
    <w:rsid w:val="00055BCC"/>
    <w:rsid w:val="00056B38"/>
    <w:rsid w:val="00056C54"/>
    <w:rsid w:val="00057D18"/>
    <w:rsid w:val="000601DC"/>
    <w:rsid w:val="0006183F"/>
    <w:rsid w:val="0006219A"/>
    <w:rsid w:val="00063BCA"/>
    <w:rsid w:val="000646B0"/>
    <w:rsid w:val="00064EC4"/>
    <w:rsid w:val="00065172"/>
    <w:rsid w:val="00065F29"/>
    <w:rsid w:val="00066B04"/>
    <w:rsid w:val="00066D53"/>
    <w:rsid w:val="0007046E"/>
    <w:rsid w:val="000716E4"/>
    <w:rsid w:val="00071978"/>
    <w:rsid w:val="000725A8"/>
    <w:rsid w:val="00072C18"/>
    <w:rsid w:val="000731D9"/>
    <w:rsid w:val="000746E8"/>
    <w:rsid w:val="00074A88"/>
    <w:rsid w:val="00075666"/>
    <w:rsid w:val="0007615A"/>
    <w:rsid w:val="00076278"/>
    <w:rsid w:val="00077006"/>
    <w:rsid w:val="0007730E"/>
    <w:rsid w:val="00077337"/>
    <w:rsid w:val="00077482"/>
    <w:rsid w:val="00077CF6"/>
    <w:rsid w:val="00080E31"/>
    <w:rsid w:val="00080EE9"/>
    <w:rsid w:val="000816F4"/>
    <w:rsid w:val="000823F8"/>
    <w:rsid w:val="000827F0"/>
    <w:rsid w:val="00083B3D"/>
    <w:rsid w:val="0008418D"/>
    <w:rsid w:val="000844E6"/>
    <w:rsid w:val="00085D38"/>
    <w:rsid w:val="00085E16"/>
    <w:rsid w:val="00090BC8"/>
    <w:rsid w:val="0009141B"/>
    <w:rsid w:val="00092B1C"/>
    <w:rsid w:val="000932FD"/>
    <w:rsid w:val="00093D97"/>
    <w:rsid w:val="0009654B"/>
    <w:rsid w:val="00097B15"/>
    <w:rsid w:val="000A0C74"/>
    <w:rsid w:val="000A15B9"/>
    <w:rsid w:val="000A1639"/>
    <w:rsid w:val="000A1DE5"/>
    <w:rsid w:val="000A212C"/>
    <w:rsid w:val="000A3B3B"/>
    <w:rsid w:val="000A4843"/>
    <w:rsid w:val="000A5DE3"/>
    <w:rsid w:val="000A69A2"/>
    <w:rsid w:val="000A6C78"/>
    <w:rsid w:val="000A732F"/>
    <w:rsid w:val="000B069F"/>
    <w:rsid w:val="000B2089"/>
    <w:rsid w:val="000B240C"/>
    <w:rsid w:val="000B2564"/>
    <w:rsid w:val="000B25B6"/>
    <w:rsid w:val="000B2885"/>
    <w:rsid w:val="000B3083"/>
    <w:rsid w:val="000B4391"/>
    <w:rsid w:val="000B4868"/>
    <w:rsid w:val="000B5054"/>
    <w:rsid w:val="000B57D0"/>
    <w:rsid w:val="000B5BB7"/>
    <w:rsid w:val="000B6E27"/>
    <w:rsid w:val="000B7C7E"/>
    <w:rsid w:val="000B7E45"/>
    <w:rsid w:val="000C0D35"/>
    <w:rsid w:val="000C0DF9"/>
    <w:rsid w:val="000C157D"/>
    <w:rsid w:val="000C19F1"/>
    <w:rsid w:val="000C35B2"/>
    <w:rsid w:val="000C39B6"/>
    <w:rsid w:val="000C4938"/>
    <w:rsid w:val="000C50B7"/>
    <w:rsid w:val="000C550E"/>
    <w:rsid w:val="000C6D5B"/>
    <w:rsid w:val="000C7475"/>
    <w:rsid w:val="000C7D35"/>
    <w:rsid w:val="000D0040"/>
    <w:rsid w:val="000D0398"/>
    <w:rsid w:val="000D320F"/>
    <w:rsid w:val="000D47F5"/>
    <w:rsid w:val="000D49EC"/>
    <w:rsid w:val="000D4F77"/>
    <w:rsid w:val="000D5451"/>
    <w:rsid w:val="000D5900"/>
    <w:rsid w:val="000D7BC4"/>
    <w:rsid w:val="000E100D"/>
    <w:rsid w:val="000E15F8"/>
    <w:rsid w:val="000E1C8B"/>
    <w:rsid w:val="000E33FF"/>
    <w:rsid w:val="000E3DCD"/>
    <w:rsid w:val="000E3FD7"/>
    <w:rsid w:val="000E494A"/>
    <w:rsid w:val="000E4A30"/>
    <w:rsid w:val="000E55CC"/>
    <w:rsid w:val="000E738A"/>
    <w:rsid w:val="000F1449"/>
    <w:rsid w:val="000F1BED"/>
    <w:rsid w:val="000F1E3E"/>
    <w:rsid w:val="000F24DF"/>
    <w:rsid w:val="000F2533"/>
    <w:rsid w:val="000F2A7D"/>
    <w:rsid w:val="000F2F57"/>
    <w:rsid w:val="000F3958"/>
    <w:rsid w:val="000F4252"/>
    <w:rsid w:val="000F458E"/>
    <w:rsid w:val="000F47DB"/>
    <w:rsid w:val="000F536E"/>
    <w:rsid w:val="000F6D7B"/>
    <w:rsid w:val="0010039A"/>
    <w:rsid w:val="001009E7"/>
    <w:rsid w:val="00100A0D"/>
    <w:rsid w:val="001022A2"/>
    <w:rsid w:val="00102524"/>
    <w:rsid w:val="00102D90"/>
    <w:rsid w:val="00103D42"/>
    <w:rsid w:val="001044BB"/>
    <w:rsid w:val="00105D95"/>
    <w:rsid w:val="001063B6"/>
    <w:rsid w:val="001063ED"/>
    <w:rsid w:val="00110001"/>
    <w:rsid w:val="00110BAA"/>
    <w:rsid w:val="00110E41"/>
    <w:rsid w:val="001128F6"/>
    <w:rsid w:val="001133E8"/>
    <w:rsid w:val="00113400"/>
    <w:rsid w:val="001134DA"/>
    <w:rsid w:val="00113569"/>
    <w:rsid w:val="001149B3"/>
    <w:rsid w:val="00114E9A"/>
    <w:rsid w:val="00120E42"/>
    <w:rsid w:val="0012105F"/>
    <w:rsid w:val="00121DB8"/>
    <w:rsid w:val="00122A22"/>
    <w:rsid w:val="00123C2D"/>
    <w:rsid w:val="00124748"/>
    <w:rsid w:val="0012535A"/>
    <w:rsid w:val="00125BBA"/>
    <w:rsid w:val="00125FA2"/>
    <w:rsid w:val="00125FE0"/>
    <w:rsid w:val="0012612A"/>
    <w:rsid w:val="0012714D"/>
    <w:rsid w:val="00127D73"/>
    <w:rsid w:val="001302F1"/>
    <w:rsid w:val="0013039A"/>
    <w:rsid w:val="001309B7"/>
    <w:rsid w:val="0013172B"/>
    <w:rsid w:val="00131A66"/>
    <w:rsid w:val="001321A3"/>
    <w:rsid w:val="00133444"/>
    <w:rsid w:val="001336CC"/>
    <w:rsid w:val="001336EB"/>
    <w:rsid w:val="00134F96"/>
    <w:rsid w:val="00135863"/>
    <w:rsid w:val="001379AC"/>
    <w:rsid w:val="00141437"/>
    <w:rsid w:val="00141822"/>
    <w:rsid w:val="00142830"/>
    <w:rsid w:val="00142A16"/>
    <w:rsid w:val="00144E41"/>
    <w:rsid w:val="0014627A"/>
    <w:rsid w:val="001462F6"/>
    <w:rsid w:val="00147330"/>
    <w:rsid w:val="001477FD"/>
    <w:rsid w:val="001479A2"/>
    <w:rsid w:val="00147D27"/>
    <w:rsid w:val="00150643"/>
    <w:rsid w:val="001509F4"/>
    <w:rsid w:val="00151B63"/>
    <w:rsid w:val="00151FB5"/>
    <w:rsid w:val="00154052"/>
    <w:rsid w:val="001546C6"/>
    <w:rsid w:val="00154FF1"/>
    <w:rsid w:val="00155573"/>
    <w:rsid w:val="00155596"/>
    <w:rsid w:val="0015715B"/>
    <w:rsid w:val="0016053D"/>
    <w:rsid w:val="001607AD"/>
    <w:rsid w:val="001625CB"/>
    <w:rsid w:val="00163B47"/>
    <w:rsid w:val="00163BF1"/>
    <w:rsid w:val="001645ED"/>
    <w:rsid w:val="001647CA"/>
    <w:rsid w:val="00165400"/>
    <w:rsid w:val="0016562D"/>
    <w:rsid w:val="001656C6"/>
    <w:rsid w:val="00167203"/>
    <w:rsid w:val="001701F2"/>
    <w:rsid w:val="00170487"/>
    <w:rsid w:val="001709ED"/>
    <w:rsid w:val="00171938"/>
    <w:rsid w:val="00172A27"/>
    <w:rsid w:val="00174080"/>
    <w:rsid w:val="00174D63"/>
    <w:rsid w:val="001753A4"/>
    <w:rsid w:val="00175746"/>
    <w:rsid w:val="001759CE"/>
    <w:rsid w:val="001807AA"/>
    <w:rsid w:val="00181A76"/>
    <w:rsid w:val="00182550"/>
    <w:rsid w:val="00183FA7"/>
    <w:rsid w:val="0018442E"/>
    <w:rsid w:val="00184526"/>
    <w:rsid w:val="001848E9"/>
    <w:rsid w:val="001850A2"/>
    <w:rsid w:val="0018678E"/>
    <w:rsid w:val="00187A73"/>
    <w:rsid w:val="00190E5F"/>
    <w:rsid w:val="001916B2"/>
    <w:rsid w:val="00191B87"/>
    <w:rsid w:val="0019233E"/>
    <w:rsid w:val="001929B5"/>
    <w:rsid w:val="0019326F"/>
    <w:rsid w:val="00193795"/>
    <w:rsid w:val="001937ED"/>
    <w:rsid w:val="00193BEB"/>
    <w:rsid w:val="00194B00"/>
    <w:rsid w:val="001963F0"/>
    <w:rsid w:val="00197171"/>
    <w:rsid w:val="001971B3"/>
    <w:rsid w:val="00197C09"/>
    <w:rsid w:val="001A10B7"/>
    <w:rsid w:val="001A31C0"/>
    <w:rsid w:val="001A34F1"/>
    <w:rsid w:val="001A3529"/>
    <w:rsid w:val="001A42BF"/>
    <w:rsid w:val="001A5479"/>
    <w:rsid w:val="001A575C"/>
    <w:rsid w:val="001A5F4D"/>
    <w:rsid w:val="001A5FA8"/>
    <w:rsid w:val="001A66C5"/>
    <w:rsid w:val="001A7BEF"/>
    <w:rsid w:val="001B0197"/>
    <w:rsid w:val="001B1EE2"/>
    <w:rsid w:val="001B2111"/>
    <w:rsid w:val="001B2990"/>
    <w:rsid w:val="001B2B55"/>
    <w:rsid w:val="001B37CB"/>
    <w:rsid w:val="001B39F6"/>
    <w:rsid w:val="001B3C9A"/>
    <w:rsid w:val="001B3F64"/>
    <w:rsid w:val="001B593C"/>
    <w:rsid w:val="001B5FBA"/>
    <w:rsid w:val="001B6ADB"/>
    <w:rsid w:val="001B7695"/>
    <w:rsid w:val="001C07A2"/>
    <w:rsid w:val="001C0963"/>
    <w:rsid w:val="001C1015"/>
    <w:rsid w:val="001C14D8"/>
    <w:rsid w:val="001C2E14"/>
    <w:rsid w:val="001C30FF"/>
    <w:rsid w:val="001C43F1"/>
    <w:rsid w:val="001C4E35"/>
    <w:rsid w:val="001C5163"/>
    <w:rsid w:val="001C518E"/>
    <w:rsid w:val="001D014A"/>
    <w:rsid w:val="001D1644"/>
    <w:rsid w:val="001D3294"/>
    <w:rsid w:val="001D3FB1"/>
    <w:rsid w:val="001D3FB2"/>
    <w:rsid w:val="001D4D10"/>
    <w:rsid w:val="001D55AE"/>
    <w:rsid w:val="001E0A51"/>
    <w:rsid w:val="001E2006"/>
    <w:rsid w:val="001E21D2"/>
    <w:rsid w:val="001E51F0"/>
    <w:rsid w:val="001E5283"/>
    <w:rsid w:val="001E58E4"/>
    <w:rsid w:val="001E596D"/>
    <w:rsid w:val="001E5999"/>
    <w:rsid w:val="001E5AAC"/>
    <w:rsid w:val="001E604B"/>
    <w:rsid w:val="001E6794"/>
    <w:rsid w:val="001E6C29"/>
    <w:rsid w:val="001E7736"/>
    <w:rsid w:val="001E7F10"/>
    <w:rsid w:val="001F037B"/>
    <w:rsid w:val="001F0D6B"/>
    <w:rsid w:val="001F1841"/>
    <w:rsid w:val="001F18F2"/>
    <w:rsid w:val="001F1A73"/>
    <w:rsid w:val="001F1FA2"/>
    <w:rsid w:val="001F21B1"/>
    <w:rsid w:val="001F253E"/>
    <w:rsid w:val="001F31DD"/>
    <w:rsid w:val="001F354E"/>
    <w:rsid w:val="001F4778"/>
    <w:rsid w:val="001F5941"/>
    <w:rsid w:val="001F7131"/>
    <w:rsid w:val="001F7958"/>
    <w:rsid w:val="001F7CBB"/>
    <w:rsid w:val="00200311"/>
    <w:rsid w:val="0020093F"/>
    <w:rsid w:val="00200ECE"/>
    <w:rsid w:val="00201C7A"/>
    <w:rsid w:val="0020269E"/>
    <w:rsid w:val="0020382F"/>
    <w:rsid w:val="00203B75"/>
    <w:rsid w:val="002044B3"/>
    <w:rsid w:val="0020511B"/>
    <w:rsid w:val="002066B6"/>
    <w:rsid w:val="002100BF"/>
    <w:rsid w:val="00210C1C"/>
    <w:rsid w:val="002110AE"/>
    <w:rsid w:val="002111ED"/>
    <w:rsid w:val="00211239"/>
    <w:rsid w:val="00212378"/>
    <w:rsid w:val="00212660"/>
    <w:rsid w:val="002129F9"/>
    <w:rsid w:val="00212B80"/>
    <w:rsid w:val="00213002"/>
    <w:rsid w:val="00213D46"/>
    <w:rsid w:val="00213D47"/>
    <w:rsid w:val="00213E8A"/>
    <w:rsid w:val="00214127"/>
    <w:rsid w:val="0021420B"/>
    <w:rsid w:val="00214383"/>
    <w:rsid w:val="0021443E"/>
    <w:rsid w:val="0021472F"/>
    <w:rsid w:val="00216750"/>
    <w:rsid w:val="00217126"/>
    <w:rsid w:val="002209F0"/>
    <w:rsid w:val="00221357"/>
    <w:rsid w:val="00221885"/>
    <w:rsid w:val="002219CA"/>
    <w:rsid w:val="00221E87"/>
    <w:rsid w:val="00223C02"/>
    <w:rsid w:val="00224096"/>
    <w:rsid w:val="0022412D"/>
    <w:rsid w:val="00224BB7"/>
    <w:rsid w:val="00224BDC"/>
    <w:rsid w:val="00224CBD"/>
    <w:rsid w:val="00224F55"/>
    <w:rsid w:val="00225648"/>
    <w:rsid w:val="002259BE"/>
    <w:rsid w:val="00225C0D"/>
    <w:rsid w:val="0023078C"/>
    <w:rsid w:val="002312F5"/>
    <w:rsid w:val="00232249"/>
    <w:rsid w:val="00232D5D"/>
    <w:rsid w:val="00234911"/>
    <w:rsid w:val="002354C5"/>
    <w:rsid w:val="00236EA2"/>
    <w:rsid w:val="00236F1A"/>
    <w:rsid w:val="00240221"/>
    <w:rsid w:val="00240554"/>
    <w:rsid w:val="002411C0"/>
    <w:rsid w:val="00241EA6"/>
    <w:rsid w:val="002425F2"/>
    <w:rsid w:val="00242D37"/>
    <w:rsid w:val="00242EFB"/>
    <w:rsid w:val="002456C5"/>
    <w:rsid w:val="00245948"/>
    <w:rsid w:val="00245BE1"/>
    <w:rsid w:val="00247671"/>
    <w:rsid w:val="0024767A"/>
    <w:rsid w:val="002506CA"/>
    <w:rsid w:val="0025132B"/>
    <w:rsid w:val="00251360"/>
    <w:rsid w:val="002516C0"/>
    <w:rsid w:val="00252462"/>
    <w:rsid w:val="00252AD0"/>
    <w:rsid w:val="00252FAD"/>
    <w:rsid w:val="0025346F"/>
    <w:rsid w:val="00253AA4"/>
    <w:rsid w:val="00254005"/>
    <w:rsid w:val="0025435A"/>
    <w:rsid w:val="00254581"/>
    <w:rsid w:val="00254AD9"/>
    <w:rsid w:val="00254F9A"/>
    <w:rsid w:val="00256F9B"/>
    <w:rsid w:val="0026091C"/>
    <w:rsid w:val="002637B7"/>
    <w:rsid w:val="00263B77"/>
    <w:rsid w:val="00264149"/>
    <w:rsid w:val="002641C6"/>
    <w:rsid w:val="0026462C"/>
    <w:rsid w:val="00266064"/>
    <w:rsid w:val="00272A69"/>
    <w:rsid w:val="00272F81"/>
    <w:rsid w:val="00273597"/>
    <w:rsid w:val="0027399E"/>
    <w:rsid w:val="002741BB"/>
    <w:rsid w:val="00274426"/>
    <w:rsid w:val="00274592"/>
    <w:rsid w:val="0027479F"/>
    <w:rsid w:val="00274A1D"/>
    <w:rsid w:val="00274C58"/>
    <w:rsid w:val="00274E07"/>
    <w:rsid w:val="00274F2A"/>
    <w:rsid w:val="002758FD"/>
    <w:rsid w:val="0027603A"/>
    <w:rsid w:val="00276971"/>
    <w:rsid w:val="00276C74"/>
    <w:rsid w:val="0028002F"/>
    <w:rsid w:val="00280150"/>
    <w:rsid w:val="00280C8B"/>
    <w:rsid w:val="00283304"/>
    <w:rsid w:val="00283BBA"/>
    <w:rsid w:val="00284179"/>
    <w:rsid w:val="002849FC"/>
    <w:rsid w:val="0028507D"/>
    <w:rsid w:val="00285520"/>
    <w:rsid w:val="00285E0E"/>
    <w:rsid w:val="00286C5D"/>
    <w:rsid w:val="00286F67"/>
    <w:rsid w:val="002870A4"/>
    <w:rsid w:val="002879DB"/>
    <w:rsid w:val="00290ED2"/>
    <w:rsid w:val="002921BD"/>
    <w:rsid w:val="002926AA"/>
    <w:rsid w:val="00292958"/>
    <w:rsid w:val="00292C0C"/>
    <w:rsid w:val="00292E30"/>
    <w:rsid w:val="0029307D"/>
    <w:rsid w:val="002930BE"/>
    <w:rsid w:val="002937C3"/>
    <w:rsid w:val="00293A46"/>
    <w:rsid w:val="00293B78"/>
    <w:rsid w:val="00294125"/>
    <w:rsid w:val="00294432"/>
    <w:rsid w:val="00295335"/>
    <w:rsid w:val="00296937"/>
    <w:rsid w:val="00296C1B"/>
    <w:rsid w:val="0029726C"/>
    <w:rsid w:val="002A03B0"/>
    <w:rsid w:val="002A121B"/>
    <w:rsid w:val="002A1BBC"/>
    <w:rsid w:val="002A201F"/>
    <w:rsid w:val="002A2229"/>
    <w:rsid w:val="002A22B2"/>
    <w:rsid w:val="002A4C0D"/>
    <w:rsid w:val="002A50DF"/>
    <w:rsid w:val="002A663B"/>
    <w:rsid w:val="002A70FE"/>
    <w:rsid w:val="002A7623"/>
    <w:rsid w:val="002A7805"/>
    <w:rsid w:val="002A7E5A"/>
    <w:rsid w:val="002B0607"/>
    <w:rsid w:val="002B08CE"/>
    <w:rsid w:val="002B14F7"/>
    <w:rsid w:val="002B25DB"/>
    <w:rsid w:val="002B355C"/>
    <w:rsid w:val="002B3BCE"/>
    <w:rsid w:val="002B4787"/>
    <w:rsid w:val="002B4E1B"/>
    <w:rsid w:val="002B51B5"/>
    <w:rsid w:val="002B58D3"/>
    <w:rsid w:val="002B6307"/>
    <w:rsid w:val="002B65E9"/>
    <w:rsid w:val="002C0210"/>
    <w:rsid w:val="002C05C1"/>
    <w:rsid w:val="002C197A"/>
    <w:rsid w:val="002C1B19"/>
    <w:rsid w:val="002C1C2C"/>
    <w:rsid w:val="002C29C9"/>
    <w:rsid w:val="002C2A5C"/>
    <w:rsid w:val="002C48A4"/>
    <w:rsid w:val="002C4CDA"/>
    <w:rsid w:val="002C6383"/>
    <w:rsid w:val="002C6EF9"/>
    <w:rsid w:val="002C700E"/>
    <w:rsid w:val="002C765C"/>
    <w:rsid w:val="002C79A1"/>
    <w:rsid w:val="002D0A26"/>
    <w:rsid w:val="002D0E39"/>
    <w:rsid w:val="002D2FA4"/>
    <w:rsid w:val="002D450B"/>
    <w:rsid w:val="002D4A45"/>
    <w:rsid w:val="002D533C"/>
    <w:rsid w:val="002D589E"/>
    <w:rsid w:val="002D5B19"/>
    <w:rsid w:val="002D5B58"/>
    <w:rsid w:val="002D5B82"/>
    <w:rsid w:val="002D697E"/>
    <w:rsid w:val="002D6F6C"/>
    <w:rsid w:val="002D725C"/>
    <w:rsid w:val="002D7BCF"/>
    <w:rsid w:val="002E0625"/>
    <w:rsid w:val="002E0A66"/>
    <w:rsid w:val="002E12CD"/>
    <w:rsid w:val="002E21EE"/>
    <w:rsid w:val="002E2AA2"/>
    <w:rsid w:val="002E2FAD"/>
    <w:rsid w:val="002E35ED"/>
    <w:rsid w:val="002E4053"/>
    <w:rsid w:val="002E4625"/>
    <w:rsid w:val="002E46C2"/>
    <w:rsid w:val="002E4B82"/>
    <w:rsid w:val="002E4D13"/>
    <w:rsid w:val="002E4F7D"/>
    <w:rsid w:val="002E59B4"/>
    <w:rsid w:val="002E6A8D"/>
    <w:rsid w:val="002E6B96"/>
    <w:rsid w:val="002E7A59"/>
    <w:rsid w:val="002E7F08"/>
    <w:rsid w:val="002F24FF"/>
    <w:rsid w:val="002F2600"/>
    <w:rsid w:val="002F27FD"/>
    <w:rsid w:val="002F2906"/>
    <w:rsid w:val="002F3195"/>
    <w:rsid w:val="002F363B"/>
    <w:rsid w:val="002F37E5"/>
    <w:rsid w:val="002F3CDB"/>
    <w:rsid w:val="002F65E8"/>
    <w:rsid w:val="003002F7"/>
    <w:rsid w:val="00300D6E"/>
    <w:rsid w:val="00300DBF"/>
    <w:rsid w:val="00302279"/>
    <w:rsid w:val="00302519"/>
    <w:rsid w:val="003028AE"/>
    <w:rsid w:val="00304F0B"/>
    <w:rsid w:val="00305028"/>
    <w:rsid w:val="00305F90"/>
    <w:rsid w:val="00306577"/>
    <w:rsid w:val="003070EF"/>
    <w:rsid w:val="00307B50"/>
    <w:rsid w:val="00310293"/>
    <w:rsid w:val="00310D7D"/>
    <w:rsid w:val="00310EC9"/>
    <w:rsid w:val="00310FA4"/>
    <w:rsid w:val="00311237"/>
    <w:rsid w:val="00311436"/>
    <w:rsid w:val="00311705"/>
    <w:rsid w:val="00311A7F"/>
    <w:rsid w:val="00312384"/>
    <w:rsid w:val="003144C6"/>
    <w:rsid w:val="00314566"/>
    <w:rsid w:val="0031479F"/>
    <w:rsid w:val="00316F15"/>
    <w:rsid w:val="0031739B"/>
    <w:rsid w:val="00323177"/>
    <w:rsid w:val="003232E7"/>
    <w:rsid w:val="003247DA"/>
    <w:rsid w:val="00324D4A"/>
    <w:rsid w:val="00326B99"/>
    <w:rsid w:val="0032762C"/>
    <w:rsid w:val="00327988"/>
    <w:rsid w:val="003309A7"/>
    <w:rsid w:val="00330F3E"/>
    <w:rsid w:val="00331F93"/>
    <w:rsid w:val="003324FD"/>
    <w:rsid w:val="00332AB5"/>
    <w:rsid w:val="003353A4"/>
    <w:rsid w:val="00335C44"/>
    <w:rsid w:val="00336B41"/>
    <w:rsid w:val="00337E93"/>
    <w:rsid w:val="003400CE"/>
    <w:rsid w:val="0034089A"/>
    <w:rsid w:val="00341031"/>
    <w:rsid w:val="0034183E"/>
    <w:rsid w:val="00342588"/>
    <w:rsid w:val="00342EB6"/>
    <w:rsid w:val="00343428"/>
    <w:rsid w:val="00343467"/>
    <w:rsid w:val="00343691"/>
    <w:rsid w:val="00344099"/>
    <w:rsid w:val="0034455F"/>
    <w:rsid w:val="00345BAB"/>
    <w:rsid w:val="003474D9"/>
    <w:rsid w:val="0034766B"/>
    <w:rsid w:val="00347912"/>
    <w:rsid w:val="00347F42"/>
    <w:rsid w:val="00347FCB"/>
    <w:rsid w:val="0035021D"/>
    <w:rsid w:val="0035023B"/>
    <w:rsid w:val="003506B8"/>
    <w:rsid w:val="003509F5"/>
    <w:rsid w:val="00350AB3"/>
    <w:rsid w:val="00350C3C"/>
    <w:rsid w:val="00351152"/>
    <w:rsid w:val="0035122E"/>
    <w:rsid w:val="00351CC8"/>
    <w:rsid w:val="003524F9"/>
    <w:rsid w:val="00353944"/>
    <w:rsid w:val="00354387"/>
    <w:rsid w:val="00354BF7"/>
    <w:rsid w:val="00354D46"/>
    <w:rsid w:val="003556C6"/>
    <w:rsid w:val="00355AEF"/>
    <w:rsid w:val="00356C3C"/>
    <w:rsid w:val="00357846"/>
    <w:rsid w:val="00360D53"/>
    <w:rsid w:val="003624CA"/>
    <w:rsid w:val="0036273D"/>
    <w:rsid w:val="00362F36"/>
    <w:rsid w:val="00364D43"/>
    <w:rsid w:val="00364D62"/>
    <w:rsid w:val="00365808"/>
    <w:rsid w:val="00365DED"/>
    <w:rsid w:val="00366055"/>
    <w:rsid w:val="0036622E"/>
    <w:rsid w:val="00366A27"/>
    <w:rsid w:val="00367CBF"/>
    <w:rsid w:val="003701C3"/>
    <w:rsid w:val="00372FCC"/>
    <w:rsid w:val="003739F2"/>
    <w:rsid w:val="00376915"/>
    <w:rsid w:val="00376F8B"/>
    <w:rsid w:val="003772DB"/>
    <w:rsid w:val="00377389"/>
    <w:rsid w:val="00380281"/>
    <w:rsid w:val="003802C8"/>
    <w:rsid w:val="00380A92"/>
    <w:rsid w:val="00380ECB"/>
    <w:rsid w:val="00381F70"/>
    <w:rsid w:val="003828B3"/>
    <w:rsid w:val="00387153"/>
    <w:rsid w:val="00387A73"/>
    <w:rsid w:val="00390858"/>
    <w:rsid w:val="00390BAC"/>
    <w:rsid w:val="003925A9"/>
    <w:rsid w:val="00393987"/>
    <w:rsid w:val="003957F5"/>
    <w:rsid w:val="00395D87"/>
    <w:rsid w:val="00396B81"/>
    <w:rsid w:val="00396E9E"/>
    <w:rsid w:val="003971B4"/>
    <w:rsid w:val="003A098E"/>
    <w:rsid w:val="003A0AB7"/>
    <w:rsid w:val="003A0FB8"/>
    <w:rsid w:val="003A1635"/>
    <w:rsid w:val="003A1E93"/>
    <w:rsid w:val="003A2121"/>
    <w:rsid w:val="003A3586"/>
    <w:rsid w:val="003A6FB2"/>
    <w:rsid w:val="003A7C11"/>
    <w:rsid w:val="003B0032"/>
    <w:rsid w:val="003B0DC0"/>
    <w:rsid w:val="003B0E5F"/>
    <w:rsid w:val="003B1472"/>
    <w:rsid w:val="003B2A39"/>
    <w:rsid w:val="003B2BB6"/>
    <w:rsid w:val="003B3F79"/>
    <w:rsid w:val="003B4436"/>
    <w:rsid w:val="003B4B0D"/>
    <w:rsid w:val="003B4DAD"/>
    <w:rsid w:val="003B560B"/>
    <w:rsid w:val="003B58B2"/>
    <w:rsid w:val="003B5D25"/>
    <w:rsid w:val="003B5E0B"/>
    <w:rsid w:val="003B74D9"/>
    <w:rsid w:val="003C06B8"/>
    <w:rsid w:val="003C235C"/>
    <w:rsid w:val="003C292A"/>
    <w:rsid w:val="003C293F"/>
    <w:rsid w:val="003C3609"/>
    <w:rsid w:val="003C4566"/>
    <w:rsid w:val="003C561B"/>
    <w:rsid w:val="003C7491"/>
    <w:rsid w:val="003C7737"/>
    <w:rsid w:val="003C7F06"/>
    <w:rsid w:val="003D1571"/>
    <w:rsid w:val="003D1DA6"/>
    <w:rsid w:val="003D33EF"/>
    <w:rsid w:val="003D3A7F"/>
    <w:rsid w:val="003D4D29"/>
    <w:rsid w:val="003D544A"/>
    <w:rsid w:val="003D55CE"/>
    <w:rsid w:val="003D63AC"/>
    <w:rsid w:val="003D6A5B"/>
    <w:rsid w:val="003D7FAC"/>
    <w:rsid w:val="003E0EE4"/>
    <w:rsid w:val="003E2090"/>
    <w:rsid w:val="003E345F"/>
    <w:rsid w:val="003E3CBC"/>
    <w:rsid w:val="003E4AD0"/>
    <w:rsid w:val="003E5DC4"/>
    <w:rsid w:val="003E621B"/>
    <w:rsid w:val="003E6C93"/>
    <w:rsid w:val="003E6D1B"/>
    <w:rsid w:val="003F0884"/>
    <w:rsid w:val="003F0C4F"/>
    <w:rsid w:val="003F108C"/>
    <w:rsid w:val="003F221F"/>
    <w:rsid w:val="003F28E7"/>
    <w:rsid w:val="003F328E"/>
    <w:rsid w:val="003F3EA8"/>
    <w:rsid w:val="003F3FA8"/>
    <w:rsid w:val="003F4DAD"/>
    <w:rsid w:val="003F536A"/>
    <w:rsid w:val="003F570C"/>
    <w:rsid w:val="003F6462"/>
    <w:rsid w:val="003F6E59"/>
    <w:rsid w:val="003F75AA"/>
    <w:rsid w:val="003F77AA"/>
    <w:rsid w:val="003F7B6F"/>
    <w:rsid w:val="0040395B"/>
    <w:rsid w:val="00403A3D"/>
    <w:rsid w:val="0040445B"/>
    <w:rsid w:val="00404AAF"/>
    <w:rsid w:val="004053B6"/>
    <w:rsid w:val="0040586A"/>
    <w:rsid w:val="0040794D"/>
    <w:rsid w:val="0040797D"/>
    <w:rsid w:val="00410210"/>
    <w:rsid w:val="0041079E"/>
    <w:rsid w:val="00410D89"/>
    <w:rsid w:val="00411AA4"/>
    <w:rsid w:val="00411F04"/>
    <w:rsid w:val="0041364A"/>
    <w:rsid w:val="00414A2A"/>
    <w:rsid w:val="00415114"/>
    <w:rsid w:val="0041529B"/>
    <w:rsid w:val="00415320"/>
    <w:rsid w:val="00415CB1"/>
    <w:rsid w:val="0041689E"/>
    <w:rsid w:val="004202C8"/>
    <w:rsid w:val="004207F0"/>
    <w:rsid w:val="00421173"/>
    <w:rsid w:val="00421D5D"/>
    <w:rsid w:val="00422308"/>
    <w:rsid w:val="00424073"/>
    <w:rsid w:val="0042483F"/>
    <w:rsid w:val="0042693C"/>
    <w:rsid w:val="00427946"/>
    <w:rsid w:val="00427B47"/>
    <w:rsid w:val="00430439"/>
    <w:rsid w:val="0043044A"/>
    <w:rsid w:val="004305EC"/>
    <w:rsid w:val="00430F9B"/>
    <w:rsid w:val="0043175E"/>
    <w:rsid w:val="00432043"/>
    <w:rsid w:val="00432060"/>
    <w:rsid w:val="00432128"/>
    <w:rsid w:val="00432510"/>
    <w:rsid w:val="00433E3B"/>
    <w:rsid w:val="00434866"/>
    <w:rsid w:val="00434882"/>
    <w:rsid w:val="00434D7F"/>
    <w:rsid w:val="00435771"/>
    <w:rsid w:val="00435ED7"/>
    <w:rsid w:val="004361C2"/>
    <w:rsid w:val="00436981"/>
    <w:rsid w:val="0044011D"/>
    <w:rsid w:val="00440678"/>
    <w:rsid w:val="00440931"/>
    <w:rsid w:val="00441F79"/>
    <w:rsid w:val="0044302A"/>
    <w:rsid w:val="00443A20"/>
    <w:rsid w:val="00443B70"/>
    <w:rsid w:val="004441C3"/>
    <w:rsid w:val="004460E0"/>
    <w:rsid w:val="00446F09"/>
    <w:rsid w:val="00451490"/>
    <w:rsid w:val="004514A3"/>
    <w:rsid w:val="004514EA"/>
    <w:rsid w:val="00451941"/>
    <w:rsid w:val="00451C9C"/>
    <w:rsid w:val="004526A9"/>
    <w:rsid w:val="00452703"/>
    <w:rsid w:val="00452A0F"/>
    <w:rsid w:val="0045304A"/>
    <w:rsid w:val="004532DF"/>
    <w:rsid w:val="0045403F"/>
    <w:rsid w:val="004542CB"/>
    <w:rsid w:val="00454A46"/>
    <w:rsid w:val="00454E38"/>
    <w:rsid w:val="0045503D"/>
    <w:rsid w:val="0045540B"/>
    <w:rsid w:val="00456DC8"/>
    <w:rsid w:val="004579B9"/>
    <w:rsid w:val="00457F0F"/>
    <w:rsid w:val="00460365"/>
    <w:rsid w:val="0046138A"/>
    <w:rsid w:val="00461941"/>
    <w:rsid w:val="00461FF6"/>
    <w:rsid w:val="00462062"/>
    <w:rsid w:val="00462C7E"/>
    <w:rsid w:val="00463E50"/>
    <w:rsid w:val="00464187"/>
    <w:rsid w:val="0046463E"/>
    <w:rsid w:val="00466CBC"/>
    <w:rsid w:val="004674C9"/>
    <w:rsid w:val="00470216"/>
    <w:rsid w:val="004710E2"/>
    <w:rsid w:val="0047123B"/>
    <w:rsid w:val="00471DDC"/>
    <w:rsid w:val="004721FA"/>
    <w:rsid w:val="00472754"/>
    <w:rsid w:val="004730FB"/>
    <w:rsid w:val="00473841"/>
    <w:rsid w:val="00474156"/>
    <w:rsid w:val="0047634B"/>
    <w:rsid w:val="00477025"/>
    <w:rsid w:val="004778A8"/>
    <w:rsid w:val="00482557"/>
    <w:rsid w:val="004825AA"/>
    <w:rsid w:val="004835A3"/>
    <w:rsid w:val="00483BB9"/>
    <w:rsid w:val="00484926"/>
    <w:rsid w:val="00485D4D"/>
    <w:rsid w:val="004863D3"/>
    <w:rsid w:val="0048776B"/>
    <w:rsid w:val="00487A5B"/>
    <w:rsid w:val="00491157"/>
    <w:rsid w:val="00491499"/>
    <w:rsid w:val="00491762"/>
    <w:rsid w:val="00492BC1"/>
    <w:rsid w:val="00492F95"/>
    <w:rsid w:val="00493F3A"/>
    <w:rsid w:val="00494777"/>
    <w:rsid w:val="0049498F"/>
    <w:rsid w:val="004960F5"/>
    <w:rsid w:val="00497497"/>
    <w:rsid w:val="004A155E"/>
    <w:rsid w:val="004A255D"/>
    <w:rsid w:val="004A2F38"/>
    <w:rsid w:val="004A4EF1"/>
    <w:rsid w:val="004A5338"/>
    <w:rsid w:val="004A53BD"/>
    <w:rsid w:val="004A6E10"/>
    <w:rsid w:val="004A7FF3"/>
    <w:rsid w:val="004B0297"/>
    <w:rsid w:val="004B03AA"/>
    <w:rsid w:val="004B27E2"/>
    <w:rsid w:val="004B28DA"/>
    <w:rsid w:val="004B2969"/>
    <w:rsid w:val="004B2F55"/>
    <w:rsid w:val="004B2F79"/>
    <w:rsid w:val="004B3871"/>
    <w:rsid w:val="004B4B68"/>
    <w:rsid w:val="004B4BFC"/>
    <w:rsid w:val="004B54B5"/>
    <w:rsid w:val="004B6A3B"/>
    <w:rsid w:val="004B7591"/>
    <w:rsid w:val="004B7792"/>
    <w:rsid w:val="004B7921"/>
    <w:rsid w:val="004C16FD"/>
    <w:rsid w:val="004C374B"/>
    <w:rsid w:val="004C5219"/>
    <w:rsid w:val="004C5CBB"/>
    <w:rsid w:val="004C61A5"/>
    <w:rsid w:val="004C70A6"/>
    <w:rsid w:val="004D0543"/>
    <w:rsid w:val="004D0DCE"/>
    <w:rsid w:val="004D223C"/>
    <w:rsid w:val="004D2605"/>
    <w:rsid w:val="004D2EA7"/>
    <w:rsid w:val="004D48A3"/>
    <w:rsid w:val="004D543F"/>
    <w:rsid w:val="004D5BB3"/>
    <w:rsid w:val="004D5ECA"/>
    <w:rsid w:val="004D6371"/>
    <w:rsid w:val="004D69C6"/>
    <w:rsid w:val="004D70CA"/>
    <w:rsid w:val="004D77AD"/>
    <w:rsid w:val="004D7ADC"/>
    <w:rsid w:val="004E0DAA"/>
    <w:rsid w:val="004E12BB"/>
    <w:rsid w:val="004E1AC3"/>
    <w:rsid w:val="004E22A1"/>
    <w:rsid w:val="004E28C3"/>
    <w:rsid w:val="004E290B"/>
    <w:rsid w:val="004E2EFF"/>
    <w:rsid w:val="004E31E7"/>
    <w:rsid w:val="004E3C96"/>
    <w:rsid w:val="004E4349"/>
    <w:rsid w:val="004E6E4B"/>
    <w:rsid w:val="004E7749"/>
    <w:rsid w:val="004F0014"/>
    <w:rsid w:val="004F123A"/>
    <w:rsid w:val="004F171E"/>
    <w:rsid w:val="004F184F"/>
    <w:rsid w:val="004F1A28"/>
    <w:rsid w:val="004F25C8"/>
    <w:rsid w:val="004F37CB"/>
    <w:rsid w:val="004F3974"/>
    <w:rsid w:val="004F5B5F"/>
    <w:rsid w:val="004F5C40"/>
    <w:rsid w:val="004F5E7E"/>
    <w:rsid w:val="004F6AF0"/>
    <w:rsid w:val="004F7800"/>
    <w:rsid w:val="004F785A"/>
    <w:rsid w:val="004F7EBE"/>
    <w:rsid w:val="00500C14"/>
    <w:rsid w:val="0050163E"/>
    <w:rsid w:val="00501697"/>
    <w:rsid w:val="0050203D"/>
    <w:rsid w:val="005029BC"/>
    <w:rsid w:val="00502C2B"/>
    <w:rsid w:val="0050402A"/>
    <w:rsid w:val="005048F7"/>
    <w:rsid w:val="0050524D"/>
    <w:rsid w:val="005058EE"/>
    <w:rsid w:val="005061C8"/>
    <w:rsid w:val="0050683D"/>
    <w:rsid w:val="00506A52"/>
    <w:rsid w:val="005077BD"/>
    <w:rsid w:val="00507A9E"/>
    <w:rsid w:val="00510FD7"/>
    <w:rsid w:val="00511523"/>
    <w:rsid w:val="00512296"/>
    <w:rsid w:val="005126BC"/>
    <w:rsid w:val="00512E3D"/>
    <w:rsid w:val="005130C3"/>
    <w:rsid w:val="005135DC"/>
    <w:rsid w:val="00513CB5"/>
    <w:rsid w:val="00513FB0"/>
    <w:rsid w:val="00514A66"/>
    <w:rsid w:val="00517124"/>
    <w:rsid w:val="005171EE"/>
    <w:rsid w:val="005173CF"/>
    <w:rsid w:val="0051760C"/>
    <w:rsid w:val="00517DF1"/>
    <w:rsid w:val="00520982"/>
    <w:rsid w:val="00520A5F"/>
    <w:rsid w:val="00521FB4"/>
    <w:rsid w:val="005226F7"/>
    <w:rsid w:val="00525D63"/>
    <w:rsid w:val="0052602D"/>
    <w:rsid w:val="005260E6"/>
    <w:rsid w:val="00526916"/>
    <w:rsid w:val="005269B8"/>
    <w:rsid w:val="00527361"/>
    <w:rsid w:val="00530277"/>
    <w:rsid w:val="00531BC3"/>
    <w:rsid w:val="0053264A"/>
    <w:rsid w:val="00532C0E"/>
    <w:rsid w:val="00533B84"/>
    <w:rsid w:val="00534918"/>
    <w:rsid w:val="00534C93"/>
    <w:rsid w:val="00537FCD"/>
    <w:rsid w:val="0054156E"/>
    <w:rsid w:val="005417FB"/>
    <w:rsid w:val="00541B38"/>
    <w:rsid w:val="00541DA1"/>
    <w:rsid w:val="00543C86"/>
    <w:rsid w:val="00544249"/>
    <w:rsid w:val="005452E5"/>
    <w:rsid w:val="005457AC"/>
    <w:rsid w:val="00545B0B"/>
    <w:rsid w:val="00546806"/>
    <w:rsid w:val="00547A7E"/>
    <w:rsid w:val="00547E4F"/>
    <w:rsid w:val="005501D2"/>
    <w:rsid w:val="005505F2"/>
    <w:rsid w:val="00551EBD"/>
    <w:rsid w:val="00552538"/>
    <w:rsid w:val="005534C2"/>
    <w:rsid w:val="00553729"/>
    <w:rsid w:val="00553832"/>
    <w:rsid w:val="005554CC"/>
    <w:rsid w:val="0055556D"/>
    <w:rsid w:val="00555E1D"/>
    <w:rsid w:val="00555EBF"/>
    <w:rsid w:val="00556917"/>
    <w:rsid w:val="005570FF"/>
    <w:rsid w:val="00557739"/>
    <w:rsid w:val="005579E5"/>
    <w:rsid w:val="00557C9D"/>
    <w:rsid w:val="00557D6B"/>
    <w:rsid w:val="005601F0"/>
    <w:rsid w:val="00560685"/>
    <w:rsid w:val="00560A76"/>
    <w:rsid w:val="0056163C"/>
    <w:rsid w:val="00561A02"/>
    <w:rsid w:val="00561C0C"/>
    <w:rsid w:val="00562207"/>
    <w:rsid w:val="00563ADE"/>
    <w:rsid w:val="00564778"/>
    <w:rsid w:val="0056481D"/>
    <w:rsid w:val="00564F6E"/>
    <w:rsid w:val="00565830"/>
    <w:rsid w:val="00565AE0"/>
    <w:rsid w:val="00565D45"/>
    <w:rsid w:val="00567298"/>
    <w:rsid w:val="005677BC"/>
    <w:rsid w:val="005700A0"/>
    <w:rsid w:val="00570994"/>
    <w:rsid w:val="00571DCE"/>
    <w:rsid w:val="005727CE"/>
    <w:rsid w:val="00572A0C"/>
    <w:rsid w:val="005743F4"/>
    <w:rsid w:val="00574968"/>
    <w:rsid w:val="00574D34"/>
    <w:rsid w:val="005752F4"/>
    <w:rsid w:val="00575903"/>
    <w:rsid w:val="00575DBF"/>
    <w:rsid w:val="005778A2"/>
    <w:rsid w:val="005778F8"/>
    <w:rsid w:val="00582393"/>
    <w:rsid w:val="00582610"/>
    <w:rsid w:val="00582F34"/>
    <w:rsid w:val="005831A4"/>
    <w:rsid w:val="005838C9"/>
    <w:rsid w:val="00583D57"/>
    <w:rsid w:val="00584C08"/>
    <w:rsid w:val="00585203"/>
    <w:rsid w:val="005852C9"/>
    <w:rsid w:val="0058574A"/>
    <w:rsid w:val="00585E43"/>
    <w:rsid w:val="00586B01"/>
    <w:rsid w:val="0058717F"/>
    <w:rsid w:val="00587784"/>
    <w:rsid w:val="005903D7"/>
    <w:rsid w:val="00591048"/>
    <w:rsid w:val="00591568"/>
    <w:rsid w:val="00591752"/>
    <w:rsid w:val="00591973"/>
    <w:rsid w:val="00591ED6"/>
    <w:rsid w:val="005922C5"/>
    <w:rsid w:val="00592671"/>
    <w:rsid w:val="00592A3C"/>
    <w:rsid w:val="00595BB9"/>
    <w:rsid w:val="00596A1D"/>
    <w:rsid w:val="005A041F"/>
    <w:rsid w:val="005A16B2"/>
    <w:rsid w:val="005A1935"/>
    <w:rsid w:val="005A2CD1"/>
    <w:rsid w:val="005A3F30"/>
    <w:rsid w:val="005A46F2"/>
    <w:rsid w:val="005A4EA9"/>
    <w:rsid w:val="005A4EB8"/>
    <w:rsid w:val="005A62F3"/>
    <w:rsid w:val="005A7447"/>
    <w:rsid w:val="005A7585"/>
    <w:rsid w:val="005A7F96"/>
    <w:rsid w:val="005B0201"/>
    <w:rsid w:val="005B0555"/>
    <w:rsid w:val="005B1879"/>
    <w:rsid w:val="005B1F7E"/>
    <w:rsid w:val="005B255A"/>
    <w:rsid w:val="005B3767"/>
    <w:rsid w:val="005B441A"/>
    <w:rsid w:val="005B5083"/>
    <w:rsid w:val="005B515B"/>
    <w:rsid w:val="005B613F"/>
    <w:rsid w:val="005B7216"/>
    <w:rsid w:val="005B77B4"/>
    <w:rsid w:val="005C022F"/>
    <w:rsid w:val="005C16FD"/>
    <w:rsid w:val="005C1BB3"/>
    <w:rsid w:val="005C479F"/>
    <w:rsid w:val="005C507F"/>
    <w:rsid w:val="005C655A"/>
    <w:rsid w:val="005C67B4"/>
    <w:rsid w:val="005C6DD8"/>
    <w:rsid w:val="005C73A0"/>
    <w:rsid w:val="005C73DD"/>
    <w:rsid w:val="005D0147"/>
    <w:rsid w:val="005D02D8"/>
    <w:rsid w:val="005D0DAD"/>
    <w:rsid w:val="005D1307"/>
    <w:rsid w:val="005D1963"/>
    <w:rsid w:val="005D1EC7"/>
    <w:rsid w:val="005D4188"/>
    <w:rsid w:val="005D471E"/>
    <w:rsid w:val="005D523A"/>
    <w:rsid w:val="005D685D"/>
    <w:rsid w:val="005D6AD9"/>
    <w:rsid w:val="005D6F83"/>
    <w:rsid w:val="005D7D04"/>
    <w:rsid w:val="005D7E88"/>
    <w:rsid w:val="005E0263"/>
    <w:rsid w:val="005E132F"/>
    <w:rsid w:val="005E18B1"/>
    <w:rsid w:val="005E2350"/>
    <w:rsid w:val="005E2450"/>
    <w:rsid w:val="005E39FC"/>
    <w:rsid w:val="005E47E3"/>
    <w:rsid w:val="005E48BD"/>
    <w:rsid w:val="005E6148"/>
    <w:rsid w:val="005E66CC"/>
    <w:rsid w:val="005E6B51"/>
    <w:rsid w:val="005E7297"/>
    <w:rsid w:val="005E7414"/>
    <w:rsid w:val="005F077E"/>
    <w:rsid w:val="005F141D"/>
    <w:rsid w:val="005F1421"/>
    <w:rsid w:val="005F15DD"/>
    <w:rsid w:val="005F2A71"/>
    <w:rsid w:val="005F4674"/>
    <w:rsid w:val="005F5BF9"/>
    <w:rsid w:val="005F70F0"/>
    <w:rsid w:val="005F768A"/>
    <w:rsid w:val="0060011D"/>
    <w:rsid w:val="006012DA"/>
    <w:rsid w:val="00601BE7"/>
    <w:rsid w:val="00602556"/>
    <w:rsid w:val="00603DEB"/>
    <w:rsid w:val="0060453D"/>
    <w:rsid w:val="00604CDB"/>
    <w:rsid w:val="0060520D"/>
    <w:rsid w:val="006053B0"/>
    <w:rsid w:val="0060669E"/>
    <w:rsid w:val="006068C8"/>
    <w:rsid w:val="00606D5B"/>
    <w:rsid w:val="00607A27"/>
    <w:rsid w:val="006112F9"/>
    <w:rsid w:val="00611B3A"/>
    <w:rsid w:val="00612047"/>
    <w:rsid w:val="00612323"/>
    <w:rsid w:val="0061250B"/>
    <w:rsid w:val="0061262E"/>
    <w:rsid w:val="00613621"/>
    <w:rsid w:val="00613751"/>
    <w:rsid w:val="00614390"/>
    <w:rsid w:val="0061522F"/>
    <w:rsid w:val="0061550C"/>
    <w:rsid w:val="0061568C"/>
    <w:rsid w:val="0061569D"/>
    <w:rsid w:val="00615EAC"/>
    <w:rsid w:val="00616B41"/>
    <w:rsid w:val="0062100B"/>
    <w:rsid w:val="00621242"/>
    <w:rsid w:val="0062190F"/>
    <w:rsid w:val="00621D20"/>
    <w:rsid w:val="00624542"/>
    <w:rsid w:val="0062496B"/>
    <w:rsid w:val="00625245"/>
    <w:rsid w:val="00625A17"/>
    <w:rsid w:val="00625B90"/>
    <w:rsid w:val="00625C7E"/>
    <w:rsid w:val="0062602A"/>
    <w:rsid w:val="00626537"/>
    <w:rsid w:val="0062767B"/>
    <w:rsid w:val="00627975"/>
    <w:rsid w:val="006306F4"/>
    <w:rsid w:val="0063070C"/>
    <w:rsid w:val="00630CE1"/>
    <w:rsid w:val="00631033"/>
    <w:rsid w:val="00631E41"/>
    <w:rsid w:val="006331B6"/>
    <w:rsid w:val="00634204"/>
    <w:rsid w:val="006348C1"/>
    <w:rsid w:val="00635168"/>
    <w:rsid w:val="00635B9D"/>
    <w:rsid w:val="00636397"/>
    <w:rsid w:val="00636EC6"/>
    <w:rsid w:val="0063762A"/>
    <w:rsid w:val="00637DB8"/>
    <w:rsid w:val="006413BE"/>
    <w:rsid w:val="00642BCD"/>
    <w:rsid w:val="006433A1"/>
    <w:rsid w:val="006441B7"/>
    <w:rsid w:val="006446F1"/>
    <w:rsid w:val="0064488E"/>
    <w:rsid w:val="00645108"/>
    <w:rsid w:val="006458BA"/>
    <w:rsid w:val="00645A6B"/>
    <w:rsid w:val="006460BF"/>
    <w:rsid w:val="00647A15"/>
    <w:rsid w:val="00647F3E"/>
    <w:rsid w:val="00650218"/>
    <w:rsid w:val="0065075E"/>
    <w:rsid w:val="0065175A"/>
    <w:rsid w:val="0065197F"/>
    <w:rsid w:val="0065307D"/>
    <w:rsid w:val="0065329D"/>
    <w:rsid w:val="0065338F"/>
    <w:rsid w:val="00653A0F"/>
    <w:rsid w:val="00653A60"/>
    <w:rsid w:val="0065668D"/>
    <w:rsid w:val="0065794F"/>
    <w:rsid w:val="00657E4D"/>
    <w:rsid w:val="0066000F"/>
    <w:rsid w:val="00661A7B"/>
    <w:rsid w:val="00661E56"/>
    <w:rsid w:val="00662C6D"/>
    <w:rsid w:val="00662E6E"/>
    <w:rsid w:val="0066303C"/>
    <w:rsid w:val="00663159"/>
    <w:rsid w:val="00663B73"/>
    <w:rsid w:val="00663C00"/>
    <w:rsid w:val="0066597F"/>
    <w:rsid w:val="00666018"/>
    <w:rsid w:val="00670FBD"/>
    <w:rsid w:val="006710E7"/>
    <w:rsid w:val="00671930"/>
    <w:rsid w:val="006722A8"/>
    <w:rsid w:val="006731EA"/>
    <w:rsid w:val="006739A2"/>
    <w:rsid w:val="00674FBB"/>
    <w:rsid w:val="006751D4"/>
    <w:rsid w:val="006759C2"/>
    <w:rsid w:val="00675C42"/>
    <w:rsid w:val="006772FC"/>
    <w:rsid w:val="006778BE"/>
    <w:rsid w:val="0068016F"/>
    <w:rsid w:val="00680887"/>
    <w:rsid w:val="00680C09"/>
    <w:rsid w:val="00680FC9"/>
    <w:rsid w:val="00682C30"/>
    <w:rsid w:val="00683380"/>
    <w:rsid w:val="006833EF"/>
    <w:rsid w:val="0068352E"/>
    <w:rsid w:val="006835D0"/>
    <w:rsid w:val="006839EF"/>
    <w:rsid w:val="006840D6"/>
    <w:rsid w:val="0068434D"/>
    <w:rsid w:val="00684734"/>
    <w:rsid w:val="0068520F"/>
    <w:rsid w:val="0068550F"/>
    <w:rsid w:val="006859AC"/>
    <w:rsid w:val="00686EF3"/>
    <w:rsid w:val="0069000B"/>
    <w:rsid w:val="00690269"/>
    <w:rsid w:val="00691295"/>
    <w:rsid w:val="006918A9"/>
    <w:rsid w:val="00691C25"/>
    <w:rsid w:val="00691FF7"/>
    <w:rsid w:val="00693119"/>
    <w:rsid w:val="0069313A"/>
    <w:rsid w:val="006935D4"/>
    <w:rsid w:val="00693A38"/>
    <w:rsid w:val="00694BC8"/>
    <w:rsid w:val="00694F0B"/>
    <w:rsid w:val="00694F6F"/>
    <w:rsid w:val="006952C2"/>
    <w:rsid w:val="006957BD"/>
    <w:rsid w:val="00695CBA"/>
    <w:rsid w:val="00697CA8"/>
    <w:rsid w:val="006A0EE5"/>
    <w:rsid w:val="006A1C23"/>
    <w:rsid w:val="006A475A"/>
    <w:rsid w:val="006A6E07"/>
    <w:rsid w:val="006B0BEB"/>
    <w:rsid w:val="006B19A4"/>
    <w:rsid w:val="006B1E9B"/>
    <w:rsid w:val="006B1F85"/>
    <w:rsid w:val="006B24D1"/>
    <w:rsid w:val="006B3920"/>
    <w:rsid w:val="006B3C74"/>
    <w:rsid w:val="006B4042"/>
    <w:rsid w:val="006B4D64"/>
    <w:rsid w:val="006B4F1A"/>
    <w:rsid w:val="006B558C"/>
    <w:rsid w:val="006B6381"/>
    <w:rsid w:val="006B672D"/>
    <w:rsid w:val="006B723B"/>
    <w:rsid w:val="006B74BD"/>
    <w:rsid w:val="006C0AAD"/>
    <w:rsid w:val="006C125C"/>
    <w:rsid w:val="006C14B0"/>
    <w:rsid w:val="006C1694"/>
    <w:rsid w:val="006C19B2"/>
    <w:rsid w:val="006C1C19"/>
    <w:rsid w:val="006C2556"/>
    <w:rsid w:val="006C3990"/>
    <w:rsid w:val="006C3D6B"/>
    <w:rsid w:val="006C3E18"/>
    <w:rsid w:val="006C4390"/>
    <w:rsid w:val="006C48C4"/>
    <w:rsid w:val="006C4DED"/>
    <w:rsid w:val="006C6716"/>
    <w:rsid w:val="006C6850"/>
    <w:rsid w:val="006C6F4F"/>
    <w:rsid w:val="006D086D"/>
    <w:rsid w:val="006D1ABF"/>
    <w:rsid w:val="006D29B7"/>
    <w:rsid w:val="006D335E"/>
    <w:rsid w:val="006D4134"/>
    <w:rsid w:val="006D4B75"/>
    <w:rsid w:val="006D50BE"/>
    <w:rsid w:val="006D6720"/>
    <w:rsid w:val="006D7381"/>
    <w:rsid w:val="006E03F7"/>
    <w:rsid w:val="006E2558"/>
    <w:rsid w:val="006E265E"/>
    <w:rsid w:val="006E4629"/>
    <w:rsid w:val="006E48FA"/>
    <w:rsid w:val="006E4BEF"/>
    <w:rsid w:val="006E5019"/>
    <w:rsid w:val="006E56C8"/>
    <w:rsid w:val="006E57D9"/>
    <w:rsid w:val="006E5B23"/>
    <w:rsid w:val="006E6232"/>
    <w:rsid w:val="006E66DF"/>
    <w:rsid w:val="006E6961"/>
    <w:rsid w:val="006E7605"/>
    <w:rsid w:val="006E7D10"/>
    <w:rsid w:val="006F0401"/>
    <w:rsid w:val="006F122A"/>
    <w:rsid w:val="006F1DDB"/>
    <w:rsid w:val="006F205A"/>
    <w:rsid w:val="006F2B4E"/>
    <w:rsid w:val="006F35A8"/>
    <w:rsid w:val="006F39AD"/>
    <w:rsid w:val="006F3F93"/>
    <w:rsid w:val="006F41A1"/>
    <w:rsid w:val="006F59C8"/>
    <w:rsid w:val="006F6325"/>
    <w:rsid w:val="006F6714"/>
    <w:rsid w:val="006F6DCC"/>
    <w:rsid w:val="00700114"/>
    <w:rsid w:val="00700871"/>
    <w:rsid w:val="00702052"/>
    <w:rsid w:val="00702501"/>
    <w:rsid w:val="0070306C"/>
    <w:rsid w:val="0070368B"/>
    <w:rsid w:val="0070395C"/>
    <w:rsid w:val="00703A2C"/>
    <w:rsid w:val="007041F9"/>
    <w:rsid w:val="0070434D"/>
    <w:rsid w:val="007045F9"/>
    <w:rsid w:val="007050AB"/>
    <w:rsid w:val="00705C52"/>
    <w:rsid w:val="00705F7F"/>
    <w:rsid w:val="007062A1"/>
    <w:rsid w:val="007063A3"/>
    <w:rsid w:val="00706868"/>
    <w:rsid w:val="007079FD"/>
    <w:rsid w:val="00707DC7"/>
    <w:rsid w:val="0071086F"/>
    <w:rsid w:val="0071098F"/>
    <w:rsid w:val="00710F37"/>
    <w:rsid w:val="00712081"/>
    <w:rsid w:val="00712405"/>
    <w:rsid w:val="00713713"/>
    <w:rsid w:val="00713941"/>
    <w:rsid w:val="007143FB"/>
    <w:rsid w:val="00716092"/>
    <w:rsid w:val="0071614D"/>
    <w:rsid w:val="00720292"/>
    <w:rsid w:val="00720399"/>
    <w:rsid w:val="0072233E"/>
    <w:rsid w:val="0072274C"/>
    <w:rsid w:val="00722F46"/>
    <w:rsid w:val="00722FD2"/>
    <w:rsid w:val="0072502F"/>
    <w:rsid w:val="00730914"/>
    <w:rsid w:val="00730E68"/>
    <w:rsid w:val="0073155F"/>
    <w:rsid w:val="00731ABE"/>
    <w:rsid w:val="007325B4"/>
    <w:rsid w:val="00732B59"/>
    <w:rsid w:val="00733D0B"/>
    <w:rsid w:val="00733F1F"/>
    <w:rsid w:val="007346D8"/>
    <w:rsid w:val="0073643D"/>
    <w:rsid w:val="007370B6"/>
    <w:rsid w:val="00740BC1"/>
    <w:rsid w:val="00741C61"/>
    <w:rsid w:val="00743126"/>
    <w:rsid w:val="007434F8"/>
    <w:rsid w:val="00744869"/>
    <w:rsid w:val="00745D18"/>
    <w:rsid w:val="00746814"/>
    <w:rsid w:val="00746E20"/>
    <w:rsid w:val="0074709E"/>
    <w:rsid w:val="00747443"/>
    <w:rsid w:val="007477A3"/>
    <w:rsid w:val="0074789B"/>
    <w:rsid w:val="007504A9"/>
    <w:rsid w:val="00750C47"/>
    <w:rsid w:val="00752882"/>
    <w:rsid w:val="00752E32"/>
    <w:rsid w:val="0075345E"/>
    <w:rsid w:val="00753B8C"/>
    <w:rsid w:val="00753C3E"/>
    <w:rsid w:val="00754BFE"/>
    <w:rsid w:val="007551BC"/>
    <w:rsid w:val="00755313"/>
    <w:rsid w:val="00755E9F"/>
    <w:rsid w:val="00757141"/>
    <w:rsid w:val="00757EA8"/>
    <w:rsid w:val="007602EC"/>
    <w:rsid w:val="007633C2"/>
    <w:rsid w:val="00763880"/>
    <w:rsid w:val="007649F8"/>
    <w:rsid w:val="00764E32"/>
    <w:rsid w:val="00764EFA"/>
    <w:rsid w:val="00765454"/>
    <w:rsid w:val="007654FB"/>
    <w:rsid w:val="007706ED"/>
    <w:rsid w:val="00770A71"/>
    <w:rsid w:val="00773D77"/>
    <w:rsid w:val="00774A8E"/>
    <w:rsid w:val="00774DF0"/>
    <w:rsid w:val="00774F03"/>
    <w:rsid w:val="00775DB2"/>
    <w:rsid w:val="0077608B"/>
    <w:rsid w:val="007766CC"/>
    <w:rsid w:val="007768FF"/>
    <w:rsid w:val="00777365"/>
    <w:rsid w:val="00777405"/>
    <w:rsid w:val="00777527"/>
    <w:rsid w:val="007775C2"/>
    <w:rsid w:val="00777E81"/>
    <w:rsid w:val="007807EF"/>
    <w:rsid w:val="00781B06"/>
    <w:rsid w:val="0078307C"/>
    <w:rsid w:val="0078455B"/>
    <w:rsid w:val="00785268"/>
    <w:rsid w:val="0078551D"/>
    <w:rsid w:val="007863CA"/>
    <w:rsid w:val="00786C8D"/>
    <w:rsid w:val="00787B45"/>
    <w:rsid w:val="00787E38"/>
    <w:rsid w:val="00790A16"/>
    <w:rsid w:val="00790D3E"/>
    <w:rsid w:val="00790D82"/>
    <w:rsid w:val="00792AA4"/>
    <w:rsid w:val="00793349"/>
    <w:rsid w:val="00794121"/>
    <w:rsid w:val="0079502A"/>
    <w:rsid w:val="0079514C"/>
    <w:rsid w:val="007958B1"/>
    <w:rsid w:val="00795ADC"/>
    <w:rsid w:val="00795F67"/>
    <w:rsid w:val="00795FE9"/>
    <w:rsid w:val="00796C05"/>
    <w:rsid w:val="00797AD9"/>
    <w:rsid w:val="00797FAF"/>
    <w:rsid w:val="007A01BF"/>
    <w:rsid w:val="007A0797"/>
    <w:rsid w:val="007A07E4"/>
    <w:rsid w:val="007A2B3A"/>
    <w:rsid w:val="007A2BE0"/>
    <w:rsid w:val="007A2F04"/>
    <w:rsid w:val="007A3BA0"/>
    <w:rsid w:val="007A5843"/>
    <w:rsid w:val="007A6053"/>
    <w:rsid w:val="007A67EA"/>
    <w:rsid w:val="007A754C"/>
    <w:rsid w:val="007A7BD8"/>
    <w:rsid w:val="007B0752"/>
    <w:rsid w:val="007B1445"/>
    <w:rsid w:val="007B18A7"/>
    <w:rsid w:val="007B2217"/>
    <w:rsid w:val="007B23EE"/>
    <w:rsid w:val="007B2616"/>
    <w:rsid w:val="007B288E"/>
    <w:rsid w:val="007B2F3C"/>
    <w:rsid w:val="007B3A13"/>
    <w:rsid w:val="007B405C"/>
    <w:rsid w:val="007B4174"/>
    <w:rsid w:val="007B431E"/>
    <w:rsid w:val="007B46B7"/>
    <w:rsid w:val="007B4771"/>
    <w:rsid w:val="007B47D1"/>
    <w:rsid w:val="007B5253"/>
    <w:rsid w:val="007B6EAE"/>
    <w:rsid w:val="007B743C"/>
    <w:rsid w:val="007B7A3A"/>
    <w:rsid w:val="007C0283"/>
    <w:rsid w:val="007C180A"/>
    <w:rsid w:val="007C273D"/>
    <w:rsid w:val="007C29C8"/>
    <w:rsid w:val="007C2B33"/>
    <w:rsid w:val="007C3636"/>
    <w:rsid w:val="007C4DA9"/>
    <w:rsid w:val="007C5E21"/>
    <w:rsid w:val="007C5EFC"/>
    <w:rsid w:val="007C66D6"/>
    <w:rsid w:val="007C66E7"/>
    <w:rsid w:val="007C6C7E"/>
    <w:rsid w:val="007C6F5C"/>
    <w:rsid w:val="007C7ED8"/>
    <w:rsid w:val="007D0563"/>
    <w:rsid w:val="007D0CED"/>
    <w:rsid w:val="007D12D0"/>
    <w:rsid w:val="007D20E0"/>
    <w:rsid w:val="007D36F7"/>
    <w:rsid w:val="007D3832"/>
    <w:rsid w:val="007D3F3B"/>
    <w:rsid w:val="007D4779"/>
    <w:rsid w:val="007D53EF"/>
    <w:rsid w:val="007D55E1"/>
    <w:rsid w:val="007D591A"/>
    <w:rsid w:val="007D6757"/>
    <w:rsid w:val="007D6CE7"/>
    <w:rsid w:val="007E130E"/>
    <w:rsid w:val="007E1A1F"/>
    <w:rsid w:val="007E212D"/>
    <w:rsid w:val="007E25B0"/>
    <w:rsid w:val="007E2E20"/>
    <w:rsid w:val="007E3EE6"/>
    <w:rsid w:val="007E4A8B"/>
    <w:rsid w:val="007E4E86"/>
    <w:rsid w:val="007E5951"/>
    <w:rsid w:val="007E68A6"/>
    <w:rsid w:val="007E6DE9"/>
    <w:rsid w:val="007E7B67"/>
    <w:rsid w:val="007F032A"/>
    <w:rsid w:val="007F05F4"/>
    <w:rsid w:val="007F0F01"/>
    <w:rsid w:val="007F2255"/>
    <w:rsid w:val="007F2912"/>
    <w:rsid w:val="007F3651"/>
    <w:rsid w:val="007F563B"/>
    <w:rsid w:val="007F56D0"/>
    <w:rsid w:val="007F5714"/>
    <w:rsid w:val="007F6327"/>
    <w:rsid w:val="007F656B"/>
    <w:rsid w:val="007F6BA5"/>
    <w:rsid w:val="007F7A2C"/>
    <w:rsid w:val="00800533"/>
    <w:rsid w:val="00800C1D"/>
    <w:rsid w:val="0080102D"/>
    <w:rsid w:val="00801A44"/>
    <w:rsid w:val="00801A62"/>
    <w:rsid w:val="00801E1A"/>
    <w:rsid w:val="00803569"/>
    <w:rsid w:val="008035D9"/>
    <w:rsid w:val="00803806"/>
    <w:rsid w:val="00803971"/>
    <w:rsid w:val="008047CE"/>
    <w:rsid w:val="008052DA"/>
    <w:rsid w:val="00805355"/>
    <w:rsid w:val="00806139"/>
    <w:rsid w:val="008069D7"/>
    <w:rsid w:val="00807A18"/>
    <w:rsid w:val="008103C5"/>
    <w:rsid w:val="00810754"/>
    <w:rsid w:val="00810EAE"/>
    <w:rsid w:val="00811347"/>
    <w:rsid w:val="00813181"/>
    <w:rsid w:val="0081341F"/>
    <w:rsid w:val="00814CFA"/>
    <w:rsid w:val="00816634"/>
    <w:rsid w:val="00816ACC"/>
    <w:rsid w:val="00817298"/>
    <w:rsid w:val="00820C04"/>
    <w:rsid w:val="00821903"/>
    <w:rsid w:val="00821FB8"/>
    <w:rsid w:val="00822358"/>
    <w:rsid w:val="008230BC"/>
    <w:rsid w:val="00824539"/>
    <w:rsid w:val="00824782"/>
    <w:rsid w:val="00825A58"/>
    <w:rsid w:val="00825B3F"/>
    <w:rsid w:val="00825D1C"/>
    <w:rsid w:val="00826271"/>
    <w:rsid w:val="0082685F"/>
    <w:rsid w:val="008275DE"/>
    <w:rsid w:val="00830637"/>
    <w:rsid w:val="00830F97"/>
    <w:rsid w:val="008310C0"/>
    <w:rsid w:val="00831ACA"/>
    <w:rsid w:val="00832098"/>
    <w:rsid w:val="00832396"/>
    <w:rsid w:val="0083265D"/>
    <w:rsid w:val="00835787"/>
    <w:rsid w:val="0083624D"/>
    <w:rsid w:val="00837F77"/>
    <w:rsid w:val="00840331"/>
    <w:rsid w:val="00840E94"/>
    <w:rsid w:val="00841550"/>
    <w:rsid w:val="008416C6"/>
    <w:rsid w:val="008428ED"/>
    <w:rsid w:val="008429A7"/>
    <w:rsid w:val="00842D5B"/>
    <w:rsid w:val="00842D8B"/>
    <w:rsid w:val="00842EF5"/>
    <w:rsid w:val="0084599C"/>
    <w:rsid w:val="00846FF6"/>
    <w:rsid w:val="00847EDC"/>
    <w:rsid w:val="00850774"/>
    <w:rsid w:val="00851B30"/>
    <w:rsid w:val="0085225E"/>
    <w:rsid w:val="00852D92"/>
    <w:rsid w:val="00854487"/>
    <w:rsid w:val="00856931"/>
    <w:rsid w:val="00857291"/>
    <w:rsid w:val="00857639"/>
    <w:rsid w:val="008617BD"/>
    <w:rsid w:val="00863887"/>
    <w:rsid w:val="008644CD"/>
    <w:rsid w:val="0086477F"/>
    <w:rsid w:val="00865FC4"/>
    <w:rsid w:val="00866AB0"/>
    <w:rsid w:val="008671D0"/>
    <w:rsid w:val="0086722D"/>
    <w:rsid w:val="008673FF"/>
    <w:rsid w:val="0087082E"/>
    <w:rsid w:val="00872713"/>
    <w:rsid w:val="00873F9B"/>
    <w:rsid w:val="0087546A"/>
    <w:rsid w:val="008764A8"/>
    <w:rsid w:val="00876E53"/>
    <w:rsid w:val="008771B6"/>
    <w:rsid w:val="00877716"/>
    <w:rsid w:val="00877BAB"/>
    <w:rsid w:val="0088000D"/>
    <w:rsid w:val="00881E24"/>
    <w:rsid w:val="0088239A"/>
    <w:rsid w:val="00882BE0"/>
    <w:rsid w:val="00882D6E"/>
    <w:rsid w:val="00883390"/>
    <w:rsid w:val="00883700"/>
    <w:rsid w:val="00883BAD"/>
    <w:rsid w:val="00883D0E"/>
    <w:rsid w:val="00884086"/>
    <w:rsid w:val="008843EE"/>
    <w:rsid w:val="008849CE"/>
    <w:rsid w:val="00884AEF"/>
    <w:rsid w:val="00884CC1"/>
    <w:rsid w:val="00884E20"/>
    <w:rsid w:val="00887F41"/>
    <w:rsid w:val="00890AA0"/>
    <w:rsid w:val="00890EA4"/>
    <w:rsid w:val="00892B73"/>
    <w:rsid w:val="00893066"/>
    <w:rsid w:val="008940EA"/>
    <w:rsid w:val="00894290"/>
    <w:rsid w:val="00894385"/>
    <w:rsid w:val="008953D4"/>
    <w:rsid w:val="00895F1C"/>
    <w:rsid w:val="0089651E"/>
    <w:rsid w:val="00897679"/>
    <w:rsid w:val="008A0B5D"/>
    <w:rsid w:val="008A116B"/>
    <w:rsid w:val="008A1875"/>
    <w:rsid w:val="008A1D7D"/>
    <w:rsid w:val="008A2D2D"/>
    <w:rsid w:val="008A360B"/>
    <w:rsid w:val="008A490F"/>
    <w:rsid w:val="008A53FD"/>
    <w:rsid w:val="008A5CD1"/>
    <w:rsid w:val="008A5CEE"/>
    <w:rsid w:val="008A5EE6"/>
    <w:rsid w:val="008A75FF"/>
    <w:rsid w:val="008A7D85"/>
    <w:rsid w:val="008B178A"/>
    <w:rsid w:val="008B3439"/>
    <w:rsid w:val="008B404A"/>
    <w:rsid w:val="008B475E"/>
    <w:rsid w:val="008B5400"/>
    <w:rsid w:val="008B547D"/>
    <w:rsid w:val="008B5FF4"/>
    <w:rsid w:val="008B6272"/>
    <w:rsid w:val="008B6A5F"/>
    <w:rsid w:val="008B6ADC"/>
    <w:rsid w:val="008B6F9C"/>
    <w:rsid w:val="008B73C2"/>
    <w:rsid w:val="008C0091"/>
    <w:rsid w:val="008C07C3"/>
    <w:rsid w:val="008C099A"/>
    <w:rsid w:val="008C19AE"/>
    <w:rsid w:val="008C1C6C"/>
    <w:rsid w:val="008C2B02"/>
    <w:rsid w:val="008C38BF"/>
    <w:rsid w:val="008C412D"/>
    <w:rsid w:val="008C46E1"/>
    <w:rsid w:val="008C594F"/>
    <w:rsid w:val="008C5BFD"/>
    <w:rsid w:val="008C653C"/>
    <w:rsid w:val="008C68E4"/>
    <w:rsid w:val="008C7215"/>
    <w:rsid w:val="008C77C6"/>
    <w:rsid w:val="008C7AB0"/>
    <w:rsid w:val="008C7E47"/>
    <w:rsid w:val="008D0B96"/>
    <w:rsid w:val="008D1162"/>
    <w:rsid w:val="008D2A00"/>
    <w:rsid w:val="008D41F2"/>
    <w:rsid w:val="008D4234"/>
    <w:rsid w:val="008D4926"/>
    <w:rsid w:val="008D5624"/>
    <w:rsid w:val="008D5694"/>
    <w:rsid w:val="008D61A2"/>
    <w:rsid w:val="008D61F3"/>
    <w:rsid w:val="008D622A"/>
    <w:rsid w:val="008D78C3"/>
    <w:rsid w:val="008D7B9F"/>
    <w:rsid w:val="008E0023"/>
    <w:rsid w:val="008E055D"/>
    <w:rsid w:val="008E09DD"/>
    <w:rsid w:val="008E1579"/>
    <w:rsid w:val="008E23D5"/>
    <w:rsid w:val="008E3162"/>
    <w:rsid w:val="008E41DC"/>
    <w:rsid w:val="008E512A"/>
    <w:rsid w:val="008F0B3E"/>
    <w:rsid w:val="008F4897"/>
    <w:rsid w:val="008F4905"/>
    <w:rsid w:val="008F5180"/>
    <w:rsid w:val="008F6483"/>
    <w:rsid w:val="008F6D33"/>
    <w:rsid w:val="00901027"/>
    <w:rsid w:val="00901F70"/>
    <w:rsid w:val="00903060"/>
    <w:rsid w:val="00903AE2"/>
    <w:rsid w:val="009054BD"/>
    <w:rsid w:val="00905A47"/>
    <w:rsid w:val="0090678A"/>
    <w:rsid w:val="00906D07"/>
    <w:rsid w:val="00907677"/>
    <w:rsid w:val="0091145C"/>
    <w:rsid w:val="00913266"/>
    <w:rsid w:val="00915873"/>
    <w:rsid w:val="009160C8"/>
    <w:rsid w:val="00916511"/>
    <w:rsid w:val="00916E58"/>
    <w:rsid w:val="009171D5"/>
    <w:rsid w:val="0091751C"/>
    <w:rsid w:val="009209FD"/>
    <w:rsid w:val="00922D20"/>
    <w:rsid w:val="00923AF9"/>
    <w:rsid w:val="009247D5"/>
    <w:rsid w:val="00924890"/>
    <w:rsid w:val="009258A3"/>
    <w:rsid w:val="00925D0F"/>
    <w:rsid w:val="00925D57"/>
    <w:rsid w:val="00925E17"/>
    <w:rsid w:val="00926767"/>
    <w:rsid w:val="00927842"/>
    <w:rsid w:val="0092795F"/>
    <w:rsid w:val="0093013B"/>
    <w:rsid w:val="00930C38"/>
    <w:rsid w:val="00930EE6"/>
    <w:rsid w:val="009316E4"/>
    <w:rsid w:val="00932110"/>
    <w:rsid w:val="009334FD"/>
    <w:rsid w:val="009355F8"/>
    <w:rsid w:val="009359D8"/>
    <w:rsid w:val="00935ADB"/>
    <w:rsid w:val="00937B6F"/>
    <w:rsid w:val="00940EF0"/>
    <w:rsid w:val="00941018"/>
    <w:rsid w:val="00941459"/>
    <w:rsid w:val="00941600"/>
    <w:rsid w:val="009424BD"/>
    <w:rsid w:val="00943224"/>
    <w:rsid w:val="00944120"/>
    <w:rsid w:val="0094488A"/>
    <w:rsid w:val="00946165"/>
    <w:rsid w:val="00946715"/>
    <w:rsid w:val="00947AA8"/>
    <w:rsid w:val="0095047B"/>
    <w:rsid w:val="00951CD2"/>
    <w:rsid w:val="00951E56"/>
    <w:rsid w:val="00953A72"/>
    <w:rsid w:val="009548BA"/>
    <w:rsid w:val="009550D7"/>
    <w:rsid w:val="0095719C"/>
    <w:rsid w:val="009575B2"/>
    <w:rsid w:val="009579CB"/>
    <w:rsid w:val="0096210B"/>
    <w:rsid w:val="00962217"/>
    <w:rsid w:val="00962545"/>
    <w:rsid w:val="00963883"/>
    <w:rsid w:val="009641BC"/>
    <w:rsid w:val="0096497B"/>
    <w:rsid w:val="00965A04"/>
    <w:rsid w:val="00966561"/>
    <w:rsid w:val="0096730A"/>
    <w:rsid w:val="009675B0"/>
    <w:rsid w:val="00967838"/>
    <w:rsid w:val="00970444"/>
    <w:rsid w:val="009736EA"/>
    <w:rsid w:val="0097441F"/>
    <w:rsid w:val="00974918"/>
    <w:rsid w:val="00975AA6"/>
    <w:rsid w:val="00975FCC"/>
    <w:rsid w:val="00980240"/>
    <w:rsid w:val="009804BF"/>
    <w:rsid w:val="0098120F"/>
    <w:rsid w:val="009814DF"/>
    <w:rsid w:val="00981BFE"/>
    <w:rsid w:val="00981E71"/>
    <w:rsid w:val="00981FA1"/>
    <w:rsid w:val="0098282B"/>
    <w:rsid w:val="00982C71"/>
    <w:rsid w:val="009841C9"/>
    <w:rsid w:val="009848BA"/>
    <w:rsid w:val="009858AC"/>
    <w:rsid w:val="009872A2"/>
    <w:rsid w:val="0099015C"/>
    <w:rsid w:val="00990918"/>
    <w:rsid w:val="00991A8E"/>
    <w:rsid w:val="00992553"/>
    <w:rsid w:val="009959F0"/>
    <w:rsid w:val="0099623A"/>
    <w:rsid w:val="00996CBF"/>
    <w:rsid w:val="009A05A3"/>
    <w:rsid w:val="009A0ED9"/>
    <w:rsid w:val="009A151D"/>
    <w:rsid w:val="009A233D"/>
    <w:rsid w:val="009A2349"/>
    <w:rsid w:val="009A279E"/>
    <w:rsid w:val="009A3538"/>
    <w:rsid w:val="009A44F8"/>
    <w:rsid w:val="009A5150"/>
    <w:rsid w:val="009A52BD"/>
    <w:rsid w:val="009A6403"/>
    <w:rsid w:val="009A6783"/>
    <w:rsid w:val="009A6881"/>
    <w:rsid w:val="009A7110"/>
    <w:rsid w:val="009A788B"/>
    <w:rsid w:val="009A7C1E"/>
    <w:rsid w:val="009B0058"/>
    <w:rsid w:val="009B02A5"/>
    <w:rsid w:val="009B0601"/>
    <w:rsid w:val="009B0E6F"/>
    <w:rsid w:val="009B1177"/>
    <w:rsid w:val="009B12D1"/>
    <w:rsid w:val="009B14CA"/>
    <w:rsid w:val="009B1932"/>
    <w:rsid w:val="009B1E46"/>
    <w:rsid w:val="009B1EC4"/>
    <w:rsid w:val="009B2884"/>
    <w:rsid w:val="009B2FAB"/>
    <w:rsid w:val="009B3020"/>
    <w:rsid w:val="009B3141"/>
    <w:rsid w:val="009B3B00"/>
    <w:rsid w:val="009B4064"/>
    <w:rsid w:val="009B4147"/>
    <w:rsid w:val="009B44B6"/>
    <w:rsid w:val="009B52E1"/>
    <w:rsid w:val="009B58EC"/>
    <w:rsid w:val="009B63B6"/>
    <w:rsid w:val="009B71AF"/>
    <w:rsid w:val="009B7E1A"/>
    <w:rsid w:val="009C0133"/>
    <w:rsid w:val="009C03E9"/>
    <w:rsid w:val="009C0670"/>
    <w:rsid w:val="009C0BE7"/>
    <w:rsid w:val="009C0D74"/>
    <w:rsid w:val="009C191C"/>
    <w:rsid w:val="009C33B0"/>
    <w:rsid w:val="009C3EA3"/>
    <w:rsid w:val="009C503E"/>
    <w:rsid w:val="009C5AD6"/>
    <w:rsid w:val="009C6676"/>
    <w:rsid w:val="009C66AD"/>
    <w:rsid w:val="009C7820"/>
    <w:rsid w:val="009D062C"/>
    <w:rsid w:val="009D0844"/>
    <w:rsid w:val="009D1309"/>
    <w:rsid w:val="009D17DC"/>
    <w:rsid w:val="009D2EC6"/>
    <w:rsid w:val="009D306F"/>
    <w:rsid w:val="009D4C16"/>
    <w:rsid w:val="009D57A2"/>
    <w:rsid w:val="009D60EE"/>
    <w:rsid w:val="009D653F"/>
    <w:rsid w:val="009D7167"/>
    <w:rsid w:val="009E02A5"/>
    <w:rsid w:val="009E0A77"/>
    <w:rsid w:val="009E0EB2"/>
    <w:rsid w:val="009E1D7F"/>
    <w:rsid w:val="009E4226"/>
    <w:rsid w:val="009E4FD8"/>
    <w:rsid w:val="009E50B2"/>
    <w:rsid w:val="009E6131"/>
    <w:rsid w:val="009E72CA"/>
    <w:rsid w:val="009E7CA9"/>
    <w:rsid w:val="009F1196"/>
    <w:rsid w:val="009F1B5E"/>
    <w:rsid w:val="009F2620"/>
    <w:rsid w:val="009F4682"/>
    <w:rsid w:val="009F524C"/>
    <w:rsid w:val="009F6309"/>
    <w:rsid w:val="00A0033B"/>
    <w:rsid w:val="00A00F64"/>
    <w:rsid w:val="00A00FDE"/>
    <w:rsid w:val="00A02316"/>
    <w:rsid w:val="00A028D1"/>
    <w:rsid w:val="00A03379"/>
    <w:rsid w:val="00A04B4A"/>
    <w:rsid w:val="00A055F1"/>
    <w:rsid w:val="00A05C0A"/>
    <w:rsid w:val="00A06C20"/>
    <w:rsid w:val="00A077C0"/>
    <w:rsid w:val="00A1042C"/>
    <w:rsid w:val="00A10B94"/>
    <w:rsid w:val="00A12779"/>
    <w:rsid w:val="00A13870"/>
    <w:rsid w:val="00A14B89"/>
    <w:rsid w:val="00A14FED"/>
    <w:rsid w:val="00A151C7"/>
    <w:rsid w:val="00A15DB0"/>
    <w:rsid w:val="00A168F1"/>
    <w:rsid w:val="00A1726A"/>
    <w:rsid w:val="00A17937"/>
    <w:rsid w:val="00A17F7F"/>
    <w:rsid w:val="00A213EC"/>
    <w:rsid w:val="00A214EB"/>
    <w:rsid w:val="00A21592"/>
    <w:rsid w:val="00A21DF7"/>
    <w:rsid w:val="00A2247E"/>
    <w:rsid w:val="00A23465"/>
    <w:rsid w:val="00A23F00"/>
    <w:rsid w:val="00A23FEF"/>
    <w:rsid w:val="00A24FBF"/>
    <w:rsid w:val="00A258C3"/>
    <w:rsid w:val="00A258EB"/>
    <w:rsid w:val="00A25ECE"/>
    <w:rsid w:val="00A266E6"/>
    <w:rsid w:val="00A26B51"/>
    <w:rsid w:val="00A2757F"/>
    <w:rsid w:val="00A31205"/>
    <w:rsid w:val="00A3132C"/>
    <w:rsid w:val="00A323DE"/>
    <w:rsid w:val="00A3268C"/>
    <w:rsid w:val="00A34240"/>
    <w:rsid w:val="00A351BD"/>
    <w:rsid w:val="00A3558A"/>
    <w:rsid w:val="00A36745"/>
    <w:rsid w:val="00A376A2"/>
    <w:rsid w:val="00A404BA"/>
    <w:rsid w:val="00A405E9"/>
    <w:rsid w:val="00A40AD1"/>
    <w:rsid w:val="00A41873"/>
    <w:rsid w:val="00A43A71"/>
    <w:rsid w:val="00A43ED0"/>
    <w:rsid w:val="00A44FAB"/>
    <w:rsid w:val="00A45777"/>
    <w:rsid w:val="00A46A23"/>
    <w:rsid w:val="00A46B32"/>
    <w:rsid w:val="00A46C2B"/>
    <w:rsid w:val="00A46CE1"/>
    <w:rsid w:val="00A470D5"/>
    <w:rsid w:val="00A4793F"/>
    <w:rsid w:val="00A502E2"/>
    <w:rsid w:val="00A50763"/>
    <w:rsid w:val="00A5379B"/>
    <w:rsid w:val="00A54E30"/>
    <w:rsid w:val="00A55A20"/>
    <w:rsid w:val="00A55AB8"/>
    <w:rsid w:val="00A56D35"/>
    <w:rsid w:val="00A56EA6"/>
    <w:rsid w:val="00A576ED"/>
    <w:rsid w:val="00A602D8"/>
    <w:rsid w:val="00A618E4"/>
    <w:rsid w:val="00A62774"/>
    <w:rsid w:val="00A62DDE"/>
    <w:rsid w:val="00A632A6"/>
    <w:rsid w:val="00A63A6E"/>
    <w:rsid w:val="00A64DDF"/>
    <w:rsid w:val="00A67B3C"/>
    <w:rsid w:val="00A67CF3"/>
    <w:rsid w:val="00A71AB6"/>
    <w:rsid w:val="00A740B9"/>
    <w:rsid w:val="00A74640"/>
    <w:rsid w:val="00A746D0"/>
    <w:rsid w:val="00A74CFD"/>
    <w:rsid w:val="00A76FCB"/>
    <w:rsid w:val="00A774C7"/>
    <w:rsid w:val="00A80190"/>
    <w:rsid w:val="00A806EA"/>
    <w:rsid w:val="00A81072"/>
    <w:rsid w:val="00A818D2"/>
    <w:rsid w:val="00A81E4F"/>
    <w:rsid w:val="00A82B03"/>
    <w:rsid w:val="00A8308F"/>
    <w:rsid w:val="00A832B1"/>
    <w:rsid w:val="00A832D6"/>
    <w:rsid w:val="00A834B7"/>
    <w:rsid w:val="00A8376E"/>
    <w:rsid w:val="00A83F70"/>
    <w:rsid w:val="00A8475F"/>
    <w:rsid w:val="00A85F15"/>
    <w:rsid w:val="00A86A72"/>
    <w:rsid w:val="00A86DE7"/>
    <w:rsid w:val="00A87294"/>
    <w:rsid w:val="00A87E33"/>
    <w:rsid w:val="00A9042F"/>
    <w:rsid w:val="00A912A6"/>
    <w:rsid w:val="00A91765"/>
    <w:rsid w:val="00A91A26"/>
    <w:rsid w:val="00A92008"/>
    <w:rsid w:val="00A934BE"/>
    <w:rsid w:val="00A9540E"/>
    <w:rsid w:val="00A96927"/>
    <w:rsid w:val="00AA06DF"/>
    <w:rsid w:val="00AA128A"/>
    <w:rsid w:val="00AA1CCA"/>
    <w:rsid w:val="00AA1E85"/>
    <w:rsid w:val="00AA22BC"/>
    <w:rsid w:val="00AA37C0"/>
    <w:rsid w:val="00AA50A5"/>
    <w:rsid w:val="00AA592B"/>
    <w:rsid w:val="00AA5F61"/>
    <w:rsid w:val="00AA6493"/>
    <w:rsid w:val="00AA704F"/>
    <w:rsid w:val="00AA72BA"/>
    <w:rsid w:val="00AB0651"/>
    <w:rsid w:val="00AB3730"/>
    <w:rsid w:val="00AB4B0E"/>
    <w:rsid w:val="00AB55C3"/>
    <w:rsid w:val="00AB77C4"/>
    <w:rsid w:val="00AB7C19"/>
    <w:rsid w:val="00AC0533"/>
    <w:rsid w:val="00AC0818"/>
    <w:rsid w:val="00AC2083"/>
    <w:rsid w:val="00AC261A"/>
    <w:rsid w:val="00AC32CA"/>
    <w:rsid w:val="00AC39A3"/>
    <w:rsid w:val="00AC4BBD"/>
    <w:rsid w:val="00AC73B4"/>
    <w:rsid w:val="00AC789F"/>
    <w:rsid w:val="00AD013E"/>
    <w:rsid w:val="00AD0DE4"/>
    <w:rsid w:val="00AD15B0"/>
    <w:rsid w:val="00AD226D"/>
    <w:rsid w:val="00AD28FA"/>
    <w:rsid w:val="00AD2C59"/>
    <w:rsid w:val="00AD2F96"/>
    <w:rsid w:val="00AD3B94"/>
    <w:rsid w:val="00AD3EF7"/>
    <w:rsid w:val="00AD4C74"/>
    <w:rsid w:val="00AD5F0A"/>
    <w:rsid w:val="00AD5F29"/>
    <w:rsid w:val="00AD669B"/>
    <w:rsid w:val="00AD67AA"/>
    <w:rsid w:val="00AE0E57"/>
    <w:rsid w:val="00AE1856"/>
    <w:rsid w:val="00AE2C7A"/>
    <w:rsid w:val="00AE2CF2"/>
    <w:rsid w:val="00AE3F55"/>
    <w:rsid w:val="00AE4A45"/>
    <w:rsid w:val="00AE5403"/>
    <w:rsid w:val="00AE64E5"/>
    <w:rsid w:val="00AE6A2B"/>
    <w:rsid w:val="00AE71E0"/>
    <w:rsid w:val="00AF0503"/>
    <w:rsid w:val="00AF0660"/>
    <w:rsid w:val="00AF1703"/>
    <w:rsid w:val="00AF199B"/>
    <w:rsid w:val="00AF19EE"/>
    <w:rsid w:val="00AF1A93"/>
    <w:rsid w:val="00AF297E"/>
    <w:rsid w:val="00AF3271"/>
    <w:rsid w:val="00AF3373"/>
    <w:rsid w:val="00AF3D23"/>
    <w:rsid w:val="00AF4647"/>
    <w:rsid w:val="00AF482F"/>
    <w:rsid w:val="00AF49BE"/>
    <w:rsid w:val="00AF4A33"/>
    <w:rsid w:val="00AF4C87"/>
    <w:rsid w:val="00AF5529"/>
    <w:rsid w:val="00AF5556"/>
    <w:rsid w:val="00AF608C"/>
    <w:rsid w:val="00AF6A12"/>
    <w:rsid w:val="00AF6DF4"/>
    <w:rsid w:val="00AF79B4"/>
    <w:rsid w:val="00AF7F3A"/>
    <w:rsid w:val="00B015DC"/>
    <w:rsid w:val="00B01C6D"/>
    <w:rsid w:val="00B03D44"/>
    <w:rsid w:val="00B040E5"/>
    <w:rsid w:val="00B05075"/>
    <w:rsid w:val="00B05F5C"/>
    <w:rsid w:val="00B05F99"/>
    <w:rsid w:val="00B06179"/>
    <w:rsid w:val="00B06580"/>
    <w:rsid w:val="00B07916"/>
    <w:rsid w:val="00B07DDD"/>
    <w:rsid w:val="00B108DB"/>
    <w:rsid w:val="00B114EA"/>
    <w:rsid w:val="00B11617"/>
    <w:rsid w:val="00B1225A"/>
    <w:rsid w:val="00B13A33"/>
    <w:rsid w:val="00B13BB7"/>
    <w:rsid w:val="00B15BD6"/>
    <w:rsid w:val="00B16913"/>
    <w:rsid w:val="00B207DF"/>
    <w:rsid w:val="00B216F9"/>
    <w:rsid w:val="00B219F6"/>
    <w:rsid w:val="00B21A19"/>
    <w:rsid w:val="00B23088"/>
    <w:rsid w:val="00B248F3"/>
    <w:rsid w:val="00B26C50"/>
    <w:rsid w:val="00B26F7D"/>
    <w:rsid w:val="00B275B2"/>
    <w:rsid w:val="00B30990"/>
    <w:rsid w:val="00B30FCC"/>
    <w:rsid w:val="00B31143"/>
    <w:rsid w:val="00B32829"/>
    <w:rsid w:val="00B33D0A"/>
    <w:rsid w:val="00B3466E"/>
    <w:rsid w:val="00B351B7"/>
    <w:rsid w:val="00B371CF"/>
    <w:rsid w:val="00B378A1"/>
    <w:rsid w:val="00B40713"/>
    <w:rsid w:val="00B41810"/>
    <w:rsid w:val="00B41D86"/>
    <w:rsid w:val="00B4276B"/>
    <w:rsid w:val="00B4279C"/>
    <w:rsid w:val="00B43BC9"/>
    <w:rsid w:val="00B4460E"/>
    <w:rsid w:val="00B44668"/>
    <w:rsid w:val="00B4593E"/>
    <w:rsid w:val="00B45A61"/>
    <w:rsid w:val="00B45E0D"/>
    <w:rsid w:val="00B46443"/>
    <w:rsid w:val="00B46DA5"/>
    <w:rsid w:val="00B470E3"/>
    <w:rsid w:val="00B50C80"/>
    <w:rsid w:val="00B5375A"/>
    <w:rsid w:val="00B56B87"/>
    <w:rsid w:val="00B5743B"/>
    <w:rsid w:val="00B60263"/>
    <w:rsid w:val="00B603BA"/>
    <w:rsid w:val="00B605C0"/>
    <w:rsid w:val="00B62190"/>
    <w:rsid w:val="00B62374"/>
    <w:rsid w:val="00B63704"/>
    <w:rsid w:val="00B63AD3"/>
    <w:rsid w:val="00B63C5B"/>
    <w:rsid w:val="00B63F7A"/>
    <w:rsid w:val="00B6540F"/>
    <w:rsid w:val="00B65549"/>
    <w:rsid w:val="00B6667D"/>
    <w:rsid w:val="00B67A9D"/>
    <w:rsid w:val="00B7006D"/>
    <w:rsid w:val="00B70F58"/>
    <w:rsid w:val="00B71CC1"/>
    <w:rsid w:val="00B71E9B"/>
    <w:rsid w:val="00B72072"/>
    <w:rsid w:val="00B729E5"/>
    <w:rsid w:val="00B72ADE"/>
    <w:rsid w:val="00B7416E"/>
    <w:rsid w:val="00B745D4"/>
    <w:rsid w:val="00B7617B"/>
    <w:rsid w:val="00B761B8"/>
    <w:rsid w:val="00B76B62"/>
    <w:rsid w:val="00B77F3D"/>
    <w:rsid w:val="00B81408"/>
    <w:rsid w:val="00B81725"/>
    <w:rsid w:val="00B81994"/>
    <w:rsid w:val="00B81F00"/>
    <w:rsid w:val="00B82196"/>
    <w:rsid w:val="00B821A6"/>
    <w:rsid w:val="00B822DD"/>
    <w:rsid w:val="00B82543"/>
    <w:rsid w:val="00B82FDE"/>
    <w:rsid w:val="00B84436"/>
    <w:rsid w:val="00B84E36"/>
    <w:rsid w:val="00B862C7"/>
    <w:rsid w:val="00B87D70"/>
    <w:rsid w:val="00B90A40"/>
    <w:rsid w:val="00B92491"/>
    <w:rsid w:val="00B92903"/>
    <w:rsid w:val="00B936BF"/>
    <w:rsid w:val="00B95251"/>
    <w:rsid w:val="00B95309"/>
    <w:rsid w:val="00B95C08"/>
    <w:rsid w:val="00B97045"/>
    <w:rsid w:val="00B97541"/>
    <w:rsid w:val="00BA0776"/>
    <w:rsid w:val="00BA0823"/>
    <w:rsid w:val="00BA0D51"/>
    <w:rsid w:val="00BA0F80"/>
    <w:rsid w:val="00BA14BC"/>
    <w:rsid w:val="00BA1939"/>
    <w:rsid w:val="00BA1B09"/>
    <w:rsid w:val="00BA1C56"/>
    <w:rsid w:val="00BA1F5F"/>
    <w:rsid w:val="00BA3119"/>
    <w:rsid w:val="00BA3C65"/>
    <w:rsid w:val="00BA4CB3"/>
    <w:rsid w:val="00BA5681"/>
    <w:rsid w:val="00BA5685"/>
    <w:rsid w:val="00BA5A03"/>
    <w:rsid w:val="00BA5A9A"/>
    <w:rsid w:val="00BA5D22"/>
    <w:rsid w:val="00BA677A"/>
    <w:rsid w:val="00BA69E5"/>
    <w:rsid w:val="00BA6D38"/>
    <w:rsid w:val="00BA770D"/>
    <w:rsid w:val="00BA7CBC"/>
    <w:rsid w:val="00BB0534"/>
    <w:rsid w:val="00BB081A"/>
    <w:rsid w:val="00BB14B7"/>
    <w:rsid w:val="00BB2029"/>
    <w:rsid w:val="00BB2D89"/>
    <w:rsid w:val="00BB3A89"/>
    <w:rsid w:val="00BB3B30"/>
    <w:rsid w:val="00BB4D80"/>
    <w:rsid w:val="00BB4FAC"/>
    <w:rsid w:val="00BB56BE"/>
    <w:rsid w:val="00BB7E49"/>
    <w:rsid w:val="00BB7FDF"/>
    <w:rsid w:val="00BC04AC"/>
    <w:rsid w:val="00BC0986"/>
    <w:rsid w:val="00BC1277"/>
    <w:rsid w:val="00BC1427"/>
    <w:rsid w:val="00BC1591"/>
    <w:rsid w:val="00BC1D15"/>
    <w:rsid w:val="00BC1D92"/>
    <w:rsid w:val="00BC2090"/>
    <w:rsid w:val="00BC2A07"/>
    <w:rsid w:val="00BC2B49"/>
    <w:rsid w:val="00BC2CA8"/>
    <w:rsid w:val="00BC2D00"/>
    <w:rsid w:val="00BC3499"/>
    <w:rsid w:val="00BC3F44"/>
    <w:rsid w:val="00BC4B6E"/>
    <w:rsid w:val="00BC4C5C"/>
    <w:rsid w:val="00BC54D0"/>
    <w:rsid w:val="00BC6392"/>
    <w:rsid w:val="00BC67FF"/>
    <w:rsid w:val="00BD0054"/>
    <w:rsid w:val="00BD08E4"/>
    <w:rsid w:val="00BD1C8F"/>
    <w:rsid w:val="00BD2850"/>
    <w:rsid w:val="00BD3D24"/>
    <w:rsid w:val="00BD4A6C"/>
    <w:rsid w:val="00BD53CD"/>
    <w:rsid w:val="00BD6004"/>
    <w:rsid w:val="00BD6278"/>
    <w:rsid w:val="00BD6E02"/>
    <w:rsid w:val="00BD6FD8"/>
    <w:rsid w:val="00BD7496"/>
    <w:rsid w:val="00BD78C3"/>
    <w:rsid w:val="00BD7DA9"/>
    <w:rsid w:val="00BD7E3D"/>
    <w:rsid w:val="00BD7F9D"/>
    <w:rsid w:val="00BE0309"/>
    <w:rsid w:val="00BE032A"/>
    <w:rsid w:val="00BE1214"/>
    <w:rsid w:val="00BE1372"/>
    <w:rsid w:val="00BE182E"/>
    <w:rsid w:val="00BE275F"/>
    <w:rsid w:val="00BE292F"/>
    <w:rsid w:val="00BE2BB3"/>
    <w:rsid w:val="00BE2C64"/>
    <w:rsid w:val="00BE4DA4"/>
    <w:rsid w:val="00BE5589"/>
    <w:rsid w:val="00BE5C0D"/>
    <w:rsid w:val="00BE6FDD"/>
    <w:rsid w:val="00BE7FB5"/>
    <w:rsid w:val="00BF059C"/>
    <w:rsid w:val="00BF06E8"/>
    <w:rsid w:val="00BF1D79"/>
    <w:rsid w:val="00BF2A00"/>
    <w:rsid w:val="00BF4426"/>
    <w:rsid w:val="00BF4DEE"/>
    <w:rsid w:val="00BF521A"/>
    <w:rsid w:val="00BF5DB9"/>
    <w:rsid w:val="00C03BF1"/>
    <w:rsid w:val="00C048B4"/>
    <w:rsid w:val="00C04E59"/>
    <w:rsid w:val="00C101D6"/>
    <w:rsid w:val="00C10ECC"/>
    <w:rsid w:val="00C11398"/>
    <w:rsid w:val="00C11E82"/>
    <w:rsid w:val="00C12E06"/>
    <w:rsid w:val="00C131F5"/>
    <w:rsid w:val="00C13CA8"/>
    <w:rsid w:val="00C14065"/>
    <w:rsid w:val="00C14263"/>
    <w:rsid w:val="00C15252"/>
    <w:rsid w:val="00C15E10"/>
    <w:rsid w:val="00C17115"/>
    <w:rsid w:val="00C17D2A"/>
    <w:rsid w:val="00C203CD"/>
    <w:rsid w:val="00C20480"/>
    <w:rsid w:val="00C21F3B"/>
    <w:rsid w:val="00C225AA"/>
    <w:rsid w:val="00C25D96"/>
    <w:rsid w:val="00C25E2B"/>
    <w:rsid w:val="00C25F1A"/>
    <w:rsid w:val="00C2600F"/>
    <w:rsid w:val="00C26EEB"/>
    <w:rsid w:val="00C27BD4"/>
    <w:rsid w:val="00C31210"/>
    <w:rsid w:val="00C319EF"/>
    <w:rsid w:val="00C3346B"/>
    <w:rsid w:val="00C3524F"/>
    <w:rsid w:val="00C35A4B"/>
    <w:rsid w:val="00C35DBE"/>
    <w:rsid w:val="00C3605B"/>
    <w:rsid w:val="00C4001D"/>
    <w:rsid w:val="00C401EF"/>
    <w:rsid w:val="00C40371"/>
    <w:rsid w:val="00C412CD"/>
    <w:rsid w:val="00C446A0"/>
    <w:rsid w:val="00C45225"/>
    <w:rsid w:val="00C466D8"/>
    <w:rsid w:val="00C4739B"/>
    <w:rsid w:val="00C507A9"/>
    <w:rsid w:val="00C50BAF"/>
    <w:rsid w:val="00C50E13"/>
    <w:rsid w:val="00C50E8B"/>
    <w:rsid w:val="00C51811"/>
    <w:rsid w:val="00C51AA0"/>
    <w:rsid w:val="00C52564"/>
    <w:rsid w:val="00C525B0"/>
    <w:rsid w:val="00C52FEB"/>
    <w:rsid w:val="00C53978"/>
    <w:rsid w:val="00C53E16"/>
    <w:rsid w:val="00C54834"/>
    <w:rsid w:val="00C54A3B"/>
    <w:rsid w:val="00C54DDC"/>
    <w:rsid w:val="00C550F0"/>
    <w:rsid w:val="00C55E69"/>
    <w:rsid w:val="00C56AD9"/>
    <w:rsid w:val="00C56CE9"/>
    <w:rsid w:val="00C56E04"/>
    <w:rsid w:val="00C56E5D"/>
    <w:rsid w:val="00C57B6C"/>
    <w:rsid w:val="00C60D1E"/>
    <w:rsid w:val="00C6100E"/>
    <w:rsid w:val="00C6168B"/>
    <w:rsid w:val="00C621B3"/>
    <w:rsid w:val="00C6492C"/>
    <w:rsid w:val="00C64F65"/>
    <w:rsid w:val="00C65F61"/>
    <w:rsid w:val="00C66427"/>
    <w:rsid w:val="00C66D2F"/>
    <w:rsid w:val="00C676ED"/>
    <w:rsid w:val="00C67AED"/>
    <w:rsid w:val="00C70442"/>
    <w:rsid w:val="00C7081C"/>
    <w:rsid w:val="00C71087"/>
    <w:rsid w:val="00C71380"/>
    <w:rsid w:val="00C72C05"/>
    <w:rsid w:val="00C73EDA"/>
    <w:rsid w:val="00C73F21"/>
    <w:rsid w:val="00C7421E"/>
    <w:rsid w:val="00C7451C"/>
    <w:rsid w:val="00C74791"/>
    <w:rsid w:val="00C754C2"/>
    <w:rsid w:val="00C7687C"/>
    <w:rsid w:val="00C76963"/>
    <w:rsid w:val="00C80B31"/>
    <w:rsid w:val="00C80FB7"/>
    <w:rsid w:val="00C819C2"/>
    <w:rsid w:val="00C81BFC"/>
    <w:rsid w:val="00C823E1"/>
    <w:rsid w:val="00C8276F"/>
    <w:rsid w:val="00C82C41"/>
    <w:rsid w:val="00C83B90"/>
    <w:rsid w:val="00C83D59"/>
    <w:rsid w:val="00C84072"/>
    <w:rsid w:val="00C840B0"/>
    <w:rsid w:val="00C8706A"/>
    <w:rsid w:val="00C875FA"/>
    <w:rsid w:val="00C8798F"/>
    <w:rsid w:val="00C87A5E"/>
    <w:rsid w:val="00C90DC2"/>
    <w:rsid w:val="00C90F4C"/>
    <w:rsid w:val="00C91388"/>
    <w:rsid w:val="00C934F9"/>
    <w:rsid w:val="00C9366F"/>
    <w:rsid w:val="00C94A59"/>
    <w:rsid w:val="00C951D0"/>
    <w:rsid w:val="00C96F4C"/>
    <w:rsid w:val="00CA1878"/>
    <w:rsid w:val="00CA1A63"/>
    <w:rsid w:val="00CA1DB7"/>
    <w:rsid w:val="00CA2696"/>
    <w:rsid w:val="00CA2B8E"/>
    <w:rsid w:val="00CA2CC8"/>
    <w:rsid w:val="00CA30BC"/>
    <w:rsid w:val="00CA438B"/>
    <w:rsid w:val="00CA4535"/>
    <w:rsid w:val="00CA7104"/>
    <w:rsid w:val="00CA7524"/>
    <w:rsid w:val="00CA7844"/>
    <w:rsid w:val="00CB030F"/>
    <w:rsid w:val="00CB08AC"/>
    <w:rsid w:val="00CB09BF"/>
    <w:rsid w:val="00CB0A43"/>
    <w:rsid w:val="00CB0D24"/>
    <w:rsid w:val="00CB2958"/>
    <w:rsid w:val="00CB4809"/>
    <w:rsid w:val="00CB63F9"/>
    <w:rsid w:val="00CB6801"/>
    <w:rsid w:val="00CB69F5"/>
    <w:rsid w:val="00CB6BC1"/>
    <w:rsid w:val="00CB77EA"/>
    <w:rsid w:val="00CB7C12"/>
    <w:rsid w:val="00CB7FE8"/>
    <w:rsid w:val="00CC009E"/>
    <w:rsid w:val="00CC00FB"/>
    <w:rsid w:val="00CC025B"/>
    <w:rsid w:val="00CC0692"/>
    <w:rsid w:val="00CC090D"/>
    <w:rsid w:val="00CC102C"/>
    <w:rsid w:val="00CC1268"/>
    <w:rsid w:val="00CC14C3"/>
    <w:rsid w:val="00CC15EB"/>
    <w:rsid w:val="00CC2EFB"/>
    <w:rsid w:val="00CC353C"/>
    <w:rsid w:val="00CC364F"/>
    <w:rsid w:val="00CC3E82"/>
    <w:rsid w:val="00CC5354"/>
    <w:rsid w:val="00CC5638"/>
    <w:rsid w:val="00CC5CFD"/>
    <w:rsid w:val="00CC6DC2"/>
    <w:rsid w:val="00CC7674"/>
    <w:rsid w:val="00CC7789"/>
    <w:rsid w:val="00CD11C2"/>
    <w:rsid w:val="00CD1332"/>
    <w:rsid w:val="00CD2D55"/>
    <w:rsid w:val="00CD30DC"/>
    <w:rsid w:val="00CD5D14"/>
    <w:rsid w:val="00CD7626"/>
    <w:rsid w:val="00CE124D"/>
    <w:rsid w:val="00CE1335"/>
    <w:rsid w:val="00CE1609"/>
    <w:rsid w:val="00CE2636"/>
    <w:rsid w:val="00CE3916"/>
    <w:rsid w:val="00CE4814"/>
    <w:rsid w:val="00CE61B9"/>
    <w:rsid w:val="00CE6A17"/>
    <w:rsid w:val="00CE7D99"/>
    <w:rsid w:val="00CF0768"/>
    <w:rsid w:val="00CF1AD6"/>
    <w:rsid w:val="00CF25AA"/>
    <w:rsid w:val="00CF26BB"/>
    <w:rsid w:val="00CF2B16"/>
    <w:rsid w:val="00CF46EC"/>
    <w:rsid w:val="00CF4BB2"/>
    <w:rsid w:val="00CF521B"/>
    <w:rsid w:val="00CF5315"/>
    <w:rsid w:val="00CF5471"/>
    <w:rsid w:val="00CF71A8"/>
    <w:rsid w:val="00D01910"/>
    <w:rsid w:val="00D01FEF"/>
    <w:rsid w:val="00D03290"/>
    <w:rsid w:val="00D03A0B"/>
    <w:rsid w:val="00D0411D"/>
    <w:rsid w:val="00D06309"/>
    <w:rsid w:val="00D065A7"/>
    <w:rsid w:val="00D1078E"/>
    <w:rsid w:val="00D10ACB"/>
    <w:rsid w:val="00D1228F"/>
    <w:rsid w:val="00D12693"/>
    <w:rsid w:val="00D12767"/>
    <w:rsid w:val="00D13261"/>
    <w:rsid w:val="00D13EFD"/>
    <w:rsid w:val="00D1410D"/>
    <w:rsid w:val="00D15024"/>
    <w:rsid w:val="00D15275"/>
    <w:rsid w:val="00D15BE2"/>
    <w:rsid w:val="00D1737E"/>
    <w:rsid w:val="00D17932"/>
    <w:rsid w:val="00D17A8C"/>
    <w:rsid w:val="00D2209C"/>
    <w:rsid w:val="00D22726"/>
    <w:rsid w:val="00D24001"/>
    <w:rsid w:val="00D24465"/>
    <w:rsid w:val="00D24C30"/>
    <w:rsid w:val="00D25145"/>
    <w:rsid w:val="00D25ECA"/>
    <w:rsid w:val="00D262DA"/>
    <w:rsid w:val="00D26D8F"/>
    <w:rsid w:val="00D2758D"/>
    <w:rsid w:val="00D30B07"/>
    <w:rsid w:val="00D30E19"/>
    <w:rsid w:val="00D31174"/>
    <w:rsid w:val="00D316BB"/>
    <w:rsid w:val="00D31A57"/>
    <w:rsid w:val="00D32EC8"/>
    <w:rsid w:val="00D3312E"/>
    <w:rsid w:val="00D33834"/>
    <w:rsid w:val="00D33959"/>
    <w:rsid w:val="00D33962"/>
    <w:rsid w:val="00D34699"/>
    <w:rsid w:val="00D3532A"/>
    <w:rsid w:val="00D35BDE"/>
    <w:rsid w:val="00D35C53"/>
    <w:rsid w:val="00D366A8"/>
    <w:rsid w:val="00D41375"/>
    <w:rsid w:val="00D41C8F"/>
    <w:rsid w:val="00D437F2"/>
    <w:rsid w:val="00D43A4A"/>
    <w:rsid w:val="00D4538B"/>
    <w:rsid w:val="00D4610F"/>
    <w:rsid w:val="00D47155"/>
    <w:rsid w:val="00D47BBD"/>
    <w:rsid w:val="00D47DBC"/>
    <w:rsid w:val="00D50940"/>
    <w:rsid w:val="00D50983"/>
    <w:rsid w:val="00D50D3E"/>
    <w:rsid w:val="00D51175"/>
    <w:rsid w:val="00D51B3D"/>
    <w:rsid w:val="00D52053"/>
    <w:rsid w:val="00D53AB5"/>
    <w:rsid w:val="00D53C02"/>
    <w:rsid w:val="00D543A9"/>
    <w:rsid w:val="00D55025"/>
    <w:rsid w:val="00D556E8"/>
    <w:rsid w:val="00D560D5"/>
    <w:rsid w:val="00D560F8"/>
    <w:rsid w:val="00D567BB"/>
    <w:rsid w:val="00D57AB0"/>
    <w:rsid w:val="00D57FDC"/>
    <w:rsid w:val="00D60295"/>
    <w:rsid w:val="00D603BD"/>
    <w:rsid w:val="00D60AB3"/>
    <w:rsid w:val="00D60BBA"/>
    <w:rsid w:val="00D60CCC"/>
    <w:rsid w:val="00D6174F"/>
    <w:rsid w:val="00D61C7D"/>
    <w:rsid w:val="00D620EF"/>
    <w:rsid w:val="00D62444"/>
    <w:rsid w:val="00D63EBA"/>
    <w:rsid w:val="00D6406B"/>
    <w:rsid w:val="00D649C3"/>
    <w:rsid w:val="00D64A87"/>
    <w:rsid w:val="00D65ADE"/>
    <w:rsid w:val="00D6603A"/>
    <w:rsid w:val="00D7072C"/>
    <w:rsid w:val="00D7120D"/>
    <w:rsid w:val="00D73FF8"/>
    <w:rsid w:val="00D749FF"/>
    <w:rsid w:val="00D74DA5"/>
    <w:rsid w:val="00D750A6"/>
    <w:rsid w:val="00D750B6"/>
    <w:rsid w:val="00D751D4"/>
    <w:rsid w:val="00D7594A"/>
    <w:rsid w:val="00D77572"/>
    <w:rsid w:val="00D77B38"/>
    <w:rsid w:val="00D80E45"/>
    <w:rsid w:val="00D8126E"/>
    <w:rsid w:val="00D81CD4"/>
    <w:rsid w:val="00D82EAF"/>
    <w:rsid w:val="00D833C0"/>
    <w:rsid w:val="00D8476D"/>
    <w:rsid w:val="00D85198"/>
    <w:rsid w:val="00D85B53"/>
    <w:rsid w:val="00D85CEB"/>
    <w:rsid w:val="00D86EF4"/>
    <w:rsid w:val="00D87FDE"/>
    <w:rsid w:val="00D90186"/>
    <w:rsid w:val="00D913F6"/>
    <w:rsid w:val="00D9161D"/>
    <w:rsid w:val="00D920CF"/>
    <w:rsid w:val="00D92258"/>
    <w:rsid w:val="00D925D1"/>
    <w:rsid w:val="00D93C71"/>
    <w:rsid w:val="00D95161"/>
    <w:rsid w:val="00D95A0A"/>
    <w:rsid w:val="00D96429"/>
    <w:rsid w:val="00D96B6A"/>
    <w:rsid w:val="00D976C1"/>
    <w:rsid w:val="00D9790B"/>
    <w:rsid w:val="00D97F3A"/>
    <w:rsid w:val="00DA08BB"/>
    <w:rsid w:val="00DA1022"/>
    <w:rsid w:val="00DA10D5"/>
    <w:rsid w:val="00DA283F"/>
    <w:rsid w:val="00DA2F7B"/>
    <w:rsid w:val="00DA512F"/>
    <w:rsid w:val="00DA5620"/>
    <w:rsid w:val="00DA5D89"/>
    <w:rsid w:val="00DA698B"/>
    <w:rsid w:val="00DA7193"/>
    <w:rsid w:val="00DA7733"/>
    <w:rsid w:val="00DA7903"/>
    <w:rsid w:val="00DA7D8A"/>
    <w:rsid w:val="00DA7D91"/>
    <w:rsid w:val="00DA7FE9"/>
    <w:rsid w:val="00DB0B5B"/>
    <w:rsid w:val="00DB2C29"/>
    <w:rsid w:val="00DB3F07"/>
    <w:rsid w:val="00DB51FE"/>
    <w:rsid w:val="00DB56EC"/>
    <w:rsid w:val="00DB6913"/>
    <w:rsid w:val="00DC0473"/>
    <w:rsid w:val="00DC0D92"/>
    <w:rsid w:val="00DC16C4"/>
    <w:rsid w:val="00DC1840"/>
    <w:rsid w:val="00DC1D0E"/>
    <w:rsid w:val="00DC1D5A"/>
    <w:rsid w:val="00DC2F28"/>
    <w:rsid w:val="00DC3EAD"/>
    <w:rsid w:val="00DC429F"/>
    <w:rsid w:val="00DC44BB"/>
    <w:rsid w:val="00DC4DBC"/>
    <w:rsid w:val="00DC630F"/>
    <w:rsid w:val="00DC6B7B"/>
    <w:rsid w:val="00DC7538"/>
    <w:rsid w:val="00DD0850"/>
    <w:rsid w:val="00DD0988"/>
    <w:rsid w:val="00DD2175"/>
    <w:rsid w:val="00DD312E"/>
    <w:rsid w:val="00DD3A08"/>
    <w:rsid w:val="00DD43D0"/>
    <w:rsid w:val="00DD46A2"/>
    <w:rsid w:val="00DD4723"/>
    <w:rsid w:val="00DD615E"/>
    <w:rsid w:val="00DD630D"/>
    <w:rsid w:val="00DD6E4B"/>
    <w:rsid w:val="00DD7254"/>
    <w:rsid w:val="00DD7F58"/>
    <w:rsid w:val="00DE0048"/>
    <w:rsid w:val="00DE0C0C"/>
    <w:rsid w:val="00DE2BA4"/>
    <w:rsid w:val="00DE4FBF"/>
    <w:rsid w:val="00DE518B"/>
    <w:rsid w:val="00DE5865"/>
    <w:rsid w:val="00DE605C"/>
    <w:rsid w:val="00DE7296"/>
    <w:rsid w:val="00DF01CF"/>
    <w:rsid w:val="00DF026E"/>
    <w:rsid w:val="00DF0696"/>
    <w:rsid w:val="00DF15A8"/>
    <w:rsid w:val="00DF25B5"/>
    <w:rsid w:val="00DF27F0"/>
    <w:rsid w:val="00DF3290"/>
    <w:rsid w:val="00DF456A"/>
    <w:rsid w:val="00DF4F76"/>
    <w:rsid w:val="00DF6698"/>
    <w:rsid w:val="00E01DB7"/>
    <w:rsid w:val="00E0235E"/>
    <w:rsid w:val="00E02695"/>
    <w:rsid w:val="00E02C38"/>
    <w:rsid w:val="00E05162"/>
    <w:rsid w:val="00E06A30"/>
    <w:rsid w:val="00E0750D"/>
    <w:rsid w:val="00E07B71"/>
    <w:rsid w:val="00E07D3F"/>
    <w:rsid w:val="00E10B8A"/>
    <w:rsid w:val="00E10DA4"/>
    <w:rsid w:val="00E11E7E"/>
    <w:rsid w:val="00E12016"/>
    <w:rsid w:val="00E13019"/>
    <w:rsid w:val="00E1436D"/>
    <w:rsid w:val="00E14594"/>
    <w:rsid w:val="00E14598"/>
    <w:rsid w:val="00E14717"/>
    <w:rsid w:val="00E14952"/>
    <w:rsid w:val="00E149AF"/>
    <w:rsid w:val="00E14D1D"/>
    <w:rsid w:val="00E154BF"/>
    <w:rsid w:val="00E1595D"/>
    <w:rsid w:val="00E15E3A"/>
    <w:rsid w:val="00E16DB3"/>
    <w:rsid w:val="00E207E1"/>
    <w:rsid w:val="00E20D51"/>
    <w:rsid w:val="00E2124F"/>
    <w:rsid w:val="00E218EE"/>
    <w:rsid w:val="00E21D51"/>
    <w:rsid w:val="00E2443D"/>
    <w:rsid w:val="00E24D5C"/>
    <w:rsid w:val="00E260BB"/>
    <w:rsid w:val="00E26EDD"/>
    <w:rsid w:val="00E2739D"/>
    <w:rsid w:val="00E2756F"/>
    <w:rsid w:val="00E30DA9"/>
    <w:rsid w:val="00E311CB"/>
    <w:rsid w:val="00E31A57"/>
    <w:rsid w:val="00E31DCB"/>
    <w:rsid w:val="00E32EC4"/>
    <w:rsid w:val="00E33104"/>
    <w:rsid w:val="00E33748"/>
    <w:rsid w:val="00E3397A"/>
    <w:rsid w:val="00E33D62"/>
    <w:rsid w:val="00E33DFB"/>
    <w:rsid w:val="00E348A0"/>
    <w:rsid w:val="00E34BB5"/>
    <w:rsid w:val="00E35AE3"/>
    <w:rsid w:val="00E3681E"/>
    <w:rsid w:val="00E37A59"/>
    <w:rsid w:val="00E40348"/>
    <w:rsid w:val="00E409E4"/>
    <w:rsid w:val="00E415F2"/>
    <w:rsid w:val="00E41FB4"/>
    <w:rsid w:val="00E44559"/>
    <w:rsid w:val="00E469E9"/>
    <w:rsid w:val="00E512DE"/>
    <w:rsid w:val="00E5238C"/>
    <w:rsid w:val="00E534C7"/>
    <w:rsid w:val="00E5371F"/>
    <w:rsid w:val="00E53B16"/>
    <w:rsid w:val="00E546B4"/>
    <w:rsid w:val="00E548D7"/>
    <w:rsid w:val="00E54F7B"/>
    <w:rsid w:val="00E5558E"/>
    <w:rsid w:val="00E56904"/>
    <w:rsid w:val="00E57CEE"/>
    <w:rsid w:val="00E57D1B"/>
    <w:rsid w:val="00E57EC1"/>
    <w:rsid w:val="00E6147B"/>
    <w:rsid w:val="00E61B20"/>
    <w:rsid w:val="00E61E3D"/>
    <w:rsid w:val="00E620FA"/>
    <w:rsid w:val="00E624DF"/>
    <w:rsid w:val="00E632D4"/>
    <w:rsid w:val="00E64582"/>
    <w:rsid w:val="00E6579D"/>
    <w:rsid w:val="00E664B7"/>
    <w:rsid w:val="00E70A9F"/>
    <w:rsid w:val="00E7105F"/>
    <w:rsid w:val="00E7115D"/>
    <w:rsid w:val="00E713C3"/>
    <w:rsid w:val="00E71438"/>
    <w:rsid w:val="00E72A13"/>
    <w:rsid w:val="00E72D47"/>
    <w:rsid w:val="00E738AA"/>
    <w:rsid w:val="00E739BE"/>
    <w:rsid w:val="00E7470F"/>
    <w:rsid w:val="00E7483B"/>
    <w:rsid w:val="00E74AEE"/>
    <w:rsid w:val="00E75C9D"/>
    <w:rsid w:val="00E76092"/>
    <w:rsid w:val="00E76441"/>
    <w:rsid w:val="00E76EBB"/>
    <w:rsid w:val="00E77141"/>
    <w:rsid w:val="00E80911"/>
    <w:rsid w:val="00E81253"/>
    <w:rsid w:val="00E822B1"/>
    <w:rsid w:val="00E826D5"/>
    <w:rsid w:val="00E8273B"/>
    <w:rsid w:val="00E8394A"/>
    <w:rsid w:val="00E849EA"/>
    <w:rsid w:val="00E85DA7"/>
    <w:rsid w:val="00E85E4A"/>
    <w:rsid w:val="00E8622F"/>
    <w:rsid w:val="00E868D2"/>
    <w:rsid w:val="00E878B4"/>
    <w:rsid w:val="00E87B47"/>
    <w:rsid w:val="00E90D82"/>
    <w:rsid w:val="00E911AB"/>
    <w:rsid w:val="00E9175E"/>
    <w:rsid w:val="00E92528"/>
    <w:rsid w:val="00E92B93"/>
    <w:rsid w:val="00E92EE2"/>
    <w:rsid w:val="00E93361"/>
    <w:rsid w:val="00E93836"/>
    <w:rsid w:val="00E93893"/>
    <w:rsid w:val="00E93CEF"/>
    <w:rsid w:val="00E93EDA"/>
    <w:rsid w:val="00E94886"/>
    <w:rsid w:val="00E94F43"/>
    <w:rsid w:val="00E95522"/>
    <w:rsid w:val="00E96091"/>
    <w:rsid w:val="00E96139"/>
    <w:rsid w:val="00E97544"/>
    <w:rsid w:val="00E97D5B"/>
    <w:rsid w:val="00EA09F7"/>
    <w:rsid w:val="00EA15EB"/>
    <w:rsid w:val="00EA173F"/>
    <w:rsid w:val="00EA19F5"/>
    <w:rsid w:val="00EA2499"/>
    <w:rsid w:val="00EA3128"/>
    <w:rsid w:val="00EA31BE"/>
    <w:rsid w:val="00EA3A8D"/>
    <w:rsid w:val="00EA424B"/>
    <w:rsid w:val="00EA4DE3"/>
    <w:rsid w:val="00EA55D3"/>
    <w:rsid w:val="00EA5A16"/>
    <w:rsid w:val="00EA6B9A"/>
    <w:rsid w:val="00EA7384"/>
    <w:rsid w:val="00EA75AE"/>
    <w:rsid w:val="00EA75F0"/>
    <w:rsid w:val="00EA7932"/>
    <w:rsid w:val="00EB0389"/>
    <w:rsid w:val="00EB0876"/>
    <w:rsid w:val="00EB0902"/>
    <w:rsid w:val="00EB0F4E"/>
    <w:rsid w:val="00EB1592"/>
    <w:rsid w:val="00EB2696"/>
    <w:rsid w:val="00EB43F8"/>
    <w:rsid w:val="00EB481E"/>
    <w:rsid w:val="00EB4B6D"/>
    <w:rsid w:val="00EB5F7F"/>
    <w:rsid w:val="00EB5FFD"/>
    <w:rsid w:val="00EB6BDA"/>
    <w:rsid w:val="00EB79E4"/>
    <w:rsid w:val="00EB7ACC"/>
    <w:rsid w:val="00EB7E73"/>
    <w:rsid w:val="00EC1655"/>
    <w:rsid w:val="00EC1C87"/>
    <w:rsid w:val="00EC2583"/>
    <w:rsid w:val="00EC2850"/>
    <w:rsid w:val="00EC2E64"/>
    <w:rsid w:val="00EC3101"/>
    <w:rsid w:val="00EC3604"/>
    <w:rsid w:val="00EC3A12"/>
    <w:rsid w:val="00EC48A5"/>
    <w:rsid w:val="00EC4D6A"/>
    <w:rsid w:val="00EC4E7F"/>
    <w:rsid w:val="00EC5DA2"/>
    <w:rsid w:val="00EC5F15"/>
    <w:rsid w:val="00EC64FC"/>
    <w:rsid w:val="00EC6F32"/>
    <w:rsid w:val="00EC77A0"/>
    <w:rsid w:val="00EC7F3F"/>
    <w:rsid w:val="00ED0C17"/>
    <w:rsid w:val="00ED2184"/>
    <w:rsid w:val="00ED2979"/>
    <w:rsid w:val="00ED313F"/>
    <w:rsid w:val="00ED3A38"/>
    <w:rsid w:val="00ED40B3"/>
    <w:rsid w:val="00ED51C2"/>
    <w:rsid w:val="00ED5B3F"/>
    <w:rsid w:val="00ED63C3"/>
    <w:rsid w:val="00ED6D96"/>
    <w:rsid w:val="00ED7E06"/>
    <w:rsid w:val="00ED7E20"/>
    <w:rsid w:val="00EE026D"/>
    <w:rsid w:val="00EE02EF"/>
    <w:rsid w:val="00EE0649"/>
    <w:rsid w:val="00EE1153"/>
    <w:rsid w:val="00EE13D9"/>
    <w:rsid w:val="00EE1CFA"/>
    <w:rsid w:val="00EE3235"/>
    <w:rsid w:val="00EE3E5C"/>
    <w:rsid w:val="00EE44B1"/>
    <w:rsid w:val="00EE4D42"/>
    <w:rsid w:val="00EE4E17"/>
    <w:rsid w:val="00EE61F5"/>
    <w:rsid w:val="00EE650E"/>
    <w:rsid w:val="00EE68D0"/>
    <w:rsid w:val="00EE6F6E"/>
    <w:rsid w:val="00EE78BE"/>
    <w:rsid w:val="00EF05E4"/>
    <w:rsid w:val="00EF0F16"/>
    <w:rsid w:val="00EF1B5E"/>
    <w:rsid w:val="00EF2928"/>
    <w:rsid w:val="00EF3025"/>
    <w:rsid w:val="00EF592D"/>
    <w:rsid w:val="00EF664B"/>
    <w:rsid w:val="00EF6873"/>
    <w:rsid w:val="00EF68D4"/>
    <w:rsid w:val="00EF7BEB"/>
    <w:rsid w:val="00F00735"/>
    <w:rsid w:val="00F0274E"/>
    <w:rsid w:val="00F027B9"/>
    <w:rsid w:val="00F02BAD"/>
    <w:rsid w:val="00F02EFE"/>
    <w:rsid w:val="00F054ED"/>
    <w:rsid w:val="00F05980"/>
    <w:rsid w:val="00F076B6"/>
    <w:rsid w:val="00F10841"/>
    <w:rsid w:val="00F1097A"/>
    <w:rsid w:val="00F10EEB"/>
    <w:rsid w:val="00F11217"/>
    <w:rsid w:val="00F12A70"/>
    <w:rsid w:val="00F13F06"/>
    <w:rsid w:val="00F1463D"/>
    <w:rsid w:val="00F15F7C"/>
    <w:rsid w:val="00F16AB9"/>
    <w:rsid w:val="00F17069"/>
    <w:rsid w:val="00F179E5"/>
    <w:rsid w:val="00F17C4C"/>
    <w:rsid w:val="00F20347"/>
    <w:rsid w:val="00F209DB"/>
    <w:rsid w:val="00F236C0"/>
    <w:rsid w:val="00F23962"/>
    <w:rsid w:val="00F251CA"/>
    <w:rsid w:val="00F260F4"/>
    <w:rsid w:val="00F26CFE"/>
    <w:rsid w:val="00F312D5"/>
    <w:rsid w:val="00F31368"/>
    <w:rsid w:val="00F3193C"/>
    <w:rsid w:val="00F31D49"/>
    <w:rsid w:val="00F32572"/>
    <w:rsid w:val="00F326CC"/>
    <w:rsid w:val="00F329A0"/>
    <w:rsid w:val="00F33400"/>
    <w:rsid w:val="00F33881"/>
    <w:rsid w:val="00F33A01"/>
    <w:rsid w:val="00F33B54"/>
    <w:rsid w:val="00F34530"/>
    <w:rsid w:val="00F34B74"/>
    <w:rsid w:val="00F34BC9"/>
    <w:rsid w:val="00F34C6A"/>
    <w:rsid w:val="00F34E02"/>
    <w:rsid w:val="00F36351"/>
    <w:rsid w:val="00F36CA0"/>
    <w:rsid w:val="00F372C8"/>
    <w:rsid w:val="00F37C45"/>
    <w:rsid w:val="00F41009"/>
    <w:rsid w:val="00F44C20"/>
    <w:rsid w:val="00F44D5D"/>
    <w:rsid w:val="00F44D96"/>
    <w:rsid w:val="00F44FDF"/>
    <w:rsid w:val="00F4642B"/>
    <w:rsid w:val="00F469F3"/>
    <w:rsid w:val="00F46EB1"/>
    <w:rsid w:val="00F47C5F"/>
    <w:rsid w:val="00F50B66"/>
    <w:rsid w:val="00F512AA"/>
    <w:rsid w:val="00F5247F"/>
    <w:rsid w:val="00F5402C"/>
    <w:rsid w:val="00F55B3D"/>
    <w:rsid w:val="00F55D07"/>
    <w:rsid w:val="00F571A3"/>
    <w:rsid w:val="00F5729B"/>
    <w:rsid w:val="00F57453"/>
    <w:rsid w:val="00F57C02"/>
    <w:rsid w:val="00F60502"/>
    <w:rsid w:val="00F60A54"/>
    <w:rsid w:val="00F617A1"/>
    <w:rsid w:val="00F62527"/>
    <w:rsid w:val="00F6255D"/>
    <w:rsid w:val="00F626D0"/>
    <w:rsid w:val="00F638D8"/>
    <w:rsid w:val="00F63D29"/>
    <w:rsid w:val="00F650A1"/>
    <w:rsid w:val="00F654E8"/>
    <w:rsid w:val="00F656CC"/>
    <w:rsid w:val="00F6652F"/>
    <w:rsid w:val="00F66BBF"/>
    <w:rsid w:val="00F70BAD"/>
    <w:rsid w:val="00F71CA2"/>
    <w:rsid w:val="00F730D3"/>
    <w:rsid w:val="00F735F4"/>
    <w:rsid w:val="00F7381A"/>
    <w:rsid w:val="00F7388F"/>
    <w:rsid w:val="00F74688"/>
    <w:rsid w:val="00F7523A"/>
    <w:rsid w:val="00F765BB"/>
    <w:rsid w:val="00F76836"/>
    <w:rsid w:val="00F76FB2"/>
    <w:rsid w:val="00F77E86"/>
    <w:rsid w:val="00F80710"/>
    <w:rsid w:val="00F81334"/>
    <w:rsid w:val="00F81342"/>
    <w:rsid w:val="00F8138A"/>
    <w:rsid w:val="00F82C51"/>
    <w:rsid w:val="00F84276"/>
    <w:rsid w:val="00F8561A"/>
    <w:rsid w:val="00F90128"/>
    <w:rsid w:val="00F906F8"/>
    <w:rsid w:val="00F90979"/>
    <w:rsid w:val="00F915E2"/>
    <w:rsid w:val="00F91A5D"/>
    <w:rsid w:val="00F92218"/>
    <w:rsid w:val="00F93353"/>
    <w:rsid w:val="00F94CB4"/>
    <w:rsid w:val="00F95371"/>
    <w:rsid w:val="00F9584F"/>
    <w:rsid w:val="00F96113"/>
    <w:rsid w:val="00F965F1"/>
    <w:rsid w:val="00F97A11"/>
    <w:rsid w:val="00FA0446"/>
    <w:rsid w:val="00FA0C17"/>
    <w:rsid w:val="00FA1E5C"/>
    <w:rsid w:val="00FA2355"/>
    <w:rsid w:val="00FA2C03"/>
    <w:rsid w:val="00FA2CB0"/>
    <w:rsid w:val="00FA34A4"/>
    <w:rsid w:val="00FA3522"/>
    <w:rsid w:val="00FA353D"/>
    <w:rsid w:val="00FA38B4"/>
    <w:rsid w:val="00FA3AEF"/>
    <w:rsid w:val="00FA3EDA"/>
    <w:rsid w:val="00FA594E"/>
    <w:rsid w:val="00FA66F4"/>
    <w:rsid w:val="00FB1C1E"/>
    <w:rsid w:val="00FB28E3"/>
    <w:rsid w:val="00FB2D6A"/>
    <w:rsid w:val="00FB2FE4"/>
    <w:rsid w:val="00FB3CAA"/>
    <w:rsid w:val="00FB540F"/>
    <w:rsid w:val="00FB5E03"/>
    <w:rsid w:val="00FB5EA4"/>
    <w:rsid w:val="00FB7E36"/>
    <w:rsid w:val="00FC0258"/>
    <w:rsid w:val="00FC2CFA"/>
    <w:rsid w:val="00FC31A1"/>
    <w:rsid w:val="00FC3E94"/>
    <w:rsid w:val="00FC451A"/>
    <w:rsid w:val="00FC47E5"/>
    <w:rsid w:val="00FC5057"/>
    <w:rsid w:val="00FC5247"/>
    <w:rsid w:val="00FC54C6"/>
    <w:rsid w:val="00FC5C5F"/>
    <w:rsid w:val="00FC7E2F"/>
    <w:rsid w:val="00FD15DB"/>
    <w:rsid w:val="00FD1E5A"/>
    <w:rsid w:val="00FD2215"/>
    <w:rsid w:val="00FD2EBA"/>
    <w:rsid w:val="00FD370F"/>
    <w:rsid w:val="00FD37BC"/>
    <w:rsid w:val="00FD4970"/>
    <w:rsid w:val="00FD4CA4"/>
    <w:rsid w:val="00FD5C20"/>
    <w:rsid w:val="00FD615E"/>
    <w:rsid w:val="00FD61FD"/>
    <w:rsid w:val="00FD6268"/>
    <w:rsid w:val="00FD6669"/>
    <w:rsid w:val="00FD7138"/>
    <w:rsid w:val="00FD7AD3"/>
    <w:rsid w:val="00FD7C6F"/>
    <w:rsid w:val="00FE10AC"/>
    <w:rsid w:val="00FE2290"/>
    <w:rsid w:val="00FE2B03"/>
    <w:rsid w:val="00FE2B5C"/>
    <w:rsid w:val="00FE3258"/>
    <w:rsid w:val="00FE6276"/>
    <w:rsid w:val="00FE6B12"/>
    <w:rsid w:val="00FE7F95"/>
    <w:rsid w:val="00FF0CC9"/>
    <w:rsid w:val="00FF0F9B"/>
    <w:rsid w:val="00FF22D5"/>
    <w:rsid w:val="00FF490C"/>
    <w:rsid w:val="00FF4B9A"/>
    <w:rsid w:val="00FF6A3A"/>
    <w:rsid w:val="00FF7986"/>
    <w:rsid w:val="00FF7B76"/>
    <w:rsid w:val="010C2C96"/>
    <w:rsid w:val="010C5046"/>
    <w:rsid w:val="010D671E"/>
    <w:rsid w:val="01124840"/>
    <w:rsid w:val="011C1FFB"/>
    <w:rsid w:val="011F1DB8"/>
    <w:rsid w:val="012B351C"/>
    <w:rsid w:val="012C0CB2"/>
    <w:rsid w:val="012D7A79"/>
    <w:rsid w:val="013E35E1"/>
    <w:rsid w:val="014C6B51"/>
    <w:rsid w:val="016844A4"/>
    <w:rsid w:val="01724F7C"/>
    <w:rsid w:val="01785C2C"/>
    <w:rsid w:val="017A034A"/>
    <w:rsid w:val="01800DA6"/>
    <w:rsid w:val="018F0ADB"/>
    <w:rsid w:val="01911169"/>
    <w:rsid w:val="01936D79"/>
    <w:rsid w:val="01982A7C"/>
    <w:rsid w:val="019A1914"/>
    <w:rsid w:val="019B1A9C"/>
    <w:rsid w:val="019E7BD8"/>
    <w:rsid w:val="01AA0068"/>
    <w:rsid w:val="01B862EF"/>
    <w:rsid w:val="01C20A07"/>
    <w:rsid w:val="01D34206"/>
    <w:rsid w:val="01D71DBA"/>
    <w:rsid w:val="01DF1969"/>
    <w:rsid w:val="01E17DC1"/>
    <w:rsid w:val="01EB1997"/>
    <w:rsid w:val="01ED7119"/>
    <w:rsid w:val="01F80CAB"/>
    <w:rsid w:val="0206558C"/>
    <w:rsid w:val="020856CC"/>
    <w:rsid w:val="021B1241"/>
    <w:rsid w:val="021C6DDB"/>
    <w:rsid w:val="021D78AB"/>
    <w:rsid w:val="02200B7B"/>
    <w:rsid w:val="022210FA"/>
    <w:rsid w:val="024C066E"/>
    <w:rsid w:val="024F27D3"/>
    <w:rsid w:val="02692B30"/>
    <w:rsid w:val="027C7864"/>
    <w:rsid w:val="02951F19"/>
    <w:rsid w:val="02A036F5"/>
    <w:rsid w:val="02B611E1"/>
    <w:rsid w:val="02B77957"/>
    <w:rsid w:val="02BB0734"/>
    <w:rsid w:val="02C42214"/>
    <w:rsid w:val="02CC6CBE"/>
    <w:rsid w:val="02CD5A24"/>
    <w:rsid w:val="02D25939"/>
    <w:rsid w:val="02DA3C5B"/>
    <w:rsid w:val="02E57F58"/>
    <w:rsid w:val="02E70BC8"/>
    <w:rsid w:val="03024A00"/>
    <w:rsid w:val="03032339"/>
    <w:rsid w:val="030625CB"/>
    <w:rsid w:val="030C6F29"/>
    <w:rsid w:val="030D1D2D"/>
    <w:rsid w:val="03145231"/>
    <w:rsid w:val="0320730B"/>
    <w:rsid w:val="03245DFE"/>
    <w:rsid w:val="032E6D36"/>
    <w:rsid w:val="03344220"/>
    <w:rsid w:val="033928D2"/>
    <w:rsid w:val="03557DBF"/>
    <w:rsid w:val="03625B00"/>
    <w:rsid w:val="03656611"/>
    <w:rsid w:val="03666FB7"/>
    <w:rsid w:val="0369412B"/>
    <w:rsid w:val="036D6BA3"/>
    <w:rsid w:val="037736BF"/>
    <w:rsid w:val="0388753D"/>
    <w:rsid w:val="039A611E"/>
    <w:rsid w:val="03AC26DB"/>
    <w:rsid w:val="03BA4347"/>
    <w:rsid w:val="03BB37B6"/>
    <w:rsid w:val="03CA3BF8"/>
    <w:rsid w:val="03D06CE8"/>
    <w:rsid w:val="03D3487F"/>
    <w:rsid w:val="03DA050F"/>
    <w:rsid w:val="03DA551E"/>
    <w:rsid w:val="03E1434F"/>
    <w:rsid w:val="03E24779"/>
    <w:rsid w:val="04031645"/>
    <w:rsid w:val="04123DBD"/>
    <w:rsid w:val="0415791F"/>
    <w:rsid w:val="04247E93"/>
    <w:rsid w:val="042D4BCA"/>
    <w:rsid w:val="0438233B"/>
    <w:rsid w:val="04415975"/>
    <w:rsid w:val="04422EA4"/>
    <w:rsid w:val="04453FA6"/>
    <w:rsid w:val="044E2ED2"/>
    <w:rsid w:val="045654C5"/>
    <w:rsid w:val="045841FB"/>
    <w:rsid w:val="04635E28"/>
    <w:rsid w:val="046E0340"/>
    <w:rsid w:val="0470433C"/>
    <w:rsid w:val="04795398"/>
    <w:rsid w:val="047D3A77"/>
    <w:rsid w:val="047E4E8C"/>
    <w:rsid w:val="048250A5"/>
    <w:rsid w:val="04965B36"/>
    <w:rsid w:val="04AC5A06"/>
    <w:rsid w:val="04AE7343"/>
    <w:rsid w:val="04B90BB3"/>
    <w:rsid w:val="04BD48BC"/>
    <w:rsid w:val="04C4109A"/>
    <w:rsid w:val="04CB2483"/>
    <w:rsid w:val="04D26CFA"/>
    <w:rsid w:val="04E847E3"/>
    <w:rsid w:val="04F03E4C"/>
    <w:rsid w:val="04F964FE"/>
    <w:rsid w:val="050F0C3B"/>
    <w:rsid w:val="051038C0"/>
    <w:rsid w:val="05130A9A"/>
    <w:rsid w:val="05202CD7"/>
    <w:rsid w:val="05284567"/>
    <w:rsid w:val="052E0C6F"/>
    <w:rsid w:val="052E677A"/>
    <w:rsid w:val="05320B7C"/>
    <w:rsid w:val="053467E6"/>
    <w:rsid w:val="0537577B"/>
    <w:rsid w:val="05407004"/>
    <w:rsid w:val="055968F8"/>
    <w:rsid w:val="055E2363"/>
    <w:rsid w:val="055E6FD1"/>
    <w:rsid w:val="056475CC"/>
    <w:rsid w:val="05656253"/>
    <w:rsid w:val="05711383"/>
    <w:rsid w:val="057920E8"/>
    <w:rsid w:val="057A271D"/>
    <w:rsid w:val="05940E2A"/>
    <w:rsid w:val="05994192"/>
    <w:rsid w:val="059F4AC3"/>
    <w:rsid w:val="05A31D76"/>
    <w:rsid w:val="05AD247A"/>
    <w:rsid w:val="05BE291C"/>
    <w:rsid w:val="05C41C5F"/>
    <w:rsid w:val="05C575C9"/>
    <w:rsid w:val="05C96DAF"/>
    <w:rsid w:val="05CB0777"/>
    <w:rsid w:val="05D53D9D"/>
    <w:rsid w:val="05D64790"/>
    <w:rsid w:val="05D86F60"/>
    <w:rsid w:val="05DA39A6"/>
    <w:rsid w:val="05E1417C"/>
    <w:rsid w:val="05EF05A3"/>
    <w:rsid w:val="05F02461"/>
    <w:rsid w:val="05F35E11"/>
    <w:rsid w:val="05F42BDE"/>
    <w:rsid w:val="05FC2CC6"/>
    <w:rsid w:val="05FD34E9"/>
    <w:rsid w:val="060A0D89"/>
    <w:rsid w:val="060E60F1"/>
    <w:rsid w:val="06151530"/>
    <w:rsid w:val="061E78E4"/>
    <w:rsid w:val="062524A0"/>
    <w:rsid w:val="062C1339"/>
    <w:rsid w:val="06396C2F"/>
    <w:rsid w:val="06414FF3"/>
    <w:rsid w:val="064266BC"/>
    <w:rsid w:val="06496457"/>
    <w:rsid w:val="064A03A8"/>
    <w:rsid w:val="0655713A"/>
    <w:rsid w:val="06600C1B"/>
    <w:rsid w:val="06625D2A"/>
    <w:rsid w:val="06651536"/>
    <w:rsid w:val="066E6FEA"/>
    <w:rsid w:val="067C1790"/>
    <w:rsid w:val="067D6DB8"/>
    <w:rsid w:val="069271F5"/>
    <w:rsid w:val="06950D48"/>
    <w:rsid w:val="06984400"/>
    <w:rsid w:val="06A378E9"/>
    <w:rsid w:val="06A74C05"/>
    <w:rsid w:val="06B4093A"/>
    <w:rsid w:val="06C34D8E"/>
    <w:rsid w:val="06D020E0"/>
    <w:rsid w:val="06ED199B"/>
    <w:rsid w:val="06EE4389"/>
    <w:rsid w:val="06EF716D"/>
    <w:rsid w:val="07010286"/>
    <w:rsid w:val="070241E9"/>
    <w:rsid w:val="07106769"/>
    <w:rsid w:val="071A4087"/>
    <w:rsid w:val="071B04B1"/>
    <w:rsid w:val="07203EF1"/>
    <w:rsid w:val="073D0D2B"/>
    <w:rsid w:val="07415E08"/>
    <w:rsid w:val="074B37DE"/>
    <w:rsid w:val="07525D62"/>
    <w:rsid w:val="075F4260"/>
    <w:rsid w:val="076F68F3"/>
    <w:rsid w:val="078134DF"/>
    <w:rsid w:val="07882FBE"/>
    <w:rsid w:val="078B6222"/>
    <w:rsid w:val="078C5094"/>
    <w:rsid w:val="079727D2"/>
    <w:rsid w:val="079F7CA9"/>
    <w:rsid w:val="07A1167C"/>
    <w:rsid w:val="07AE108C"/>
    <w:rsid w:val="07B27B3D"/>
    <w:rsid w:val="07BA4CCA"/>
    <w:rsid w:val="07C210D3"/>
    <w:rsid w:val="07C43646"/>
    <w:rsid w:val="07D17825"/>
    <w:rsid w:val="07D46474"/>
    <w:rsid w:val="07F60E79"/>
    <w:rsid w:val="0810594A"/>
    <w:rsid w:val="081348AE"/>
    <w:rsid w:val="081B6711"/>
    <w:rsid w:val="081E5651"/>
    <w:rsid w:val="083539DF"/>
    <w:rsid w:val="084D1E2B"/>
    <w:rsid w:val="08547508"/>
    <w:rsid w:val="08615E14"/>
    <w:rsid w:val="088A0187"/>
    <w:rsid w:val="08931EB9"/>
    <w:rsid w:val="08B46DEE"/>
    <w:rsid w:val="08BE644F"/>
    <w:rsid w:val="08BF6A3F"/>
    <w:rsid w:val="08CD18C2"/>
    <w:rsid w:val="08D67A04"/>
    <w:rsid w:val="08DB1649"/>
    <w:rsid w:val="08DE7603"/>
    <w:rsid w:val="08E01623"/>
    <w:rsid w:val="08F911E2"/>
    <w:rsid w:val="08FD1E49"/>
    <w:rsid w:val="090066FB"/>
    <w:rsid w:val="09072D93"/>
    <w:rsid w:val="09193480"/>
    <w:rsid w:val="092903B1"/>
    <w:rsid w:val="09392DE8"/>
    <w:rsid w:val="09564770"/>
    <w:rsid w:val="095E1A3B"/>
    <w:rsid w:val="095F2523"/>
    <w:rsid w:val="096C6A74"/>
    <w:rsid w:val="09712142"/>
    <w:rsid w:val="0976107E"/>
    <w:rsid w:val="09772C47"/>
    <w:rsid w:val="09865AC0"/>
    <w:rsid w:val="0987783C"/>
    <w:rsid w:val="098D4755"/>
    <w:rsid w:val="098F5628"/>
    <w:rsid w:val="09941D3F"/>
    <w:rsid w:val="09942912"/>
    <w:rsid w:val="099D6E4D"/>
    <w:rsid w:val="09A9376A"/>
    <w:rsid w:val="09AE11F7"/>
    <w:rsid w:val="09B84622"/>
    <w:rsid w:val="09B96184"/>
    <w:rsid w:val="09C45552"/>
    <w:rsid w:val="09CE177B"/>
    <w:rsid w:val="09D443EF"/>
    <w:rsid w:val="09DA3055"/>
    <w:rsid w:val="09DB293D"/>
    <w:rsid w:val="09E52755"/>
    <w:rsid w:val="09EA6024"/>
    <w:rsid w:val="09F41C97"/>
    <w:rsid w:val="09FB48BE"/>
    <w:rsid w:val="0A017F6F"/>
    <w:rsid w:val="0A0D7F05"/>
    <w:rsid w:val="0A2E2DC6"/>
    <w:rsid w:val="0A2F05B8"/>
    <w:rsid w:val="0A2F6943"/>
    <w:rsid w:val="0A310D95"/>
    <w:rsid w:val="0A442F3E"/>
    <w:rsid w:val="0A5B02BB"/>
    <w:rsid w:val="0A6527F0"/>
    <w:rsid w:val="0A67309C"/>
    <w:rsid w:val="0A6A061B"/>
    <w:rsid w:val="0A6C53BD"/>
    <w:rsid w:val="0A7026DC"/>
    <w:rsid w:val="0A7865DE"/>
    <w:rsid w:val="0A7D6CA0"/>
    <w:rsid w:val="0A91410C"/>
    <w:rsid w:val="0A930601"/>
    <w:rsid w:val="0A9F4449"/>
    <w:rsid w:val="0AAB1C3E"/>
    <w:rsid w:val="0AAD6510"/>
    <w:rsid w:val="0AB03822"/>
    <w:rsid w:val="0AB511CC"/>
    <w:rsid w:val="0AD1042D"/>
    <w:rsid w:val="0AD211EC"/>
    <w:rsid w:val="0AD52C15"/>
    <w:rsid w:val="0AD55E09"/>
    <w:rsid w:val="0AFF7223"/>
    <w:rsid w:val="0B03303B"/>
    <w:rsid w:val="0B177AE4"/>
    <w:rsid w:val="0B1E1622"/>
    <w:rsid w:val="0B1E4234"/>
    <w:rsid w:val="0B210FF4"/>
    <w:rsid w:val="0B214EC8"/>
    <w:rsid w:val="0B4C4CA4"/>
    <w:rsid w:val="0B4C67B5"/>
    <w:rsid w:val="0B5625FF"/>
    <w:rsid w:val="0B5C0F89"/>
    <w:rsid w:val="0B5C2E5A"/>
    <w:rsid w:val="0B671C59"/>
    <w:rsid w:val="0B6A2060"/>
    <w:rsid w:val="0B6D7F8B"/>
    <w:rsid w:val="0B7456C3"/>
    <w:rsid w:val="0B825193"/>
    <w:rsid w:val="0B8437E7"/>
    <w:rsid w:val="0B844680"/>
    <w:rsid w:val="0B8D3582"/>
    <w:rsid w:val="0B9B252E"/>
    <w:rsid w:val="0BA86BCF"/>
    <w:rsid w:val="0BC504C7"/>
    <w:rsid w:val="0BC52D14"/>
    <w:rsid w:val="0BC6680E"/>
    <w:rsid w:val="0BD15A0C"/>
    <w:rsid w:val="0BD506F4"/>
    <w:rsid w:val="0BD654CD"/>
    <w:rsid w:val="0BE74C1A"/>
    <w:rsid w:val="0BEF058D"/>
    <w:rsid w:val="0BFB2986"/>
    <w:rsid w:val="0BFD70B9"/>
    <w:rsid w:val="0C010F49"/>
    <w:rsid w:val="0C0254AB"/>
    <w:rsid w:val="0C0517F8"/>
    <w:rsid w:val="0C0C7624"/>
    <w:rsid w:val="0C354CA2"/>
    <w:rsid w:val="0C3A499F"/>
    <w:rsid w:val="0C3C1277"/>
    <w:rsid w:val="0C3F652C"/>
    <w:rsid w:val="0C5B1651"/>
    <w:rsid w:val="0C6A2581"/>
    <w:rsid w:val="0C6C1A7E"/>
    <w:rsid w:val="0C7E1018"/>
    <w:rsid w:val="0C7F2301"/>
    <w:rsid w:val="0C7F6489"/>
    <w:rsid w:val="0C815E9E"/>
    <w:rsid w:val="0C981DBF"/>
    <w:rsid w:val="0C984295"/>
    <w:rsid w:val="0CAE3418"/>
    <w:rsid w:val="0CBB578A"/>
    <w:rsid w:val="0CD342C0"/>
    <w:rsid w:val="0CD636EC"/>
    <w:rsid w:val="0CE72916"/>
    <w:rsid w:val="0CF7154E"/>
    <w:rsid w:val="0D0F45AD"/>
    <w:rsid w:val="0D2248EA"/>
    <w:rsid w:val="0D251BFC"/>
    <w:rsid w:val="0D347865"/>
    <w:rsid w:val="0D3A4CFC"/>
    <w:rsid w:val="0D3F0D33"/>
    <w:rsid w:val="0D401645"/>
    <w:rsid w:val="0D49074A"/>
    <w:rsid w:val="0D5C24F9"/>
    <w:rsid w:val="0D6F127E"/>
    <w:rsid w:val="0D777DEE"/>
    <w:rsid w:val="0D78660A"/>
    <w:rsid w:val="0D794AB7"/>
    <w:rsid w:val="0D7B7804"/>
    <w:rsid w:val="0D8205BD"/>
    <w:rsid w:val="0D8633C7"/>
    <w:rsid w:val="0D8E2736"/>
    <w:rsid w:val="0D9C6CDB"/>
    <w:rsid w:val="0DAE7784"/>
    <w:rsid w:val="0DB86A13"/>
    <w:rsid w:val="0DBB3214"/>
    <w:rsid w:val="0DC71A36"/>
    <w:rsid w:val="0DCB220A"/>
    <w:rsid w:val="0DCE63A1"/>
    <w:rsid w:val="0DE30F5D"/>
    <w:rsid w:val="0DF70178"/>
    <w:rsid w:val="0E014504"/>
    <w:rsid w:val="0E1171EA"/>
    <w:rsid w:val="0E176264"/>
    <w:rsid w:val="0E1D4E84"/>
    <w:rsid w:val="0E3C04AA"/>
    <w:rsid w:val="0E4168D4"/>
    <w:rsid w:val="0E44065A"/>
    <w:rsid w:val="0E486F1E"/>
    <w:rsid w:val="0E4A6C28"/>
    <w:rsid w:val="0E4D0134"/>
    <w:rsid w:val="0E50142D"/>
    <w:rsid w:val="0E65495E"/>
    <w:rsid w:val="0E6F26FB"/>
    <w:rsid w:val="0E740ECE"/>
    <w:rsid w:val="0E7C070E"/>
    <w:rsid w:val="0E7D4BB9"/>
    <w:rsid w:val="0E836F21"/>
    <w:rsid w:val="0E85455D"/>
    <w:rsid w:val="0E913E6E"/>
    <w:rsid w:val="0E973A69"/>
    <w:rsid w:val="0E981D86"/>
    <w:rsid w:val="0E9822E8"/>
    <w:rsid w:val="0E997FE5"/>
    <w:rsid w:val="0E9F5CF3"/>
    <w:rsid w:val="0EA65EF1"/>
    <w:rsid w:val="0EAB581F"/>
    <w:rsid w:val="0EB01965"/>
    <w:rsid w:val="0EB633D9"/>
    <w:rsid w:val="0EBC4089"/>
    <w:rsid w:val="0EC224D5"/>
    <w:rsid w:val="0EC40DCA"/>
    <w:rsid w:val="0EC55BF5"/>
    <w:rsid w:val="0ED25BA6"/>
    <w:rsid w:val="0ED472D6"/>
    <w:rsid w:val="0EDF4E7C"/>
    <w:rsid w:val="0EDF78EC"/>
    <w:rsid w:val="0EE44596"/>
    <w:rsid w:val="0EF04C39"/>
    <w:rsid w:val="0EF331DC"/>
    <w:rsid w:val="0F23590D"/>
    <w:rsid w:val="0F2C41CE"/>
    <w:rsid w:val="0F3B100B"/>
    <w:rsid w:val="0F413A6B"/>
    <w:rsid w:val="0F511440"/>
    <w:rsid w:val="0F597D2B"/>
    <w:rsid w:val="0F6B69E6"/>
    <w:rsid w:val="0F6D453B"/>
    <w:rsid w:val="0F700740"/>
    <w:rsid w:val="0F784778"/>
    <w:rsid w:val="0F810E9F"/>
    <w:rsid w:val="0F89215E"/>
    <w:rsid w:val="0F9C4063"/>
    <w:rsid w:val="0FAB1E67"/>
    <w:rsid w:val="0FB77A13"/>
    <w:rsid w:val="0FBC57C0"/>
    <w:rsid w:val="0FBD7320"/>
    <w:rsid w:val="0FBE40CD"/>
    <w:rsid w:val="0FC47161"/>
    <w:rsid w:val="0FCC07F4"/>
    <w:rsid w:val="0FCE48F6"/>
    <w:rsid w:val="0FD6408A"/>
    <w:rsid w:val="0FDD7C8F"/>
    <w:rsid w:val="0FE25E26"/>
    <w:rsid w:val="0FF124F0"/>
    <w:rsid w:val="0FF27C75"/>
    <w:rsid w:val="0FF51B44"/>
    <w:rsid w:val="0FFA769E"/>
    <w:rsid w:val="0FFD3763"/>
    <w:rsid w:val="0FFD7E18"/>
    <w:rsid w:val="0FFE2D95"/>
    <w:rsid w:val="100A2A84"/>
    <w:rsid w:val="1015521C"/>
    <w:rsid w:val="10190390"/>
    <w:rsid w:val="1024738C"/>
    <w:rsid w:val="103074A4"/>
    <w:rsid w:val="103E26EE"/>
    <w:rsid w:val="10421258"/>
    <w:rsid w:val="104E2DB8"/>
    <w:rsid w:val="105F615E"/>
    <w:rsid w:val="10697481"/>
    <w:rsid w:val="10761009"/>
    <w:rsid w:val="10784A30"/>
    <w:rsid w:val="107E1D28"/>
    <w:rsid w:val="109346BA"/>
    <w:rsid w:val="109C27AC"/>
    <w:rsid w:val="109D07D5"/>
    <w:rsid w:val="109E2499"/>
    <w:rsid w:val="10A06CF9"/>
    <w:rsid w:val="10A35CFB"/>
    <w:rsid w:val="10A926B4"/>
    <w:rsid w:val="10A96B8F"/>
    <w:rsid w:val="10AA73F0"/>
    <w:rsid w:val="10B56169"/>
    <w:rsid w:val="10B64C68"/>
    <w:rsid w:val="10C53C9A"/>
    <w:rsid w:val="10D67C00"/>
    <w:rsid w:val="10DF46E6"/>
    <w:rsid w:val="10F16032"/>
    <w:rsid w:val="10F36698"/>
    <w:rsid w:val="10F555B9"/>
    <w:rsid w:val="110847AA"/>
    <w:rsid w:val="11093E8E"/>
    <w:rsid w:val="11094750"/>
    <w:rsid w:val="110B0C32"/>
    <w:rsid w:val="110E0640"/>
    <w:rsid w:val="110E22B2"/>
    <w:rsid w:val="11166585"/>
    <w:rsid w:val="11252757"/>
    <w:rsid w:val="11381078"/>
    <w:rsid w:val="113832BD"/>
    <w:rsid w:val="1138366C"/>
    <w:rsid w:val="11386B92"/>
    <w:rsid w:val="1142142D"/>
    <w:rsid w:val="115619BD"/>
    <w:rsid w:val="11657599"/>
    <w:rsid w:val="1182367E"/>
    <w:rsid w:val="118F20F0"/>
    <w:rsid w:val="1192720B"/>
    <w:rsid w:val="119435B6"/>
    <w:rsid w:val="11AA141F"/>
    <w:rsid w:val="11AB3608"/>
    <w:rsid w:val="11B36E5C"/>
    <w:rsid w:val="11B63D10"/>
    <w:rsid w:val="11C03964"/>
    <w:rsid w:val="11C67F9C"/>
    <w:rsid w:val="11CA0EC8"/>
    <w:rsid w:val="11D06FB5"/>
    <w:rsid w:val="11D61453"/>
    <w:rsid w:val="11DF7916"/>
    <w:rsid w:val="11E85055"/>
    <w:rsid w:val="11EB0245"/>
    <w:rsid w:val="11EB03E8"/>
    <w:rsid w:val="11F35B9A"/>
    <w:rsid w:val="11FC5539"/>
    <w:rsid w:val="12060AC1"/>
    <w:rsid w:val="121D6A8E"/>
    <w:rsid w:val="12247759"/>
    <w:rsid w:val="122A0EC2"/>
    <w:rsid w:val="122A14A8"/>
    <w:rsid w:val="122A6356"/>
    <w:rsid w:val="122F70E6"/>
    <w:rsid w:val="12353A38"/>
    <w:rsid w:val="12454595"/>
    <w:rsid w:val="124555A0"/>
    <w:rsid w:val="124F6BF8"/>
    <w:rsid w:val="12527B47"/>
    <w:rsid w:val="125604F3"/>
    <w:rsid w:val="125F5D8E"/>
    <w:rsid w:val="12727DA6"/>
    <w:rsid w:val="12731475"/>
    <w:rsid w:val="12831FD8"/>
    <w:rsid w:val="12921E76"/>
    <w:rsid w:val="129272BC"/>
    <w:rsid w:val="12937E56"/>
    <w:rsid w:val="129505BC"/>
    <w:rsid w:val="129A23CF"/>
    <w:rsid w:val="129F7FD1"/>
    <w:rsid w:val="12A05C8E"/>
    <w:rsid w:val="12A637B6"/>
    <w:rsid w:val="12A721AB"/>
    <w:rsid w:val="12A9508B"/>
    <w:rsid w:val="12AA3981"/>
    <w:rsid w:val="12B07FF7"/>
    <w:rsid w:val="12B84F0D"/>
    <w:rsid w:val="12C059DF"/>
    <w:rsid w:val="12C119AD"/>
    <w:rsid w:val="12C52FCD"/>
    <w:rsid w:val="12D2740C"/>
    <w:rsid w:val="12E61FC8"/>
    <w:rsid w:val="12EF12CC"/>
    <w:rsid w:val="12F50B90"/>
    <w:rsid w:val="12FC3C3E"/>
    <w:rsid w:val="130100E0"/>
    <w:rsid w:val="13025D0D"/>
    <w:rsid w:val="13096F29"/>
    <w:rsid w:val="131C13A9"/>
    <w:rsid w:val="132847E3"/>
    <w:rsid w:val="133E5DF7"/>
    <w:rsid w:val="134C2116"/>
    <w:rsid w:val="13521337"/>
    <w:rsid w:val="13592639"/>
    <w:rsid w:val="135F6DFD"/>
    <w:rsid w:val="13676827"/>
    <w:rsid w:val="137048DF"/>
    <w:rsid w:val="137B4C85"/>
    <w:rsid w:val="137F60C1"/>
    <w:rsid w:val="138A1E9B"/>
    <w:rsid w:val="138D1F7C"/>
    <w:rsid w:val="13957A8B"/>
    <w:rsid w:val="1399374C"/>
    <w:rsid w:val="139C5EE1"/>
    <w:rsid w:val="139D681F"/>
    <w:rsid w:val="139F09FA"/>
    <w:rsid w:val="13A17846"/>
    <w:rsid w:val="13A609E7"/>
    <w:rsid w:val="13AD4474"/>
    <w:rsid w:val="13B1147D"/>
    <w:rsid w:val="13B4698A"/>
    <w:rsid w:val="13BD019D"/>
    <w:rsid w:val="13CE63E6"/>
    <w:rsid w:val="13D32EAA"/>
    <w:rsid w:val="13E21CD1"/>
    <w:rsid w:val="13E342D2"/>
    <w:rsid w:val="13E346E1"/>
    <w:rsid w:val="13E5193C"/>
    <w:rsid w:val="13E57A43"/>
    <w:rsid w:val="13FC3E5D"/>
    <w:rsid w:val="14047949"/>
    <w:rsid w:val="140719E6"/>
    <w:rsid w:val="14093A6F"/>
    <w:rsid w:val="14266D5F"/>
    <w:rsid w:val="142733EA"/>
    <w:rsid w:val="145A1D34"/>
    <w:rsid w:val="146042B9"/>
    <w:rsid w:val="14604F96"/>
    <w:rsid w:val="14634C74"/>
    <w:rsid w:val="14656774"/>
    <w:rsid w:val="14762D0E"/>
    <w:rsid w:val="147809E1"/>
    <w:rsid w:val="149A22F6"/>
    <w:rsid w:val="149D1367"/>
    <w:rsid w:val="149E0BD6"/>
    <w:rsid w:val="149F0103"/>
    <w:rsid w:val="14A6546F"/>
    <w:rsid w:val="14B41CB6"/>
    <w:rsid w:val="14BB16C1"/>
    <w:rsid w:val="14BC76E5"/>
    <w:rsid w:val="14BF4344"/>
    <w:rsid w:val="14C352AB"/>
    <w:rsid w:val="14C43015"/>
    <w:rsid w:val="14C72E33"/>
    <w:rsid w:val="14D14737"/>
    <w:rsid w:val="14DB56EA"/>
    <w:rsid w:val="14DD64AD"/>
    <w:rsid w:val="14E1675A"/>
    <w:rsid w:val="14E243FA"/>
    <w:rsid w:val="14E97F73"/>
    <w:rsid w:val="15000605"/>
    <w:rsid w:val="15186E7A"/>
    <w:rsid w:val="151A2CDD"/>
    <w:rsid w:val="151D5AB3"/>
    <w:rsid w:val="152B59BE"/>
    <w:rsid w:val="153C0833"/>
    <w:rsid w:val="154A78EE"/>
    <w:rsid w:val="155852D1"/>
    <w:rsid w:val="155C4C28"/>
    <w:rsid w:val="155D389D"/>
    <w:rsid w:val="156241AD"/>
    <w:rsid w:val="156E7678"/>
    <w:rsid w:val="157F5F3D"/>
    <w:rsid w:val="159A3460"/>
    <w:rsid w:val="15A518E9"/>
    <w:rsid w:val="15B266E7"/>
    <w:rsid w:val="15BD6D37"/>
    <w:rsid w:val="15C1546A"/>
    <w:rsid w:val="15CB1A43"/>
    <w:rsid w:val="15D2294C"/>
    <w:rsid w:val="15D95D02"/>
    <w:rsid w:val="15DE0CCC"/>
    <w:rsid w:val="15DE48AA"/>
    <w:rsid w:val="15E1693C"/>
    <w:rsid w:val="15F076A6"/>
    <w:rsid w:val="15F647D0"/>
    <w:rsid w:val="1600660E"/>
    <w:rsid w:val="161A12E7"/>
    <w:rsid w:val="161B6920"/>
    <w:rsid w:val="16223B81"/>
    <w:rsid w:val="16270BED"/>
    <w:rsid w:val="162E0482"/>
    <w:rsid w:val="16303C30"/>
    <w:rsid w:val="1645537C"/>
    <w:rsid w:val="165D0B20"/>
    <w:rsid w:val="165F29AD"/>
    <w:rsid w:val="16717134"/>
    <w:rsid w:val="16773DA9"/>
    <w:rsid w:val="16783169"/>
    <w:rsid w:val="167F185A"/>
    <w:rsid w:val="16833D6B"/>
    <w:rsid w:val="168827BB"/>
    <w:rsid w:val="16884A5B"/>
    <w:rsid w:val="168855BC"/>
    <w:rsid w:val="168E4861"/>
    <w:rsid w:val="16962C45"/>
    <w:rsid w:val="169D633A"/>
    <w:rsid w:val="16AF52BC"/>
    <w:rsid w:val="16C23278"/>
    <w:rsid w:val="16C3321D"/>
    <w:rsid w:val="16CA18BE"/>
    <w:rsid w:val="16CC407C"/>
    <w:rsid w:val="16D30710"/>
    <w:rsid w:val="16DE5DCD"/>
    <w:rsid w:val="16E3612D"/>
    <w:rsid w:val="16F57D88"/>
    <w:rsid w:val="1701270F"/>
    <w:rsid w:val="17190EAD"/>
    <w:rsid w:val="17233957"/>
    <w:rsid w:val="17257E6A"/>
    <w:rsid w:val="172B0CA4"/>
    <w:rsid w:val="172B431A"/>
    <w:rsid w:val="172D25D1"/>
    <w:rsid w:val="173C4F5C"/>
    <w:rsid w:val="173C59CD"/>
    <w:rsid w:val="173C6D9B"/>
    <w:rsid w:val="17504B00"/>
    <w:rsid w:val="17533F7B"/>
    <w:rsid w:val="17555A33"/>
    <w:rsid w:val="175D7DCB"/>
    <w:rsid w:val="176E37C0"/>
    <w:rsid w:val="176F63F4"/>
    <w:rsid w:val="177D585E"/>
    <w:rsid w:val="177D764E"/>
    <w:rsid w:val="17814641"/>
    <w:rsid w:val="178733D8"/>
    <w:rsid w:val="17972B28"/>
    <w:rsid w:val="17A34DC3"/>
    <w:rsid w:val="17AC2CDF"/>
    <w:rsid w:val="17BE5764"/>
    <w:rsid w:val="17C02955"/>
    <w:rsid w:val="17D0765E"/>
    <w:rsid w:val="17E1659F"/>
    <w:rsid w:val="17F75EA0"/>
    <w:rsid w:val="17F83137"/>
    <w:rsid w:val="180954C1"/>
    <w:rsid w:val="1816284D"/>
    <w:rsid w:val="181B2821"/>
    <w:rsid w:val="181D5806"/>
    <w:rsid w:val="1824493C"/>
    <w:rsid w:val="18284F0C"/>
    <w:rsid w:val="18295AD9"/>
    <w:rsid w:val="182C3E2A"/>
    <w:rsid w:val="183930B0"/>
    <w:rsid w:val="183A3546"/>
    <w:rsid w:val="183F0EA9"/>
    <w:rsid w:val="184A7867"/>
    <w:rsid w:val="185871DF"/>
    <w:rsid w:val="185E49B4"/>
    <w:rsid w:val="18626AF6"/>
    <w:rsid w:val="18810459"/>
    <w:rsid w:val="18950F85"/>
    <w:rsid w:val="189917C4"/>
    <w:rsid w:val="18A53A61"/>
    <w:rsid w:val="18A57935"/>
    <w:rsid w:val="18B12020"/>
    <w:rsid w:val="18B262F7"/>
    <w:rsid w:val="18C45EB5"/>
    <w:rsid w:val="18D636B0"/>
    <w:rsid w:val="18DA686A"/>
    <w:rsid w:val="18DE4004"/>
    <w:rsid w:val="18E263FE"/>
    <w:rsid w:val="18E26B60"/>
    <w:rsid w:val="18E36A88"/>
    <w:rsid w:val="18E43848"/>
    <w:rsid w:val="18EF6F6A"/>
    <w:rsid w:val="19101703"/>
    <w:rsid w:val="192155E5"/>
    <w:rsid w:val="192447C5"/>
    <w:rsid w:val="193819F6"/>
    <w:rsid w:val="19385F26"/>
    <w:rsid w:val="19424962"/>
    <w:rsid w:val="19443B37"/>
    <w:rsid w:val="19447ACE"/>
    <w:rsid w:val="19465F9E"/>
    <w:rsid w:val="19501C54"/>
    <w:rsid w:val="195A51EA"/>
    <w:rsid w:val="195E486D"/>
    <w:rsid w:val="1963665A"/>
    <w:rsid w:val="196426B1"/>
    <w:rsid w:val="196569EA"/>
    <w:rsid w:val="198A0B2E"/>
    <w:rsid w:val="198E0DEF"/>
    <w:rsid w:val="198E36B4"/>
    <w:rsid w:val="19945392"/>
    <w:rsid w:val="19950B90"/>
    <w:rsid w:val="199969C7"/>
    <w:rsid w:val="19B22870"/>
    <w:rsid w:val="19C40F6B"/>
    <w:rsid w:val="19C66F6C"/>
    <w:rsid w:val="19DC46BF"/>
    <w:rsid w:val="19DE2365"/>
    <w:rsid w:val="19E06EFC"/>
    <w:rsid w:val="19EA439C"/>
    <w:rsid w:val="19F8661C"/>
    <w:rsid w:val="19FA5C8A"/>
    <w:rsid w:val="1A027EDB"/>
    <w:rsid w:val="1A107549"/>
    <w:rsid w:val="1A1663D4"/>
    <w:rsid w:val="1A263FDE"/>
    <w:rsid w:val="1A2F2A5E"/>
    <w:rsid w:val="1A402A83"/>
    <w:rsid w:val="1A412A5F"/>
    <w:rsid w:val="1A587316"/>
    <w:rsid w:val="1A671C93"/>
    <w:rsid w:val="1A6F695E"/>
    <w:rsid w:val="1A78055F"/>
    <w:rsid w:val="1A7973D1"/>
    <w:rsid w:val="1A7C5B0B"/>
    <w:rsid w:val="1A95602B"/>
    <w:rsid w:val="1A992AA9"/>
    <w:rsid w:val="1A9B372A"/>
    <w:rsid w:val="1AA55B7F"/>
    <w:rsid w:val="1AAE178F"/>
    <w:rsid w:val="1AB25285"/>
    <w:rsid w:val="1ABD5800"/>
    <w:rsid w:val="1AF81775"/>
    <w:rsid w:val="1AFD16E0"/>
    <w:rsid w:val="1AFE56C7"/>
    <w:rsid w:val="1B3237B5"/>
    <w:rsid w:val="1B32716B"/>
    <w:rsid w:val="1B4972A7"/>
    <w:rsid w:val="1B511989"/>
    <w:rsid w:val="1B5418FE"/>
    <w:rsid w:val="1B666609"/>
    <w:rsid w:val="1B796187"/>
    <w:rsid w:val="1B8841DE"/>
    <w:rsid w:val="1B9502FC"/>
    <w:rsid w:val="1B98518A"/>
    <w:rsid w:val="1BA15FE4"/>
    <w:rsid w:val="1BA42378"/>
    <w:rsid w:val="1BA61A06"/>
    <w:rsid w:val="1BA957E2"/>
    <w:rsid w:val="1BB1659A"/>
    <w:rsid w:val="1BB64B12"/>
    <w:rsid w:val="1BDF0CB3"/>
    <w:rsid w:val="1BE60593"/>
    <w:rsid w:val="1BE81287"/>
    <w:rsid w:val="1BF3115B"/>
    <w:rsid w:val="1BF76A7A"/>
    <w:rsid w:val="1BF93BFC"/>
    <w:rsid w:val="1C0D362D"/>
    <w:rsid w:val="1C121A3A"/>
    <w:rsid w:val="1C167667"/>
    <w:rsid w:val="1C266E97"/>
    <w:rsid w:val="1C2B2DDB"/>
    <w:rsid w:val="1C300581"/>
    <w:rsid w:val="1C321D73"/>
    <w:rsid w:val="1C3B3467"/>
    <w:rsid w:val="1C413C84"/>
    <w:rsid w:val="1C4224CA"/>
    <w:rsid w:val="1C43089F"/>
    <w:rsid w:val="1C486B9A"/>
    <w:rsid w:val="1C4A36C8"/>
    <w:rsid w:val="1C570DDB"/>
    <w:rsid w:val="1C6A6813"/>
    <w:rsid w:val="1C8E42F9"/>
    <w:rsid w:val="1CA31D49"/>
    <w:rsid w:val="1CAE3FF4"/>
    <w:rsid w:val="1CB00001"/>
    <w:rsid w:val="1CBD4F58"/>
    <w:rsid w:val="1CCE4D04"/>
    <w:rsid w:val="1CD65C5D"/>
    <w:rsid w:val="1CE10CB1"/>
    <w:rsid w:val="1CE17219"/>
    <w:rsid w:val="1CE654FE"/>
    <w:rsid w:val="1CE90CEC"/>
    <w:rsid w:val="1CF7183B"/>
    <w:rsid w:val="1CFC7CE7"/>
    <w:rsid w:val="1D0A638B"/>
    <w:rsid w:val="1D0F2537"/>
    <w:rsid w:val="1D1640DC"/>
    <w:rsid w:val="1D1E1666"/>
    <w:rsid w:val="1D2364DF"/>
    <w:rsid w:val="1D260219"/>
    <w:rsid w:val="1D4A1CE0"/>
    <w:rsid w:val="1D4F1B96"/>
    <w:rsid w:val="1D64043C"/>
    <w:rsid w:val="1D6B214C"/>
    <w:rsid w:val="1D6B7DFA"/>
    <w:rsid w:val="1D6D0733"/>
    <w:rsid w:val="1D7B10C7"/>
    <w:rsid w:val="1D812265"/>
    <w:rsid w:val="1D8704DB"/>
    <w:rsid w:val="1D8D1FD3"/>
    <w:rsid w:val="1D941AC7"/>
    <w:rsid w:val="1D987CBA"/>
    <w:rsid w:val="1D9C098F"/>
    <w:rsid w:val="1D9C5FC4"/>
    <w:rsid w:val="1DA100CA"/>
    <w:rsid w:val="1DAA1F7E"/>
    <w:rsid w:val="1DBB675A"/>
    <w:rsid w:val="1DBD2F9A"/>
    <w:rsid w:val="1DC0455E"/>
    <w:rsid w:val="1DC22763"/>
    <w:rsid w:val="1DCE3FFE"/>
    <w:rsid w:val="1DD832F6"/>
    <w:rsid w:val="1DD83933"/>
    <w:rsid w:val="1DDB45A9"/>
    <w:rsid w:val="1DE70C5B"/>
    <w:rsid w:val="1DE73511"/>
    <w:rsid w:val="1DF94C86"/>
    <w:rsid w:val="1E0B50F4"/>
    <w:rsid w:val="1E102152"/>
    <w:rsid w:val="1E1D38F7"/>
    <w:rsid w:val="1E283E02"/>
    <w:rsid w:val="1E460348"/>
    <w:rsid w:val="1E4A29F5"/>
    <w:rsid w:val="1E516D5B"/>
    <w:rsid w:val="1E52442C"/>
    <w:rsid w:val="1E644095"/>
    <w:rsid w:val="1E7A27EB"/>
    <w:rsid w:val="1E7E3792"/>
    <w:rsid w:val="1E834016"/>
    <w:rsid w:val="1E886A65"/>
    <w:rsid w:val="1EA255E0"/>
    <w:rsid w:val="1EA87ECC"/>
    <w:rsid w:val="1EA94235"/>
    <w:rsid w:val="1EAF3C67"/>
    <w:rsid w:val="1EC633BA"/>
    <w:rsid w:val="1EE259DB"/>
    <w:rsid w:val="1EE4183B"/>
    <w:rsid w:val="1EE75A1B"/>
    <w:rsid w:val="1EF20D52"/>
    <w:rsid w:val="1F112940"/>
    <w:rsid w:val="1F200118"/>
    <w:rsid w:val="1F275E44"/>
    <w:rsid w:val="1F2968FE"/>
    <w:rsid w:val="1F3233D2"/>
    <w:rsid w:val="1F346147"/>
    <w:rsid w:val="1F3A5D79"/>
    <w:rsid w:val="1F473ECD"/>
    <w:rsid w:val="1F61582F"/>
    <w:rsid w:val="1F6571E7"/>
    <w:rsid w:val="1F6F453F"/>
    <w:rsid w:val="1F7B1D02"/>
    <w:rsid w:val="1F7C2C50"/>
    <w:rsid w:val="1F972CE6"/>
    <w:rsid w:val="1F994EA3"/>
    <w:rsid w:val="1F9C32DD"/>
    <w:rsid w:val="1FBD6756"/>
    <w:rsid w:val="1FC3430B"/>
    <w:rsid w:val="1FC63586"/>
    <w:rsid w:val="1FE864AB"/>
    <w:rsid w:val="1FF354D1"/>
    <w:rsid w:val="1FFA7348"/>
    <w:rsid w:val="1FFC2901"/>
    <w:rsid w:val="1FFF2EF5"/>
    <w:rsid w:val="200529AD"/>
    <w:rsid w:val="20062098"/>
    <w:rsid w:val="200B5B4F"/>
    <w:rsid w:val="2018599A"/>
    <w:rsid w:val="202D110C"/>
    <w:rsid w:val="20325711"/>
    <w:rsid w:val="2033143A"/>
    <w:rsid w:val="203634F7"/>
    <w:rsid w:val="20471356"/>
    <w:rsid w:val="20594D80"/>
    <w:rsid w:val="205E4D68"/>
    <w:rsid w:val="206435D7"/>
    <w:rsid w:val="206D35F1"/>
    <w:rsid w:val="206D466F"/>
    <w:rsid w:val="206E723A"/>
    <w:rsid w:val="20702A7E"/>
    <w:rsid w:val="2071563A"/>
    <w:rsid w:val="2077713A"/>
    <w:rsid w:val="20787351"/>
    <w:rsid w:val="2079128E"/>
    <w:rsid w:val="208A5CA8"/>
    <w:rsid w:val="20A72B6F"/>
    <w:rsid w:val="20AA0ECB"/>
    <w:rsid w:val="20B36581"/>
    <w:rsid w:val="20B60893"/>
    <w:rsid w:val="20B66441"/>
    <w:rsid w:val="20B77B53"/>
    <w:rsid w:val="20BA2C6B"/>
    <w:rsid w:val="20BA463F"/>
    <w:rsid w:val="20BD1651"/>
    <w:rsid w:val="20BD1763"/>
    <w:rsid w:val="20BE5401"/>
    <w:rsid w:val="20BF6BA7"/>
    <w:rsid w:val="20C20828"/>
    <w:rsid w:val="20C330DB"/>
    <w:rsid w:val="20CC7A11"/>
    <w:rsid w:val="20D76576"/>
    <w:rsid w:val="20E223C4"/>
    <w:rsid w:val="20E536B6"/>
    <w:rsid w:val="20EF7AA3"/>
    <w:rsid w:val="20FA2DBA"/>
    <w:rsid w:val="21040F03"/>
    <w:rsid w:val="210752C6"/>
    <w:rsid w:val="210A1FC8"/>
    <w:rsid w:val="21111320"/>
    <w:rsid w:val="21150C97"/>
    <w:rsid w:val="212719AD"/>
    <w:rsid w:val="213A7BCB"/>
    <w:rsid w:val="214701FF"/>
    <w:rsid w:val="214A321C"/>
    <w:rsid w:val="214F69C3"/>
    <w:rsid w:val="21597BE7"/>
    <w:rsid w:val="21760F63"/>
    <w:rsid w:val="21832276"/>
    <w:rsid w:val="2188584E"/>
    <w:rsid w:val="21943617"/>
    <w:rsid w:val="219D5CF4"/>
    <w:rsid w:val="21D708FC"/>
    <w:rsid w:val="21E64786"/>
    <w:rsid w:val="21EC5D9B"/>
    <w:rsid w:val="21EC6AEC"/>
    <w:rsid w:val="21EE7310"/>
    <w:rsid w:val="21F962CD"/>
    <w:rsid w:val="22040412"/>
    <w:rsid w:val="22135B75"/>
    <w:rsid w:val="22226E2D"/>
    <w:rsid w:val="222C2F4E"/>
    <w:rsid w:val="222F68A5"/>
    <w:rsid w:val="223A1B30"/>
    <w:rsid w:val="223B0106"/>
    <w:rsid w:val="224047BF"/>
    <w:rsid w:val="22460F9B"/>
    <w:rsid w:val="225215FB"/>
    <w:rsid w:val="22682ABA"/>
    <w:rsid w:val="226D1E72"/>
    <w:rsid w:val="227475A2"/>
    <w:rsid w:val="227576FF"/>
    <w:rsid w:val="228618EC"/>
    <w:rsid w:val="228864DE"/>
    <w:rsid w:val="22AB2187"/>
    <w:rsid w:val="22AC6FBA"/>
    <w:rsid w:val="22AE5BAD"/>
    <w:rsid w:val="22AF4D88"/>
    <w:rsid w:val="22CD7AC4"/>
    <w:rsid w:val="22CE33D3"/>
    <w:rsid w:val="22D71C1D"/>
    <w:rsid w:val="22E14913"/>
    <w:rsid w:val="22E87812"/>
    <w:rsid w:val="22F61DC1"/>
    <w:rsid w:val="22F8048F"/>
    <w:rsid w:val="22F914EA"/>
    <w:rsid w:val="22FA40FC"/>
    <w:rsid w:val="23067F40"/>
    <w:rsid w:val="231430D2"/>
    <w:rsid w:val="231A4909"/>
    <w:rsid w:val="231D7CF3"/>
    <w:rsid w:val="231E592E"/>
    <w:rsid w:val="231E7BD2"/>
    <w:rsid w:val="2327191F"/>
    <w:rsid w:val="23273E23"/>
    <w:rsid w:val="232E371D"/>
    <w:rsid w:val="23384115"/>
    <w:rsid w:val="2347179E"/>
    <w:rsid w:val="23540162"/>
    <w:rsid w:val="235422BB"/>
    <w:rsid w:val="23603B5C"/>
    <w:rsid w:val="23704D42"/>
    <w:rsid w:val="23795955"/>
    <w:rsid w:val="237E1306"/>
    <w:rsid w:val="237F1759"/>
    <w:rsid w:val="23803936"/>
    <w:rsid w:val="238169E6"/>
    <w:rsid w:val="238925F8"/>
    <w:rsid w:val="23A00778"/>
    <w:rsid w:val="23A55874"/>
    <w:rsid w:val="23B86C1E"/>
    <w:rsid w:val="23C7201E"/>
    <w:rsid w:val="23CE2493"/>
    <w:rsid w:val="23E372C7"/>
    <w:rsid w:val="23F37570"/>
    <w:rsid w:val="23FF389D"/>
    <w:rsid w:val="24051444"/>
    <w:rsid w:val="24084291"/>
    <w:rsid w:val="240932EA"/>
    <w:rsid w:val="24164AB9"/>
    <w:rsid w:val="2422188D"/>
    <w:rsid w:val="24250EB0"/>
    <w:rsid w:val="242669EB"/>
    <w:rsid w:val="24275BFF"/>
    <w:rsid w:val="243144DD"/>
    <w:rsid w:val="24385779"/>
    <w:rsid w:val="2439048D"/>
    <w:rsid w:val="24390703"/>
    <w:rsid w:val="243D1B12"/>
    <w:rsid w:val="244467AE"/>
    <w:rsid w:val="244B06CE"/>
    <w:rsid w:val="24595C73"/>
    <w:rsid w:val="2462713B"/>
    <w:rsid w:val="24634BD4"/>
    <w:rsid w:val="246D4098"/>
    <w:rsid w:val="246F4775"/>
    <w:rsid w:val="24722BBA"/>
    <w:rsid w:val="247923A6"/>
    <w:rsid w:val="2482408A"/>
    <w:rsid w:val="24915DE6"/>
    <w:rsid w:val="24952391"/>
    <w:rsid w:val="24967284"/>
    <w:rsid w:val="249F3EE3"/>
    <w:rsid w:val="24A221EB"/>
    <w:rsid w:val="24A252AF"/>
    <w:rsid w:val="24B4024C"/>
    <w:rsid w:val="24B84316"/>
    <w:rsid w:val="24C16969"/>
    <w:rsid w:val="24C84772"/>
    <w:rsid w:val="24C94374"/>
    <w:rsid w:val="24D460A8"/>
    <w:rsid w:val="24D52451"/>
    <w:rsid w:val="24D80201"/>
    <w:rsid w:val="24D8566C"/>
    <w:rsid w:val="24EC3B78"/>
    <w:rsid w:val="24F133E8"/>
    <w:rsid w:val="24F471BD"/>
    <w:rsid w:val="24FC01F0"/>
    <w:rsid w:val="2500512F"/>
    <w:rsid w:val="251958FB"/>
    <w:rsid w:val="2524326C"/>
    <w:rsid w:val="25395CD6"/>
    <w:rsid w:val="253B090B"/>
    <w:rsid w:val="25467A6A"/>
    <w:rsid w:val="254D6D91"/>
    <w:rsid w:val="25575A0D"/>
    <w:rsid w:val="256A5217"/>
    <w:rsid w:val="257A56A1"/>
    <w:rsid w:val="257B0359"/>
    <w:rsid w:val="2581650E"/>
    <w:rsid w:val="259C3E27"/>
    <w:rsid w:val="25A434FE"/>
    <w:rsid w:val="25A612D4"/>
    <w:rsid w:val="25A76945"/>
    <w:rsid w:val="25AB1780"/>
    <w:rsid w:val="25AE2A70"/>
    <w:rsid w:val="25B071DC"/>
    <w:rsid w:val="25B21673"/>
    <w:rsid w:val="25B34B3F"/>
    <w:rsid w:val="25B97A00"/>
    <w:rsid w:val="25BB0565"/>
    <w:rsid w:val="25BC078D"/>
    <w:rsid w:val="25CE3F53"/>
    <w:rsid w:val="25F76A2E"/>
    <w:rsid w:val="25FF490E"/>
    <w:rsid w:val="26045BA5"/>
    <w:rsid w:val="2608147E"/>
    <w:rsid w:val="2616589F"/>
    <w:rsid w:val="261B1965"/>
    <w:rsid w:val="261D5681"/>
    <w:rsid w:val="261E1EAF"/>
    <w:rsid w:val="2622515D"/>
    <w:rsid w:val="263006FF"/>
    <w:rsid w:val="2632779F"/>
    <w:rsid w:val="26343C0E"/>
    <w:rsid w:val="263F46CF"/>
    <w:rsid w:val="2648160D"/>
    <w:rsid w:val="264D54A2"/>
    <w:rsid w:val="26546311"/>
    <w:rsid w:val="265970D6"/>
    <w:rsid w:val="266A7F06"/>
    <w:rsid w:val="2672473F"/>
    <w:rsid w:val="267270A9"/>
    <w:rsid w:val="267628A6"/>
    <w:rsid w:val="267642F1"/>
    <w:rsid w:val="267B53F0"/>
    <w:rsid w:val="267E0CF9"/>
    <w:rsid w:val="26930A96"/>
    <w:rsid w:val="26994EDC"/>
    <w:rsid w:val="26A154E9"/>
    <w:rsid w:val="26A250CF"/>
    <w:rsid w:val="26B600FB"/>
    <w:rsid w:val="26BC749F"/>
    <w:rsid w:val="26C65259"/>
    <w:rsid w:val="26D65B56"/>
    <w:rsid w:val="26DC3482"/>
    <w:rsid w:val="26E65B25"/>
    <w:rsid w:val="26E84D2B"/>
    <w:rsid w:val="26EC063F"/>
    <w:rsid w:val="27050675"/>
    <w:rsid w:val="2708144A"/>
    <w:rsid w:val="271040C1"/>
    <w:rsid w:val="27110DDA"/>
    <w:rsid w:val="27127E66"/>
    <w:rsid w:val="27195161"/>
    <w:rsid w:val="271C2021"/>
    <w:rsid w:val="272927CF"/>
    <w:rsid w:val="27385D11"/>
    <w:rsid w:val="274E7CB5"/>
    <w:rsid w:val="274F1F02"/>
    <w:rsid w:val="274F4827"/>
    <w:rsid w:val="27512E91"/>
    <w:rsid w:val="27630444"/>
    <w:rsid w:val="276F21FD"/>
    <w:rsid w:val="27727E31"/>
    <w:rsid w:val="27762FBF"/>
    <w:rsid w:val="278A5388"/>
    <w:rsid w:val="278C5C0D"/>
    <w:rsid w:val="279244D2"/>
    <w:rsid w:val="279B2893"/>
    <w:rsid w:val="279B7BA8"/>
    <w:rsid w:val="27A30394"/>
    <w:rsid w:val="27A54E69"/>
    <w:rsid w:val="27A650A2"/>
    <w:rsid w:val="27AB6A48"/>
    <w:rsid w:val="27B77192"/>
    <w:rsid w:val="27D36066"/>
    <w:rsid w:val="27D605AC"/>
    <w:rsid w:val="27D82D80"/>
    <w:rsid w:val="27D90366"/>
    <w:rsid w:val="27EA246C"/>
    <w:rsid w:val="27EC51D1"/>
    <w:rsid w:val="27F2052B"/>
    <w:rsid w:val="2800211B"/>
    <w:rsid w:val="280D010C"/>
    <w:rsid w:val="283748DE"/>
    <w:rsid w:val="2842661D"/>
    <w:rsid w:val="28461DD4"/>
    <w:rsid w:val="284A39DF"/>
    <w:rsid w:val="28592B32"/>
    <w:rsid w:val="285D0806"/>
    <w:rsid w:val="28640251"/>
    <w:rsid w:val="28682342"/>
    <w:rsid w:val="286F7AFC"/>
    <w:rsid w:val="28755C1C"/>
    <w:rsid w:val="28767569"/>
    <w:rsid w:val="287C5A7F"/>
    <w:rsid w:val="28994FB0"/>
    <w:rsid w:val="289F1006"/>
    <w:rsid w:val="28B231D5"/>
    <w:rsid w:val="28BC3ACC"/>
    <w:rsid w:val="28CD3212"/>
    <w:rsid w:val="28D215E5"/>
    <w:rsid w:val="28D8743F"/>
    <w:rsid w:val="28FA031C"/>
    <w:rsid w:val="28FB5098"/>
    <w:rsid w:val="28FC354A"/>
    <w:rsid w:val="290D6A87"/>
    <w:rsid w:val="290D6A89"/>
    <w:rsid w:val="29171209"/>
    <w:rsid w:val="291A7232"/>
    <w:rsid w:val="29206950"/>
    <w:rsid w:val="2923219A"/>
    <w:rsid w:val="29271D87"/>
    <w:rsid w:val="292C2CE7"/>
    <w:rsid w:val="294139AF"/>
    <w:rsid w:val="2943618E"/>
    <w:rsid w:val="29442273"/>
    <w:rsid w:val="294D0EDE"/>
    <w:rsid w:val="29524C95"/>
    <w:rsid w:val="29542371"/>
    <w:rsid w:val="295B4611"/>
    <w:rsid w:val="2966697A"/>
    <w:rsid w:val="296F2B78"/>
    <w:rsid w:val="297010F4"/>
    <w:rsid w:val="29741B2A"/>
    <w:rsid w:val="2975147B"/>
    <w:rsid w:val="297A02CA"/>
    <w:rsid w:val="297C42B2"/>
    <w:rsid w:val="2988011B"/>
    <w:rsid w:val="298A7624"/>
    <w:rsid w:val="29976295"/>
    <w:rsid w:val="29A1563D"/>
    <w:rsid w:val="29A65BB9"/>
    <w:rsid w:val="29AF672C"/>
    <w:rsid w:val="29B24A91"/>
    <w:rsid w:val="29C0237F"/>
    <w:rsid w:val="29C2645F"/>
    <w:rsid w:val="29C56187"/>
    <w:rsid w:val="29F93DD5"/>
    <w:rsid w:val="2A0030F5"/>
    <w:rsid w:val="2A007F4D"/>
    <w:rsid w:val="2A0506A0"/>
    <w:rsid w:val="2A0531B5"/>
    <w:rsid w:val="2A0565D5"/>
    <w:rsid w:val="2A065CAC"/>
    <w:rsid w:val="2A075FF1"/>
    <w:rsid w:val="2A0A0D9A"/>
    <w:rsid w:val="2A0E7FF9"/>
    <w:rsid w:val="2A0F0545"/>
    <w:rsid w:val="2A122F64"/>
    <w:rsid w:val="2A25266A"/>
    <w:rsid w:val="2A2811FA"/>
    <w:rsid w:val="2A2C2886"/>
    <w:rsid w:val="2A344036"/>
    <w:rsid w:val="2A4552C3"/>
    <w:rsid w:val="2A5305C7"/>
    <w:rsid w:val="2A615BBC"/>
    <w:rsid w:val="2A727492"/>
    <w:rsid w:val="2A756A71"/>
    <w:rsid w:val="2A7E0F37"/>
    <w:rsid w:val="2A8559E6"/>
    <w:rsid w:val="2A8F6F3F"/>
    <w:rsid w:val="2A901C2B"/>
    <w:rsid w:val="2A9F3C29"/>
    <w:rsid w:val="2AAE6795"/>
    <w:rsid w:val="2AB32CF4"/>
    <w:rsid w:val="2AB91FEA"/>
    <w:rsid w:val="2AD05C33"/>
    <w:rsid w:val="2AD267CC"/>
    <w:rsid w:val="2AE2161C"/>
    <w:rsid w:val="2AE9447E"/>
    <w:rsid w:val="2AF23A16"/>
    <w:rsid w:val="2B14781C"/>
    <w:rsid w:val="2B164C68"/>
    <w:rsid w:val="2B1D0329"/>
    <w:rsid w:val="2B1D7991"/>
    <w:rsid w:val="2B365002"/>
    <w:rsid w:val="2B3B6E94"/>
    <w:rsid w:val="2B435E63"/>
    <w:rsid w:val="2B4469C1"/>
    <w:rsid w:val="2B4F5B82"/>
    <w:rsid w:val="2B515A4F"/>
    <w:rsid w:val="2B570107"/>
    <w:rsid w:val="2B621BF5"/>
    <w:rsid w:val="2B630075"/>
    <w:rsid w:val="2B685155"/>
    <w:rsid w:val="2B692B5C"/>
    <w:rsid w:val="2B8F51B1"/>
    <w:rsid w:val="2B9D67E1"/>
    <w:rsid w:val="2B9F51DE"/>
    <w:rsid w:val="2BA33D69"/>
    <w:rsid w:val="2BA7398D"/>
    <w:rsid w:val="2BAC4459"/>
    <w:rsid w:val="2BB2781C"/>
    <w:rsid w:val="2BBD6854"/>
    <w:rsid w:val="2BBF3CF6"/>
    <w:rsid w:val="2BC8348A"/>
    <w:rsid w:val="2BD25B64"/>
    <w:rsid w:val="2BD66D4A"/>
    <w:rsid w:val="2BDD6532"/>
    <w:rsid w:val="2BDE16A6"/>
    <w:rsid w:val="2BF634B3"/>
    <w:rsid w:val="2BF65315"/>
    <w:rsid w:val="2BFE0842"/>
    <w:rsid w:val="2C0563DF"/>
    <w:rsid w:val="2C0B6B1A"/>
    <w:rsid w:val="2C0D771E"/>
    <w:rsid w:val="2C166875"/>
    <w:rsid w:val="2C197811"/>
    <w:rsid w:val="2C1C20B2"/>
    <w:rsid w:val="2C225E33"/>
    <w:rsid w:val="2C2C398B"/>
    <w:rsid w:val="2C2E43F5"/>
    <w:rsid w:val="2C2E5B5A"/>
    <w:rsid w:val="2C3063A5"/>
    <w:rsid w:val="2C422201"/>
    <w:rsid w:val="2C457A6B"/>
    <w:rsid w:val="2C4626FE"/>
    <w:rsid w:val="2C543547"/>
    <w:rsid w:val="2C6000BC"/>
    <w:rsid w:val="2C633505"/>
    <w:rsid w:val="2C7217DF"/>
    <w:rsid w:val="2C764BB0"/>
    <w:rsid w:val="2C7C732D"/>
    <w:rsid w:val="2C8E045B"/>
    <w:rsid w:val="2C9D2F6E"/>
    <w:rsid w:val="2CA028D8"/>
    <w:rsid w:val="2CA4032A"/>
    <w:rsid w:val="2CB2077D"/>
    <w:rsid w:val="2CB973C4"/>
    <w:rsid w:val="2CBE3E5B"/>
    <w:rsid w:val="2CBE5AD8"/>
    <w:rsid w:val="2CC327BE"/>
    <w:rsid w:val="2CCB06D5"/>
    <w:rsid w:val="2CD23AFF"/>
    <w:rsid w:val="2CD72DF0"/>
    <w:rsid w:val="2CE05000"/>
    <w:rsid w:val="2CF9552F"/>
    <w:rsid w:val="2CFE206D"/>
    <w:rsid w:val="2D08702F"/>
    <w:rsid w:val="2D093793"/>
    <w:rsid w:val="2D1233EE"/>
    <w:rsid w:val="2D3B1A61"/>
    <w:rsid w:val="2D4979AE"/>
    <w:rsid w:val="2D622606"/>
    <w:rsid w:val="2D733457"/>
    <w:rsid w:val="2D88553C"/>
    <w:rsid w:val="2D8957F2"/>
    <w:rsid w:val="2D8E39EF"/>
    <w:rsid w:val="2D917DB2"/>
    <w:rsid w:val="2D93041F"/>
    <w:rsid w:val="2DAD145A"/>
    <w:rsid w:val="2DAE5947"/>
    <w:rsid w:val="2DB1787A"/>
    <w:rsid w:val="2DB753F1"/>
    <w:rsid w:val="2DC3563E"/>
    <w:rsid w:val="2DC8275F"/>
    <w:rsid w:val="2DCA67CB"/>
    <w:rsid w:val="2DDC38A4"/>
    <w:rsid w:val="2DDD39D0"/>
    <w:rsid w:val="2DDD402A"/>
    <w:rsid w:val="2DE8380B"/>
    <w:rsid w:val="2DFE338A"/>
    <w:rsid w:val="2E0D299D"/>
    <w:rsid w:val="2E115812"/>
    <w:rsid w:val="2E1E7826"/>
    <w:rsid w:val="2E2B45F6"/>
    <w:rsid w:val="2E317F3A"/>
    <w:rsid w:val="2E324646"/>
    <w:rsid w:val="2E357B89"/>
    <w:rsid w:val="2E3C6A58"/>
    <w:rsid w:val="2E491A04"/>
    <w:rsid w:val="2E4A062B"/>
    <w:rsid w:val="2E4C2DB0"/>
    <w:rsid w:val="2E503A6F"/>
    <w:rsid w:val="2E65509F"/>
    <w:rsid w:val="2E6B4307"/>
    <w:rsid w:val="2E7569C8"/>
    <w:rsid w:val="2E757257"/>
    <w:rsid w:val="2E887E60"/>
    <w:rsid w:val="2E8A51D9"/>
    <w:rsid w:val="2E9F5560"/>
    <w:rsid w:val="2EA32FC7"/>
    <w:rsid w:val="2EC34F02"/>
    <w:rsid w:val="2ED578E2"/>
    <w:rsid w:val="2EE3269E"/>
    <w:rsid w:val="2EE50876"/>
    <w:rsid w:val="2EEB2D22"/>
    <w:rsid w:val="2EEB508A"/>
    <w:rsid w:val="2EEF7A6B"/>
    <w:rsid w:val="2EF35C02"/>
    <w:rsid w:val="2EF37A30"/>
    <w:rsid w:val="2EFA351F"/>
    <w:rsid w:val="2EFC54CF"/>
    <w:rsid w:val="2F0C1936"/>
    <w:rsid w:val="2F0C22DF"/>
    <w:rsid w:val="2F0C6CC1"/>
    <w:rsid w:val="2F0F6299"/>
    <w:rsid w:val="2F1F5E73"/>
    <w:rsid w:val="2F297A0F"/>
    <w:rsid w:val="2F2D4335"/>
    <w:rsid w:val="2F2F3457"/>
    <w:rsid w:val="2F351401"/>
    <w:rsid w:val="2F36517B"/>
    <w:rsid w:val="2F374462"/>
    <w:rsid w:val="2F3A0746"/>
    <w:rsid w:val="2F4157CA"/>
    <w:rsid w:val="2F4F49C8"/>
    <w:rsid w:val="2F5E236A"/>
    <w:rsid w:val="2F7D6077"/>
    <w:rsid w:val="2F8750D7"/>
    <w:rsid w:val="2F890F26"/>
    <w:rsid w:val="2F892A83"/>
    <w:rsid w:val="2F914A98"/>
    <w:rsid w:val="2FAE0498"/>
    <w:rsid w:val="2FB7592E"/>
    <w:rsid w:val="2FBB3CC4"/>
    <w:rsid w:val="2FBD7037"/>
    <w:rsid w:val="2FBF1818"/>
    <w:rsid w:val="2FBF5DAF"/>
    <w:rsid w:val="2FC26C5C"/>
    <w:rsid w:val="2FC76584"/>
    <w:rsid w:val="2FD067F9"/>
    <w:rsid w:val="2FD43C00"/>
    <w:rsid w:val="2FD75F88"/>
    <w:rsid w:val="2FD927E4"/>
    <w:rsid w:val="2FDE7F5F"/>
    <w:rsid w:val="2FE30138"/>
    <w:rsid w:val="2FE93FB2"/>
    <w:rsid w:val="30067394"/>
    <w:rsid w:val="300866EE"/>
    <w:rsid w:val="30097368"/>
    <w:rsid w:val="300E2502"/>
    <w:rsid w:val="302225B6"/>
    <w:rsid w:val="30336BB7"/>
    <w:rsid w:val="303402FA"/>
    <w:rsid w:val="303438A9"/>
    <w:rsid w:val="304E5D9F"/>
    <w:rsid w:val="305020CD"/>
    <w:rsid w:val="30582162"/>
    <w:rsid w:val="305962BE"/>
    <w:rsid w:val="30621351"/>
    <w:rsid w:val="3066745B"/>
    <w:rsid w:val="306C0C44"/>
    <w:rsid w:val="3072406D"/>
    <w:rsid w:val="3079775E"/>
    <w:rsid w:val="307F501C"/>
    <w:rsid w:val="30831440"/>
    <w:rsid w:val="308F7952"/>
    <w:rsid w:val="3093575F"/>
    <w:rsid w:val="30962BE9"/>
    <w:rsid w:val="30B10D3B"/>
    <w:rsid w:val="30B635A8"/>
    <w:rsid w:val="30B95467"/>
    <w:rsid w:val="30BF7B47"/>
    <w:rsid w:val="30C107BB"/>
    <w:rsid w:val="30D40121"/>
    <w:rsid w:val="30DB0A08"/>
    <w:rsid w:val="30EE5F15"/>
    <w:rsid w:val="30FA7003"/>
    <w:rsid w:val="30FE742F"/>
    <w:rsid w:val="31003D11"/>
    <w:rsid w:val="310400D0"/>
    <w:rsid w:val="31101A10"/>
    <w:rsid w:val="31105362"/>
    <w:rsid w:val="31167642"/>
    <w:rsid w:val="311A50A9"/>
    <w:rsid w:val="311C6E8A"/>
    <w:rsid w:val="31337DED"/>
    <w:rsid w:val="31406FE3"/>
    <w:rsid w:val="31586037"/>
    <w:rsid w:val="315E5060"/>
    <w:rsid w:val="317A520D"/>
    <w:rsid w:val="31863CE6"/>
    <w:rsid w:val="3191467E"/>
    <w:rsid w:val="31915E58"/>
    <w:rsid w:val="31993333"/>
    <w:rsid w:val="31A67FFB"/>
    <w:rsid w:val="31B10FD7"/>
    <w:rsid w:val="31BC1074"/>
    <w:rsid w:val="31C07379"/>
    <w:rsid w:val="31CA37B5"/>
    <w:rsid w:val="31D74458"/>
    <w:rsid w:val="31D86C9C"/>
    <w:rsid w:val="31DD10CA"/>
    <w:rsid w:val="31DE4047"/>
    <w:rsid w:val="31E622F8"/>
    <w:rsid w:val="31E74B3F"/>
    <w:rsid w:val="31EB2FE1"/>
    <w:rsid w:val="31EB61D0"/>
    <w:rsid w:val="32045F7A"/>
    <w:rsid w:val="32154C9B"/>
    <w:rsid w:val="32350D48"/>
    <w:rsid w:val="323F2DBF"/>
    <w:rsid w:val="32414FEC"/>
    <w:rsid w:val="32457FC4"/>
    <w:rsid w:val="324D00E1"/>
    <w:rsid w:val="325A5918"/>
    <w:rsid w:val="325F7B08"/>
    <w:rsid w:val="326571C3"/>
    <w:rsid w:val="326671D7"/>
    <w:rsid w:val="3267043F"/>
    <w:rsid w:val="3273555E"/>
    <w:rsid w:val="327B4FB4"/>
    <w:rsid w:val="327E3E2B"/>
    <w:rsid w:val="32831646"/>
    <w:rsid w:val="32833846"/>
    <w:rsid w:val="328E1775"/>
    <w:rsid w:val="329C546E"/>
    <w:rsid w:val="32A900D9"/>
    <w:rsid w:val="32AB075E"/>
    <w:rsid w:val="32B67EA8"/>
    <w:rsid w:val="32CD6253"/>
    <w:rsid w:val="32DD3D03"/>
    <w:rsid w:val="32DF6972"/>
    <w:rsid w:val="32E12C59"/>
    <w:rsid w:val="32F0674A"/>
    <w:rsid w:val="330A2021"/>
    <w:rsid w:val="33145FBC"/>
    <w:rsid w:val="33186FE4"/>
    <w:rsid w:val="33222B35"/>
    <w:rsid w:val="332B40B2"/>
    <w:rsid w:val="332C690B"/>
    <w:rsid w:val="332D2637"/>
    <w:rsid w:val="33394A74"/>
    <w:rsid w:val="333E1EEE"/>
    <w:rsid w:val="335072D3"/>
    <w:rsid w:val="336E12FB"/>
    <w:rsid w:val="338334E0"/>
    <w:rsid w:val="3396429C"/>
    <w:rsid w:val="339A067B"/>
    <w:rsid w:val="339A1840"/>
    <w:rsid w:val="33A56B5C"/>
    <w:rsid w:val="33A6417A"/>
    <w:rsid w:val="33A71FBA"/>
    <w:rsid w:val="33A94F4C"/>
    <w:rsid w:val="33AB6A2B"/>
    <w:rsid w:val="33C70CDA"/>
    <w:rsid w:val="33E633F0"/>
    <w:rsid w:val="33ED7D27"/>
    <w:rsid w:val="33F82A12"/>
    <w:rsid w:val="33FB3647"/>
    <w:rsid w:val="34056D0A"/>
    <w:rsid w:val="34087F11"/>
    <w:rsid w:val="34164C19"/>
    <w:rsid w:val="34255290"/>
    <w:rsid w:val="34304091"/>
    <w:rsid w:val="34362C0A"/>
    <w:rsid w:val="34486194"/>
    <w:rsid w:val="344C7720"/>
    <w:rsid w:val="344F34FB"/>
    <w:rsid w:val="34550914"/>
    <w:rsid w:val="34555A90"/>
    <w:rsid w:val="346933EF"/>
    <w:rsid w:val="346C6F59"/>
    <w:rsid w:val="34706CD0"/>
    <w:rsid w:val="34881304"/>
    <w:rsid w:val="34930CC7"/>
    <w:rsid w:val="349F262A"/>
    <w:rsid w:val="34A32499"/>
    <w:rsid w:val="34B40FAF"/>
    <w:rsid w:val="34BF5566"/>
    <w:rsid w:val="34C208C3"/>
    <w:rsid w:val="34D32F61"/>
    <w:rsid w:val="34D7557B"/>
    <w:rsid w:val="34E22D79"/>
    <w:rsid w:val="34E4672C"/>
    <w:rsid w:val="34E478F6"/>
    <w:rsid w:val="34F25A3D"/>
    <w:rsid w:val="34F65429"/>
    <w:rsid w:val="350A0037"/>
    <w:rsid w:val="351D347B"/>
    <w:rsid w:val="352041E6"/>
    <w:rsid w:val="35236E85"/>
    <w:rsid w:val="35316ADD"/>
    <w:rsid w:val="353640EF"/>
    <w:rsid w:val="353651D0"/>
    <w:rsid w:val="353F2148"/>
    <w:rsid w:val="35430C24"/>
    <w:rsid w:val="35440D49"/>
    <w:rsid w:val="354A2942"/>
    <w:rsid w:val="35545073"/>
    <w:rsid w:val="356C3AF7"/>
    <w:rsid w:val="356D2A92"/>
    <w:rsid w:val="356E0822"/>
    <w:rsid w:val="356F70BE"/>
    <w:rsid w:val="35796219"/>
    <w:rsid w:val="357E4924"/>
    <w:rsid w:val="35884BC3"/>
    <w:rsid w:val="359B02ED"/>
    <w:rsid w:val="35A9795A"/>
    <w:rsid w:val="35AC2418"/>
    <w:rsid w:val="35AE1D1F"/>
    <w:rsid w:val="35B757CB"/>
    <w:rsid w:val="35C21836"/>
    <w:rsid w:val="35CA2236"/>
    <w:rsid w:val="35D903C5"/>
    <w:rsid w:val="35E30C82"/>
    <w:rsid w:val="35F11141"/>
    <w:rsid w:val="35F14768"/>
    <w:rsid w:val="36042ECA"/>
    <w:rsid w:val="36060737"/>
    <w:rsid w:val="36077B54"/>
    <w:rsid w:val="36207AC5"/>
    <w:rsid w:val="36272C9D"/>
    <w:rsid w:val="362B29F8"/>
    <w:rsid w:val="362E6997"/>
    <w:rsid w:val="36314450"/>
    <w:rsid w:val="36321FF8"/>
    <w:rsid w:val="363757EE"/>
    <w:rsid w:val="363A7105"/>
    <w:rsid w:val="363B221C"/>
    <w:rsid w:val="36444227"/>
    <w:rsid w:val="364748F2"/>
    <w:rsid w:val="36705D62"/>
    <w:rsid w:val="36711624"/>
    <w:rsid w:val="367162EC"/>
    <w:rsid w:val="36756EF5"/>
    <w:rsid w:val="36905601"/>
    <w:rsid w:val="36921F96"/>
    <w:rsid w:val="36965535"/>
    <w:rsid w:val="369D0EC6"/>
    <w:rsid w:val="36A3118C"/>
    <w:rsid w:val="36A856CC"/>
    <w:rsid w:val="36B22E6E"/>
    <w:rsid w:val="36B857E4"/>
    <w:rsid w:val="36B871E6"/>
    <w:rsid w:val="36BC4C4E"/>
    <w:rsid w:val="36C60C21"/>
    <w:rsid w:val="36C942C1"/>
    <w:rsid w:val="36D836A5"/>
    <w:rsid w:val="36D92F69"/>
    <w:rsid w:val="36E12AF9"/>
    <w:rsid w:val="36E531DA"/>
    <w:rsid w:val="36E57B09"/>
    <w:rsid w:val="3724157D"/>
    <w:rsid w:val="3734642A"/>
    <w:rsid w:val="373553B6"/>
    <w:rsid w:val="37356D35"/>
    <w:rsid w:val="373E4A93"/>
    <w:rsid w:val="37493A61"/>
    <w:rsid w:val="37575408"/>
    <w:rsid w:val="37596AF9"/>
    <w:rsid w:val="37645D5E"/>
    <w:rsid w:val="377045A5"/>
    <w:rsid w:val="377644C8"/>
    <w:rsid w:val="377A2FE2"/>
    <w:rsid w:val="37931D11"/>
    <w:rsid w:val="379716F7"/>
    <w:rsid w:val="379F49D5"/>
    <w:rsid w:val="37A32FBF"/>
    <w:rsid w:val="37A64CDE"/>
    <w:rsid w:val="37AD17D5"/>
    <w:rsid w:val="37B4396B"/>
    <w:rsid w:val="37B8715D"/>
    <w:rsid w:val="37BA328B"/>
    <w:rsid w:val="37D27ED7"/>
    <w:rsid w:val="37E11E05"/>
    <w:rsid w:val="37E33CA6"/>
    <w:rsid w:val="37E85E95"/>
    <w:rsid w:val="37EC5862"/>
    <w:rsid w:val="37F45447"/>
    <w:rsid w:val="37F747D6"/>
    <w:rsid w:val="37FD3E8B"/>
    <w:rsid w:val="38186634"/>
    <w:rsid w:val="38186965"/>
    <w:rsid w:val="381E48A0"/>
    <w:rsid w:val="3820363A"/>
    <w:rsid w:val="38281018"/>
    <w:rsid w:val="382B3D91"/>
    <w:rsid w:val="382D20F9"/>
    <w:rsid w:val="382E0700"/>
    <w:rsid w:val="385C1CFE"/>
    <w:rsid w:val="385F02D5"/>
    <w:rsid w:val="3867258C"/>
    <w:rsid w:val="38731364"/>
    <w:rsid w:val="387A4397"/>
    <w:rsid w:val="387D1B06"/>
    <w:rsid w:val="387D3ED4"/>
    <w:rsid w:val="38831870"/>
    <w:rsid w:val="38837174"/>
    <w:rsid w:val="388F5960"/>
    <w:rsid w:val="38A15C6B"/>
    <w:rsid w:val="38AA37B9"/>
    <w:rsid w:val="38BA23E6"/>
    <w:rsid w:val="38C37C42"/>
    <w:rsid w:val="38D12C91"/>
    <w:rsid w:val="38DA5BE2"/>
    <w:rsid w:val="38E349E7"/>
    <w:rsid w:val="38EA7903"/>
    <w:rsid w:val="38F048BA"/>
    <w:rsid w:val="38F73FA5"/>
    <w:rsid w:val="38F90A7D"/>
    <w:rsid w:val="39012407"/>
    <w:rsid w:val="390635D7"/>
    <w:rsid w:val="390D09CF"/>
    <w:rsid w:val="390F6BF8"/>
    <w:rsid w:val="391136F4"/>
    <w:rsid w:val="392326BF"/>
    <w:rsid w:val="393D09CD"/>
    <w:rsid w:val="394443D5"/>
    <w:rsid w:val="3948157E"/>
    <w:rsid w:val="395555D4"/>
    <w:rsid w:val="395B3B87"/>
    <w:rsid w:val="395E51BC"/>
    <w:rsid w:val="396122F5"/>
    <w:rsid w:val="396167D3"/>
    <w:rsid w:val="396C044E"/>
    <w:rsid w:val="397357E1"/>
    <w:rsid w:val="3974291A"/>
    <w:rsid w:val="397B54A2"/>
    <w:rsid w:val="397C3D6C"/>
    <w:rsid w:val="398C51A8"/>
    <w:rsid w:val="398F3288"/>
    <w:rsid w:val="39902E32"/>
    <w:rsid w:val="39CA0C6B"/>
    <w:rsid w:val="39CC721E"/>
    <w:rsid w:val="39CE22D2"/>
    <w:rsid w:val="39D82886"/>
    <w:rsid w:val="39DD0211"/>
    <w:rsid w:val="39DD5C82"/>
    <w:rsid w:val="39E0408B"/>
    <w:rsid w:val="39E201AD"/>
    <w:rsid w:val="39FD052B"/>
    <w:rsid w:val="39FD7296"/>
    <w:rsid w:val="3A050A61"/>
    <w:rsid w:val="3A1717A2"/>
    <w:rsid w:val="3A2C0D88"/>
    <w:rsid w:val="3A3A0F35"/>
    <w:rsid w:val="3A5B03D7"/>
    <w:rsid w:val="3A662076"/>
    <w:rsid w:val="3A7663FB"/>
    <w:rsid w:val="3A7F6F62"/>
    <w:rsid w:val="3A8920E3"/>
    <w:rsid w:val="3A8A6F26"/>
    <w:rsid w:val="3A8B18ED"/>
    <w:rsid w:val="3A9B3770"/>
    <w:rsid w:val="3AB40EBA"/>
    <w:rsid w:val="3AB41012"/>
    <w:rsid w:val="3ABA640F"/>
    <w:rsid w:val="3ABF0340"/>
    <w:rsid w:val="3AC058C7"/>
    <w:rsid w:val="3AC47EC3"/>
    <w:rsid w:val="3ACA05E3"/>
    <w:rsid w:val="3ACE2164"/>
    <w:rsid w:val="3ACF19A3"/>
    <w:rsid w:val="3B066C9A"/>
    <w:rsid w:val="3B1B31C9"/>
    <w:rsid w:val="3B2457DA"/>
    <w:rsid w:val="3B2957E3"/>
    <w:rsid w:val="3B2E0C51"/>
    <w:rsid w:val="3B333DDD"/>
    <w:rsid w:val="3B385567"/>
    <w:rsid w:val="3B3C6203"/>
    <w:rsid w:val="3B3D0E85"/>
    <w:rsid w:val="3B3F12DA"/>
    <w:rsid w:val="3B403B20"/>
    <w:rsid w:val="3B434D6B"/>
    <w:rsid w:val="3B4469DE"/>
    <w:rsid w:val="3B496C1B"/>
    <w:rsid w:val="3B514A99"/>
    <w:rsid w:val="3B5261C9"/>
    <w:rsid w:val="3B674CA9"/>
    <w:rsid w:val="3B68169C"/>
    <w:rsid w:val="3B8319A0"/>
    <w:rsid w:val="3B961032"/>
    <w:rsid w:val="3BA17842"/>
    <w:rsid w:val="3BA411C8"/>
    <w:rsid w:val="3BA7014B"/>
    <w:rsid w:val="3BAF2423"/>
    <w:rsid w:val="3BB06457"/>
    <w:rsid w:val="3BBC230F"/>
    <w:rsid w:val="3BC83523"/>
    <w:rsid w:val="3BC86522"/>
    <w:rsid w:val="3BE32424"/>
    <w:rsid w:val="3BE81096"/>
    <w:rsid w:val="3BEF0F0F"/>
    <w:rsid w:val="3BEF707C"/>
    <w:rsid w:val="3BF3295B"/>
    <w:rsid w:val="3BFD5231"/>
    <w:rsid w:val="3C0E44D4"/>
    <w:rsid w:val="3C213FA8"/>
    <w:rsid w:val="3C227775"/>
    <w:rsid w:val="3C2735D4"/>
    <w:rsid w:val="3C2A6480"/>
    <w:rsid w:val="3C2B327D"/>
    <w:rsid w:val="3C2F0B9F"/>
    <w:rsid w:val="3C305D6E"/>
    <w:rsid w:val="3C382266"/>
    <w:rsid w:val="3C391DD4"/>
    <w:rsid w:val="3C3E3C63"/>
    <w:rsid w:val="3C43718E"/>
    <w:rsid w:val="3C463576"/>
    <w:rsid w:val="3C472A0E"/>
    <w:rsid w:val="3C5E23E6"/>
    <w:rsid w:val="3C5F1085"/>
    <w:rsid w:val="3C63529D"/>
    <w:rsid w:val="3C6436EA"/>
    <w:rsid w:val="3C657A3E"/>
    <w:rsid w:val="3C6727DF"/>
    <w:rsid w:val="3C6E6FCF"/>
    <w:rsid w:val="3C8D4BE6"/>
    <w:rsid w:val="3CA02607"/>
    <w:rsid w:val="3CAB7D63"/>
    <w:rsid w:val="3CAD4591"/>
    <w:rsid w:val="3CC527C1"/>
    <w:rsid w:val="3CCA0754"/>
    <w:rsid w:val="3CCC58A2"/>
    <w:rsid w:val="3CDA0620"/>
    <w:rsid w:val="3CE04B7A"/>
    <w:rsid w:val="3CE3763E"/>
    <w:rsid w:val="3CEA37D7"/>
    <w:rsid w:val="3CF71419"/>
    <w:rsid w:val="3CFA508D"/>
    <w:rsid w:val="3CFE3AE4"/>
    <w:rsid w:val="3D0A3F6B"/>
    <w:rsid w:val="3D0C0C45"/>
    <w:rsid w:val="3D170712"/>
    <w:rsid w:val="3D1721C0"/>
    <w:rsid w:val="3D1C61CA"/>
    <w:rsid w:val="3D227735"/>
    <w:rsid w:val="3D28077F"/>
    <w:rsid w:val="3D573277"/>
    <w:rsid w:val="3D605F73"/>
    <w:rsid w:val="3D6A1B4C"/>
    <w:rsid w:val="3D6D6539"/>
    <w:rsid w:val="3D7E29F6"/>
    <w:rsid w:val="3DA2705B"/>
    <w:rsid w:val="3DA53539"/>
    <w:rsid w:val="3DB0458E"/>
    <w:rsid w:val="3DB35694"/>
    <w:rsid w:val="3DB43634"/>
    <w:rsid w:val="3DB71B33"/>
    <w:rsid w:val="3DB911D4"/>
    <w:rsid w:val="3DBD69BF"/>
    <w:rsid w:val="3DCA4D98"/>
    <w:rsid w:val="3DDB632B"/>
    <w:rsid w:val="3DDF227B"/>
    <w:rsid w:val="3DE577D0"/>
    <w:rsid w:val="3DE9500F"/>
    <w:rsid w:val="3DFE29BC"/>
    <w:rsid w:val="3E0A013E"/>
    <w:rsid w:val="3E13386A"/>
    <w:rsid w:val="3E2829A8"/>
    <w:rsid w:val="3E28489E"/>
    <w:rsid w:val="3E284CAD"/>
    <w:rsid w:val="3E3D6BE8"/>
    <w:rsid w:val="3E4D5AA5"/>
    <w:rsid w:val="3E4F4D95"/>
    <w:rsid w:val="3E5C1C0B"/>
    <w:rsid w:val="3E5D1382"/>
    <w:rsid w:val="3E605D7B"/>
    <w:rsid w:val="3E613884"/>
    <w:rsid w:val="3E640B33"/>
    <w:rsid w:val="3E671F5B"/>
    <w:rsid w:val="3E680161"/>
    <w:rsid w:val="3E696B7E"/>
    <w:rsid w:val="3E6B55A3"/>
    <w:rsid w:val="3E707498"/>
    <w:rsid w:val="3E7567DF"/>
    <w:rsid w:val="3E782FDC"/>
    <w:rsid w:val="3E7B0AF2"/>
    <w:rsid w:val="3E8F178D"/>
    <w:rsid w:val="3E906406"/>
    <w:rsid w:val="3E912C5B"/>
    <w:rsid w:val="3E91532E"/>
    <w:rsid w:val="3E9970E7"/>
    <w:rsid w:val="3EA4146C"/>
    <w:rsid w:val="3EAD648A"/>
    <w:rsid w:val="3EBB4AEE"/>
    <w:rsid w:val="3EC33289"/>
    <w:rsid w:val="3EC97967"/>
    <w:rsid w:val="3ECA0657"/>
    <w:rsid w:val="3ECC0FDD"/>
    <w:rsid w:val="3ECF6094"/>
    <w:rsid w:val="3EDE6D1E"/>
    <w:rsid w:val="3EE55C57"/>
    <w:rsid w:val="3F036EB6"/>
    <w:rsid w:val="3F0E26B0"/>
    <w:rsid w:val="3F0F7AE2"/>
    <w:rsid w:val="3F186F17"/>
    <w:rsid w:val="3F2269B3"/>
    <w:rsid w:val="3F236909"/>
    <w:rsid w:val="3F316D95"/>
    <w:rsid w:val="3F377B87"/>
    <w:rsid w:val="3F3D6303"/>
    <w:rsid w:val="3F3E75F0"/>
    <w:rsid w:val="3F4035F3"/>
    <w:rsid w:val="3F5453E8"/>
    <w:rsid w:val="3F5A7FC0"/>
    <w:rsid w:val="3F5C181C"/>
    <w:rsid w:val="3F634BD5"/>
    <w:rsid w:val="3F6B59AE"/>
    <w:rsid w:val="3F732B39"/>
    <w:rsid w:val="3F966658"/>
    <w:rsid w:val="3FAE2AC7"/>
    <w:rsid w:val="3FB0000E"/>
    <w:rsid w:val="3FB005D8"/>
    <w:rsid w:val="3FB05F40"/>
    <w:rsid w:val="3FB12920"/>
    <w:rsid w:val="3FB400A8"/>
    <w:rsid w:val="3FBC72A1"/>
    <w:rsid w:val="3FBD191B"/>
    <w:rsid w:val="3FC71D63"/>
    <w:rsid w:val="3FD6525C"/>
    <w:rsid w:val="3FD74950"/>
    <w:rsid w:val="40006336"/>
    <w:rsid w:val="40040006"/>
    <w:rsid w:val="400B5238"/>
    <w:rsid w:val="40104FD1"/>
    <w:rsid w:val="40151314"/>
    <w:rsid w:val="40161F75"/>
    <w:rsid w:val="401A51BC"/>
    <w:rsid w:val="402B6F32"/>
    <w:rsid w:val="4035462F"/>
    <w:rsid w:val="404D2230"/>
    <w:rsid w:val="404F5D16"/>
    <w:rsid w:val="405B1F66"/>
    <w:rsid w:val="405B74B5"/>
    <w:rsid w:val="4066620A"/>
    <w:rsid w:val="406978DD"/>
    <w:rsid w:val="406B5E40"/>
    <w:rsid w:val="40741E03"/>
    <w:rsid w:val="407D2537"/>
    <w:rsid w:val="40821699"/>
    <w:rsid w:val="408E7728"/>
    <w:rsid w:val="40922062"/>
    <w:rsid w:val="409C6247"/>
    <w:rsid w:val="40AB45C6"/>
    <w:rsid w:val="40B409E5"/>
    <w:rsid w:val="40B969ED"/>
    <w:rsid w:val="40D14E28"/>
    <w:rsid w:val="40D82B71"/>
    <w:rsid w:val="40DD0AB7"/>
    <w:rsid w:val="40E32783"/>
    <w:rsid w:val="40EB65DD"/>
    <w:rsid w:val="40EF658B"/>
    <w:rsid w:val="40F20AB7"/>
    <w:rsid w:val="40F468BD"/>
    <w:rsid w:val="41155C7D"/>
    <w:rsid w:val="411A73CB"/>
    <w:rsid w:val="411D2572"/>
    <w:rsid w:val="411F3F16"/>
    <w:rsid w:val="41220CE1"/>
    <w:rsid w:val="41307274"/>
    <w:rsid w:val="41313857"/>
    <w:rsid w:val="413919D8"/>
    <w:rsid w:val="413C0683"/>
    <w:rsid w:val="4149513D"/>
    <w:rsid w:val="414C289C"/>
    <w:rsid w:val="41556A1E"/>
    <w:rsid w:val="4162705B"/>
    <w:rsid w:val="41684027"/>
    <w:rsid w:val="41691A55"/>
    <w:rsid w:val="41756B8B"/>
    <w:rsid w:val="418270C8"/>
    <w:rsid w:val="41846666"/>
    <w:rsid w:val="418F5CEE"/>
    <w:rsid w:val="41956FC3"/>
    <w:rsid w:val="419D59DD"/>
    <w:rsid w:val="419F2EA3"/>
    <w:rsid w:val="41A55979"/>
    <w:rsid w:val="41AF5D96"/>
    <w:rsid w:val="41B34155"/>
    <w:rsid w:val="41B6751F"/>
    <w:rsid w:val="41B80FEA"/>
    <w:rsid w:val="41BB789D"/>
    <w:rsid w:val="41CB2E95"/>
    <w:rsid w:val="41CE5D6F"/>
    <w:rsid w:val="41CE5E80"/>
    <w:rsid w:val="41D47CA6"/>
    <w:rsid w:val="41D9224B"/>
    <w:rsid w:val="41DA7E07"/>
    <w:rsid w:val="41DB3703"/>
    <w:rsid w:val="41DD216B"/>
    <w:rsid w:val="41DE58F1"/>
    <w:rsid w:val="41E626FC"/>
    <w:rsid w:val="41E75486"/>
    <w:rsid w:val="41F67227"/>
    <w:rsid w:val="41F71C6F"/>
    <w:rsid w:val="41F84C3F"/>
    <w:rsid w:val="42020CB8"/>
    <w:rsid w:val="42053DF6"/>
    <w:rsid w:val="42077BE9"/>
    <w:rsid w:val="42101F23"/>
    <w:rsid w:val="421E7EC4"/>
    <w:rsid w:val="42254279"/>
    <w:rsid w:val="42267A5C"/>
    <w:rsid w:val="422F407F"/>
    <w:rsid w:val="42360234"/>
    <w:rsid w:val="423730E7"/>
    <w:rsid w:val="42393A30"/>
    <w:rsid w:val="424478C7"/>
    <w:rsid w:val="42525529"/>
    <w:rsid w:val="42642385"/>
    <w:rsid w:val="42682E1D"/>
    <w:rsid w:val="42690B0A"/>
    <w:rsid w:val="426F4B6A"/>
    <w:rsid w:val="426F6060"/>
    <w:rsid w:val="427F4441"/>
    <w:rsid w:val="42875AF2"/>
    <w:rsid w:val="42884F70"/>
    <w:rsid w:val="428C5320"/>
    <w:rsid w:val="429123AD"/>
    <w:rsid w:val="42B545E4"/>
    <w:rsid w:val="42C53FC1"/>
    <w:rsid w:val="42D163E8"/>
    <w:rsid w:val="42D24020"/>
    <w:rsid w:val="42D74CB5"/>
    <w:rsid w:val="42DC3FE9"/>
    <w:rsid w:val="42F36C4D"/>
    <w:rsid w:val="430742C8"/>
    <w:rsid w:val="431710BE"/>
    <w:rsid w:val="435278F3"/>
    <w:rsid w:val="435A0D4E"/>
    <w:rsid w:val="43652ADE"/>
    <w:rsid w:val="4367719E"/>
    <w:rsid w:val="436B02D7"/>
    <w:rsid w:val="436F2539"/>
    <w:rsid w:val="43720472"/>
    <w:rsid w:val="437602C4"/>
    <w:rsid w:val="43796616"/>
    <w:rsid w:val="43A655CA"/>
    <w:rsid w:val="43AB3053"/>
    <w:rsid w:val="43AF6312"/>
    <w:rsid w:val="43B20353"/>
    <w:rsid w:val="43B60B7C"/>
    <w:rsid w:val="43BB792D"/>
    <w:rsid w:val="43C912ED"/>
    <w:rsid w:val="43CE0EF2"/>
    <w:rsid w:val="43D057F1"/>
    <w:rsid w:val="43D1414A"/>
    <w:rsid w:val="43D26B6F"/>
    <w:rsid w:val="43D67E4D"/>
    <w:rsid w:val="43DD67D9"/>
    <w:rsid w:val="43DF56DB"/>
    <w:rsid w:val="43E21A42"/>
    <w:rsid w:val="43F61EFF"/>
    <w:rsid w:val="43F6705C"/>
    <w:rsid w:val="43F74C76"/>
    <w:rsid w:val="43FB7B69"/>
    <w:rsid w:val="44053304"/>
    <w:rsid w:val="440C0538"/>
    <w:rsid w:val="440E0A54"/>
    <w:rsid w:val="44141688"/>
    <w:rsid w:val="44175663"/>
    <w:rsid w:val="442A3260"/>
    <w:rsid w:val="442C350F"/>
    <w:rsid w:val="443A68E8"/>
    <w:rsid w:val="44417472"/>
    <w:rsid w:val="44493192"/>
    <w:rsid w:val="444C7891"/>
    <w:rsid w:val="44504583"/>
    <w:rsid w:val="44546900"/>
    <w:rsid w:val="445A7412"/>
    <w:rsid w:val="44615D4D"/>
    <w:rsid w:val="446263B0"/>
    <w:rsid w:val="446933DB"/>
    <w:rsid w:val="447C21A2"/>
    <w:rsid w:val="447E71DD"/>
    <w:rsid w:val="448133F2"/>
    <w:rsid w:val="44897E0A"/>
    <w:rsid w:val="4490797F"/>
    <w:rsid w:val="44986F84"/>
    <w:rsid w:val="44A24CE2"/>
    <w:rsid w:val="44AC6AA0"/>
    <w:rsid w:val="44C02FBC"/>
    <w:rsid w:val="44C9166B"/>
    <w:rsid w:val="44CF1F14"/>
    <w:rsid w:val="44D43250"/>
    <w:rsid w:val="44D477D8"/>
    <w:rsid w:val="44DB79B8"/>
    <w:rsid w:val="44E70967"/>
    <w:rsid w:val="44E76148"/>
    <w:rsid w:val="44EF65A4"/>
    <w:rsid w:val="450353C6"/>
    <w:rsid w:val="4509333F"/>
    <w:rsid w:val="45116BFC"/>
    <w:rsid w:val="45185DAE"/>
    <w:rsid w:val="451A4682"/>
    <w:rsid w:val="45273624"/>
    <w:rsid w:val="452A7E19"/>
    <w:rsid w:val="4535604E"/>
    <w:rsid w:val="45516ED2"/>
    <w:rsid w:val="45534F41"/>
    <w:rsid w:val="45610A71"/>
    <w:rsid w:val="45764D5C"/>
    <w:rsid w:val="45783A8C"/>
    <w:rsid w:val="458D1EE2"/>
    <w:rsid w:val="45975583"/>
    <w:rsid w:val="45A23E4F"/>
    <w:rsid w:val="45A864FE"/>
    <w:rsid w:val="45BA2A70"/>
    <w:rsid w:val="45BF007D"/>
    <w:rsid w:val="45C110D3"/>
    <w:rsid w:val="45D04FEF"/>
    <w:rsid w:val="45D33485"/>
    <w:rsid w:val="45EE5900"/>
    <w:rsid w:val="46092E53"/>
    <w:rsid w:val="462214B8"/>
    <w:rsid w:val="462D5FEF"/>
    <w:rsid w:val="46423B27"/>
    <w:rsid w:val="464B0531"/>
    <w:rsid w:val="464C3A05"/>
    <w:rsid w:val="46511E10"/>
    <w:rsid w:val="465448F2"/>
    <w:rsid w:val="465E3098"/>
    <w:rsid w:val="46604FAA"/>
    <w:rsid w:val="46623D1B"/>
    <w:rsid w:val="46672F35"/>
    <w:rsid w:val="466C3BF2"/>
    <w:rsid w:val="466D4269"/>
    <w:rsid w:val="46753A27"/>
    <w:rsid w:val="46862C38"/>
    <w:rsid w:val="468B615B"/>
    <w:rsid w:val="46943FE6"/>
    <w:rsid w:val="469C5366"/>
    <w:rsid w:val="46B10DAF"/>
    <w:rsid w:val="46BE554E"/>
    <w:rsid w:val="46C45D65"/>
    <w:rsid w:val="46D07416"/>
    <w:rsid w:val="46D22372"/>
    <w:rsid w:val="46E74CC0"/>
    <w:rsid w:val="46F24A9C"/>
    <w:rsid w:val="46F94ACB"/>
    <w:rsid w:val="47015186"/>
    <w:rsid w:val="470D0168"/>
    <w:rsid w:val="470D4174"/>
    <w:rsid w:val="4715699E"/>
    <w:rsid w:val="471678A6"/>
    <w:rsid w:val="47221EC0"/>
    <w:rsid w:val="472A79E0"/>
    <w:rsid w:val="472C105B"/>
    <w:rsid w:val="4736137F"/>
    <w:rsid w:val="473769F4"/>
    <w:rsid w:val="473D5031"/>
    <w:rsid w:val="47436F93"/>
    <w:rsid w:val="474641ED"/>
    <w:rsid w:val="47497CED"/>
    <w:rsid w:val="474E3CA6"/>
    <w:rsid w:val="474F2EE8"/>
    <w:rsid w:val="47585BA0"/>
    <w:rsid w:val="475A1D2F"/>
    <w:rsid w:val="475A7944"/>
    <w:rsid w:val="476147F4"/>
    <w:rsid w:val="476436A4"/>
    <w:rsid w:val="47754C2E"/>
    <w:rsid w:val="47823144"/>
    <w:rsid w:val="478821C8"/>
    <w:rsid w:val="478B13A5"/>
    <w:rsid w:val="478F23A2"/>
    <w:rsid w:val="479876C5"/>
    <w:rsid w:val="47A2298A"/>
    <w:rsid w:val="47AC49D7"/>
    <w:rsid w:val="47C30CFF"/>
    <w:rsid w:val="47CA704B"/>
    <w:rsid w:val="47D538BF"/>
    <w:rsid w:val="47EC3BCC"/>
    <w:rsid w:val="47EF48E2"/>
    <w:rsid w:val="47FE5712"/>
    <w:rsid w:val="48056817"/>
    <w:rsid w:val="48071009"/>
    <w:rsid w:val="48160910"/>
    <w:rsid w:val="481D2E0A"/>
    <w:rsid w:val="482917DE"/>
    <w:rsid w:val="48312257"/>
    <w:rsid w:val="48314497"/>
    <w:rsid w:val="48454B43"/>
    <w:rsid w:val="484E2F53"/>
    <w:rsid w:val="484E459F"/>
    <w:rsid w:val="485174E3"/>
    <w:rsid w:val="486E0331"/>
    <w:rsid w:val="4873740A"/>
    <w:rsid w:val="4877279F"/>
    <w:rsid w:val="48832C3B"/>
    <w:rsid w:val="489176F0"/>
    <w:rsid w:val="48A01DC6"/>
    <w:rsid w:val="48AE7B29"/>
    <w:rsid w:val="48B34240"/>
    <w:rsid w:val="48BD60A8"/>
    <w:rsid w:val="48C85917"/>
    <w:rsid w:val="48D05068"/>
    <w:rsid w:val="48D72399"/>
    <w:rsid w:val="48D926AD"/>
    <w:rsid w:val="48DC03DD"/>
    <w:rsid w:val="48F2474B"/>
    <w:rsid w:val="4900376F"/>
    <w:rsid w:val="49031DE2"/>
    <w:rsid w:val="49046090"/>
    <w:rsid w:val="490578A2"/>
    <w:rsid w:val="490B6702"/>
    <w:rsid w:val="49215644"/>
    <w:rsid w:val="4924152D"/>
    <w:rsid w:val="4924574C"/>
    <w:rsid w:val="492B380B"/>
    <w:rsid w:val="49306605"/>
    <w:rsid w:val="4932429E"/>
    <w:rsid w:val="493317E9"/>
    <w:rsid w:val="4933521B"/>
    <w:rsid w:val="49344B77"/>
    <w:rsid w:val="49515037"/>
    <w:rsid w:val="495441DE"/>
    <w:rsid w:val="49590D13"/>
    <w:rsid w:val="496603CB"/>
    <w:rsid w:val="49722813"/>
    <w:rsid w:val="49727215"/>
    <w:rsid w:val="49752438"/>
    <w:rsid w:val="497E3FC3"/>
    <w:rsid w:val="49825179"/>
    <w:rsid w:val="49827172"/>
    <w:rsid w:val="49857B3C"/>
    <w:rsid w:val="49891345"/>
    <w:rsid w:val="498F3090"/>
    <w:rsid w:val="499049E3"/>
    <w:rsid w:val="49A30128"/>
    <w:rsid w:val="49A810DC"/>
    <w:rsid w:val="49B01BAE"/>
    <w:rsid w:val="49B4583D"/>
    <w:rsid w:val="49B54250"/>
    <w:rsid w:val="49B61DD3"/>
    <w:rsid w:val="49B8517B"/>
    <w:rsid w:val="49B854B2"/>
    <w:rsid w:val="49C2169A"/>
    <w:rsid w:val="49C41D97"/>
    <w:rsid w:val="49C42A10"/>
    <w:rsid w:val="49C76AA2"/>
    <w:rsid w:val="49CD79A4"/>
    <w:rsid w:val="49D534CB"/>
    <w:rsid w:val="49D62A28"/>
    <w:rsid w:val="49DF3699"/>
    <w:rsid w:val="49EB61F2"/>
    <w:rsid w:val="49EC674C"/>
    <w:rsid w:val="49EC7055"/>
    <w:rsid w:val="49F47F64"/>
    <w:rsid w:val="49FD7E22"/>
    <w:rsid w:val="4A0E2BA8"/>
    <w:rsid w:val="4A111BFA"/>
    <w:rsid w:val="4A267576"/>
    <w:rsid w:val="4A280B0E"/>
    <w:rsid w:val="4A2C3C74"/>
    <w:rsid w:val="4A2D7BC9"/>
    <w:rsid w:val="4A327B46"/>
    <w:rsid w:val="4A3845C5"/>
    <w:rsid w:val="4A3B2897"/>
    <w:rsid w:val="4A3B2DB5"/>
    <w:rsid w:val="4A4044A1"/>
    <w:rsid w:val="4A4B3F70"/>
    <w:rsid w:val="4A51261B"/>
    <w:rsid w:val="4A543304"/>
    <w:rsid w:val="4A5D123E"/>
    <w:rsid w:val="4A5F2B0E"/>
    <w:rsid w:val="4A6075A3"/>
    <w:rsid w:val="4A6514DB"/>
    <w:rsid w:val="4A664A90"/>
    <w:rsid w:val="4A732EE9"/>
    <w:rsid w:val="4A80341B"/>
    <w:rsid w:val="4A811C9F"/>
    <w:rsid w:val="4A816144"/>
    <w:rsid w:val="4A8A1046"/>
    <w:rsid w:val="4A98092D"/>
    <w:rsid w:val="4A9B3DA6"/>
    <w:rsid w:val="4AA11A7B"/>
    <w:rsid w:val="4AAB13E0"/>
    <w:rsid w:val="4AB604A6"/>
    <w:rsid w:val="4AC637CA"/>
    <w:rsid w:val="4AD32458"/>
    <w:rsid w:val="4AD75D13"/>
    <w:rsid w:val="4AE67BDD"/>
    <w:rsid w:val="4AF41A83"/>
    <w:rsid w:val="4AF64EB3"/>
    <w:rsid w:val="4AF854A5"/>
    <w:rsid w:val="4AFE02EB"/>
    <w:rsid w:val="4B0B061E"/>
    <w:rsid w:val="4B116C3A"/>
    <w:rsid w:val="4B1A31D2"/>
    <w:rsid w:val="4B1F2755"/>
    <w:rsid w:val="4B21349F"/>
    <w:rsid w:val="4B2947A3"/>
    <w:rsid w:val="4B2C08BC"/>
    <w:rsid w:val="4B3656CC"/>
    <w:rsid w:val="4B424673"/>
    <w:rsid w:val="4B43687B"/>
    <w:rsid w:val="4B4C4C91"/>
    <w:rsid w:val="4B4F585E"/>
    <w:rsid w:val="4B5066D3"/>
    <w:rsid w:val="4B524F5F"/>
    <w:rsid w:val="4B556C18"/>
    <w:rsid w:val="4B5B00CB"/>
    <w:rsid w:val="4B5C2A02"/>
    <w:rsid w:val="4B5D1505"/>
    <w:rsid w:val="4B5D2F0E"/>
    <w:rsid w:val="4B670EEB"/>
    <w:rsid w:val="4B6C76C1"/>
    <w:rsid w:val="4B700715"/>
    <w:rsid w:val="4B7837FE"/>
    <w:rsid w:val="4B842536"/>
    <w:rsid w:val="4B857330"/>
    <w:rsid w:val="4B8D6483"/>
    <w:rsid w:val="4B9426D6"/>
    <w:rsid w:val="4B9F7B27"/>
    <w:rsid w:val="4BA9427B"/>
    <w:rsid w:val="4BB21BF5"/>
    <w:rsid w:val="4BC93340"/>
    <w:rsid w:val="4BCD5D8A"/>
    <w:rsid w:val="4BD667C4"/>
    <w:rsid w:val="4BDB6730"/>
    <w:rsid w:val="4BE50349"/>
    <w:rsid w:val="4BF11E1A"/>
    <w:rsid w:val="4BF9699A"/>
    <w:rsid w:val="4C0A56D4"/>
    <w:rsid w:val="4C0D086F"/>
    <w:rsid w:val="4C1233AD"/>
    <w:rsid w:val="4C1648A2"/>
    <w:rsid w:val="4C185ADC"/>
    <w:rsid w:val="4C1F4B55"/>
    <w:rsid w:val="4C364701"/>
    <w:rsid w:val="4C4233CF"/>
    <w:rsid w:val="4C4502B3"/>
    <w:rsid w:val="4C4C2ECA"/>
    <w:rsid w:val="4C5114DD"/>
    <w:rsid w:val="4C5B4E2F"/>
    <w:rsid w:val="4C64188F"/>
    <w:rsid w:val="4C6B203A"/>
    <w:rsid w:val="4C9D5333"/>
    <w:rsid w:val="4CB94893"/>
    <w:rsid w:val="4CD40156"/>
    <w:rsid w:val="4CD97F00"/>
    <w:rsid w:val="4CE507BB"/>
    <w:rsid w:val="4CE84B1E"/>
    <w:rsid w:val="4CF84925"/>
    <w:rsid w:val="4CFB7174"/>
    <w:rsid w:val="4D0230A4"/>
    <w:rsid w:val="4D0541DC"/>
    <w:rsid w:val="4D072EF9"/>
    <w:rsid w:val="4D0828E9"/>
    <w:rsid w:val="4D083099"/>
    <w:rsid w:val="4D08524C"/>
    <w:rsid w:val="4D1413B4"/>
    <w:rsid w:val="4D16583F"/>
    <w:rsid w:val="4D17385C"/>
    <w:rsid w:val="4D39032B"/>
    <w:rsid w:val="4D414658"/>
    <w:rsid w:val="4D4B4412"/>
    <w:rsid w:val="4D503413"/>
    <w:rsid w:val="4D6A54AB"/>
    <w:rsid w:val="4D815267"/>
    <w:rsid w:val="4D8C0894"/>
    <w:rsid w:val="4D8F1DE7"/>
    <w:rsid w:val="4D983C7F"/>
    <w:rsid w:val="4D9D0D26"/>
    <w:rsid w:val="4DA20DFB"/>
    <w:rsid w:val="4DAD5859"/>
    <w:rsid w:val="4DB85C63"/>
    <w:rsid w:val="4DB9274D"/>
    <w:rsid w:val="4DCA0A14"/>
    <w:rsid w:val="4DE15ABD"/>
    <w:rsid w:val="4DE91693"/>
    <w:rsid w:val="4DEE3FB3"/>
    <w:rsid w:val="4DF20E52"/>
    <w:rsid w:val="4DF52C1C"/>
    <w:rsid w:val="4DFE09DF"/>
    <w:rsid w:val="4DFF3390"/>
    <w:rsid w:val="4E0144FA"/>
    <w:rsid w:val="4E055215"/>
    <w:rsid w:val="4E0A289D"/>
    <w:rsid w:val="4E0B0488"/>
    <w:rsid w:val="4E0B62AA"/>
    <w:rsid w:val="4E10399C"/>
    <w:rsid w:val="4E2D7F67"/>
    <w:rsid w:val="4E397660"/>
    <w:rsid w:val="4E444909"/>
    <w:rsid w:val="4E604970"/>
    <w:rsid w:val="4E691FCA"/>
    <w:rsid w:val="4E70427F"/>
    <w:rsid w:val="4E7B161E"/>
    <w:rsid w:val="4E8A77FB"/>
    <w:rsid w:val="4E8C412A"/>
    <w:rsid w:val="4E9F52CA"/>
    <w:rsid w:val="4EB44996"/>
    <w:rsid w:val="4EBA01BB"/>
    <w:rsid w:val="4EC1374B"/>
    <w:rsid w:val="4ECD2946"/>
    <w:rsid w:val="4ED147C1"/>
    <w:rsid w:val="4ED374D0"/>
    <w:rsid w:val="4EE27D7A"/>
    <w:rsid w:val="4EE95170"/>
    <w:rsid w:val="4EED6AB4"/>
    <w:rsid w:val="4EEE4967"/>
    <w:rsid w:val="4EFF10AB"/>
    <w:rsid w:val="4F0711B8"/>
    <w:rsid w:val="4F0D1F32"/>
    <w:rsid w:val="4F105E49"/>
    <w:rsid w:val="4F1A4447"/>
    <w:rsid w:val="4F1E452A"/>
    <w:rsid w:val="4F32541F"/>
    <w:rsid w:val="4F3A6287"/>
    <w:rsid w:val="4F3B2C0D"/>
    <w:rsid w:val="4F3F0431"/>
    <w:rsid w:val="4F404EE0"/>
    <w:rsid w:val="4F503EC3"/>
    <w:rsid w:val="4F56299B"/>
    <w:rsid w:val="4F65431D"/>
    <w:rsid w:val="4F83000A"/>
    <w:rsid w:val="4F9B16D6"/>
    <w:rsid w:val="4FA856E5"/>
    <w:rsid w:val="4FB01DB0"/>
    <w:rsid w:val="4FBD3D43"/>
    <w:rsid w:val="4FC44ABC"/>
    <w:rsid w:val="4FD33681"/>
    <w:rsid w:val="4FDC677D"/>
    <w:rsid w:val="4FDD4119"/>
    <w:rsid w:val="4FDF5DEF"/>
    <w:rsid w:val="4FE06B2A"/>
    <w:rsid w:val="4FE859C5"/>
    <w:rsid w:val="4FEC47F8"/>
    <w:rsid w:val="4FF4044F"/>
    <w:rsid w:val="500F3781"/>
    <w:rsid w:val="501244E2"/>
    <w:rsid w:val="502D57C0"/>
    <w:rsid w:val="503451F3"/>
    <w:rsid w:val="50397B2D"/>
    <w:rsid w:val="50440A06"/>
    <w:rsid w:val="504857D9"/>
    <w:rsid w:val="505644F6"/>
    <w:rsid w:val="50785C87"/>
    <w:rsid w:val="507950F0"/>
    <w:rsid w:val="508250F6"/>
    <w:rsid w:val="50963EF0"/>
    <w:rsid w:val="509E3987"/>
    <w:rsid w:val="509F0CBB"/>
    <w:rsid w:val="50A06EBA"/>
    <w:rsid w:val="50A92DDB"/>
    <w:rsid w:val="50B93817"/>
    <w:rsid w:val="50BB7A74"/>
    <w:rsid w:val="50BE405E"/>
    <w:rsid w:val="50C6577B"/>
    <w:rsid w:val="50C75459"/>
    <w:rsid w:val="50D16BC1"/>
    <w:rsid w:val="50D77449"/>
    <w:rsid w:val="50E2074A"/>
    <w:rsid w:val="510A147E"/>
    <w:rsid w:val="51123DFB"/>
    <w:rsid w:val="51150696"/>
    <w:rsid w:val="511600C5"/>
    <w:rsid w:val="511729C7"/>
    <w:rsid w:val="511E4130"/>
    <w:rsid w:val="511F0A79"/>
    <w:rsid w:val="51215BB8"/>
    <w:rsid w:val="51235A2B"/>
    <w:rsid w:val="513B53D4"/>
    <w:rsid w:val="513C181E"/>
    <w:rsid w:val="51462300"/>
    <w:rsid w:val="51496907"/>
    <w:rsid w:val="51576E2F"/>
    <w:rsid w:val="515C7FB9"/>
    <w:rsid w:val="515D4403"/>
    <w:rsid w:val="516D6307"/>
    <w:rsid w:val="517065DD"/>
    <w:rsid w:val="517270B8"/>
    <w:rsid w:val="51792B6A"/>
    <w:rsid w:val="517A55E8"/>
    <w:rsid w:val="517C5C51"/>
    <w:rsid w:val="5182302A"/>
    <w:rsid w:val="518F2363"/>
    <w:rsid w:val="51963BA3"/>
    <w:rsid w:val="519D3E2C"/>
    <w:rsid w:val="519F7FAC"/>
    <w:rsid w:val="51A018B7"/>
    <w:rsid w:val="51A14737"/>
    <w:rsid w:val="51A2158E"/>
    <w:rsid w:val="51A8382E"/>
    <w:rsid w:val="51A87469"/>
    <w:rsid w:val="51AB4F07"/>
    <w:rsid w:val="51B67F42"/>
    <w:rsid w:val="51BB6817"/>
    <w:rsid w:val="51C96605"/>
    <w:rsid w:val="51CA475C"/>
    <w:rsid w:val="51CE5C4C"/>
    <w:rsid w:val="51D756BE"/>
    <w:rsid w:val="51DA5273"/>
    <w:rsid w:val="51DD57B6"/>
    <w:rsid w:val="51DF350E"/>
    <w:rsid w:val="51DF412A"/>
    <w:rsid w:val="51E34CC5"/>
    <w:rsid w:val="51FA173F"/>
    <w:rsid w:val="51FF3157"/>
    <w:rsid w:val="52037194"/>
    <w:rsid w:val="520B2C6D"/>
    <w:rsid w:val="52133C34"/>
    <w:rsid w:val="52140036"/>
    <w:rsid w:val="521F224C"/>
    <w:rsid w:val="522638BE"/>
    <w:rsid w:val="5229322C"/>
    <w:rsid w:val="522A0C52"/>
    <w:rsid w:val="522A1EF5"/>
    <w:rsid w:val="523D30C4"/>
    <w:rsid w:val="52403BF9"/>
    <w:rsid w:val="524150BF"/>
    <w:rsid w:val="5248662E"/>
    <w:rsid w:val="524D1DE7"/>
    <w:rsid w:val="52586AC4"/>
    <w:rsid w:val="527B219E"/>
    <w:rsid w:val="528449E8"/>
    <w:rsid w:val="52871B8B"/>
    <w:rsid w:val="52876BEF"/>
    <w:rsid w:val="528B2294"/>
    <w:rsid w:val="52987A13"/>
    <w:rsid w:val="52995E1D"/>
    <w:rsid w:val="52A37469"/>
    <w:rsid w:val="52BC333B"/>
    <w:rsid w:val="52CE1A3C"/>
    <w:rsid w:val="52D4020B"/>
    <w:rsid w:val="52E54444"/>
    <w:rsid w:val="52FF4BFF"/>
    <w:rsid w:val="53030788"/>
    <w:rsid w:val="53057744"/>
    <w:rsid w:val="530D327B"/>
    <w:rsid w:val="53170583"/>
    <w:rsid w:val="531B78A4"/>
    <w:rsid w:val="53234FBA"/>
    <w:rsid w:val="532663CB"/>
    <w:rsid w:val="533C7CC3"/>
    <w:rsid w:val="534731E7"/>
    <w:rsid w:val="534E4A4F"/>
    <w:rsid w:val="53596866"/>
    <w:rsid w:val="536870CF"/>
    <w:rsid w:val="53840791"/>
    <w:rsid w:val="538728EC"/>
    <w:rsid w:val="538D5A45"/>
    <w:rsid w:val="53930A17"/>
    <w:rsid w:val="53A17B6E"/>
    <w:rsid w:val="53A345E8"/>
    <w:rsid w:val="53AA69EC"/>
    <w:rsid w:val="53B94E28"/>
    <w:rsid w:val="53BA2060"/>
    <w:rsid w:val="53BD66C9"/>
    <w:rsid w:val="53EC4262"/>
    <w:rsid w:val="53F97037"/>
    <w:rsid w:val="540353D1"/>
    <w:rsid w:val="54060F9D"/>
    <w:rsid w:val="540B2184"/>
    <w:rsid w:val="540F235E"/>
    <w:rsid w:val="54213DCB"/>
    <w:rsid w:val="54222B22"/>
    <w:rsid w:val="542C7A98"/>
    <w:rsid w:val="54367746"/>
    <w:rsid w:val="543B63E2"/>
    <w:rsid w:val="544615F0"/>
    <w:rsid w:val="544909BE"/>
    <w:rsid w:val="544E2DBF"/>
    <w:rsid w:val="544E3809"/>
    <w:rsid w:val="545C145C"/>
    <w:rsid w:val="545D2C15"/>
    <w:rsid w:val="545E7B26"/>
    <w:rsid w:val="54605FBD"/>
    <w:rsid w:val="5463724D"/>
    <w:rsid w:val="54652DF3"/>
    <w:rsid w:val="54676070"/>
    <w:rsid w:val="546E0797"/>
    <w:rsid w:val="54761046"/>
    <w:rsid w:val="547F5C9A"/>
    <w:rsid w:val="54825E65"/>
    <w:rsid w:val="54892033"/>
    <w:rsid w:val="548A5B56"/>
    <w:rsid w:val="54A86A7C"/>
    <w:rsid w:val="54AF16DE"/>
    <w:rsid w:val="54B50CF1"/>
    <w:rsid w:val="54B95EEC"/>
    <w:rsid w:val="54C0394D"/>
    <w:rsid w:val="54CA318A"/>
    <w:rsid w:val="54CE39BB"/>
    <w:rsid w:val="54D15DC5"/>
    <w:rsid w:val="54D166F6"/>
    <w:rsid w:val="54D71321"/>
    <w:rsid w:val="54D90BDE"/>
    <w:rsid w:val="54DA747E"/>
    <w:rsid w:val="54E131E2"/>
    <w:rsid w:val="54F43303"/>
    <w:rsid w:val="54F457BC"/>
    <w:rsid w:val="54FC2BCD"/>
    <w:rsid w:val="55131FEC"/>
    <w:rsid w:val="551630FC"/>
    <w:rsid w:val="5523557D"/>
    <w:rsid w:val="55301446"/>
    <w:rsid w:val="554307FE"/>
    <w:rsid w:val="554C05D6"/>
    <w:rsid w:val="555F1B75"/>
    <w:rsid w:val="556A47BF"/>
    <w:rsid w:val="55733F59"/>
    <w:rsid w:val="55863FAB"/>
    <w:rsid w:val="559A3850"/>
    <w:rsid w:val="55A03D0C"/>
    <w:rsid w:val="55B81E3A"/>
    <w:rsid w:val="55C4407D"/>
    <w:rsid w:val="55C62557"/>
    <w:rsid w:val="55CC6981"/>
    <w:rsid w:val="55D02071"/>
    <w:rsid w:val="55D2248F"/>
    <w:rsid w:val="55D226E7"/>
    <w:rsid w:val="55DE46F8"/>
    <w:rsid w:val="55DF09D4"/>
    <w:rsid w:val="55DF4042"/>
    <w:rsid w:val="55E85F28"/>
    <w:rsid w:val="55F15FDB"/>
    <w:rsid w:val="55F86847"/>
    <w:rsid w:val="55F97623"/>
    <w:rsid w:val="56201468"/>
    <w:rsid w:val="56217B10"/>
    <w:rsid w:val="56222B52"/>
    <w:rsid w:val="562B2164"/>
    <w:rsid w:val="56394636"/>
    <w:rsid w:val="564718FB"/>
    <w:rsid w:val="564D42F2"/>
    <w:rsid w:val="565B4EAE"/>
    <w:rsid w:val="565F6532"/>
    <w:rsid w:val="5662423A"/>
    <w:rsid w:val="56647180"/>
    <w:rsid w:val="566E7783"/>
    <w:rsid w:val="567574D3"/>
    <w:rsid w:val="56853787"/>
    <w:rsid w:val="569128DB"/>
    <w:rsid w:val="56980CBC"/>
    <w:rsid w:val="56983D2A"/>
    <w:rsid w:val="569A2AE4"/>
    <w:rsid w:val="56A43F9B"/>
    <w:rsid w:val="56A44466"/>
    <w:rsid w:val="56A61297"/>
    <w:rsid w:val="56B66789"/>
    <w:rsid w:val="56BA4629"/>
    <w:rsid w:val="56C27357"/>
    <w:rsid w:val="56C4073B"/>
    <w:rsid w:val="56D4259B"/>
    <w:rsid w:val="56DC433C"/>
    <w:rsid w:val="56E62A25"/>
    <w:rsid w:val="56E70E91"/>
    <w:rsid w:val="56E945D8"/>
    <w:rsid w:val="56F140FB"/>
    <w:rsid w:val="56FA2572"/>
    <w:rsid w:val="570F38FB"/>
    <w:rsid w:val="57317A2D"/>
    <w:rsid w:val="573343D5"/>
    <w:rsid w:val="57480C7E"/>
    <w:rsid w:val="574E044C"/>
    <w:rsid w:val="577919F1"/>
    <w:rsid w:val="57837719"/>
    <w:rsid w:val="578F06BB"/>
    <w:rsid w:val="578F77B5"/>
    <w:rsid w:val="579537F7"/>
    <w:rsid w:val="579C19DA"/>
    <w:rsid w:val="57AD5472"/>
    <w:rsid w:val="57C14AD0"/>
    <w:rsid w:val="57CA10D2"/>
    <w:rsid w:val="57CD6833"/>
    <w:rsid w:val="57FD013B"/>
    <w:rsid w:val="57FF729E"/>
    <w:rsid w:val="58106CA6"/>
    <w:rsid w:val="58130A39"/>
    <w:rsid w:val="5814199B"/>
    <w:rsid w:val="581553C8"/>
    <w:rsid w:val="58176D45"/>
    <w:rsid w:val="58207C92"/>
    <w:rsid w:val="58247D50"/>
    <w:rsid w:val="58381E6A"/>
    <w:rsid w:val="583C62B7"/>
    <w:rsid w:val="5848185C"/>
    <w:rsid w:val="584F7D5F"/>
    <w:rsid w:val="585B1210"/>
    <w:rsid w:val="585E5941"/>
    <w:rsid w:val="585E782A"/>
    <w:rsid w:val="58656967"/>
    <w:rsid w:val="58705EFC"/>
    <w:rsid w:val="587E014A"/>
    <w:rsid w:val="58804677"/>
    <w:rsid w:val="588307C1"/>
    <w:rsid w:val="5887397A"/>
    <w:rsid w:val="588D33E6"/>
    <w:rsid w:val="589A7317"/>
    <w:rsid w:val="58A04617"/>
    <w:rsid w:val="58A545FC"/>
    <w:rsid w:val="58B038B4"/>
    <w:rsid w:val="58C42F9A"/>
    <w:rsid w:val="58CA623D"/>
    <w:rsid w:val="58E53FCB"/>
    <w:rsid w:val="58EA2C4B"/>
    <w:rsid w:val="58F10149"/>
    <w:rsid w:val="58F7366B"/>
    <w:rsid w:val="59042F7C"/>
    <w:rsid w:val="591050F0"/>
    <w:rsid w:val="592430C6"/>
    <w:rsid w:val="59264D2A"/>
    <w:rsid w:val="59402925"/>
    <w:rsid w:val="5940688D"/>
    <w:rsid w:val="59446117"/>
    <w:rsid w:val="594D0BDB"/>
    <w:rsid w:val="59592ED1"/>
    <w:rsid w:val="59610D60"/>
    <w:rsid w:val="59635C60"/>
    <w:rsid w:val="596541E5"/>
    <w:rsid w:val="596C0F43"/>
    <w:rsid w:val="596D0588"/>
    <w:rsid w:val="596D77E3"/>
    <w:rsid w:val="59744FD4"/>
    <w:rsid w:val="599C00A2"/>
    <w:rsid w:val="599F418D"/>
    <w:rsid w:val="59B23C9A"/>
    <w:rsid w:val="59B94819"/>
    <w:rsid w:val="59C84333"/>
    <w:rsid w:val="59DE28FC"/>
    <w:rsid w:val="59E05471"/>
    <w:rsid w:val="59EB5444"/>
    <w:rsid w:val="59EC3189"/>
    <w:rsid w:val="59EC76FE"/>
    <w:rsid w:val="59F304B9"/>
    <w:rsid w:val="5A06741F"/>
    <w:rsid w:val="5A0B34F7"/>
    <w:rsid w:val="5A0D5EFA"/>
    <w:rsid w:val="5A100BCE"/>
    <w:rsid w:val="5A100EB5"/>
    <w:rsid w:val="5A114CC0"/>
    <w:rsid w:val="5A133792"/>
    <w:rsid w:val="5A1D7EF7"/>
    <w:rsid w:val="5A2815BE"/>
    <w:rsid w:val="5A2E3986"/>
    <w:rsid w:val="5A356DD6"/>
    <w:rsid w:val="5A382C39"/>
    <w:rsid w:val="5A3C0583"/>
    <w:rsid w:val="5A42051E"/>
    <w:rsid w:val="5A445430"/>
    <w:rsid w:val="5A4C635C"/>
    <w:rsid w:val="5A4E0741"/>
    <w:rsid w:val="5A534FF7"/>
    <w:rsid w:val="5A551748"/>
    <w:rsid w:val="5A6B2DA3"/>
    <w:rsid w:val="5A6D0771"/>
    <w:rsid w:val="5A6D2FB5"/>
    <w:rsid w:val="5A787E0A"/>
    <w:rsid w:val="5A8265BB"/>
    <w:rsid w:val="5A890355"/>
    <w:rsid w:val="5A9601DB"/>
    <w:rsid w:val="5AB16789"/>
    <w:rsid w:val="5AB80165"/>
    <w:rsid w:val="5AC616A0"/>
    <w:rsid w:val="5AD259D8"/>
    <w:rsid w:val="5AD97181"/>
    <w:rsid w:val="5AE218F8"/>
    <w:rsid w:val="5AEB60C3"/>
    <w:rsid w:val="5AF93E8D"/>
    <w:rsid w:val="5AFE2F42"/>
    <w:rsid w:val="5B036C0E"/>
    <w:rsid w:val="5B0A4061"/>
    <w:rsid w:val="5B0C5FBD"/>
    <w:rsid w:val="5B1B000A"/>
    <w:rsid w:val="5B1C6576"/>
    <w:rsid w:val="5B2100D5"/>
    <w:rsid w:val="5B2C792B"/>
    <w:rsid w:val="5B4640CB"/>
    <w:rsid w:val="5B464B7E"/>
    <w:rsid w:val="5B4A13C2"/>
    <w:rsid w:val="5B6A2342"/>
    <w:rsid w:val="5B6E69CA"/>
    <w:rsid w:val="5B6F606C"/>
    <w:rsid w:val="5B710FC8"/>
    <w:rsid w:val="5B716D64"/>
    <w:rsid w:val="5B73443F"/>
    <w:rsid w:val="5B743C52"/>
    <w:rsid w:val="5B772B5D"/>
    <w:rsid w:val="5B7B067C"/>
    <w:rsid w:val="5B8411B1"/>
    <w:rsid w:val="5B8453BF"/>
    <w:rsid w:val="5B890F47"/>
    <w:rsid w:val="5B9A3F92"/>
    <w:rsid w:val="5B9B465A"/>
    <w:rsid w:val="5B9E2B29"/>
    <w:rsid w:val="5BA036A9"/>
    <w:rsid w:val="5BA5170C"/>
    <w:rsid w:val="5BA861E5"/>
    <w:rsid w:val="5BAC7567"/>
    <w:rsid w:val="5BBE2742"/>
    <w:rsid w:val="5BC551D7"/>
    <w:rsid w:val="5BCF5FD7"/>
    <w:rsid w:val="5BD64CF3"/>
    <w:rsid w:val="5BD77AF6"/>
    <w:rsid w:val="5BDB09B2"/>
    <w:rsid w:val="5BEE28A9"/>
    <w:rsid w:val="5BFB2A09"/>
    <w:rsid w:val="5BFB638B"/>
    <w:rsid w:val="5C014C14"/>
    <w:rsid w:val="5C0F6CB9"/>
    <w:rsid w:val="5C16288F"/>
    <w:rsid w:val="5C207758"/>
    <w:rsid w:val="5C2969DD"/>
    <w:rsid w:val="5C517365"/>
    <w:rsid w:val="5C5A7340"/>
    <w:rsid w:val="5C617983"/>
    <w:rsid w:val="5C6F147B"/>
    <w:rsid w:val="5C764E25"/>
    <w:rsid w:val="5C7C3DBC"/>
    <w:rsid w:val="5C900FC3"/>
    <w:rsid w:val="5C9763F1"/>
    <w:rsid w:val="5C9E7C2E"/>
    <w:rsid w:val="5CA15D23"/>
    <w:rsid w:val="5CAC4F60"/>
    <w:rsid w:val="5CAC5175"/>
    <w:rsid w:val="5CC334F6"/>
    <w:rsid w:val="5CC61D78"/>
    <w:rsid w:val="5CCC07B0"/>
    <w:rsid w:val="5CD90705"/>
    <w:rsid w:val="5CEB1B81"/>
    <w:rsid w:val="5CEC2D02"/>
    <w:rsid w:val="5CEE257E"/>
    <w:rsid w:val="5CF86D3C"/>
    <w:rsid w:val="5D0015BF"/>
    <w:rsid w:val="5D06031B"/>
    <w:rsid w:val="5D0C3DC7"/>
    <w:rsid w:val="5D193471"/>
    <w:rsid w:val="5D1E77D4"/>
    <w:rsid w:val="5D3025FF"/>
    <w:rsid w:val="5D324075"/>
    <w:rsid w:val="5D3513BC"/>
    <w:rsid w:val="5D3F4041"/>
    <w:rsid w:val="5D4261AF"/>
    <w:rsid w:val="5D4C134D"/>
    <w:rsid w:val="5D6111F2"/>
    <w:rsid w:val="5D6879E4"/>
    <w:rsid w:val="5D6E6F86"/>
    <w:rsid w:val="5D77069D"/>
    <w:rsid w:val="5D88287D"/>
    <w:rsid w:val="5D8A3A67"/>
    <w:rsid w:val="5D9863CF"/>
    <w:rsid w:val="5D9F4100"/>
    <w:rsid w:val="5DAD4DEE"/>
    <w:rsid w:val="5DB00D3B"/>
    <w:rsid w:val="5DC243DB"/>
    <w:rsid w:val="5DCF5FA1"/>
    <w:rsid w:val="5DD30236"/>
    <w:rsid w:val="5DDD7DB4"/>
    <w:rsid w:val="5DE72BB9"/>
    <w:rsid w:val="5DF17B97"/>
    <w:rsid w:val="5DFE49EE"/>
    <w:rsid w:val="5DFF737F"/>
    <w:rsid w:val="5E00208A"/>
    <w:rsid w:val="5E0A43F8"/>
    <w:rsid w:val="5E0C5298"/>
    <w:rsid w:val="5E1272FB"/>
    <w:rsid w:val="5E150433"/>
    <w:rsid w:val="5E1702B0"/>
    <w:rsid w:val="5E1C1670"/>
    <w:rsid w:val="5E232808"/>
    <w:rsid w:val="5E3B61F4"/>
    <w:rsid w:val="5E442AFD"/>
    <w:rsid w:val="5E4E152D"/>
    <w:rsid w:val="5E5100E1"/>
    <w:rsid w:val="5E532D1B"/>
    <w:rsid w:val="5E591204"/>
    <w:rsid w:val="5E6663C5"/>
    <w:rsid w:val="5E690D5E"/>
    <w:rsid w:val="5E746F2A"/>
    <w:rsid w:val="5E775B99"/>
    <w:rsid w:val="5E7A68A3"/>
    <w:rsid w:val="5E8D32BA"/>
    <w:rsid w:val="5EA93002"/>
    <w:rsid w:val="5EAD2C70"/>
    <w:rsid w:val="5EB13B1E"/>
    <w:rsid w:val="5EBA5148"/>
    <w:rsid w:val="5EBC21A5"/>
    <w:rsid w:val="5EC81CA5"/>
    <w:rsid w:val="5ECE6451"/>
    <w:rsid w:val="5ED460B2"/>
    <w:rsid w:val="5ED91797"/>
    <w:rsid w:val="5EDF206B"/>
    <w:rsid w:val="5EEB40CF"/>
    <w:rsid w:val="5EF8260C"/>
    <w:rsid w:val="5EFC246C"/>
    <w:rsid w:val="5F061CD1"/>
    <w:rsid w:val="5F132FF0"/>
    <w:rsid w:val="5F1E30E5"/>
    <w:rsid w:val="5F306901"/>
    <w:rsid w:val="5F377813"/>
    <w:rsid w:val="5F39549A"/>
    <w:rsid w:val="5F3D7AAC"/>
    <w:rsid w:val="5F4E354E"/>
    <w:rsid w:val="5F71439A"/>
    <w:rsid w:val="5F812EE3"/>
    <w:rsid w:val="5F8E39E6"/>
    <w:rsid w:val="5F922566"/>
    <w:rsid w:val="5F9A7B6B"/>
    <w:rsid w:val="5FAA70C2"/>
    <w:rsid w:val="5FAB1230"/>
    <w:rsid w:val="5FAD7930"/>
    <w:rsid w:val="5FB36753"/>
    <w:rsid w:val="5FB454E8"/>
    <w:rsid w:val="5FC376E3"/>
    <w:rsid w:val="5FC559AB"/>
    <w:rsid w:val="5FC876E1"/>
    <w:rsid w:val="5FCD0F39"/>
    <w:rsid w:val="5FD70898"/>
    <w:rsid w:val="5FDB1CEF"/>
    <w:rsid w:val="6000247B"/>
    <w:rsid w:val="60026C59"/>
    <w:rsid w:val="600D2427"/>
    <w:rsid w:val="601F0A73"/>
    <w:rsid w:val="604416A4"/>
    <w:rsid w:val="60465395"/>
    <w:rsid w:val="60477519"/>
    <w:rsid w:val="60531DE4"/>
    <w:rsid w:val="60575B6D"/>
    <w:rsid w:val="606E2515"/>
    <w:rsid w:val="606E6BE4"/>
    <w:rsid w:val="6086096B"/>
    <w:rsid w:val="608C7161"/>
    <w:rsid w:val="60910B2A"/>
    <w:rsid w:val="609A1105"/>
    <w:rsid w:val="60A95C74"/>
    <w:rsid w:val="60BB50C1"/>
    <w:rsid w:val="60C44D75"/>
    <w:rsid w:val="60C54619"/>
    <w:rsid w:val="60CC3323"/>
    <w:rsid w:val="60CE267F"/>
    <w:rsid w:val="60D115A4"/>
    <w:rsid w:val="60D35802"/>
    <w:rsid w:val="60E0624B"/>
    <w:rsid w:val="60E1532B"/>
    <w:rsid w:val="60E42908"/>
    <w:rsid w:val="60EB1E1F"/>
    <w:rsid w:val="60EC1F9E"/>
    <w:rsid w:val="60F0283F"/>
    <w:rsid w:val="60F17CF0"/>
    <w:rsid w:val="610067DF"/>
    <w:rsid w:val="610805B6"/>
    <w:rsid w:val="61105C30"/>
    <w:rsid w:val="61114DB3"/>
    <w:rsid w:val="611B075B"/>
    <w:rsid w:val="611C0A48"/>
    <w:rsid w:val="61202836"/>
    <w:rsid w:val="612C1086"/>
    <w:rsid w:val="61330DFC"/>
    <w:rsid w:val="613A76B5"/>
    <w:rsid w:val="613E7918"/>
    <w:rsid w:val="61420DBB"/>
    <w:rsid w:val="61443667"/>
    <w:rsid w:val="61452033"/>
    <w:rsid w:val="6148394B"/>
    <w:rsid w:val="614A6ACB"/>
    <w:rsid w:val="61577355"/>
    <w:rsid w:val="616630C6"/>
    <w:rsid w:val="61665F39"/>
    <w:rsid w:val="616B0236"/>
    <w:rsid w:val="617B16A8"/>
    <w:rsid w:val="619028A6"/>
    <w:rsid w:val="61A82072"/>
    <w:rsid w:val="61B0024D"/>
    <w:rsid w:val="61B22B22"/>
    <w:rsid w:val="61BC65D1"/>
    <w:rsid w:val="61C675E9"/>
    <w:rsid w:val="61CB5C30"/>
    <w:rsid w:val="61D758F4"/>
    <w:rsid w:val="61D80FC7"/>
    <w:rsid w:val="61E33148"/>
    <w:rsid w:val="61EB1D46"/>
    <w:rsid w:val="61FF1DCD"/>
    <w:rsid w:val="620F5E0E"/>
    <w:rsid w:val="6215352D"/>
    <w:rsid w:val="6219297F"/>
    <w:rsid w:val="622324D6"/>
    <w:rsid w:val="62246687"/>
    <w:rsid w:val="62264FF6"/>
    <w:rsid w:val="62355ABE"/>
    <w:rsid w:val="625379F3"/>
    <w:rsid w:val="625F1916"/>
    <w:rsid w:val="626058A9"/>
    <w:rsid w:val="627002FC"/>
    <w:rsid w:val="627A4079"/>
    <w:rsid w:val="629B46A2"/>
    <w:rsid w:val="62A3326C"/>
    <w:rsid w:val="62AC2443"/>
    <w:rsid w:val="62B0741E"/>
    <w:rsid w:val="62B91FBD"/>
    <w:rsid w:val="62BE7C14"/>
    <w:rsid w:val="62C165DD"/>
    <w:rsid w:val="62CB7263"/>
    <w:rsid w:val="62DA0E37"/>
    <w:rsid w:val="62DB4EDF"/>
    <w:rsid w:val="62DD1B78"/>
    <w:rsid w:val="62DE182A"/>
    <w:rsid w:val="62E13A1F"/>
    <w:rsid w:val="62E32931"/>
    <w:rsid w:val="62E609AF"/>
    <w:rsid w:val="62EE2350"/>
    <w:rsid w:val="62F62D17"/>
    <w:rsid w:val="63076198"/>
    <w:rsid w:val="63197191"/>
    <w:rsid w:val="632F1AEC"/>
    <w:rsid w:val="6332257C"/>
    <w:rsid w:val="633F7B08"/>
    <w:rsid w:val="63534332"/>
    <w:rsid w:val="635C2933"/>
    <w:rsid w:val="635C3D24"/>
    <w:rsid w:val="635E2BE0"/>
    <w:rsid w:val="63636EB0"/>
    <w:rsid w:val="636C3444"/>
    <w:rsid w:val="63777076"/>
    <w:rsid w:val="6379766A"/>
    <w:rsid w:val="637E241F"/>
    <w:rsid w:val="63836FE7"/>
    <w:rsid w:val="63840FA0"/>
    <w:rsid w:val="63907C89"/>
    <w:rsid w:val="6398788F"/>
    <w:rsid w:val="63A07392"/>
    <w:rsid w:val="63A15013"/>
    <w:rsid w:val="63A71D99"/>
    <w:rsid w:val="63A857C6"/>
    <w:rsid w:val="63C079C8"/>
    <w:rsid w:val="63C41718"/>
    <w:rsid w:val="63C50CA4"/>
    <w:rsid w:val="63D53F5A"/>
    <w:rsid w:val="63DA198A"/>
    <w:rsid w:val="63DE31C5"/>
    <w:rsid w:val="63EC42CE"/>
    <w:rsid w:val="63F26395"/>
    <w:rsid w:val="63FD3C8B"/>
    <w:rsid w:val="63FE2017"/>
    <w:rsid w:val="64086BE0"/>
    <w:rsid w:val="640E1042"/>
    <w:rsid w:val="64103871"/>
    <w:rsid w:val="64210CCB"/>
    <w:rsid w:val="6446311F"/>
    <w:rsid w:val="6449081E"/>
    <w:rsid w:val="6455400F"/>
    <w:rsid w:val="64572E6D"/>
    <w:rsid w:val="64593DFA"/>
    <w:rsid w:val="645B1206"/>
    <w:rsid w:val="645E5D2E"/>
    <w:rsid w:val="646D06C4"/>
    <w:rsid w:val="646E2EB8"/>
    <w:rsid w:val="647E7E08"/>
    <w:rsid w:val="64830F69"/>
    <w:rsid w:val="64931F11"/>
    <w:rsid w:val="649A0ABA"/>
    <w:rsid w:val="64AB6DAD"/>
    <w:rsid w:val="64AC4B27"/>
    <w:rsid w:val="64AF3FF1"/>
    <w:rsid w:val="64B23CB6"/>
    <w:rsid w:val="64BC17BB"/>
    <w:rsid w:val="64BD2338"/>
    <w:rsid w:val="64C4071B"/>
    <w:rsid w:val="64C427EC"/>
    <w:rsid w:val="64C6511B"/>
    <w:rsid w:val="64D77EEC"/>
    <w:rsid w:val="64DA391C"/>
    <w:rsid w:val="64DB5D22"/>
    <w:rsid w:val="64F1178E"/>
    <w:rsid w:val="64FC5F3B"/>
    <w:rsid w:val="65111636"/>
    <w:rsid w:val="651D0BB5"/>
    <w:rsid w:val="652C1CD6"/>
    <w:rsid w:val="652D1935"/>
    <w:rsid w:val="65404114"/>
    <w:rsid w:val="655532F7"/>
    <w:rsid w:val="65783306"/>
    <w:rsid w:val="657866C4"/>
    <w:rsid w:val="658247E4"/>
    <w:rsid w:val="65827F06"/>
    <w:rsid w:val="658C75DF"/>
    <w:rsid w:val="659C3613"/>
    <w:rsid w:val="659D195E"/>
    <w:rsid w:val="659F0550"/>
    <w:rsid w:val="65A37DBC"/>
    <w:rsid w:val="65AB71D2"/>
    <w:rsid w:val="65AD3140"/>
    <w:rsid w:val="65B540D9"/>
    <w:rsid w:val="65B76858"/>
    <w:rsid w:val="65C1767E"/>
    <w:rsid w:val="65D122BF"/>
    <w:rsid w:val="65D57E0E"/>
    <w:rsid w:val="65D61B1A"/>
    <w:rsid w:val="65D7651B"/>
    <w:rsid w:val="65E3601A"/>
    <w:rsid w:val="65E62ED8"/>
    <w:rsid w:val="65EB6C6F"/>
    <w:rsid w:val="65F10948"/>
    <w:rsid w:val="65F35F04"/>
    <w:rsid w:val="6601485A"/>
    <w:rsid w:val="66046B4E"/>
    <w:rsid w:val="6607117A"/>
    <w:rsid w:val="6615758F"/>
    <w:rsid w:val="66196ECC"/>
    <w:rsid w:val="66200F58"/>
    <w:rsid w:val="662F5543"/>
    <w:rsid w:val="662F7E78"/>
    <w:rsid w:val="663E460A"/>
    <w:rsid w:val="6657159A"/>
    <w:rsid w:val="665D343F"/>
    <w:rsid w:val="66644753"/>
    <w:rsid w:val="66694836"/>
    <w:rsid w:val="666E4B39"/>
    <w:rsid w:val="66727DB4"/>
    <w:rsid w:val="66760BD7"/>
    <w:rsid w:val="66770C98"/>
    <w:rsid w:val="66782D0F"/>
    <w:rsid w:val="669361A9"/>
    <w:rsid w:val="669E28FB"/>
    <w:rsid w:val="66A3333B"/>
    <w:rsid w:val="66A43DB4"/>
    <w:rsid w:val="66A71C88"/>
    <w:rsid w:val="66A87269"/>
    <w:rsid w:val="66EE6FD6"/>
    <w:rsid w:val="6703713B"/>
    <w:rsid w:val="670F2CA0"/>
    <w:rsid w:val="671F4472"/>
    <w:rsid w:val="67291A0F"/>
    <w:rsid w:val="672F1E85"/>
    <w:rsid w:val="676736B6"/>
    <w:rsid w:val="677364EC"/>
    <w:rsid w:val="67750ABD"/>
    <w:rsid w:val="678122F4"/>
    <w:rsid w:val="678D34E0"/>
    <w:rsid w:val="678D736E"/>
    <w:rsid w:val="678E2725"/>
    <w:rsid w:val="679B08DF"/>
    <w:rsid w:val="67A40605"/>
    <w:rsid w:val="67A7026C"/>
    <w:rsid w:val="67CF0021"/>
    <w:rsid w:val="67D742CB"/>
    <w:rsid w:val="67DE0D83"/>
    <w:rsid w:val="67DF1078"/>
    <w:rsid w:val="67EC7DE2"/>
    <w:rsid w:val="67EF03F0"/>
    <w:rsid w:val="67FD29F7"/>
    <w:rsid w:val="68027B8F"/>
    <w:rsid w:val="680728BA"/>
    <w:rsid w:val="680817AE"/>
    <w:rsid w:val="68206398"/>
    <w:rsid w:val="682279B0"/>
    <w:rsid w:val="68231AA6"/>
    <w:rsid w:val="6832387B"/>
    <w:rsid w:val="683B523E"/>
    <w:rsid w:val="684405CC"/>
    <w:rsid w:val="68496D13"/>
    <w:rsid w:val="68503BF2"/>
    <w:rsid w:val="68513875"/>
    <w:rsid w:val="68692696"/>
    <w:rsid w:val="68750B51"/>
    <w:rsid w:val="688D2B33"/>
    <w:rsid w:val="689C79FC"/>
    <w:rsid w:val="689D6171"/>
    <w:rsid w:val="68A70438"/>
    <w:rsid w:val="68A87DD3"/>
    <w:rsid w:val="68AA72DB"/>
    <w:rsid w:val="68AD4BCE"/>
    <w:rsid w:val="68CC3DE0"/>
    <w:rsid w:val="68D777CC"/>
    <w:rsid w:val="68E324DC"/>
    <w:rsid w:val="68F6776E"/>
    <w:rsid w:val="68FC2D37"/>
    <w:rsid w:val="690A2A6D"/>
    <w:rsid w:val="69142C71"/>
    <w:rsid w:val="69172F0A"/>
    <w:rsid w:val="69214729"/>
    <w:rsid w:val="6922067B"/>
    <w:rsid w:val="69321A61"/>
    <w:rsid w:val="694A4E99"/>
    <w:rsid w:val="69520496"/>
    <w:rsid w:val="695C6610"/>
    <w:rsid w:val="696449B4"/>
    <w:rsid w:val="69695B9C"/>
    <w:rsid w:val="696A640D"/>
    <w:rsid w:val="696C2BC7"/>
    <w:rsid w:val="697164A6"/>
    <w:rsid w:val="69792ADF"/>
    <w:rsid w:val="69997176"/>
    <w:rsid w:val="699A2A0E"/>
    <w:rsid w:val="699C354E"/>
    <w:rsid w:val="69A311FE"/>
    <w:rsid w:val="69B311E0"/>
    <w:rsid w:val="69C92579"/>
    <w:rsid w:val="69CB25F8"/>
    <w:rsid w:val="69D503B0"/>
    <w:rsid w:val="69DF1C8C"/>
    <w:rsid w:val="69E42E40"/>
    <w:rsid w:val="69E9611D"/>
    <w:rsid w:val="69F149EA"/>
    <w:rsid w:val="69FE5BB5"/>
    <w:rsid w:val="6A0C66E5"/>
    <w:rsid w:val="6A137278"/>
    <w:rsid w:val="6A15629A"/>
    <w:rsid w:val="6A1B4786"/>
    <w:rsid w:val="6A25691C"/>
    <w:rsid w:val="6A2E45BB"/>
    <w:rsid w:val="6A362A0F"/>
    <w:rsid w:val="6A55282D"/>
    <w:rsid w:val="6A602333"/>
    <w:rsid w:val="6A6447E5"/>
    <w:rsid w:val="6A76433A"/>
    <w:rsid w:val="6A7A4451"/>
    <w:rsid w:val="6A7D22D8"/>
    <w:rsid w:val="6A81547A"/>
    <w:rsid w:val="6A917936"/>
    <w:rsid w:val="6A930F1A"/>
    <w:rsid w:val="6A9339C4"/>
    <w:rsid w:val="6A94212E"/>
    <w:rsid w:val="6A975464"/>
    <w:rsid w:val="6A9D0F09"/>
    <w:rsid w:val="6AA61BD5"/>
    <w:rsid w:val="6AAF7B96"/>
    <w:rsid w:val="6AB271BF"/>
    <w:rsid w:val="6AB303A3"/>
    <w:rsid w:val="6AB44861"/>
    <w:rsid w:val="6AB978A5"/>
    <w:rsid w:val="6ACA3A8C"/>
    <w:rsid w:val="6ACF11A8"/>
    <w:rsid w:val="6AD47CD9"/>
    <w:rsid w:val="6ADA325C"/>
    <w:rsid w:val="6ADD01AA"/>
    <w:rsid w:val="6AF25534"/>
    <w:rsid w:val="6AF76936"/>
    <w:rsid w:val="6AF9322F"/>
    <w:rsid w:val="6AFB08D2"/>
    <w:rsid w:val="6B0344BB"/>
    <w:rsid w:val="6B0530ED"/>
    <w:rsid w:val="6B277907"/>
    <w:rsid w:val="6B296584"/>
    <w:rsid w:val="6B3158B9"/>
    <w:rsid w:val="6B322D81"/>
    <w:rsid w:val="6B340849"/>
    <w:rsid w:val="6B3928B6"/>
    <w:rsid w:val="6B462CE0"/>
    <w:rsid w:val="6B4F273B"/>
    <w:rsid w:val="6B514E1B"/>
    <w:rsid w:val="6B577EAB"/>
    <w:rsid w:val="6B6432ED"/>
    <w:rsid w:val="6B786F8B"/>
    <w:rsid w:val="6B866978"/>
    <w:rsid w:val="6B891E19"/>
    <w:rsid w:val="6B941FCC"/>
    <w:rsid w:val="6B9D3663"/>
    <w:rsid w:val="6B9E2231"/>
    <w:rsid w:val="6BA935C4"/>
    <w:rsid w:val="6BBE46B8"/>
    <w:rsid w:val="6BC43F1F"/>
    <w:rsid w:val="6BC6761F"/>
    <w:rsid w:val="6BC91D6E"/>
    <w:rsid w:val="6BD839B0"/>
    <w:rsid w:val="6BDB5C94"/>
    <w:rsid w:val="6BDB6090"/>
    <w:rsid w:val="6BDC1899"/>
    <w:rsid w:val="6BE10C30"/>
    <w:rsid w:val="6BED3CC8"/>
    <w:rsid w:val="6BF07518"/>
    <w:rsid w:val="6BF91AB4"/>
    <w:rsid w:val="6C040C2B"/>
    <w:rsid w:val="6C046802"/>
    <w:rsid w:val="6C0E79A8"/>
    <w:rsid w:val="6C122656"/>
    <w:rsid w:val="6C1B696A"/>
    <w:rsid w:val="6C285280"/>
    <w:rsid w:val="6C2B4CD0"/>
    <w:rsid w:val="6C394A87"/>
    <w:rsid w:val="6C396A79"/>
    <w:rsid w:val="6C3B6833"/>
    <w:rsid w:val="6C3D11C6"/>
    <w:rsid w:val="6C3E677A"/>
    <w:rsid w:val="6C4F610C"/>
    <w:rsid w:val="6C7B5E0B"/>
    <w:rsid w:val="6C7F69A8"/>
    <w:rsid w:val="6C8456D5"/>
    <w:rsid w:val="6C8E5586"/>
    <w:rsid w:val="6C9E52CA"/>
    <w:rsid w:val="6CA21347"/>
    <w:rsid w:val="6CAC757A"/>
    <w:rsid w:val="6CAF3B58"/>
    <w:rsid w:val="6CB12C8C"/>
    <w:rsid w:val="6CB32FFA"/>
    <w:rsid w:val="6CB973DE"/>
    <w:rsid w:val="6CC3557E"/>
    <w:rsid w:val="6CC96B43"/>
    <w:rsid w:val="6CD86545"/>
    <w:rsid w:val="6CDE1346"/>
    <w:rsid w:val="6CEA65C7"/>
    <w:rsid w:val="6CF648CC"/>
    <w:rsid w:val="6D0336F9"/>
    <w:rsid w:val="6D064EC8"/>
    <w:rsid w:val="6D210D18"/>
    <w:rsid w:val="6D24745D"/>
    <w:rsid w:val="6D260C96"/>
    <w:rsid w:val="6D36300F"/>
    <w:rsid w:val="6D413F66"/>
    <w:rsid w:val="6D434685"/>
    <w:rsid w:val="6D4836EB"/>
    <w:rsid w:val="6D680F99"/>
    <w:rsid w:val="6D6F0E9F"/>
    <w:rsid w:val="6D9F0301"/>
    <w:rsid w:val="6DB678CB"/>
    <w:rsid w:val="6DBD23B8"/>
    <w:rsid w:val="6DC242FF"/>
    <w:rsid w:val="6DC30087"/>
    <w:rsid w:val="6DCC0111"/>
    <w:rsid w:val="6DDF30E4"/>
    <w:rsid w:val="6DEC597F"/>
    <w:rsid w:val="6DF450FF"/>
    <w:rsid w:val="6DF46255"/>
    <w:rsid w:val="6DFC5EAD"/>
    <w:rsid w:val="6E1A4D22"/>
    <w:rsid w:val="6E2C0D58"/>
    <w:rsid w:val="6E2D02DD"/>
    <w:rsid w:val="6E2E476A"/>
    <w:rsid w:val="6E303CE8"/>
    <w:rsid w:val="6E37612F"/>
    <w:rsid w:val="6E4C5B50"/>
    <w:rsid w:val="6E531FEA"/>
    <w:rsid w:val="6E642863"/>
    <w:rsid w:val="6E6D7CE0"/>
    <w:rsid w:val="6E923D3F"/>
    <w:rsid w:val="6EA16762"/>
    <w:rsid w:val="6EAF0BF3"/>
    <w:rsid w:val="6EB02F99"/>
    <w:rsid w:val="6EBE1A41"/>
    <w:rsid w:val="6EC0731A"/>
    <w:rsid w:val="6EC201A9"/>
    <w:rsid w:val="6EC529FD"/>
    <w:rsid w:val="6EF07EC9"/>
    <w:rsid w:val="6EFB632C"/>
    <w:rsid w:val="6F0714A5"/>
    <w:rsid w:val="6F0E30D9"/>
    <w:rsid w:val="6F183C2E"/>
    <w:rsid w:val="6F1A7F51"/>
    <w:rsid w:val="6F264D12"/>
    <w:rsid w:val="6F290204"/>
    <w:rsid w:val="6F2C7DCC"/>
    <w:rsid w:val="6F2D30A9"/>
    <w:rsid w:val="6F322600"/>
    <w:rsid w:val="6F3327D0"/>
    <w:rsid w:val="6F33787F"/>
    <w:rsid w:val="6F345DA1"/>
    <w:rsid w:val="6F35675E"/>
    <w:rsid w:val="6F45623B"/>
    <w:rsid w:val="6F460A3C"/>
    <w:rsid w:val="6F461E62"/>
    <w:rsid w:val="6F4A0249"/>
    <w:rsid w:val="6F5233AC"/>
    <w:rsid w:val="6F536E13"/>
    <w:rsid w:val="6F5D7020"/>
    <w:rsid w:val="6F7D735D"/>
    <w:rsid w:val="6F7F634F"/>
    <w:rsid w:val="6F817ABF"/>
    <w:rsid w:val="6F852C45"/>
    <w:rsid w:val="6F861D86"/>
    <w:rsid w:val="6F861E4D"/>
    <w:rsid w:val="6F9B66B7"/>
    <w:rsid w:val="6F9F2391"/>
    <w:rsid w:val="6FAF7B43"/>
    <w:rsid w:val="6FB552C1"/>
    <w:rsid w:val="6FB813DA"/>
    <w:rsid w:val="6FBD2CF9"/>
    <w:rsid w:val="6FC43F33"/>
    <w:rsid w:val="6FCA5E05"/>
    <w:rsid w:val="6FD511D2"/>
    <w:rsid w:val="6FF87E02"/>
    <w:rsid w:val="6FFE0C27"/>
    <w:rsid w:val="6FFF1D0E"/>
    <w:rsid w:val="70023EF4"/>
    <w:rsid w:val="700C0DDB"/>
    <w:rsid w:val="700C30E5"/>
    <w:rsid w:val="70234C2A"/>
    <w:rsid w:val="702E6608"/>
    <w:rsid w:val="7031537B"/>
    <w:rsid w:val="7035627A"/>
    <w:rsid w:val="703774A1"/>
    <w:rsid w:val="703C60B0"/>
    <w:rsid w:val="7049004D"/>
    <w:rsid w:val="704D6F6E"/>
    <w:rsid w:val="704E6356"/>
    <w:rsid w:val="70536C3C"/>
    <w:rsid w:val="705B5C8B"/>
    <w:rsid w:val="706106E9"/>
    <w:rsid w:val="706F6846"/>
    <w:rsid w:val="70716992"/>
    <w:rsid w:val="70816334"/>
    <w:rsid w:val="709A06F7"/>
    <w:rsid w:val="709C5A9C"/>
    <w:rsid w:val="709F599B"/>
    <w:rsid w:val="70A02966"/>
    <w:rsid w:val="70A316C1"/>
    <w:rsid w:val="70A64BAB"/>
    <w:rsid w:val="70B250B0"/>
    <w:rsid w:val="70B369E3"/>
    <w:rsid w:val="70BF18F1"/>
    <w:rsid w:val="70C34E17"/>
    <w:rsid w:val="70C44BE7"/>
    <w:rsid w:val="70C65C06"/>
    <w:rsid w:val="70C942BC"/>
    <w:rsid w:val="70CE1848"/>
    <w:rsid w:val="70D94197"/>
    <w:rsid w:val="70EC3566"/>
    <w:rsid w:val="70FF6A13"/>
    <w:rsid w:val="7115523A"/>
    <w:rsid w:val="711B525A"/>
    <w:rsid w:val="712D47C3"/>
    <w:rsid w:val="712E0FDD"/>
    <w:rsid w:val="7133503F"/>
    <w:rsid w:val="7138443C"/>
    <w:rsid w:val="713C3926"/>
    <w:rsid w:val="71495716"/>
    <w:rsid w:val="71546CDA"/>
    <w:rsid w:val="715E10D1"/>
    <w:rsid w:val="716B6DA7"/>
    <w:rsid w:val="7170132E"/>
    <w:rsid w:val="717F6036"/>
    <w:rsid w:val="718423DB"/>
    <w:rsid w:val="71A102E1"/>
    <w:rsid w:val="71A62743"/>
    <w:rsid w:val="71AB0D49"/>
    <w:rsid w:val="71B11300"/>
    <w:rsid w:val="71B41465"/>
    <w:rsid w:val="71C52FA3"/>
    <w:rsid w:val="71C54CF1"/>
    <w:rsid w:val="71C8300F"/>
    <w:rsid w:val="71C903BF"/>
    <w:rsid w:val="71C94930"/>
    <w:rsid w:val="71DD3962"/>
    <w:rsid w:val="71F540EF"/>
    <w:rsid w:val="71FF7992"/>
    <w:rsid w:val="72107D9F"/>
    <w:rsid w:val="72122369"/>
    <w:rsid w:val="721643D1"/>
    <w:rsid w:val="72263B15"/>
    <w:rsid w:val="72402198"/>
    <w:rsid w:val="72412528"/>
    <w:rsid w:val="724128C6"/>
    <w:rsid w:val="724441A8"/>
    <w:rsid w:val="724D02ED"/>
    <w:rsid w:val="72595B49"/>
    <w:rsid w:val="726F6D5C"/>
    <w:rsid w:val="7275483D"/>
    <w:rsid w:val="72765C32"/>
    <w:rsid w:val="728E5B8B"/>
    <w:rsid w:val="72906E04"/>
    <w:rsid w:val="729F1235"/>
    <w:rsid w:val="729F77E1"/>
    <w:rsid w:val="72A102BB"/>
    <w:rsid w:val="72AF0710"/>
    <w:rsid w:val="72B478D1"/>
    <w:rsid w:val="72B47B95"/>
    <w:rsid w:val="72B53423"/>
    <w:rsid w:val="72BF79CF"/>
    <w:rsid w:val="72C7434F"/>
    <w:rsid w:val="72DE2745"/>
    <w:rsid w:val="72E054B1"/>
    <w:rsid w:val="72E104EE"/>
    <w:rsid w:val="72E607CB"/>
    <w:rsid w:val="72E824FD"/>
    <w:rsid w:val="72EA4FFC"/>
    <w:rsid w:val="72FE7918"/>
    <w:rsid w:val="73047A73"/>
    <w:rsid w:val="73114E7C"/>
    <w:rsid w:val="73156D94"/>
    <w:rsid w:val="7318429A"/>
    <w:rsid w:val="732D5CDB"/>
    <w:rsid w:val="73334648"/>
    <w:rsid w:val="734D4252"/>
    <w:rsid w:val="73555484"/>
    <w:rsid w:val="735E0EEA"/>
    <w:rsid w:val="736562BD"/>
    <w:rsid w:val="737B6E01"/>
    <w:rsid w:val="738B68E0"/>
    <w:rsid w:val="738D3F2F"/>
    <w:rsid w:val="7391660C"/>
    <w:rsid w:val="739E52C3"/>
    <w:rsid w:val="73A45FC4"/>
    <w:rsid w:val="73AA6454"/>
    <w:rsid w:val="73AB73FF"/>
    <w:rsid w:val="73C26A0C"/>
    <w:rsid w:val="73CE552C"/>
    <w:rsid w:val="73DA682A"/>
    <w:rsid w:val="73E444BF"/>
    <w:rsid w:val="73E507D2"/>
    <w:rsid w:val="73F50B4E"/>
    <w:rsid w:val="74196000"/>
    <w:rsid w:val="7425633E"/>
    <w:rsid w:val="742705A4"/>
    <w:rsid w:val="7427607C"/>
    <w:rsid w:val="744228E5"/>
    <w:rsid w:val="74433E84"/>
    <w:rsid w:val="74586E75"/>
    <w:rsid w:val="746077C0"/>
    <w:rsid w:val="747A4689"/>
    <w:rsid w:val="748616D3"/>
    <w:rsid w:val="749909AF"/>
    <w:rsid w:val="74A04908"/>
    <w:rsid w:val="74A940DE"/>
    <w:rsid w:val="74AC43EA"/>
    <w:rsid w:val="74B72E19"/>
    <w:rsid w:val="74BA5741"/>
    <w:rsid w:val="74C462AD"/>
    <w:rsid w:val="74C46333"/>
    <w:rsid w:val="74C9141D"/>
    <w:rsid w:val="74DA056B"/>
    <w:rsid w:val="74EA4752"/>
    <w:rsid w:val="74EA6CC5"/>
    <w:rsid w:val="74EE476F"/>
    <w:rsid w:val="74FA1A86"/>
    <w:rsid w:val="750C07C0"/>
    <w:rsid w:val="750E7294"/>
    <w:rsid w:val="7512566A"/>
    <w:rsid w:val="75150800"/>
    <w:rsid w:val="75201419"/>
    <w:rsid w:val="75235EAD"/>
    <w:rsid w:val="752524C3"/>
    <w:rsid w:val="752A4FEA"/>
    <w:rsid w:val="752E62B7"/>
    <w:rsid w:val="753303E3"/>
    <w:rsid w:val="75342C09"/>
    <w:rsid w:val="753A14EF"/>
    <w:rsid w:val="75467961"/>
    <w:rsid w:val="75632990"/>
    <w:rsid w:val="7567515E"/>
    <w:rsid w:val="75733B41"/>
    <w:rsid w:val="758C63AD"/>
    <w:rsid w:val="7590597C"/>
    <w:rsid w:val="759A1FF9"/>
    <w:rsid w:val="75A05D4D"/>
    <w:rsid w:val="75C71310"/>
    <w:rsid w:val="75F24E3F"/>
    <w:rsid w:val="75FE013E"/>
    <w:rsid w:val="76036C9D"/>
    <w:rsid w:val="76066D64"/>
    <w:rsid w:val="76073E2F"/>
    <w:rsid w:val="760A5457"/>
    <w:rsid w:val="761C35EB"/>
    <w:rsid w:val="761D10F5"/>
    <w:rsid w:val="76206BF8"/>
    <w:rsid w:val="76217E36"/>
    <w:rsid w:val="762348EF"/>
    <w:rsid w:val="763358B6"/>
    <w:rsid w:val="763D14D8"/>
    <w:rsid w:val="764351DD"/>
    <w:rsid w:val="764470CE"/>
    <w:rsid w:val="764D5B5A"/>
    <w:rsid w:val="76632F71"/>
    <w:rsid w:val="76667CCC"/>
    <w:rsid w:val="7668739C"/>
    <w:rsid w:val="76706ECF"/>
    <w:rsid w:val="767D62A9"/>
    <w:rsid w:val="7690759B"/>
    <w:rsid w:val="76914810"/>
    <w:rsid w:val="76987ECA"/>
    <w:rsid w:val="76A044CE"/>
    <w:rsid w:val="76A06605"/>
    <w:rsid w:val="76AA10FD"/>
    <w:rsid w:val="76BB1322"/>
    <w:rsid w:val="76CE1B1D"/>
    <w:rsid w:val="76D0048F"/>
    <w:rsid w:val="76D222A7"/>
    <w:rsid w:val="76D57902"/>
    <w:rsid w:val="76DB2223"/>
    <w:rsid w:val="76E625D6"/>
    <w:rsid w:val="76EE647F"/>
    <w:rsid w:val="77081635"/>
    <w:rsid w:val="77127D5F"/>
    <w:rsid w:val="771C2CB9"/>
    <w:rsid w:val="77223989"/>
    <w:rsid w:val="772445FD"/>
    <w:rsid w:val="772A243C"/>
    <w:rsid w:val="77334555"/>
    <w:rsid w:val="773E41EC"/>
    <w:rsid w:val="775F7ED4"/>
    <w:rsid w:val="77602396"/>
    <w:rsid w:val="776216AC"/>
    <w:rsid w:val="77660E84"/>
    <w:rsid w:val="77675034"/>
    <w:rsid w:val="777109FF"/>
    <w:rsid w:val="7774505B"/>
    <w:rsid w:val="777520F0"/>
    <w:rsid w:val="77790B86"/>
    <w:rsid w:val="77865529"/>
    <w:rsid w:val="77A05409"/>
    <w:rsid w:val="77A116E4"/>
    <w:rsid w:val="77A14537"/>
    <w:rsid w:val="77A25E80"/>
    <w:rsid w:val="77AA0850"/>
    <w:rsid w:val="77AF7330"/>
    <w:rsid w:val="77BC3C32"/>
    <w:rsid w:val="77BC6EFE"/>
    <w:rsid w:val="77C849D9"/>
    <w:rsid w:val="77CE5F93"/>
    <w:rsid w:val="77D74233"/>
    <w:rsid w:val="77D873B8"/>
    <w:rsid w:val="77E63BD8"/>
    <w:rsid w:val="77EC5DEC"/>
    <w:rsid w:val="77F3388A"/>
    <w:rsid w:val="77F8507F"/>
    <w:rsid w:val="78024CAA"/>
    <w:rsid w:val="780E1489"/>
    <w:rsid w:val="78107604"/>
    <w:rsid w:val="78192C2A"/>
    <w:rsid w:val="782E7B78"/>
    <w:rsid w:val="785100AD"/>
    <w:rsid w:val="785D207F"/>
    <w:rsid w:val="785F3F4E"/>
    <w:rsid w:val="786666E0"/>
    <w:rsid w:val="786A1C66"/>
    <w:rsid w:val="786A5DDD"/>
    <w:rsid w:val="7873085C"/>
    <w:rsid w:val="78825341"/>
    <w:rsid w:val="7884737B"/>
    <w:rsid w:val="788530DA"/>
    <w:rsid w:val="78860546"/>
    <w:rsid w:val="788900E3"/>
    <w:rsid w:val="78907BEC"/>
    <w:rsid w:val="789869F2"/>
    <w:rsid w:val="78A1579C"/>
    <w:rsid w:val="78A43C9F"/>
    <w:rsid w:val="78A57541"/>
    <w:rsid w:val="78B26191"/>
    <w:rsid w:val="78B5277E"/>
    <w:rsid w:val="78B91E23"/>
    <w:rsid w:val="78BA7E4F"/>
    <w:rsid w:val="78D179BD"/>
    <w:rsid w:val="78F70794"/>
    <w:rsid w:val="78FE1436"/>
    <w:rsid w:val="78FF5ADA"/>
    <w:rsid w:val="790067FB"/>
    <w:rsid w:val="790615DD"/>
    <w:rsid w:val="790B19DC"/>
    <w:rsid w:val="7910114E"/>
    <w:rsid w:val="791909DD"/>
    <w:rsid w:val="7919794D"/>
    <w:rsid w:val="79353CEE"/>
    <w:rsid w:val="793762C5"/>
    <w:rsid w:val="793B32B4"/>
    <w:rsid w:val="79475B93"/>
    <w:rsid w:val="79660D5F"/>
    <w:rsid w:val="79666829"/>
    <w:rsid w:val="796B7191"/>
    <w:rsid w:val="796F0574"/>
    <w:rsid w:val="797B664A"/>
    <w:rsid w:val="7985035C"/>
    <w:rsid w:val="798E52BC"/>
    <w:rsid w:val="799C0111"/>
    <w:rsid w:val="799D4319"/>
    <w:rsid w:val="799F189F"/>
    <w:rsid w:val="79A33C3A"/>
    <w:rsid w:val="79A43C91"/>
    <w:rsid w:val="79A95071"/>
    <w:rsid w:val="79AC38BC"/>
    <w:rsid w:val="79AC7B66"/>
    <w:rsid w:val="79C128E4"/>
    <w:rsid w:val="79C911C2"/>
    <w:rsid w:val="79CE67DB"/>
    <w:rsid w:val="79D6563F"/>
    <w:rsid w:val="79D838BA"/>
    <w:rsid w:val="79F620AD"/>
    <w:rsid w:val="79F649EE"/>
    <w:rsid w:val="79FB25B1"/>
    <w:rsid w:val="7A0C0F31"/>
    <w:rsid w:val="7A0F38B5"/>
    <w:rsid w:val="7A101D0D"/>
    <w:rsid w:val="7A120C0C"/>
    <w:rsid w:val="7A1C44DD"/>
    <w:rsid w:val="7A1C66FB"/>
    <w:rsid w:val="7A2E68F6"/>
    <w:rsid w:val="7A396E1F"/>
    <w:rsid w:val="7A4C5A3B"/>
    <w:rsid w:val="7A5339A0"/>
    <w:rsid w:val="7A5B05B6"/>
    <w:rsid w:val="7A630172"/>
    <w:rsid w:val="7A631309"/>
    <w:rsid w:val="7A64716D"/>
    <w:rsid w:val="7A7D67F0"/>
    <w:rsid w:val="7A921E21"/>
    <w:rsid w:val="7AA91090"/>
    <w:rsid w:val="7AD41622"/>
    <w:rsid w:val="7ADD47D1"/>
    <w:rsid w:val="7ADE3173"/>
    <w:rsid w:val="7AEB5162"/>
    <w:rsid w:val="7AED5C05"/>
    <w:rsid w:val="7AF94986"/>
    <w:rsid w:val="7AFE39BA"/>
    <w:rsid w:val="7B0408F4"/>
    <w:rsid w:val="7B232943"/>
    <w:rsid w:val="7B407DF2"/>
    <w:rsid w:val="7B46015A"/>
    <w:rsid w:val="7B553B77"/>
    <w:rsid w:val="7B553CD4"/>
    <w:rsid w:val="7B577614"/>
    <w:rsid w:val="7B5B56F4"/>
    <w:rsid w:val="7B5E0DB7"/>
    <w:rsid w:val="7B5F4FA3"/>
    <w:rsid w:val="7B682767"/>
    <w:rsid w:val="7B6B63B3"/>
    <w:rsid w:val="7B6D2EE4"/>
    <w:rsid w:val="7B721623"/>
    <w:rsid w:val="7B77357A"/>
    <w:rsid w:val="7B784E3E"/>
    <w:rsid w:val="7B8222D7"/>
    <w:rsid w:val="7B827C63"/>
    <w:rsid w:val="7B830CED"/>
    <w:rsid w:val="7B864D11"/>
    <w:rsid w:val="7B8C3AE5"/>
    <w:rsid w:val="7B8C69E6"/>
    <w:rsid w:val="7B8F38AD"/>
    <w:rsid w:val="7BAB12DE"/>
    <w:rsid w:val="7BC24390"/>
    <w:rsid w:val="7BC5165B"/>
    <w:rsid w:val="7BCF2869"/>
    <w:rsid w:val="7BCF6C15"/>
    <w:rsid w:val="7BD32BE2"/>
    <w:rsid w:val="7BD90D2F"/>
    <w:rsid w:val="7BDC50B8"/>
    <w:rsid w:val="7BE450B6"/>
    <w:rsid w:val="7BE903F1"/>
    <w:rsid w:val="7BEE588A"/>
    <w:rsid w:val="7BEF1C83"/>
    <w:rsid w:val="7BF21FE7"/>
    <w:rsid w:val="7BFF6D91"/>
    <w:rsid w:val="7C0229E6"/>
    <w:rsid w:val="7C04625C"/>
    <w:rsid w:val="7C075762"/>
    <w:rsid w:val="7C095B24"/>
    <w:rsid w:val="7C231B6A"/>
    <w:rsid w:val="7C2D166E"/>
    <w:rsid w:val="7C3004E9"/>
    <w:rsid w:val="7C352C3C"/>
    <w:rsid w:val="7C402DC0"/>
    <w:rsid w:val="7C42146D"/>
    <w:rsid w:val="7C431890"/>
    <w:rsid w:val="7C455A03"/>
    <w:rsid w:val="7C46358F"/>
    <w:rsid w:val="7C5235E8"/>
    <w:rsid w:val="7C560E66"/>
    <w:rsid w:val="7C5814D6"/>
    <w:rsid w:val="7C5A69A9"/>
    <w:rsid w:val="7C5F2722"/>
    <w:rsid w:val="7C76139D"/>
    <w:rsid w:val="7C86627E"/>
    <w:rsid w:val="7C902C69"/>
    <w:rsid w:val="7C943EFA"/>
    <w:rsid w:val="7C9B5E75"/>
    <w:rsid w:val="7C9E1DC2"/>
    <w:rsid w:val="7CB1607B"/>
    <w:rsid w:val="7CB22A7F"/>
    <w:rsid w:val="7CB6056C"/>
    <w:rsid w:val="7CB86601"/>
    <w:rsid w:val="7CC51573"/>
    <w:rsid w:val="7CCC5DCB"/>
    <w:rsid w:val="7CD5443E"/>
    <w:rsid w:val="7CD87C72"/>
    <w:rsid w:val="7CE713DA"/>
    <w:rsid w:val="7CFD4F92"/>
    <w:rsid w:val="7D165668"/>
    <w:rsid w:val="7D1E7890"/>
    <w:rsid w:val="7D272F8B"/>
    <w:rsid w:val="7D296B44"/>
    <w:rsid w:val="7D2D63C4"/>
    <w:rsid w:val="7D324C54"/>
    <w:rsid w:val="7D3527F4"/>
    <w:rsid w:val="7D3828C0"/>
    <w:rsid w:val="7D3B7807"/>
    <w:rsid w:val="7D3D61DC"/>
    <w:rsid w:val="7D470F6C"/>
    <w:rsid w:val="7D472501"/>
    <w:rsid w:val="7D4F15A2"/>
    <w:rsid w:val="7D6F4AB7"/>
    <w:rsid w:val="7D8F6E98"/>
    <w:rsid w:val="7D9B5AE7"/>
    <w:rsid w:val="7D9D7BD9"/>
    <w:rsid w:val="7D9F6383"/>
    <w:rsid w:val="7DAC3944"/>
    <w:rsid w:val="7DB75882"/>
    <w:rsid w:val="7DBB11DB"/>
    <w:rsid w:val="7DCC5093"/>
    <w:rsid w:val="7DD33820"/>
    <w:rsid w:val="7DEF2BA0"/>
    <w:rsid w:val="7DF41B1B"/>
    <w:rsid w:val="7E0361AC"/>
    <w:rsid w:val="7E0D256D"/>
    <w:rsid w:val="7E0E521A"/>
    <w:rsid w:val="7E122526"/>
    <w:rsid w:val="7E142131"/>
    <w:rsid w:val="7E157037"/>
    <w:rsid w:val="7E29173D"/>
    <w:rsid w:val="7E29625B"/>
    <w:rsid w:val="7E2A5025"/>
    <w:rsid w:val="7E2E0A24"/>
    <w:rsid w:val="7E3475ED"/>
    <w:rsid w:val="7E371CBF"/>
    <w:rsid w:val="7E3878B3"/>
    <w:rsid w:val="7E4705DD"/>
    <w:rsid w:val="7E4E20C0"/>
    <w:rsid w:val="7E51187F"/>
    <w:rsid w:val="7E5451F3"/>
    <w:rsid w:val="7E5A49F9"/>
    <w:rsid w:val="7E5D2F33"/>
    <w:rsid w:val="7E6A6238"/>
    <w:rsid w:val="7E6D681F"/>
    <w:rsid w:val="7E742FE5"/>
    <w:rsid w:val="7E9341F9"/>
    <w:rsid w:val="7E9533D1"/>
    <w:rsid w:val="7E977A27"/>
    <w:rsid w:val="7E9E133E"/>
    <w:rsid w:val="7EA42208"/>
    <w:rsid w:val="7EB2376F"/>
    <w:rsid w:val="7EB30370"/>
    <w:rsid w:val="7EC6658B"/>
    <w:rsid w:val="7ECF321E"/>
    <w:rsid w:val="7ED376FB"/>
    <w:rsid w:val="7EE61A0F"/>
    <w:rsid w:val="7EEB6599"/>
    <w:rsid w:val="7EF87786"/>
    <w:rsid w:val="7EFF06AC"/>
    <w:rsid w:val="7F001583"/>
    <w:rsid w:val="7F045366"/>
    <w:rsid w:val="7F064738"/>
    <w:rsid w:val="7F0661BC"/>
    <w:rsid w:val="7F0C4577"/>
    <w:rsid w:val="7F1461EA"/>
    <w:rsid w:val="7F1C2950"/>
    <w:rsid w:val="7F336E18"/>
    <w:rsid w:val="7F344AE7"/>
    <w:rsid w:val="7F39050D"/>
    <w:rsid w:val="7F3F11CB"/>
    <w:rsid w:val="7F484E4F"/>
    <w:rsid w:val="7F4D0362"/>
    <w:rsid w:val="7F580778"/>
    <w:rsid w:val="7F6B0CB3"/>
    <w:rsid w:val="7F6C22EA"/>
    <w:rsid w:val="7F702395"/>
    <w:rsid w:val="7F7E325D"/>
    <w:rsid w:val="7F8128FC"/>
    <w:rsid w:val="7F8F0DA3"/>
    <w:rsid w:val="7F953A44"/>
    <w:rsid w:val="7FA32206"/>
    <w:rsid w:val="7FA54BBC"/>
    <w:rsid w:val="7FA67086"/>
    <w:rsid w:val="7FBA461D"/>
    <w:rsid w:val="7FC41AD7"/>
    <w:rsid w:val="7FCD7503"/>
    <w:rsid w:val="7FD51FC5"/>
    <w:rsid w:val="7FE252A4"/>
    <w:rsid w:val="7FE30A57"/>
    <w:rsid w:val="DFFD232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iPriority="0" w:name="HTML Acronym"/>
    <w:lsdException w:uiPriority="0" w:name="HTML Address"/>
    <w:lsdException w:qFormat="1" w:uiPriority="0" w:name="HTML Cite"/>
    <w:lsdException w:qFormat="1" w:unhideWhenUsed="0" w:uiPriority="0" w:semiHidden="0" w:name="HTML Code"/>
    <w:lsdException w:qFormat="1" w:uiPriority="0" w:name="HTML Definition"/>
    <w:lsdException w:qFormat="1" w:uiPriority="0" w:name="HTML Keyboard"/>
    <w:lsdException w:uiPriority="0" w:name="HTML Preformatted"/>
    <w:lsdException w:qFormat="1" w:uiPriority="0" w:name="HTML Sample"/>
    <w:lsdException w:qFormat="1" w:uiPriority="0" w:name="HTML Typewriter"/>
    <w:lsdException w:qFormat="1"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7"/>
    <w:qFormat/>
    <w:uiPriority w:val="0"/>
    <w:pPr>
      <w:keepNext/>
      <w:spacing w:line="360" w:lineRule="auto"/>
      <w:jc w:val="center"/>
      <w:outlineLvl w:val="0"/>
    </w:pPr>
    <w:rPr>
      <w:rFonts w:ascii="Cambria" w:hAnsi="Cambria" w:eastAsia="华文中宋"/>
      <w:b/>
      <w:bCs/>
      <w:kern w:val="32"/>
      <w:sz w:val="32"/>
      <w:szCs w:val="32"/>
    </w:rPr>
  </w:style>
  <w:style w:type="paragraph" w:styleId="4">
    <w:name w:val="heading 2"/>
    <w:basedOn w:val="1"/>
    <w:next w:val="1"/>
    <w:link w:val="58"/>
    <w:qFormat/>
    <w:uiPriority w:val="0"/>
    <w:pPr>
      <w:keepNext/>
      <w:keepLines/>
      <w:spacing w:before="120" w:after="120" w:line="360" w:lineRule="auto"/>
      <w:jc w:val="center"/>
      <w:outlineLvl w:val="1"/>
    </w:pPr>
    <w:rPr>
      <w:rFonts w:ascii="微软雅黑" w:hAnsi="微软雅黑" w:eastAsia="微软雅黑" w:cs="微软雅黑"/>
      <w:color w:val="auto"/>
      <w:sz w:val="30"/>
      <w:szCs w:val="32"/>
      <w:highlight w:val="none"/>
    </w:rPr>
  </w:style>
  <w:style w:type="paragraph" w:styleId="5">
    <w:name w:val="heading 3"/>
    <w:basedOn w:val="6"/>
    <w:next w:val="1"/>
    <w:link w:val="59"/>
    <w:qFormat/>
    <w:uiPriority w:val="0"/>
    <w:pPr>
      <w:ind w:firstLine="480" w:firstLineChars="200"/>
      <w:outlineLvl w:val="2"/>
    </w:pPr>
    <w:rPr>
      <w:rFonts w:ascii="宋体" w:hAnsi="宋体" w:eastAsia="宋体" w:cs="宋体"/>
      <w:sz w:val="24"/>
      <w:szCs w:val="24"/>
    </w:rPr>
  </w:style>
  <w:style w:type="paragraph" w:styleId="6">
    <w:name w:val="heading 4"/>
    <w:basedOn w:val="1"/>
    <w:next w:val="1"/>
    <w:link w:val="60"/>
    <w:qFormat/>
    <w:uiPriority w:val="0"/>
    <w:pPr>
      <w:keepNext/>
      <w:keepLines/>
      <w:spacing w:line="360" w:lineRule="auto"/>
      <w:ind w:firstLine="482" w:firstLineChars="200"/>
      <w:outlineLvl w:val="3"/>
    </w:pPr>
    <w:rPr>
      <w:rFonts w:ascii="宋体" w:hAnsi="宋体" w:eastAsia="宋体" w:cs="宋体"/>
      <w:b/>
      <w:bCs/>
      <w:sz w:val="24"/>
    </w:rPr>
  </w:style>
  <w:style w:type="paragraph" w:styleId="7">
    <w:name w:val="heading 5"/>
    <w:basedOn w:val="5"/>
    <w:next w:val="1"/>
    <w:link w:val="61"/>
    <w:qFormat/>
    <w:uiPriority w:val="0"/>
    <w:pPr>
      <w:autoSpaceDE w:val="0"/>
      <w:autoSpaceDN w:val="0"/>
      <w:ind w:firstLine="0" w:firstLineChars="0"/>
      <w:jc w:val="center"/>
      <w:outlineLvl w:val="4"/>
    </w:pPr>
    <w:rPr>
      <w:rFonts w:ascii="宋体" w:hAnsi="宋体" w:eastAsia="宋体"/>
      <w:sz w:val="28"/>
    </w:rPr>
  </w:style>
  <w:style w:type="paragraph" w:styleId="8">
    <w:name w:val="heading 6"/>
    <w:basedOn w:val="1"/>
    <w:next w:val="1"/>
    <w:link w:val="62"/>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9">
    <w:name w:val="heading 7"/>
    <w:basedOn w:val="1"/>
    <w:next w:val="1"/>
    <w:link w:val="63"/>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10">
    <w:name w:val="heading 8"/>
    <w:basedOn w:val="1"/>
    <w:next w:val="1"/>
    <w:link w:val="64"/>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1">
    <w:name w:val="heading 9"/>
    <w:basedOn w:val="1"/>
    <w:next w:val="1"/>
    <w:link w:val="65"/>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42">
    <w:name w:val="Default Paragraph Font"/>
    <w:unhideWhenUsed/>
    <w:qFormat/>
    <w:uiPriority w:val="1"/>
  </w:style>
  <w:style w:type="table" w:default="1" w:styleId="40">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style>
  <w:style w:type="paragraph" w:styleId="12">
    <w:name w:val="toc 7"/>
    <w:basedOn w:val="1"/>
    <w:next w:val="1"/>
    <w:qFormat/>
    <w:uiPriority w:val="39"/>
    <w:pPr>
      <w:ind w:left="2520" w:leftChars="1200"/>
    </w:pPr>
    <w:rPr>
      <w:rFonts w:ascii="Calibri" w:hAnsi="Calibri"/>
      <w:szCs w:val="22"/>
    </w:rPr>
  </w:style>
  <w:style w:type="paragraph" w:styleId="13">
    <w:name w:val="Normal Indent"/>
    <w:basedOn w:val="1"/>
    <w:qFormat/>
    <w:uiPriority w:val="0"/>
    <w:pPr>
      <w:ind w:firstLine="420" w:firstLineChars="200"/>
    </w:p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66"/>
    <w:qFormat/>
    <w:uiPriority w:val="0"/>
    <w:pPr>
      <w:shd w:val="clear" w:color="auto" w:fill="000080"/>
    </w:pPr>
  </w:style>
  <w:style w:type="paragraph" w:styleId="16">
    <w:name w:val="annotation text"/>
    <w:basedOn w:val="1"/>
    <w:link w:val="67"/>
    <w:qFormat/>
    <w:uiPriority w:val="0"/>
    <w:pPr>
      <w:jc w:val="left"/>
    </w:pPr>
  </w:style>
  <w:style w:type="paragraph" w:styleId="17">
    <w:name w:val="Body Text"/>
    <w:basedOn w:val="1"/>
    <w:next w:val="1"/>
    <w:link w:val="68"/>
    <w:qFormat/>
    <w:uiPriority w:val="0"/>
    <w:pPr>
      <w:spacing w:after="120"/>
    </w:pPr>
  </w:style>
  <w:style w:type="paragraph" w:styleId="18">
    <w:name w:val="Body Text Indent"/>
    <w:basedOn w:val="1"/>
    <w:link w:val="69"/>
    <w:qFormat/>
    <w:uiPriority w:val="0"/>
    <w:pPr>
      <w:spacing w:after="120"/>
      <w:ind w:left="420" w:leftChars="200"/>
    </w:pPr>
  </w:style>
  <w:style w:type="paragraph" w:styleId="19">
    <w:name w:val="index 4"/>
    <w:basedOn w:val="1"/>
    <w:next w:val="1"/>
    <w:qFormat/>
    <w:uiPriority w:val="0"/>
    <w:pPr>
      <w:ind w:left="600" w:leftChars="600"/>
    </w:pPr>
  </w:style>
  <w:style w:type="paragraph" w:styleId="20">
    <w:name w:val="toc 5"/>
    <w:basedOn w:val="1"/>
    <w:next w:val="1"/>
    <w:qFormat/>
    <w:uiPriority w:val="39"/>
    <w:pPr>
      <w:ind w:left="1680" w:leftChars="800"/>
    </w:pPr>
    <w:rPr>
      <w:rFonts w:ascii="Calibri" w:hAnsi="Calibri"/>
      <w:szCs w:val="22"/>
    </w:rPr>
  </w:style>
  <w:style w:type="paragraph" w:styleId="21">
    <w:name w:val="toc 3"/>
    <w:basedOn w:val="1"/>
    <w:next w:val="1"/>
    <w:qFormat/>
    <w:uiPriority w:val="39"/>
    <w:pPr>
      <w:ind w:left="840" w:leftChars="400"/>
    </w:pPr>
  </w:style>
  <w:style w:type="paragraph" w:styleId="22">
    <w:name w:val="Plain Text"/>
    <w:basedOn w:val="1"/>
    <w:link w:val="70"/>
    <w:qFormat/>
    <w:uiPriority w:val="0"/>
    <w:rPr>
      <w:rFonts w:ascii="宋体" w:hAnsi="Courier New" w:eastAsia="仿宋_GB2312"/>
      <w:sz w:val="32"/>
    </w:rPr>
  </w:style>
  <w:style w:type="paragraph" w:styleId="23">
    <w:name w:val="toc 8"/>
    <w:basedOn w:val="1"/>
    <w:next w:val="1"/>
    <w:qFormat/>
    <w:uiPriority w:val="39"/>
    <w:pPr>
      <w:ind w:left="2940" w:leftChars="1400"/>
    </w:pPr>
    <w:rPr>
      <w:rFonts w:ascii="Calibri" w:hAnsi="Calibri"/>
      <w:szCs w:val="22"/>
    </w:rPr>
  </w:style>
  <w:style w:type="paragraph" w:styleId="24">
    <w:name w:val="Date"/>
    <w:basedOn w:val="1"/>
    <w:next w:val="1"/>
    <w:link w:val="71"/>
    <w:qFormat/>
    <w:uiPriority w:val="0"/>
    <w:pPr>
      <w:ind w:left="100" w:leftChars="2500"/>
    </w:pPr>
  </w:style>
  <w:style w:type="paragraph" w:styleId="25">
    <w:name w:val="Body Text Indent 2"/>
    <w:basedOn w:val="1"/>
    <w:link w:val="72"/>
    <w:qFormat/>
    <w:uiPriority w:val="0"/>
    <w:pPr>
      <w:autoSpaceDE w:val="0"/>
      <w:autoSpaceDN w:val="0"/>
      <w:adjustRightInd w:val="0"/>
      <w:spacing w:line="410" w:lineRule="atLeast"/>
      <w:ind w:left="480"/>
      <w:jc w:val="left"/>
    </w:pPr>
    <w:rPr>
      <w:rFonts w:ascii="宋体" w:hAnsi="Calibri"/>
      <w:color w:val="000000"/>
    </w:rPr>
  </w:style>
  <w:style w:type="paragraph" w:styleId="26">
    <w:name w:val="Balloon Text"/>
    <w:basedOn w:val="1"/>
    <w:link w:val="73"/>
    <w:qFormat/>
    <w:uiPriority w:val="0"/>
    <w:rPr>
      <w:sz w:val="18"/>
      <w:szCs w:val="18"/>
    </w:rPr>
  </w:style>
  <w:style w:type="paragraph" w:styleId="27">
    <w:name w:val="footer"/>
    <w:basedOn w:val="1"/>
    <w:link w:val="74"/>
    <w:qFormat/>
    <w:uiPriority w:val="99"/>
    <w:pPr>
      <w:tabs>
        <w:tab w:val="center" w:pos="4153"/>
        <w:tab w:val="right" w:pos="8306"/>
      </w:tabs>
      <w:snapToGrid w:val="0"/>
      <w:jc w:val="left"/>
    </w:pPr>
    <w:rPr>
      <w:sz w:val="18"/>
      <w:szCs w:val="18"/>
    </w:rPr>
  </w:style>
  <w:style w:type="paragraph" w:styleId="28">
    <w:name w:val="header"/>
    <w:basedOn w:val="1"/>
    <w:link w:val="75"/>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style>
  <w:style w:type="paragraph" w:styleId="30">
    <w:name w:val="toc 4"/>
    <w:basedOn w:val="1"/>
    <w:next w:val="1"/>
    <w:qFormat/>
    <w:uiPriority w:val="39"/>
    <w:pPr>
      <w:ind w:left="1260" w:leftChars="600"/>
    </w:pPr>
  </w:style>
  <w:style w:type="paragraph" w:styleId="31">
    <w:name w:val="Subtitle"/>
    <w:basedOn w:val="1"/>
    <w:next w:val="1"/>
    <w:link w:val="76"/>
    <w:qFormat/>
    <w:uiPriority w:val="0"/>
    <w:pPr>
      <w:spacing w:before="240" w:after="60" w:line="312" w:lineRule="auto"/>
      <w:jc w:val="center"/>
      <w:outlineLvl w:val="1"/>
    </w:pPr>
    <w:rPr>
      <w:rFonts w:ascii="Cambria" w:hAnsi="Cambria"/>
      <w:b/>
      <w:bCs/>
      <w:kern w:val="28"/>
      <w:sz w:val="32"/>
      <w:szCs w:val="32"/>
    </w:rPr>
  </w:style>
  <w:style w:type="paragraph" w:styleId="32">
    <w:name w:val="toc 6"/>
    <w:basedOn w:val="1"/>
    <w:next w:val="1"/>
    <w:qFormat/>
    <w:uiPriority w:val="39"/>
    <w:pPr>
      <w:ind w:left="2100" w:leftChars="1000"/>
    </w:pPr>
    <w:rPr>
      <w:rFonts w:ascii="Calibri" w:hAnsi="Calibri"/>
      <w:szCs w:val="22"/>
    </w:rPr>
  </w:style>
  <w:style w:type="paragraph" w:styleId="33">
    <w:name w:val="Body Text Indent 3"/>
    <w:basedOn w:val="1"/>
    <w:link w:val="77"/>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34">
    <w:name w:val="toc 2"/>
    <w:basedOn w:val="1"/>
    <w:next w:val="1"/>
    <w:qFormat/>
    <w:uiPriority w:val="39"/>
    <w:pPr>
      <w:ind w:left="420" w:leftChars="200"/>
    </w:pPr>
  </w:style>
  <w:style w:type="paragraph" w:styleId="35">
    <w:name w:val="toc 9"/>
    <w:basedOn w:val="1"/>
    <w:next w:val="1"/>
    <w:qFormat/>
    <w:uiPriority w:val="39"/>
    <w:pPr>
      <w:ind w:left="3360" w:leftChars="1600"/>
    </w:pPr>
    <w:rPr>
      <w:rFonts w:ascii="Calibri" w:hAnsi="Calibri"/>
      <w:szCs w:val="22"/>
    </w:rPr>
  </w:style>
  <w:style w:type="paragraph" w:styleId="36">
    <w:name w:val="Normal (Web)"/>
    <w:basedOn w:val="1"/>
    <w:qFormat/>
    <w:uiPriority w:val="99"/>
    <w:pPr>
      <w:widowControl/>
      <w:spacing w:before="100" w:beforeAutospacing="1" w:after="100" w:afterAutospacing="1"/>
      <w:jc w:val="left"/>
    </w:pPr>
    <w:rPr>
      <w:kern w:val="0"/>
    </w:rPr>
  </w:style>
  <w:style w:type="paragraph" w:styleId="37">
    <w:name w:val="Title"/>
    <w:basedOn w:val="1"/>
    <w:next w:val="1"/>
    <w:link w:val="78"/>
    <w:qFormat/>
    <w:uiPriority w:val="0"/>
    <w:pPr>
      <w:spacing w:before="240" w:after="60"/>
      <w:jc w:val="center"/>
      <w:outlineLvl w:val="0"/>
    </w:pPr>
    <w:rPr>
      <w:rFonts w:ascii="Cambria" w:hAnsi="Cambria"/>
      <w:b/>
      <w:sz w:val="32"/>
    </w:rPr>
  </w:style>
  <w:style w:type="paragraph" w:styleId="38">
    <w:name w:val="annotation subject"/>
    <w:basedOn w:val="16"/>
    <w:next w:val="16"/>
    <w:link w:val="79"/>
    <w:qFormat/>
    <w:uiPriority w:val="0"/>
    <w:rPr>
      <w:b/>
      <w:bCs/>
    </w:rPr>
  </w:style>
  <w:style w:type="paragraph" w:styleId="39">
    <w:name w:val="Body Text First Indent"/>
    <w:basedOn w:val="17"/>
    <w:next w:val="1"/>
    <w:unhideWhenUsed/>
    <w:qFormat/>
    <w:uiPriority w:val="0"/>
    <w:pPr>
      <w:spacing w:after="120"/>
      <w:ind w:firstLine="420" w:firstLineChars="100"/>
    </w:pPr>
    <w:rPr>
      <w:sz w:val="30"/>
    </w:rPr>
  </w:style>
  <w:style w:type="table" w:styleId="41">
    <w:name w:val="Table Grid"/>
    <w:basedOn w:val="4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Strong"/>
    <w:qFormat/>
    <w:uiPriority w:val="0"/>
    <w:rPr>
      <w:b/>
    </w:rPr>
  </w:style>
  <w:style w:type="character" w:styleId="44">
    <w:name w:val="page number"/>
    <w:qFormat/>
    <w:uiPriority w:val="0"/>
  </w:style>
  <w:style w:type="character" w:styleId="45">
    <w:name w:val="FollowedHyperlink"/>
    <w:qFormat/>
    <w:uiPriority w:val="0"/>
    <w:rPr>
      <w:color w:val="800080"/>
      <w:u w:val="single"/>
    </w:rPr>
  </w:style>
  <w:style w:type="character" w:styleId="46">
    <w:name w:val="Emphasis"/>
    <w:qFormat/>
    <w:uiPriority w:val="0"/>
    <w:rPr>
      <w:i/>
      <w:iCs/>
    </w:rPr>
  </w:style>
  <w:style w:type="character" w:styleId="47">
    <w:name w:val="HTML Definition"/>
    <w:basedOn w:val="42"/>
    <w:semiHidden/>
    <w:unhideWhenUsed/>
    <w:qFormat/>
    <w:uiPriority w:val="0"/>
  </w:style>
  <w:style w:type="character" w:styleId="48">
    <w:name w:val="HTML Typewriter"/>
    <w:basedOn w:val="42"/>
    <w:semiHidden/>
    <w:unhideWhenUsed/>
    <w:qFormat/>
    <w:uiPriority w:val="0"/>
    <w:rPr>
      <w:rFonts w:hint="default" w:ascii="monospace" w:hAnsi="monospace" w:eastAsia="monospace" w:cs="monospace"/>
      <w:sz w:val="20"/>
    </w:rPr>
  </w:style>
  <w:style w:type="character" w:styleId="49">
    <w:name w:val="HTML Acronym"/>
    <w:basedOn w:val="42"/>
    <w:semiHidden/>
    <w:unhideWhenUsed/>
    <w:qFormat/>
    <w:uiPriority w:val="0"/>
  </w:style>
  <w:style w:type="character" w:styleId="50">
    <w:name w:val="HTML Variable"/>
    <w:basedOn w:val="42"/>
    <w:semiHidden/>
    <w:unhideWhenUsed/>
    <w:qFormat/>
    <w:uiPriority w:val="0"/>
  </w:style>
  <w:style w:type="character" w:styleId="51">
    <w:name w:val="Hyperlink"/>
    <w:qFormat/>
    <w:uiPriority w:val="99"/>
    <w:rPr>
      <w:color w:val="0000FF"/>
      <w:u w:val="single"/>
    </w:rPr>
  </w:style>
  <w:style w:type="character" w:styleId="52">
    <w:name w:val="HTML Code"/>
    <w:basedOn w:val="42"/>
    <w:qFormat/>
    <w:uiPriority w:val="0"/>
    <w:rPr>
      <w:rFonts w:hint="default" w:ascii="monospace" w:hAnsi="monospace" w:eastAsia="monospace" w:cs="monospace"/>
      <w:sz w:val="20"/>
    </w:rPr>
  </w:style>
  <w:style w:type="character" w:styleId="53">
    <w:name w:val="annotation reference"/>
    <w:qFormat/>
    <w:uiPriority w:val="0"/>
    <w:rPr>
      <w:sz w:val="21"/>
      <w:szCs w:val="21"/>
    </w:rPr>
  </w:style>
  <w:style w:type="character" w:styleId="54">
    <w:name w:val="HTML Cite"/>
    <w:basedOn w:val="42"/>
    <w:semiHidden/>
    <w:unhideWhenUsed/>
    <w:qFormat/>
    <w:uiPriority w:val="0"/>
  </w:style>
  <w:style w:type="character" w:styleId="55">
    <w:name w:val="HTML Keyboard"/>
    <w:basedOn w:val="42"/>
    <w:semiHidden/>
    <w:unhideWhenUsed/>
    <w:qFormat/>
    <w:uiPriority w:val="0"/>
    <w:rPr>
      <w:rFonts w:hint="default" w:ascii="monospace" w:hAnsi="monospace" w:eastAsia="monospace" w:cs="monospace"/>
      <w:sz w:val="20"/>
    </w:rPr>
  </w:style>
  <w:style w:type="character" w:styleId="56">
    <w:name w:val="HTML Sample"/>
    <w:basedOn w:val="42"/>
    <w:semiHidden/>
    <w:unhideWhenUsed/>
    <w:qFormat/>
    <w:uiPriority w:val="0"/>
    <w:rPr>
      <w:rFonts w:ascii="monospace" w:hAnsi="monospace" w:eastAsia="monospace" w:cs="monospace"/>
    </w:rPr>
  </w:style>
  <w:style w:type="character" w:customStyle="1" w:styleId="57">
    <w:name w:val="标题 1 字符"/>
    <w:link w:val="3"/>
    <w:qFormat/>
    <w:uiPriority w:val="0"/>
    <w:rPr>
      <w:rFonts w:ascii="Cambria" w:hAnsi="Cambria" w:eastAsia="华文中宋"/>
      <w:b/>
      <w:bCs/>
      <w:kern w:val="32"/>
      <w:sz w:val="32"/>
      <w:szCs w:val="32"/>
    </w:rPr>
  </w:style>
  <w:style w:type="character" w:customStyle="1" w:styleId="58">
    <w:name w:val="标题 2 字符"/>
    <w:link w:val="4"/>
    <w:qFormat/>
    <w:uiPriority w:val="0"/>
    <w:rPr>
      <w:rFonts w:ascii="微软雅黑" w:hAnsi="微软雅黑" w:eastAsia="微软雅黑" w:cs="微软雅黑"/>
      <w:color w:val="auto"/>
      <w:kern w:val="2"/>
      <w:sz w:val="30"/>
      <w:szCs w:val="32"/>
      <w:highlight w:val="none"/>
      <w:lang w:val="en-US" w:eastAsia="zh-CN" w:bidi="ar-SA"/>
    </w:rPr>
  </w:style>
  <w:style w:type="character" w:customStyle="1" w:styleId="59">
    <w:name w:val="标题 3 字符"/>
    <w:link w:val="5"/>
    <w:qFormat/>
    <w:uiPriority w:val="0"/>
    <w:rPr>
      <w:rFonts w:ascii="宋体" w:hAnsi="宋体" w:eastAsia="宋体" w:cs="宋体"/>
      <w:b/>
      <w:bCs/>
      <w:kern w:val="2"/>
      <w:sz w:val="24"/>
      <w:szCs w:val="24"/>
      <w:lang w:val="en-US" w:eastAsia="zh-CN" w:bidi="ar-SA"/>
    </w:rPr>
  </w:style>
  <w:style w:type="character" w:customStyle="1" w:styleId="60">
    <w:name w:val="标题 4 字符"/>
    <w:link w:val="6"/>
    <w:qFormat/>
    <w:uiPriority w:val="0"/>
    <w:rPr>
      <w:rFonts w:ascii="宋体" w:hAnsi="宋体" w:eastAsia="宋体" w:cs="宋体"/>
      <w:b/>
      <w:bCs/>
      <w:kern w:val="2"/>
      <w:sz w:val="24"/>
      <w:szCs w:val="24"/>
      <w:lang w:val="en-US" w:eastAsia="zh-CN" w:bidi="ar-SA"/>
    </w:rPr>
  </w:style>
  <w:style w:type="character" w:customStyle="1" w:styleId="61">
    <w:name w:val="标题 5 字符"/>
    <w:link w:val="7"/>
    <w:qFormat/>
    <w:uiPriority w:val="0"/>
    <w:rPr>
      <w:rFonts w:ascii="宋体" w:hAnsi="宋体" w:eastAsia="宋体" w:cs="宋体"/>
      <w:b/>
      <w:bCs/>
      <w:kern w:val="2"/>
      <w:sz w:val="28"/>
      <w:szCs w:val="24"/>
      <w:lang w:val="en-US" w:eastAsia="zh-CN" w:bidi="ar-SA"/>
    </w:rPr>
  </w:style>
  <w:style w:type="character" w:customStyle="1" w:styleId="62">
    <w:name w:val="标题 6 字符"/>
    <w:link w:val="8"/>
    <w:qFormat/>
    <w:uiPriority w:val="0"/>
    <w:rPr>
      <w:rFonts w:ascii="Arial" w:hAnsi="Arial" w:eastAsia="黑体"/>
      <w:b/>
      <w:bCs/>
      <w:sz w:val="24"/>
      <w:szCs w:val="24"/>
    </w:rPr>
  </w:style>
  <w:style w:type="character" w:customStyle="1" w:styleId="63">
    <w:name w:val="标题 7 字符"/>
    <w:link w:val="9"/>
    <w:qFormat/>
    <w:uiPriority w:val="0"/>
    <w:rPr>
      <w:b/>
      <w:bCs/>
      <w:sz w:val="24"/>
      <w:szCs w:val="24"/>
    </w:rPr>
  </w:style>
  <w:style w:type="character" w:customStyle="1" w:styleId="64">
    <w:name w:val="标题 8 字符"/>
    <w:link w:val="10"/>
    <w:qFormat/>
    <w:uiPriority w:val="0"/>
    <w:rPr>
      <w:rFonts w:ascii="Arial" w:hAnsi="Arial" w:eastAsia="黑体"/>
      <w:sz w:val="24"/>
      <w:szCs w:val="24"/>
    </w:rPr>
  </w:style>
  <w:style w:type="character" w:customStyle="1" w:styleId="65">
    <w:name w:val="标题 9 字符"/>
    <w:link w:val="11"/>
    <w:qFormat/>
    <w:uiPriority w:val="0"/>
    <w:rPr>
      <w:rFonts w:ascii="Arial" w:hAnsi="Arial" w:eastAsia="黑体"/>
      <w:sz w:val="21"/>
      <w:szCs w:val="21"/>
    </w:rPr>
  </w:style>
  <w:style w:type="character" w:customStyle="1" w:styleId="66">
    <w:name w:val="文档结构图 字符"/>
    <w:link w:val="15"/>
    <w:qFormat/>
    <w:uiPriority w:val="0"/>
    <w:rPr>
      <w:kern w:val="2"/>
      <w:sz w:val="21"/>
      <w:szCs w:val="24"/>
      <w:shd w:val="clear" w:color="auto" w:fill="000080"/>
    </w:rPr>
  </w:style>
  <w:style w:type="character" w:customStyle="1" w:styleId="67">
    <w:name w:val="批注文字 字符"/>
    <w:link w:val="16"/>
    <w:qFormat/>
    <w:uiPriority w:val="0"/>
    <w:rPr>
      <w:kern w:val="2"/>
      <w:sz w:val="21"/>
      <w:szCs w:val="24"/>
    </w:rPr>
  </w:style>
  <w:style w:type="character" w:customStyle="1" w:styleId="68">
    <w:name w:val="正文文本 字符"/>
    <w:link w:val="17"/>
    <w:qFormat/>
    <w:uiPriority w:val="0"/>
    <w:rPr>
      <w:kern w:val="2"/>
      <w:sz w:val="21"/>
      <w:szCs w:val="24"/>
    </w:rPr>
  </w:style>
  <w:style w:type="character" w:customStyle="1" w:styleId="69">
    <w:name w:val="正文文本缩进 字符"/>
    <w:link w:val="18"/>
    <w:qFormat/>
    <w:uiPriority w:val="0"/>
    <w:rPr>
      <w:kern w:val="2"/>
      <w:sz w:val="21"/>
      <w:szCs w:val="24"/>
    </w:rPr>
  </w:style>
  <w:style w:type="character" w:customStyle="1" w:styleId="70">
    <w:name w:val="纯文本 字符"/>
    <w:link w:val="22"/>
    <w:qFormat/>
    <w:uiPriority w:val="0"/>
    <w:rPr>
      <w:rFonts w:ascii="宋体" w:hAnsi="Courier New" w:eastAsia="仿宋_GB2312"/>
      <w:kern w:val="2"/>
      <w:sz w:val="32"/>
      <w:szCs w:val="24"/>
    </w:rPr>
  </w:style>
  <w:style w:type="character" w:customStyle="1" w:styleId="71">
    <w:name w:val="日期 字符"/>
    <w:link w:val="24"/>
    <w:qFormat/>
    <w:uiPriority w:val="0"/>
    <w:rPr>
      <w:kern w:val="2"/>
      <w:sz w:val="21"/>
      <w:szCs w:val="24"/>
    </w:rPr>
  </w:style>
  <w:style w:type="character" w:customStyle="1" w:styleId="72">
    <w:name w:val="正文文本缩进 2 字符"/>
    <w:link w:val="25"/>
    <w:qFormat/>
    <w:uiPriority w:val="0"/>
    <w:rPr>
      <w:rFonts w:ascii="宋体" w:hAnsi="Calibri"/>
      <w:color w:val="000000"/>
      <w:kern w:val="2"/>
      <w:sz w:val="21"/>
      <w:szCs w:val="24"/>
    </w:rPr>
  </w:style>
  <w:style w:type="character" w:customStyle="1" w:styleId="73">
    <w:name w:val="批注框文本 字符"/>
    <w:link w:val="26"/>
    <w:qFormat/>
    <w:uiPriority w:val="0"/>
    <w:rPr>
      <w:kern w:val="2"/>
      <w:sz w:val="18"/>
      <w:szCs w:val="18"/>
    </w:rPr>
  </w:style>
  <w:style w:type="character" w:customStyle="1" w:styleId="74">
    <w:name w:val="页脚 字符"/>
    <w:link w:val="27"/>
    <w:qFormat/>
    <w:uiPriority w:val="99"/>
    <w:rPr>
      <w:kern w:val="2"/>
      <w:sz w:val="18"/>
      <w:szCs w:val="18"/>
    </w:rPr>
  </w:style>
  <w:style w:type="character" w:customStyle="1" w:styleId="75">
    <w:name w:val="页眉 字符"/>
    <w:link w:val="28"/>
    <w:qFormat/>
    <w:uiPriority w:val="0"/>
    <w:rPr>
      <w:kern w:val="2"/>
      <w:sz w:val="18"/>
      <w:szCs w:val="18"/>
    </w:rPr>
  </w:style>
  <w:style w:type="character" w:customStyle="1" w:styleId="76">
    <w:name w:val="副标题 字符"/>
    <w:link w:val="31"/>
    <w:qFormat/>
    <w:uiPriority w:val="0"/>
    <w:rPr>
      <w:rFonts w:ascii="Cambria" w:hAnsi="Cambria"/>
      <w:b/>
      <w:bCs/>
      <w:kern w:val="28"/>
      <w:sz w:val="32"/>
      <w:szCs w:val="32"/>
    </w:rPr>
  </w:style>
  <w:style w:type="character" w:customStyle="1" w:styleId="77">
    <w:name w:val="正文文本缩进 3 字符"/>
    <w:link w:val="33"/>
    <w:qFormat/>
    <w:uiPriority w:val="0"/>
    <w:rPr>
      <w:rFonts w:ascii="宋体" w:hAnsi="MS Sans Serif"/>
      <w:color w:val="000000"/>
      <w:sz w:val="24"/>
    </w:rPr>
  </w:style>
  <w:style w:type="character" w:customStyle="1" w:styleId="78">
    <w:name w:val="标题 字符"/>
    <w:link w:val="37"/>
    <w:qFormat/>
    <w:uiPriority w:val="0"/>
    <w:rPr>
      <w:rFonts w:ascii="Cambria" w:hAnsi="Cambria"/>
      <w:b/>
      <w:kern w:val="2"/>
      <w:sz w:val="32"/>
      <w:szCs w:val="24"/>
    </w:rPr>
  </w:style>
  <w:style w:type="character" w:customStyle="1" w:styleId="79">
    <w:name w:val="批注主题 字符"/>
    <w:link w:val="38"/>
    <w:qFormat/>
    <w:uiPriority w:val="0"/>
    <w:rPr>
      <w:b/>
      <w:bCs/>
      <w:kern w:val="2"/>
      <w:sz w:val="21"/>
      <w:szCs w:val="24"/>
    </w:rPr>
  </w:style>
  <w:style w:type="character" w:customStyle="1" w:styleId="80">
    <w:name w:val="页眉 Char1"/>
    <w:semiHidden/>
    <w:qFormat/>
    <w:uiPriority w:val="99"/>
    <w:rPr>
      <w:rFonts w:ascii="Times New Roman" w:hAnsi="Times New Roman" w:eastAsia="宋体" w:cs="Times New Roman"/>
      <w:sz w:val="18"/>
      <w:szCs w:val="18"/>
    </w:rPr>
  </w:style>
  <w:style w:type="character" w:customStyle="1" w:styleId="81">
    <w:name w:val="p0 Char"/>
    <w:link w:val="82"/>
    <w:qFormat/>
    <w:uiPriority w:val="0"/>
    <w:rPr>
      <w:rFonts w:eastAsia="宋体"/>
      <w:kern w:val="2"/>
      <w:sz w:val="21"/>
      <w:szCs w:val="21"/>
      <w:lang w:val="en-US" w:eastAsia="zh-CN" w:bidi="ar-SA"/>
    </w:rPr>
  </w:style>
  <w:style w:type="paragraph" w:customStyle="1" w:styleId="82">
    <w:name w:val="p0"/>
    <w:basedOn w:val="1"/>
    <w:link w:val="81"/>
    <w:qFormat/>
    <w:uiPriority w:val="0"/>
    <w:pPr>
      <w:widowControl/>
    </w:pPr>
    <w:rPr>
      <w:szCs w:val="21"/>
    </w:rPr>
  </w:style>
  <w:style w:type="character" w:customStyle="1" w:styleId="83">
    <w:name w:val="标题 4 Char Char"/>
    <w:qFormat/>
    <w:uiPriority w:val="0"/>
    <w:rPr>
      <w:rFonts w:ascii="Arial" w:hAnsi="Arial" w:eastAsia="宋体"/>
      <w:b/>
      <w:bCs/>
      <w:kern w:val="2"/>
      <w:sz w:val="21"/>
      <w:szCs w:val="28"/>
      <w:lang w:val="en-US" w:eastAsia="zh-CN" w:bidi="ar-SA"/>
    </w:rPr>
  </w:style>
  <w:style w:type="character" w:customStyle="1" w:styleId="84">
    <w:name w:val="批注框文本 Char1"/>
    <w:qFormat/>
    <w:uiPriority w:val="0"/>
    <w:rPr>
      <w:rFonts w:ascii="Times New Roman" w:hAnsi="Times New Roman" w:eastAsia="宋体" w:cs="Times New Roman"/>
      <w:sz w:val="18"/>
      <w:szCs w:val="18"/>
    </w:rPr>
  </w:style>
  <w:style w:type="character" w:customStyle="1" w:styleId="85">
    <w:name w:val="纯文本 Char Char"/>
    <w:qFormat/>
    <w:uiPriority w:val="0"/>
    <w:rPr>
      <w:rFonts w:ascii="宋体" w:hAnsi="Courier New" w:eastAsia="仿宋_GB2312"/>
      <w:kern w:val="2"/>
      <w:sz w:val="32"/>
      <w:szCs w:val="24"/>
      <w:lang w:bidi="ar-SA"/>
    </w:rPr>
  </w:style>
  <w:style w:type="character" w:customStyle="1" w:styleId="86">
    <w:name w:val="标题 3 Char1"/>
    <w:qFormat/>
    <w:uiPriority w:val="0"/>
    <w:rPr>
      <w:b/>
      <w:bCs/>
      <w:sz w:val="24"/>
      <w:szCs w:val="24"/>
    </w:rPr>
  </w:style>
  <w:style w:type="character" w:customStyle="1" w:styleId="87">
    <w:name w:val="Font Style119"/>
    <w:unhideWhenUsed/>
    <w:qFormat/>
    <w:uiPriority w:val="99"/>
    <w:rPr>
      <w:rFonts w:hint="eastAsia" w:ascii="宋体" w:hAnsi="宋体" w:eastAsia="宋体"/>
      <w:sz w:val="24"/>
    </w:rPr>
  </w:style>
  <w:style w:type="character" w:customStyle="1" w:styleId="88">
    <w:name w:val="Font Style131"/>
    <w:unhideWhenUsed/>
    <w:qFormat/>
    <w:uiPriority w:val="99"/>
    <w:rPr>
      <w:rFonts w:hint="eastAsia" w:ascii="Times New Roman" w:hAnsi="Times New Roman" w:eastAsia="Times New Roman"/>
      <w:sz w:val="18"/>
    </w:rPr>
  </w:style>
  <w:style w:type="character" w:customStyle="1" w:styleId="89">
    <w:name w:val="textcontents"/>
    <w:qFormat/>
    <w:uiPriority w:val="0"/>
    <w:rPr>
      <w:rFonts w:cs="Times New Roman"/>
    </w:rPr>
  </w:style>
  <w:style w:type="character" w:customStyle="1" w:styleId="90">
    <w:name w:val="明显引用 Char1"/>
    <w:qFormat/>
    <w:uiPriority w:val="99"/>
    <w:rPr>
      <w:b/>
      <w:bCs/>
      <w:i/>
      <w:iCs/>
      <w:color w:val="4F81BD"/>
      <w:kern w:val="2"/>
      <w:sz w:val="21"/>
      <w:szCs w:val="24"/>
    </w:rPr>
  </w:style>
  <w:style w:type="character" w:customStyle="1" w:styleId="91">
    <w:name w:val="Font Style86"/>
    <w:unhideWhenUsed/>
    <w:qFormat/>
    <w:uiPriority w:val="99"/>
    <w:rPr>
      <w:rFonts w:hint="eastAsia" w:ascii="黑体" w:hAnsi="黑体" w:eastAsia="黑体"/>
      <w:spacing w:val="10"/>
      <w:sz w:val="30"/>
    </w:rPr>
  </w:style>
  <w:style w:type="character" w:customStyle="1" w:styleId="92">
    <w:name w:val="Font Style122"/>
    <w:unhideWhenUsed/>
    <w:qFormat/>
    <w:uiPriority w:val="99"/>
    <w:rPr>
      <w:rFonts w:hint="eastAsia" w:ascii="宋体" w:hAnsi="宋体" w:eastAsia="宋体"/>
      <w:spacing w:val="20"/>
      <w:sz w:val="24"/>
    </w:rPr>
  </w:style>
  <w:style w:type="character" w:customStyle="1" w:styleId="93">
    <w:name w:val="p0 Char Char"/>
    <w:qFormat/>
    <w:uiPriority w:val="0"/>
    <w:rPr>
      <w:rFonts w:eastAsia="宋体"/>
      <w:kern w:val="2"/>
      <w:sz w:val="21"/>
      <w:szCs w:val="21"/>
      <w:lang w:val="en-US" w:eastAsia="zh-CN" w:bidi="ar-SA"/>
    </w:rPr>
  </w:style>
  <w:style w:type="character" w:customStyle="1" w:styleId="94">
    <w:name w:val="Char Char141"/>
    <w:qFormat/>
    <w:uiPriority w:val="0"/>
    <w:rPr>
      <w:rFonts w:ascii="Arial" w:hAnsi="Arial"/>
      <w:b/>
      <w:bCs/>
      <w:kern w:val="2"/>
      <w:sz w:val="21"/>
      <w:szCs w:val="28"/>
    </w:rPr>
  </w:style>
  <w:style w:type="character" w:customStyle="1" w:styleId="95">
    <w:name w:val="明显强调1"/>
    <w:qFormat/>
    <w:uiPriority w:val="0"/>
    <w:rPr>
      <w:b/>
      <w:bCs/>
      <w:i/>
      <w:iCs/>
      <w:color w:val="4F81BD"/>
    </w:rPr>
  </w:style>
  <w:style w:type="character" w:customStyle="1" w:styleId="96">
    <w:name w:val="Font Style126"/>
    <w:unhideWhenUsed/>
    <w:qFormat/>
    <w:uiPriority w:val="99"/>
    <w:rPr>
      <w:rFonts w:hint="eastAsia" w:ascii="宋体" w:hAnsi="宋体" w:eastAsia="宋体"/>
      <w:b/>
      <w:spacing w:val="-30"/>
      <w:sz w:val="28"/>
    </w:rPr>
  </w:style>
  <w:style w:type="character" w:customStyle="1" w:styleId="97">
    <w:name w:val="不明显强调1"/>
    <w:qFormat/>
    <w:uiPriority w:val="0"/>
    <w:rPr>
      <w:i/>
      <w:iCs/>
      <w:color w:val="808080"/>
    </w:rPr>
  </w:style>
  <w:style w:type="character" w:customStyle="1" w:styleId="98">
    <w:name w:val="Char Char14"/>
    <w:qFormat/>
    <w:uiPriority w:val="0"/>
    <w:rPr>
      <w:rFonts w:ascii="Arial" w:hAnsi="Arial"/>
      <w:b/>
      <w:bCs/>
      <w:kern w:val="2"/>
      <w:sz w:val="21"/>
      <w:szCs w:val="28"/>
    </w:rPr>
  </w:style>
  <w:style w:type="character" w:customStyle="1" w:styleId="99">
    <w:name w:val="标题 Char1"/>
    <w:qFormat/>
    <w:uiPriority w:val="0"/>
    <w:rPr>
      <w:rFonts w:ascii="Cambria" w:hAnsi="Cambria" w:eastAsia="宋体" w:cs="Times New Roman"/>
      <w:b/>
      <w:bCs/>
      <w:sz w:val="32"/>
      <w:szCs w:val="32"/>
    </w:rPr>
  </w:style>
  <w:style w:type="character" w:customStyle="1" w:styleId="100">
    <w:name w:val="不明显参考1"/>
    <w:qFormat/>
    <w:uiPriority w:val="0"/>
    <w:rPr>
      <w:smallCaps/>
      <w:color w:val="C0504D"/>
      <w:u w:val="single"/>
    </w:rPr>
  </w:style>
  <w:style w:type="character" w:customStyle="1" w:styleId="101">
    <w:name w:val="Font Style128"/>
    <w:unhideWhenUsed/>
    <w:qFormat/>
    <w:uiPriority w:val="99"/>
    <w:rPr>
      <w:rFonts w:hint="eastAsia" w:ascii="Times New Roman" w:hAnsi="Times New Roman" w:eastAsia="Times New Roman"/>
      <w:sz w:val="16"/>
    </w:rPr>
  </w:style>
  <w:style w:type="character" w:customStyle="1" w:styleId="102">
    <w:name w:val="标题4 Char Char"/>
    <w:link w:val="103"/>
    <w:qFormat/>
    <w:uiPriority w:val="0"/>
    <w:rPr>
      <w:rFonts w:ascii="Arial" w:hAnsi="Arial"/>
      <w:b/>
      <w:bCs/>
      <w:sz w:val="24"/>
      <w:szCs w:val="32"/>
    </w:rPr>
  </w:style>
  <w:style w:type="paragraph" w:customStyle="1" w:styleId="103">
    <w:name w:val="标题4"/>
    <w:basedOn w:val="4"/>
    <w:next w:val="19"/>
    <w:link w:val="102"/>
    <w:qFormat/>
    <w:uiPriority w:val="0"/>
    <w:rPr>
      <w:rFonts w:ascii="Arial" w:hAnsi="Arial"/>
      <w:kern w:val="0"/>
      <w:sz w:val="24"/>
    </w:rPr>
  </w:style>
  <w:style w:type="character" w:customStyle="1" w:styleId="104">
    <w:name w:val="Font Style125"/>
    <w:unhideWhenUsed/>
    <w:qFormat/>
    <w:uiPriority w:val="99"/>
    <w:rPr>
      <w:rFonts w:hint="eastAsia" w:ascii="宋体" w:hAnsi="宋体" w:eastAsia="宋体"/>
      <w:b/>
      <w:sz w:val="26"/>
    </w:rPr>
  </w:style>
  <w:style w:type="character" w:customStyle="1" w:styleId="105">
    <w:name w:val="正文文本缩进 2 Char1"/>
    <w:semiHidden/>
    <w:qFormat/>
    <w:uiPriority w:val="0"/>
    <w:rPr>
      <w:kern w:val="2"/>
      <w:sz w:val="21"/>
      <w:szCs w:val="24"/>
    </w:rPr>
  </w:style>
  <w:style w:type="character" w:customStyle="1" w:styleId="106">
    <w:name w:val="批注文字 Char Char"/>
    <w:qFormat/>
    <w:uiPriority w:val="0"/>
    <w:rPr>
      <w:kern w:val="2"/>
      <w:sz w:val="21"/>
      <w:szCs w:val="24"/>
      <w:lang w:bidi="ar-SA"/>
    </w:rPr>
  </w:style>
  <w:style w:type="character" w:customStyle="1" w:styleId="107">
    <w:name w:val="引用 Char1"/>
    <w:qFormat/>
    <w:uiPriority w:val="99"/>
    <w:rPr>
      <w:i/>
      <w:iCs/>
      <w:color w:val="000000"/>
      <w:kern w:val="2"/>
      <w:sz w:val="21"/>
      <w:szCs w:val="24"/>
    </w:rPr>
  </w:style>
  <w:style w:type="character" w:customStyle="1" w:styleId="108">
    <w:name w:val="_Style 99"/>
    <w:unhideWhenUsed/>
    <w:qFormat/>
    <w:uiPriority w:val="99"/>
    <w:rPr>
      <w:color w:val="605E5C"/>
      <w:shd w:val="clear" w:color="auto" w:fill="E1DFDD"/>
    </w:rPr>
  </w:style>
  <w:style w:type="character" w:customStyle="1" w:styleId="109">
    <w:name w:val="日期 Char1"/>
    <w:qFormat/>
    <w:uiPriority w:val="0"/>
    <w:rPr>
      <w:rFonts w:ascii="Times New Roman" w:hAnsi="Times New Roman" w:eastAsia="宋体" w:cs="Times New Roman"/>
      <w:szCs w:val="24"/>
    </w:rPr>
  </w:style>
  <w:style w:type="character" w:customStyle="1" w:styleId="110">
    <w:name w:val="Font Style124"/>
    <w:unhideWhenUsed/>
    <w:qFormat/>
    <w:uiPriority w:val="99"/>
    <w:rPr>
      <w:rFonts w:hint="eastAsia" w:ascii="宋体" w:hAnsi="宋体" w:eastAsia="宋体"/>
      <w:spacing w:val="30"/>
      <w:sz w:val="24"/>
    </w:rPr>
  </w:style>
  <w:style w:type="character" w:customStyle="1" w:styleId="111">
    <w:name w:val="明显引用 字符"/>
    <w:link w:val="112"/>
    <w:qFormat/>
    <w:uiPriority w:val="0"/>
    <w:rPr>
      <w:b/>
      <w:bCs/>
      <w:i/>
      <w:iCs/>
      <w:color w:val="4F81BD"/>
      <w:kern w:val="2"/>
      <w:sz w:val="21"/>
      <w:szCs w:val="22"/>
    </w:rPr>
  </w:style>
  <w:style w:type="paragraph" w:styleId="112">
    <w:name w:val="Intense Quote"/>
    <w:basedOn w:val="1"/>
    <w:next w:val="1"/>
    <w:link w:val="111"/>
    <w:qFormat/>
    <w:uiPriority w:val="0"/>
    <w:pPr>
      <w:pBdr>
        <w:bottom w:val="single" w:color="4F81BD" w:sz="4" w:space="4"/>
      </w:pBdr>
      <w:spacing w:before="200" w:after="280"/>
      <w:ind w:left="936" w:right="936"/>
    </w:pPr>
    <w:rPr>
      <w:b/>
      <w:bCs/>
      <w:i/>
      <w:iCs/>
      <w:color w:val="4F81BD"/>
      <w:szCs w:val="22"/>
    </w:rPr>
  </w:style>
  <w:style w:type="character" w:customStyle="1" w:styleId="113">
    <w:name w:val="Font Style123"/>
    <w:unhideWhenUsed/>
    <w:qFormat/>
    <w:uiPriority w:val="99"/>
    <w:rPr>
      <w:rFonts w:hint="eastAsia" w:ascii="宋体" w:hAnsi="宋体" w:eastAsia="宋体"/>
      <w:b/>
      <w:sz w:val="32"/>
    </w:rPr>
  </w:style>
  <w:style w:type="character" w:customStyle="1" w:styleId="114">
    <w:name w:val="Font Style121"/>
    <w:unhideWhenUsed/>
    <w:qFormat/>
    <w:uiPriority w:val="99"/>
    <w:rPr>
      <w:rFonts w:hint="eastAsia" w:ascii="宋体" w:hAnsi="宋体" w:eastAsia="宋体"/>
      <w:spacing w:val="-10"/>
      <w:sz w:val="30"/>
    </w:rPr>
  </w:style>
  <w:style w:type="character" w:customStyle="1" w:styleId="115">
    <w:name w:val="批注文字 Char1"/>
    <w:semiHidden/>
    <w:qFormat/>
    <w:uiPriority w:val="99"/>
    <w:rPr>
      <w:rFonts w:ascii="Times New Roman" w:hAnsi="Times New Roman" w:eastAsia="宋体" w:cs="Times New Roman"/>
      <w:szCs w:val="24"/>
    </w:rPr>
  </w:style>
  <w:style w:type="character" w:customStyle="1" w:styleId="116">
    <w:name w:val="书籍标题1"/>
    <w:qFormat/>
    <w:uiPriority w:val="0"/>
    <w:rPr>
      <w:b/>
      <w:bCs/>
      <w:smallCaps/>
      <w:spacing w:val="5"/>
    </w:rPr>
  </w:style>
  <w:style w:type="character" w:customStyle="1" w:styleId="117">
    <w:name w:val="明显参考1"/>
    <w:qFormat/>
    <w:uiPriority w:val="0"/>
    <w:rPr>
      <w:b/>
      <w:bCs/>
      <w:smallCaps/>
      <w:color w:val="C0504D"/>
      <w:spacing w:val="5"/>
      <w:u w:val="single"/>
    </w:rPr>
  </w:style>
  <w:style w:type="character" w:customStyle="1" w:styleId="118">
    <w:name w:val="Font Style117"/>
    <w:unhideWhenUsed/>
    <w:qFormat/>
    <w:uiPriority w:val="99"/>
    <w:rPr>
      <w:rFonts w:hint="eastAsia" w:ascii="宋体" w:hAnsi="宋体" w:eastAsia="宋体"/>
      <w:spacing w:val="20"/>
      <w:sz w:val="24"/>
    </w:rPr>
  </w:style>
  <w:style w:type="character" w:customStyle="1" w:styleId="119">
    <w:name w:val="引用 字符"/>
    <w:link w:val="120"/>
    <w:qFormat/>
    <w:uiPriority w:val="0"/>
    <w:rPr>
      <w:i/>
      <w:iCs/>
      <w:color w:val="000000"/>
      <w:kern w:val="2"/>
      <w:sz w:val="21"/>
      <w:szCs w:val="22"/>
    </w:rPr>
  </w:style>
  <w:style w:type="paragraph" w:styleId="120">
    <w:name w:val="Quote"/>
    <w:basedOn w:val="1"/>
    <w:next w:val="1"/>
    <w:link w:val="119"/>
    <w:qFormat/>
    <w:uiPriority w:val="0"/>
    <w:rPr>
      <w:i/>
      <w:iCs/>
      <w:color w:val="000000"/>
      <w:szCs w:val="22"/>
    </w:rPr>
  </w:style>
  <w:style w:type="character" w:customStyle="1" w:styleId="121">
    <w:name w:val="正文文本缩进 Char1"/>
    <w:semiHidden/>
    <w:qFormat/>
    <w:uiPriority w:val="99"/>
    <w:rPr>
      <w:kern w:val="2"/>
      <w:sz w:val="21"/>
      <w:szCs w:val="24"/>
    </w:rPr>
  </w:style>
  <w:style w:type="character" w:customStyle="1" w:styleId="122">
    <w:name w:val="批注文字 字符1"/>
    <w:qFormat/>
    <w:uiPriority w:val="0"/>
    <w:rPr>
      <w:kern w:val="2"/>
      <w:sz w:val="21"/>
      <w:szCs w:val="24"/>
    </w:rPr>
  </w:style>
  <w:style w:type="character" w:customStyle="1" w:styleId="123">
    <w:name w:val="文档结构图 Char1"/>
    <w:qFormat/>
    <w:uiPriority w:val="0"/>
    <w:rPr>
      <w:rFonts w:ascii="宋体" w:hAnsi="Times New Roman" w:eastAsia="宋体" w:cs="Times New Roman"/>
      <w:sz w:val="18"/>
      <w:szCs w:val="18"/>
    </w:rPr>
  </w:style>
  <w:style w:type="character" w:customStyle="1" w:styleId="124">
    <w:name w:val="正文文本缩进 3 Char1"/>
    <w:qFormat/>
    <w:uiPriority w:val="0"/>
    <w:rPr>
      <w:rFonts w:ascii="Times New Roman" w:hAnsi="Times New Roman" w:eastAsia="宋体" w:cs="Times New Roman"/>
      <w:sz w:val="16"/>
      <w:szCs w:val="16"/>
    </w:rPr>
  </w:style>
  <w:style w:type="character" w:customStyle="1" w:styleId="125">
    <w:name w:val="标题5 Char Char"/>
    <w:link w:val="126"/>
    <w:qFormat/>
    <w:uiPriority w:val="0"/>
    <w:rPr>
      <w:rFonts w:ascii="Arial" w:hAnsi="Arial"/>
      <w:b/>
      <w:bCs/>
      <w:sz w:val="24"/>
      <w:szCs w:val="32"/>
    </w:rPr>
  </w:style>
  <w:style w:type="paragraph" w:customStyle="1" w:styleId="126">
    <w:name w:val="标题5"/>
    <w:basedOn w:val="5"/>
    <w:link w:val="125"/>
    <w:qFormat/>
    <w:uiPriority w:val="0"/>
    <w:pPr>
      <w:keepNext/>
      <w:keepLines/>
      <w:widowControl w:val="0"/>
      <w:spacing w:before="260" w:after="260" w:line="413" w:lineRule="auto"/>
    </w:pPr>
    <w:rPr>
      <w:rFonts w:ascii="Arial" w:hAnsi="Arial"/>
      <w:szCs w:val="32"/>
    </w:rPr>
  </w:style>
  <w:style w:type="character" w:customStyle="1" w:styleId="127">
    <w:name w:val="Font Style127"/>
    <w:unhideWhenUsed/>
    <w:qFormat/>
    <w:uiPriority w:val="99"/>
    <w:rPr>
      <w:rFonts w:hint="eastAsia" w:ascii="Times New Roman" w:hAnsi="Times New Roman" w:eastAsia="Times New Roman"/>
      <w:sz w:val="20"/>
    </w:rPr>
  </w:style>
  <w:style w:type="character" w:customStyle="1" w:styleId="128">
    <w:name w:val="页脚 Char1"/>
    <w:semiHidden/>
    <w:qFormat/>
    <w:uiPriority w:val="99"/>
    <w:rPr>
      <w:rFonts w:ascii="Times New Roman" w:hAnsi="Times New Roman" w:eastAsia="宋体" w:cs="Times New Roman"/>
      <w:sz w:val="18"/>
      <w:szCs w:val="18"/>
    </w:rPr>
  </w:style>
  <w:style w:type="character" w:customStyle="1" w:styleId="129">
    <w:name w:val="纯文本 Char1"/>
    <w:qFormat/>
    <w:uiPriority w:val="0"/>
    <w:rPr>
      <w:rFonts w:ascii="宋体" w:hAnsi="Courier New" w:eastAsia="宋体" w:cs="Courier New"/>
      <w:szCs w:val="21"/>
    </w:rPr>
  </w:style>
  <w:style w:type="character" w:customStyle="1" w:styleId="130">
    <w:name w:val="副标题 Char1"/>
    <w:qFormat/>
    <w:uiPriority w:val="11"/>
    <w:rPr>
      <w:rFonts w:ascii="Cambria" w:hAnsi="Cambria" w:cs="Times New Roman"/>
      <w:b/>
      <w:bCs/>
      <w:kern w:val="28"/>
      <w:sz w:val="32"/>
      <w:szCs w:val="32"/>
    </w:rPr>
  </w:style>
  <w:style w:type="character" w:customStyle="1" w:styleId="131">
    <w:name w:val="批注主题 Char1"/>
    <w:qFormat/>
    <w:uiPriority w:val="0"/>
    <w:rPr>
      <w:rFonts w:ascii="Times New Roman" w:hAnsi="Times New Roman" w:eastAsia="宋体" w:cs="Times New Roman"/>
      <w:b/>
      <w:bCs/>
      <w:szCs w:val="24"/>
    </w:rPr>
  </w:style>
  <w:style w:type="character" w:customStyle="1" w:styleId="132">
    <w:name w:val="标题 4 Char1"/>
    <w:qFormat/>
    <w:uiPriority w:val="0"/>
    <w:rPr>
      <w:rFonts w:ascii="Arial" w:hAnsi="Arial" w:eastAsia="宋体" w:cs="Times New Roman"/>
      <w:b/>
      <w:bCs/>
      <w:szCs w:val="28"/>
    </w:rPr>
  </w:style>
  <w:style w:type="character" w:customStyle="1" w:styleId="133">
    <w:name w:val="正文文本 Char1"/>
    <w:qFormat/>
    <w:uiPriority w:val="0"/>
    <w:rPr>
      <w:kern w:val="2"/>
      <w:sz w:val="21"/>
      <w:szCs w:val="22"/>
    </w:rPr>
  </w:style>
  <w:style w:type="character" w:customStyle="1" w:styleId="134">
    <w:name w:val="Font Style116"/>
    <w:unhideWhenUsed/>
    <w:qFormat/>
    <w:uiPriority w:val="99"/>
    <w:rPr>
      <w:rFonts w:hint="eastAsia" w:ascii="宋体" w:hAnsi="宋体" w:eastAsia="宋体"/>
      <w:spacing w:val="-20"/>
      <w:sz w:val="24"/>
    </w:rPr>
  </w:style>
  <w:style w:type="character" w:customStyle="1" w:styleId="135">
    <w:name w:val="Font Style94"/>
    <w:unhideWhenUsed/>
    <w:qFormat/>
    <w:uiPriority w:val="99"/>
    <w:rPr>
      <w:rFonts w:hint="eastAsia" w:ascii="Times New Roman" w:hAnsi="Times New Roman" w:eastAsia="Times New Roman"/>
      <w:sz w:val="28"/>
    </w:rPr>
  </w:style>
  <w:style w:type="character" w:customStyle="1" w:styleId="136">
    <w:name w:val="Font Style115"/>
    <w:unhideWhenUsed/>
    <w:qFormat/>
    <w:uiPriority w:val="99"/>
    <w:rPr>
      <w:rFonts w:hint="eastAsia" w:ascii="Times New Roman" w:hAnsi="Times New Roman" w:eastAsia="Times New Roman"/>
      <w:sz w:val="16"/>
    </w:rPr>
  </w:style>
  <w:style w:type="paragraph" w:customStyle="1" w:styleId="137">
    <w:name w:val="Style5"/>
    <w:basedOn w:val="1"/>
    <w:unhideWhenUsed/>
    <w:qFormat/>
    <w:uiPriority w:val="99"/>
    <w:rPr>
      <w:rFonts w:ascii="Calibri" w:hAnsi="Calibri"/>
    </w:rPr>
  </w:style>
  <w:style w:type="paragraph" w:customStyle="1" w:styleId="138">
    <w:name w:val="样式2"/>
    <w:basedOn w:val="3"/>
    <w:qFormat/>
    <w:uiPriority w:val="0"/>
    <w:pPr>
      <w:jc w:val="left"/>
    </w:pPr>
    <w:rPr>
      <w:rFonts w:ascii="Times New Roman" w:hAnsi="Times New Roman"/>
      <w:b w:val="0"/>
      <w:bCs w:val="0"/>
      <w:kern w:val="2"/>
      <w:sz w:val="28"/>
      <w:szCs w:val="21"/>
    </w:rPr>
  </w:style>
  <w:style w:type="paragraph" w:customStyle="1" w:styleId="139">
    <w:name w:val="Char Char Char Char Char Char Char Char Char"/>
    <w:basedOn w:val="1"/>
    <w:qFormat/>
    <w:uiPriority w:val="0"/>
    <w:pPr>
      <w:spacing w:line="360" w:lineRule="auto"/>
      <w:ind w:firstLine="200" w:firstLineChars="200"/>
    </w:pPr>
  </w:style>
  <w:style w:type="paragraph" w:customStyle="1" w:styleId="140">
    <w:name w:val="修订2"/>
    <w:qFormat/>
    <w:uiPriority w:val="99"/>
    <w:rPr>
      <w:rFonts w:ascii="Calibri" w:hAnsi="Calibri" w:eastAsia="宋体" w:cs="Times New Roman"/>
      <w:kern w:val="2"/>
      <w:sz w:val="21"/>
      <w:szCs w:val="24"/>
      <w:lang w:val="en-US" w:eastAsia="zh-CN" w:bidi="ar-SA"/>
    </w:rPr>
  </w:style>
  <w:style w:type="paragraph" w:customStyle="1" w:styleId="141">
    <w:name w:val="CM99"/>
    <w:basedOn w:val="1"/>
    <w:next w:val="1"/>
    <w:qFormat/>
    <w:uiPriority w:val="0"/>
    <w:pPr>
      <w:autoSpaceDE w:val="0"/>
      <w:autoSpaceDN w:val="0"/>
      <w:adjustRightInd w:val="0"/>
      <w:spacing w:after="443"/>
      <w:jc w:val="left"/>
    </w:pPr>
    <w:rPr>
      <w:rFonts w:ascii="宋体" w:hAnsi="Times New Roman" w:eastAsia="宋体" w:cs="Times New Roman"/>
      <w:kern w:val="0"/>
      <w:sz w:val="24"/>
      <w:szCs w:val="20"/>
    </w:rPr>
  </w:style>
  <w:style w:type="paragraph" w:styleId="142">
    <w:name w:val="List Paragraph"/>
    <w:basedOn w:val="1"/>
    <w:qFormat/>
    <w:uiPriority w:val="0"/>
    <w:pPr>
      <w:ind w:firstLine="420" w:firstLineChars="200"/>
    </w:pPr>
    <w:rPr>
      <w:rFonts w:ascii="Calibri" w:hAnsi="Calibri"/>
      <w:szCs w:val="22"/>
    </w:rPr>
  </w:style>
  <w:style w:type="paragraph" w:customStyle="1" w:styleId="143">
    <w:name w:val="Style61"/>
    <w:basedOn w:val="1"/>
    <w:unhideWhenUsed/>
    <w:qFormat/>
    <w:uiPriority w:val="99"/>
    <w:rPr>
      <w:rFonts w:ascii="Calibri" w:hAnsi="Calibri"/>
    </w:rPr>
  </w:style>
  <w:style w:type="paragraph" w:customStyle="1" w:styleId="144">
    <w:name w:val="Style34"/>
    <w:basedOn w:val="1"/>
    <w:unhideWhenUsed/>
    <w:qFormat/>
    <w:uiPriority w:val="99"/>
    <w:pPr>
      <w:spacing w:line="375" w:lineRule="exact"/>
    </w:pPr>
    <w:rPr>
      <w:rFonts w:ascii="Calibri" w:hAnsi="Calibri"/>
    </w:rPr>
  </w:style>
  <w:style w:type="paragraph" w:customStyle="1" w:styleId="145">
    <w:name w:val="列出段落21"/>
    <w:basedOn w:val="1"/>
    <w:qFormat/>
    <w:uiPriority w:val="0"/>
    <w:pPr>
      <w:ind w:firstLine="200" w:firstLineChars="200"/>
    </w:pPr>
    <w:rPr>
      <w:rFonts w:ascii="Calibri" w:hAnsi="Calibri"/>
      <w:szCs w:val="22"/>
    </w:rPr>
  </w:style>
  <w:style w:type="paragraph" w:customStyle="1" w:styleId="146">
    <w:name w:val="Char Char"/>
    <w:basedOn w:val="1"/>
    <w:qFormat/>
    <w:uiPriority w:val="0"/>
  </w:style>
  <w:style w:type="paragraph" w:customStyle="1" w:styleId="147">
    <w:name w:val="Style72"/>
    <w:basedOn w:val="1"/>
    <w:unhideWhenUsed/>
    <w:qFormat/>
    <w:uiPriority w:val="99"/>
    <w:rPr>
      <w:rFonts w:ascii="Calibri" w:hAnsi="Calibri"/>
    </w:rPr>
  </w:style>
  <w:style w:type="paragraph" w:customStyle="1" w:styleId="148">
    <w:name w:val="TOC 标题2"/>
    <w:basedOn w:val="3"/>
    <w:next w:val="1"/>
    <w:qFormat/>
    <w:uiPriority w:val="0"/>
    <w:pPr>
      <w:keepLines/>
      <w:spacing w:before="340" w:after="330" w:line="576" w:lineRule="auto"/>
      <w:outlineLvl w:val="9"/>
    </w:pPr>
    <w:rPr>
      <w:rFonts w:ascii="Calibri" w:hAnsi="Calibri"/>
      <w:kern w:val="44"/>
      <w:sz w:val="44"/>
      <w:szCs w:val="44"/>
    </w:rPr>
  </w:style>
  <w:style w:type="paragraph" w:customStyle="1" w:styleId="149">
    <w:name w:val="Style53"/>
    <w:basedOn w:val="1"/>
    <w:unhideWhenUsed/>
    <w:qFormat/>
    <w:uiPriority w:val="99"/>
    <w:pPr>
      <w:spacing w:line="533" w:lineRule="exact"/>
      <w:ind w:firstLine="581"/>
    </w:pPr>
    <w:rPr>
      <w:rFonts w:ascii="Calibri" w:hAnsi="Calibri"/>
    </w:rPr>
  </w:style>
  <w:style w:type="paragraph" w:customStyle="1" w:styleId="150">
    <w:name w:val="Style62"/>
    <w:basedOn w:val="1"/>
    <w:unhideWhenUsed/>
    <w:qFormat/>
    <w:uiPriority w:val="99"/>
    <w:rPr>
      <w:rFonts w:ascii="Calibri" w:hAnsi="Calibri"/>
    </w:rPr>
  </w:style>
  <w:style w:type="paragraph" w:customStyle="1" w:styleId="151">
    <w:name w:val="Char2"/>
    <w:basedOn w:val="1"/>
    <w:qFormat/>
    <w:uiPriority w:val="0"/>
    <w:pPr>
      <w:widowControl/>
      <w:spacing w:after="160" w:line="240" w:lineRule="exact"/>
      <w:jc w:val="left"/>
    </w:pPr>
    <w:rPr>
      <w:rFonts w:ascii="Calibri" w:hAnsi="Calibri"/>
    </w:rPr>
  </w:style>
  <w:style w:type="paragraph" w:customStyle="1" w:styleId="152">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3">
    <w:name w:val="Char Char Char Char Char Char Char Char Char Char1"/>
    <w:basedOn w:val="1"/>
    <w:qFormat/>
    <w:uiPriority w:val="0"/>
    <w:rPr>
      <w:rFonts w:ascii="Calibri" w:hAnsi="Calibri"/>
    </w:rPr>
  </w:style>
  <w:style w:type="paragraph" w:customStyle="1" w:styleId="154">
    <w:name w:val="Style77"/>
    <w:basedOn w:val="1"/>
    <w:unhideWhenUsed/>
    <w:qFormat/>
    <w:uiPriority w:val="99"/>
    <w:rPr>
      <w:rFonts w:ascii="Calibri" w:hAnsi="Calibri"/>
    </w:rPr>
  </w:style>
  <w:style w:type="paragraph" w:customStyle="1" w:styleId="155">
    <w:name w:val="Style50"/>
    <w:basedOn w:val="1"/>
    <w:unhideWhenUsed/>
    <w:qFormat/>
    <w:uiPriority w:val="99"/>
    <w:rPr>
      <w:rFonts w:ascii="Calibri" w:hAnsi="Calibri"/>
    </w:rPr>
  </w:style>
  <w:style w:type="paragraph" w:styleId="156">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7">
    <w:name w:val="_Style 31"/>
    <w:basedOn w:val="1"/>
    <w:qFormat/>
    <w:uiPriority w:val="0"/>
    <w:rPr>
      <w:rFonts w:ascii="仿宋_GB2312" w:eastAsia="仿宋_GB2312"/>
      <w:kern w:val="0"/>
      <w:szCs w:val="20"/>
    </w:rPr>
  </w:style>
  <w:style w:type="paragraph" w:customStyle="1" w:styleId="158">
    <w:name w:val="Char1 Char Char Char 字元 Char Char 字元 Char 字元 Char1 Char Char Char"/>
    <w:basedOn w:val="1"/>
    <w:qFormat/>
    <w:uiPriority w:val="0"/>
  </w:style>
  <w:style w:type="paragraph" w:customStyle="1" w:styleId="159">
    <w:name w:val="TOC 标题1"/>
    <w:basedOn w:val="3"/>
    <w:next w:val="1"/>
    <w:qFormat/>
    <w:uiPriority w:val="39"/>
    <w:pPr>
      <w:keepLines/>
      <w:spacing w:before="340" w:after="330" w:line="578" w:lineRule="auto"/>
      <w:outlineLvl w:val="9"/>
    </w:pPr>
    <w:rPr>
      <w:rFonts w:ascii="Times New Roman" w:hAnsi="Times New Roman"/>
      <w:kern w:val="44"/>
      <w:sz w:val="44"/>
      <w:szCs w:val="44"/>
    </w:rPr>
  </w:style>
  <w:style w:type="paragraph" w:customStyle="1" w:styleId="160">
    <w:name w:val="Char Char Char Char Char Char Char Char Char Char"/>
    <w:basedOn w:val="1"/>
    <w:qFormat/>
    <w:uiPriority w:val="0"/>
    <w:rPr>
      <w:rFonts w:ascii="Calibri" w:hAnsi="Calibri"/>
    </w:rPr>
  </w:style>
  <w:style w:type="paragraph" w:customStyle="1" w:styleId="161">
    <w:name w:val="修订1"/>
    <w:qFormat/>
    <w:uiPriority w:val="99"/>
    <w:rPr>
      <w:rFonts w:ascii="Times New Roman" w:hAnsi="Times New Roman" w:eastAsia="宋体" w:cs="Times New Roman"/>
      <w:kern w:val="2"/>
      <w:sz w:val="21"/>
      <w:szCs w:val="24"/>
      <w:lang w:val="en-US" w:eastAsia="zh-CN" w:bidi="ar-SA"/>
    </w:rPr>
  </w:style>
  <w:style w:type="paragraph" w:customStyle="1" w:styleId="162">
    <w:name w:val="Style73"/>
    <w:basedOn w:val="1"/>
    <w:unhideWhenUsed/>
    <w:qFormat/>
    <w:uiPriority w:val="99"/>
    <w:pPr>
      <w:spacing w:line="538" w:lineRule="exact"/>
      <w:ind w:firstLine="533"/>
    </w:pPr>
    <w:rPr>
      <w:rFonts w:ascii="Calibri" w:hAnsi="Calibri"/>
    </w:rPr>
  </w:style>
  <w:style w:type="paragraph" w:customStyle="1" w:styleId="163">
    <w:name w:val="Style76"/>
    <w:basedOn w:val="1"/>
    <w:unhideWhenUsed/>
    <w:qFormat/>
    <w:uiPriority w:val="99"/>
    <w:rPr>
      <w:rFonts w:ascii="Calibri" w:hAnsi="Calibri"/>
    </w:rPr>
  </w:style>
  <w:style w:type="paragraph" w:customStyle="1" w:styleId="164">
    <w:name w:val="修订3"/>
    <w:unhideWhenUsed/>
    <w:qFormat/>
    <w:uiPriority w:val="0"/>
    <w:rPr>
      <w:rFonts w:ascii="Times New Roman" w:hAnsi="Times New Roman" w:eastAsia="宋体" w:cs="Times New Roman"/>
      <w:kern w:val="2"/>
      <w:sz w:val="21"/>
      <w:szCs w:val="24"/>
      <w:lang w:val="en-US" w:eastAsia="zh-CN" w:bidi="ar-SA"/>
    </w:rPr>
  </w:style>
  <w:style w:type="paragraph" w:customStyle="1" w:styleId="165">
    <w:name w:val="样式1"/>
    <w:basedOn w:val="1"/>
    <w:qFormat/>
    <w:uiPriority w:val="0"/>
    <w:pPr>
      <w:tabs>
        <w:tab w:val="right" w:leader="dot" w:pos="10142"/>
      </w:tabs>
      <w:autoSpaceDN w:val="0"/>
    </w:pPr>
    <w:rPr>
      <w:rFonts w:ascii="宋体" w:hAnsi="宋体"/>
      <w:sz w:val="28"/>
      <w:szCs w:val="20"/>
    </w:rPr>
  </w:style>
  <w:style w:type="paragraph" w:customStyle="1" w:styleId="166">
    <w:name w:val="正文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7">
    <w:name w:val="样式 标题 3 + (中文) 黑体 小四 非加粗 段前: 7.8 磅 段后: 0 磅 行距: 固定值 20 磅"/>
    <w:basedOn w:val="5"/>
    <w:qFormat/>
    <w:uiPriority w:val="0"/>
    <w:pPr>
      <w:keepNext/>
      <w:keepLines/>
      <w:widowControl w:val="0"/>
      <w:spacing w:line="400" w:lineRule="exact"/>
    </w:pPr>
    <w:rPr>
      <w:rFonts w:eastAsia="黑体" w:cs="宋体"/>
      <w:b w:val="0"/>
      <w:bCs w:val="0"/>
      <w:kern w:val="2"/>
      <w:szCs w:val="20"/>
      <w:lang w:val="en-US"/>
    </w:rPr>
  </w:style>
  <w:style w:type="paragraph" w:customStyle="1" w:styleId="168">
    <w:name w:val="Style26"/>
    <w:basedOn w:val="1"/>
    <w:unhideWhenUsed/>
    <w:qFormat/>
    <w:uiPriority w:val="99"/>
    <w:rPr>
      <w:rFonts w:ascii="Calibri" w:hAnsi="Calibri"/>
    </w:rPr>
  </w:style>
  <w:style w:type="paragraph" w:customStyle="1" w:styleId="169">
    <w:name w:val="标题 1 +"/>
    <w:basedOn w:val="3"/>
    <w:next w:val="1"/>
    <w:qFormat/>
    <w:uiPriority w:val="0"/>
    <w:pPr>
      <w:keepLines/>
      <w:spacing w:before="0" w:after="0" w:line="600" w:lineRule="auto"/>
      <w:jc w:val="center"/>
    </w:pPr>
    <w:rPr>
      <w:rFonts w:ascii="Times New Roman" w:hAnsi="Times New Roman" w:eastAsia="黑体"/>
      <w:kern w:val="0"/>
    </w:rPr>
  </w:style>
  <w:style w:type="paragraph" w:customStyle="1" w:styleId="170">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71">
    <w:name w:val="_Style 4"/>
    <w:basedOn w:val="1"/>
    <w:qFormat/>
    <w:uiPriority w:val="34"/>
    <w:pPr>
      <w:widowControl/>
      <w:spacing w:line="120" w:lineRule="exact"/>
      <w:ind w:firstLine="420" w:firstLineChars="200"/>
      <w:jc w:val="left"/>
    </w:pPr>
    <w:rPr>
      <w:rFonts w:ascii="Calibri" w:hAnsi="Calibri"/>
      <w:sz w:val="18"/>
      <w:szCs w:val="18"/>
    </w:rPr>
  </w:style>
  <w:style w:type="paragraph" w:customStyle="1" w:styleId="172">
    <w:name w:val="Char Char Char Char Char Char Char11"/>
    <w:basedOn w:val="1"/>
    <w:qFormat/>
    <w:uiPriority w:val="0"/>
    <w:pPr>
      <w:snapToGrid w:val="0"/>
      <w:spacing w:line="360" w:lineRule="auto"/>
      <w:ind w:firstLine="200" w:firstLineChars="200"/>
    </w:pPr>
    <w:rPr>
      <w:rFonts w:ascii="Calibri" w:hAnsi="Calibri" w:eastAsia="仿宋_GB2312"/>
      <w:sz w:val="24"/>
    </w:rPr>
  </w:style>
  <w:style w:type="paragraph" w:customStyle="1" w:styleId="173">
    <w:name w:val="Style70"/>
    <w:basedOn w:val="1"/>
    <w:unhideWhenUsed/>
    <w:qFormat/>
    <w:uiPriority w:val="99"/>
    <w:pPr>
      <w:spacing w:line="549" w:lineRule="exact"/>
      <w:ind w:firstLine="686"/>
    </w:pPr>
    <w:rPr>
      <w:rFonts w:ascii="Calibri" w:hAnsi="Calibri"/>
    </w:rPr>
  </w:style>
  <w:style w:type="paragraph" w:customStyle="1" w:styleId="174">
    <w:name w:val="TOC 标题11"/>
    <w:basedOn w:val="3"/>
    <w:next w:val="1"/>
    <w:qFormat/>
    <w:uiPriority w:val="39"/>
    <w:pPr>
      <w:keepLines/>
      <w:spacing w:before="340" w:after="330" w:line="578" w:lineRule="auto"/>
      <w:outlineLvl w:val="9"/>
    </w:pPr>
    <w:rPr>
      <w:rFonts w:ascii="Times New Roman" w:hAnsi="Times New Roman"/>
      <w:kern w:val="44"/>
      <w:sz w:val="44"/>
      <w:szCs w:val="44"/>
    </w:rPr>
  </w:style>
  <w:style w:type="paragraph" w:customStyle="1" w:styleId="175">
    <w:name w:val="_Style 167"/>
    <w:basedOn w:val="3"/>
    <w:next w:val="1"/>
    <w:unhideWhenUsed/>
    <w:qFormat/>
    <w:uiPriority w:val="39"/>
    <w:pPr>
      <w:keepLines/>
      <w:widowControl/>
      <w:spacing w:after="0" w:line="259" w:lineRule="auto"/>
      <w:jc w:val="left"/>
      <w:outlineLvl w:val="9"/>
    </w:pPr>
    <w:rPr>
      <w:rFonts w:ascii="等线 Light" w:hAnsi="等线 Light" w:eastAsia="等线 Light" w:cs="Times New Roman"/>
      <w:b w:val="0"/>
      <w:bCs w:val="0"/>
      <w:color w:val="2F5496"/>
      <w:kern w:val="0"/>
    </w:rPr>
  </w:style>
  <w:style w:type="paragraph" w:customStyle="1" w:styleId="176">
    <w:name w:val="Style27"/>
    <w:basedOn w:val="1"/>
    <w:unhideWhenUsed/>
    <w:qFormat/>
    <w:uiPriority w:val="99"/>
    <w:rPr>
      <w:rFonts w:ascii="Calibri" w:hAnsi="Calibri"/>
    </w:rPr>
  </w:style>
  <w:style w:type="paragraph" w:customStyle="1" w:styleId="177">
    <w:name w:val="Style63"/>
    <w:basedOn w:val="1"/>
    <w:unhideWhenUsed/>
    <w:qFormat/>
    <w:uiPriority w:val="99"/>
    <w:pPr>
      <w:spacing w:line="564" w:lineRule="exact"/>
      <w:ind w:firstLine="682"/>
    </w:pPr>
    <w:rPr>
      <w:rFonts w:ascii="Calibri" w:hAnsi="Calibri"/>
    </w:rPr>
  </w:style>
  <w:style w:type="paragraph" w:customStyle="1" w:styleId="178">
    <w:name w:val="1 Char Char Char Char"/>
    <w:basedOn w:val="166"/>
    <w:qFormat/>
    <w:uiPriority w:val="0"/>
  </w:style>
  <w:style w:type="paragraph" w:customStyle="1" w:styleId="179">
    <w:name w:val="Char Char Char Char Char Char Char1"/>
    <w:basedOn w:val="1"/>
    <w:qFormat/>
    <w:uiPriority w:val="0"/>
    <w:pPr>
      <w:snapToGrid w:val="0"/>
      <w:spacing w:line="360" w:lineRule="auto"/>
      <w:ind w:firstLine="200" w:firstLineChars="200"/>
    </w:pPr>
    <w:rPr>
      <w:rFonts w:ascii="Calibri" w:hAnsi="Calibri" w:eastAsia="仿宋_GB2312"/>
      <w:sz w:val="24"/>
    </w:rPr>
  </w:style>
  <w:style w:type="paragraph" w:customStyle="1" w:styleId="180">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81">
    <w:name w:val="Style52"/>
    <w:basedOn w:val="1"/>
    <w:unhideWhenUsed/>
    <w:qFormat/>
    <w:uiPriority w:val="99"/>
    <w:pPr>
      <w:spacing w:line="682" w:lineRule="exact"/>
      <w:ind w:firstLine="557"/>
    </w:pPr>
    <w:rPr>
      <w:rFonts w:ascii="Calibri" w:hAnsi="Calibri"/>
    </w:rPr>
  </w:style>
  <w:style w:type="paragraph" w:customStyle="1" w:styleId="182">
    <w:name w:val="Style36"/>
    <w:basedOn w:val="1"/>
    <w:unhideWhenUsed/>
    <w:qFormat/>
    <w:uiPriority w:val="99"/>
    <w:rPr>
      <w:rFonts w:ascii="Calibri" w:hAnsi="Calibri"/>
    </w:rPr>
  </w:style>
  <w:style w:type="paragraph" w:customStyle="1" w:styleId="183">
    <w:name w:val="标题3"/>
    <w:basedOn w:val="3"/>
    <w:qFormat/>
    <w:uiPriority w:val="0"/>
    <w:pPr>
      <w:spacing w:beforeLines="50" w:afterLines="50" w:line="400" w:lineRule="exact"/>
    </w:pPr>
    <w:rPr>
      <w:rFonts w:ascii="宋体" w:hAnsi="宋体"/>
      <w:sz w:val="24"/>
    </w:rPr>
  </w:style>
  <w:style w:type="paragraph" w:customStyle="1" w:styleId="184">
    <w:name w:val="Style9"/>
    <w:basedOn w:val="1"/>
    <w:unhideWhenUsed/>
    <w:qFormat/>
    <w:uiPriority w:val="99"/>
    <w:rPr>
      <w:rFonts w:ascii="Calibri" w:hAnsi="Calibri"/>
    </w:rPr>
  </w:style>
  <w:style w:type="paragraph" w:customStyle="1" w:styleId="185">
    <w:name w:val="标题2"/>
    <w:basedOn w:val="37"/>
    <w:qFormat/>
    <w:uiPriority w:val="0"/>
    <w:pPr>
      <w:spacing w:after="240"/>
      <w:jc w:val="left"/>
    </w:pPr>
    <w:rPr>
      <w:sz w:val="30"/>
    </w:rPr>
  </w:style>
  <w:style w:type="paragraph" w:customStyle="1" w:styleId="186">
    <w:name w:val="样式3"/>
    <w:basedOn w:val="5"/>
    <w:qFormat/>
    <w:uiPriority w:val="0"/>
    <w:pPr>
      <w:jc w:val="left"/>
    </w:pPr>
    <w:rPr>
      <w:b w:val="0"/>
      <w:bCs w:val="0"/>
      <w:kern w:val="2"/>
      <w:sz w:val="28"/>
      <w:szCs w:val="28"/>
    </w:rPr>
  </w:style>
  <w:style w:type="paragraph" w:customStyle="1" w:styleId="187">
    <w:name w:val="_Style 179"/>
    <w:unhideWhenUsed/>
    <w:qFormat/>
    <w:uiPriority w:val="99"/>
    <w:rPr>
      <w:rFonts w:ascii="Times New Roman" w:hAnsi="Times New Roman" w:eastAsia="宋体" w:cs="Times New Roman"/>
      <w:kern w:val="2"/>
      <w:sz w:val="21"/>
      <w:szCs w:val="24"/>
      <w:lang w:val="en-US" w:eastAsia="zh-CN" w:bidi="ar-SA"/>
    </w:rPr>
  </w:style>
  <w:style w:type="paragraph" w:customStyle="1" w:styleId="188">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kern w:val="0"/>
      <w:sz w:val="28"/>
      <w:szCs w:val="20"/>
    </w:rPr>
  </w:style>
  <w:style w:type="paragraph" w:customStyle="1" w:styleId="189">
    <w:name w:val="CM91"/>
    <w:basedOn w:val="1"/>
    <w:next w:val="1"/>
    <w:qFormat/>
    <w:uiPriority w:val="0"/>
    <w:pPr>
      <w:autoSpaceDE w:val="0"/>
      <w:autoSpaceDN w:val="0"/>
      <w:adjustRightInd w:val="0"/>
      <w:spacing w:after="160"/>
      <w:jc w:val="left"/>
    </w:pPr>
    <w:rPr>
      <w:rFonts w:ascii="宋体" w:hAnsi="Times New Roman" w:eastAsia="宋体" w:cs="Times New Roman"/>
      <w:kern w:val="0"/>
      <w:sz w:val="24"/>
      <w:szCs w:val="20"/>
    </w:rPr>
  </w:style>
  <w:style w:type="paragraph" w:customStyle="1" w:styleId="190">
    <w:name w:val="Style46"/>
    <w:basedOn w:val="1"/>
    <w:unhideWhenUsed/>
    <w:qFormat/>
    <w:uiPriority w:val="99"/>
    <w:pPr>
      <w:spacing w:line="672" w:lineRule="exact"/>
    </w:pPr>
    <w:rPr>
      <w:rFonts w:ascii="Calibri" w:hAnsi="Calibri"/>
    </w:rPr>
  </w:style>
  <w:style w:type="paragraph" w:customStyle="1" w:styleId="191">
    <w:name w:val="正文文本2"/>
    <w:basedOn w:val="1"/>
    <w:qFormat/>
    <w:uiPriority w:val="0"/>
    <w:pPr>
      <w:widowControl/>
      <w:shd w:val="clear" w:color="auto" w:fill="FFFFFF"/>
      <w:spacing w:before="120" w:line="391" w:lineRule="exact"/>
      <w:ind w:hanging="420"/>
      <w:jc w:val="distribute"/>
    </w:pPr>
    <w:rPr>
      <w:rFonts w:ascii="MingLiU" w:hAnsi="MingLiU" w:eastAsia="MingLiU" w:cs="MingLiU"/>
      <w:szCs w:val="21"/>
      <w:shd w:val="clear" w:color="auto" w:fill="FFFFFF"/>
    </w:rPr>
  </w:style>
  <w:style w:type="paragraph" w:customStyle="1" w:styleId="192">
    <w:name w:val="Style28"/>
    <w:basedOn w:val="1"/>
    <w:unhideWhenUsed/>
    <w:qFormat/>
    <w:uiPriority w:val="99"/>
    <w:pPr>
      <w:spacing w:line="552" w:lineRule="exact"/>
      <w:ind w:firstLine="547"/>
    </w:pPr>
    <w:rPr>
      <w:rFonts w:ascii="Calibri" w:hAnsi="Calibri"/>
    </w:rPr>
  </w:style>
  <w:style w:type="paragraph" w:customStyle="1" w:styleId="193">
    <w:name w:val="Char"/>
    <w:basedOn w:val="1"/>
    <w:qFormat/>
    <w:uiPriority w:val="0"/>
    <w:rPr>
      <w:rFonts w:ascii="Tahoma" w:hAnsi="Tahoma" w:eastAsia="仿宋_GB2312"/>
      <w:sz w:val="24"/>
      <w:szCs w:val="20"/>
    </w:rPr>
  </w:style>
  <w:style w:type="paragraph" w:customStyle="1" w:styleId="194">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95">
    <w:name w:val="Style12"/>
    <w:basedOn w:val="1"/>
    <w:unhideWhenUsed/>
    <w:qFormat/>
    <w:uiPriority w:val="99"/>
    <w:pPr>
      <w:spacing w:line="564" w:lineRule="exact"/>
      <w:ind w:hanging="115"/>
    </w:pPr>
    <w:rPr>
      <w:rFonts w:ascii="Calibri" w:hAnsi="Calibri"/>
    </w:rPr>
  </w:style>
  <w:style w:type="paragraph" w:customStyle="1" w:styleId="196">
    <w:name w:val="Style11"/>
    <w:basedOn w:val="1"/>
    <w:unhideWhenUsed/>
    <w:qFormat/>
    <w:uiPriority w:val="99"/>
    <w:pPr>
      <w:spacing w:line="559" w:lineRule="exact"/>
      <w:ind w:firstLine="590"/>
    </w:pPr>
    <w:rPr>
      <w:rFonts w:ascii="Calibri" w:hAnsi="Calibri"/>
    </w:rPr>
  </w:style>
  <w:style w:type="paragraph" w:customStyle="1" w:styleId="197">
    <w:name w:val="Style42"/>
    <w:basedOn w:val="1"/>
    <w:unhideWhenUsed/>
    <w:qFormat/>
    <w:uiPriority w:val="99"/>
    <w:pPr>
      <w:spacing w:line="542" w:lineRule="exact"/>
      <w:ind w:firstLine="547"/>
    </w:pPr>
    <w:rPr>
      <w:rFonts w:ascii="Calibri" w:hAnsi="Calibri"/>
    </w:rPr>
  </w:style>
  <w:style w:type="paragraph" w:customStyle="1" w:styleId="198">
    <w:name w:val="Style69"/>
    <w:basedOn w:val="1"/>
    <w:unhideWhenUsed/>
    <w:qFormat/>
    <w:uiPriority w:val="99"/>
    <w:pPr>
      <w:spacing w:line="557" w:lineRule="exact"/>
      <w:ind w:firstLine="1666"/>
    </w:pPr>
    <w:rPr>
      <w:rFonts w:ascii="Calibri" w:hAnsi="Calibri"/>
    </w:rPr>
  </w:style>
  <w:style w:type="paragraph" w:customStyle="1" w:styleId="199">
    <w:name w:val="Style41"/>
    <w:basedOn w:val="1"/>
    <w:unhideWhenUsed/>
    <w:qFormat/>
    <w:uiPriority w:val="99"/>
    <w:pPr>
      <w:spacing w:line="542" w:lineRule="exact"/>
      <w:ind w:firstLine="125"/>
    </w:pPr>
    <w:rPr>
      <w:rFonts w:ascii="Calibri" w:hAnsi="Calibri"/>
    </w:rPr>
  </w:style>
  <w:style w:type="paragraph" w:customStyle="1" w:styleId="200">
    <w:name w:val="Style48"/>
    <w:basedOn w:val="1"/>
    <w:unhideWhenUsed/>
    <w:qFormat/>
    <w:uiPriority w:val="99"/>
    <w:pPr>
      <w:spacing w:line="542" w:lineRule="exact"/>
      <w:jc w:val="right"/>
    </w:pPr>
    <w:rPr>
      <w:rFonts w:ascii="Calibri" w:hAnsi="Calibri"/>
    </w:rPr>
  </w:style>
  <w:style w:type="paragraph" w:customStyle="1" w:styleId="201">
    <w:name w:val="Style78"/>
    <w:basedOn w:val="1"/>
    <w:unhideWhenUsed/>
    <w:qFormat/>
    <w:uiPriority w:val="99"/>
    <w:rPr>
      <w:rFonts w:ascii="Calibri" w:hAnsi="Calibri"/>
    </w:rPr>
  </w:style>
  <w:style w:type="paragraph" w:customStyle="1" w:styleId="202">
    <w:name w:val="Style16"/>
    <w:basedOn w:val="1"/>
    <w:unhideWhenUsed/>
    <w:qFormat/>
    <w:uiPriority w:val="99"/>
    <w:pPr>
      <w:jc w:val="right"/>
    </w:pPr>
    <w:rPr>
      <w:rFonts w:ascii="Calibri" w:hAnsi="Calibri"/>
    </w:rPr>
  </w:style>
  <w:style w:type="paragraph" w:customStyle="1" w:styleId="203">
    <w:name w:val="Style8"/>
    <w:basedOn w:val="1"/>
    <w:unhideWhenUsed/>
    <w:qFormat/>
    <w:uiPriority w:val="99"/>
    <w:pPr>
      <w:spacing w:line="566" w:lineRule="exact"/>
      <w:jc w:val="center"/>
    </w:pPr>
    <w:rPr>
      <w:rFonts w:ascii="Calibri" w:hAnsi="Calibri"/>
    </w:rPr>
  </w:style>
  <w:style w:type="paragraph" w:customStyle="1" w:styleId="204">
    <w:name w:val="默认段落字体 Para Char Char Char Char Char Char Char Char Char Char Char Char Char Char Char Char Char Char Char"/>
    <w:basedOn w:val="1"/>
    <w:qFormat/>
    <w:uiPriority w:val="0"/>
  </w:style>
  <w:style w:type="paragraph" w:customStyle="1" w:styleId="205">
    <w:name w:val="Aufzaehlung"/>
    <w:basedOn w:val="1"/>
    <w:qFormat/>
    <w:uiPriority w:val="0"/>
    <w:pPr>
      <w:widowControl/>
      <w:spacing w:line="240" w:lineRule="atLeast"/>
      <w:ind w:left="284" w:hanging="284"/>
      <w:jc w:val="left"/>
    </w:pPr>
    <w:rPr>
      <w:rFonts w:ascii="Arial" w:hAnsi="Arial"/>
      <w:kern w:val="0"/>
      <w:sz w:val="22"/>
      <w:lang w:eastAsia="en-US"/>
    </w:rPr>
  </w:style>
  <w:style w:type="paragraph" w:customStyle="1" w:styleId="206">
    <w:name w:val="普通 (Web)"/>
    <w:basedOn w:val="1"/>
    <w:qFormat/>
    <w:uiPriority w:val="0"/>
    <w:pPr>
      <w:widowControl/>
      <w:spacing w:before="100" w:beforeAutospacing="1" w:after="100" w:afterAutospacing="1"/>
      <w:jc w:val="left"/>
    </w:pPr>
    <w:rPr>
      <w:rFonts w:ascii="Arial Unicode MS" w:hAnsi="Arial Unicode MS" w:eastAsia="Arial Unicode MS" w:cs="宋体"/>
      <w:kern w:val="0"/>
      <w:sz w:val="24"/>
    </w:rPr>
  </w:style>
  <w:style w:type="paragraph" w:customStyle="1" w:styleId="207">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208">
    <w:name w:val="Style10"/>
    <w:basedOn w:val="1"/>
    <w:unhideWhenUsed/>
    <w:qFormat/>
    <w:uiPriority w:val="99"/>
    <w:pPr>
      <w:spacing w:line="538" w:lineRule="exact"/>
    </w:pPr>
    <w:rPr>
      <w:rFonts w:ascii="Calibri" w:hAnsi="Calibri"/>
    </w:rPr>
  </w:style>
  <w:style w:type="paragraph" w:customStyle="1" w:styleId="209">
    <w:name w:val="样式 图表 + 五号"/>
    <w:basedOn w:val="1"/>
    <w:qFormat/>
    <w:uiPriority w:val="0"/>
    <w:pPr>
      <w:spacing w:line="360" w:lineRule="auto"/>
      <w:ind w:left="-61" w:leftChars="-29" w:firstLine="522" w:firstLineChars="200"/>
    </w:pPr>
    <w:rPr>
      <w:rFonts w:ascii="宋体" w:hAnsi="宋体"/>
      <w:b/>
      <w:color w:val="FF0000"/>
      <w:spacing w:val="-10"/>
      <w:sz w:val="28"/>
      <w:szCs w:val="28"/>
    </w:rPr>
  </w:style>
  <w:style w:type="paragraph" w:customStyle="1" w:styleId="210">
    <w:name w:val="Style71"/>
    <w:basedOn w:val="1"/>
    <w:unhideWhenUsed/>
    <w:qFormat/>
    <w:uiPriority w:val="99"/>
    <w:pPr>
      <w:spacing w:line="538" w:lineRule="exact"/>
      <w:ind w:firstLine="101"/>
    </w:pPr>
    <w:rPr>
      <w:rFonts w:ascii="Calibri" w:hAnsi="Calibri"/>
    </w:rPr>
  </w:style>
  <w:style w:type="paragraph" w:customStyle="1" w:styleId="211">
    <w:name w:val="_Style 36"/>
    <w:qFormat/>
    <w:uiPriority w:val="0"/>
    <w:rPr>
      <w:rFonts w:ascii="Times New Roman" w:hAnsi="Times New Roman" w:eastAsia="宋体" w:cs="Times New Roman"/>
      <w:kern w:val="2"/>
      <w:sz w:val="21"/>
      <w:szCs w:val="24"/>
      <w:lang w:val="en-US" w:eastAsia="zh-CN" w:bidi="ar-SA"/>
    </w:rPr>
  </w:style>
  <w:style w:type="paragraph" w:customStyle="1" w:styleId="212">
    <w:name w:val="Style64"/>
    <w:basedOn w:val="1"/>
    <w:unhideWhenUsed/>
    <w:qFormat/>
    <w:uiPriority w:val="99"/>
    <w:rPr>
      <w:rFonts w:ascii="Calibri" w:hAnsi="Calibri"/>
    </w:rPr>
  </w:style>
  <w:style w:type="paragraph" w:customStyle="1" w:styleId="213">
    <w:name w:val="Style68"/>
    <w:basedOn w:val="1"/>
    <w:unhideWhenUsed/>
    <w:qFormat/>
    <w:uiPriority w:val="99"/>
    <w:pPr>
      <w:spacing w:line="547" w:lineRule="exact"/>
    </w:pPr>
    <w:rPr>
      <w:rFonts w:ascii="Calibri" w:hAnsi="Calibri"/>
    </w:rPr>
  </w:style>
  <w:style w:type="paragraph" w:customStyle="1" w:styleId="214">
    <w:name w:val="List Paragraph1"/>
    <w:basedOn w:val="1"/>
    <w:qFormat/>
    <w:uiPriority w:val="0"/>
    <w:pPr>
      <w:ind w:firstLine="420" w:firstLineChars="200"/>
    </w:pPr>
    <w:rPr>
      <w:rFonts w:ascii="Calibri" w:hAnsi="Calibri"/>
      <w:szCs w:val="22"/>
    </w:rPr>
  </w:style>
  <w:style w:type="paragraph" w:customStyle="1" w:styleId="215">
    <w:name w:val="Style29"/>
    <w:basedOn w:val="1"/>
    <w:unhideWhenUsed/>
    <w:qFormat/>
    <w:uiPriority w:val="99"/>
    <w:pPr>
      <w:spacing w:line="547" w:lineRule="exact"/>
      <w:ind w:firstLine="547"/>
    </w:pPr>
    <w:rPr>
      <w:rFonts w:ascii="Calibri" w:hAnsi="Calibri"/>
    </w:rPr>
  </w:style>
  <w:style w:type="paragraph" w:customStyle="1" w:styleId="216">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17">
    <w:name w:val="正文_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8">
    <w:name w:val="Style21"/>
    <w:basedOn w:val="1"/>
    <w:unhideWhenUsed/>
    <w:qFormat/>
    <w:uiPriority w:val="99"/>
    <w:pPr>
      <w:spacing w:line="566" w:lineRule="exact"/>
      <w:ind w:firstLine="682"/>
    </w:pPr>
    <w:rPr>
      <w:rFonts w:ascii="Calibri" w:hAnsi="Calibri"/>
    </w:rPr>
  </w:style>
  <w:style w:type="paragraph" w:customStyle="1" w:styleId="219">
    <w:name w:val="Style15"/>
    <w:basedOn w:val="1"/>
    <w:unhideWhenUsed/>
    <w:qFormat/>
    <w:uiPriority w:val="99"/>
    <w:pPr>
      <w:spacing w:line="557" w:lineRule="exact"/>
      <w:ind w:firstLine="672"/>
    </w:pPr>
    <w:rPr>
      <w:rFonts w:ascii="Calibri" w:hAnsi="Calibri"/>
    </w:rPr>
  </w:style>
  <w:style w:type="paragraph" w:customStyle="1" w:styleId="220">
    <w:name w:val="Style45"/>
    <w:basedOn w:val="1"/>
    <w:unhideWhenUsed/>
    <w:qFormat/>
    <w:uiPriority w:val="99"/>
    <w:rPr>
      <w:rFonts w:ascii="Calibri" w:hAnsi="Calibri"/>
    </w:rPr>
  </w:style>
  <w:style w:type="paragraph" w:customStyle="1" w:styleId="221">
    <w:name w:val="修订21"/>
    <w:qFormat/>
    <w:uiPriority w:val="0"/>
    <w:rPr>
      <w:rFonts w:ascii="Times New Roman" w:hAnsi="Times New Roman" w:eastAsia="宋体" w:cs="Times New Roman"/>
      <w:kern w:val="2"/>
      <w:sz w:val="21"/>
      <w:szCs w:val="24"/>
      <w:lang w:val="en-US" w:eastAsia="zh-CN" w:bidi="ar-SA"/>
    </w:rPr>
  </w:style>
  <w:style w:type="paragraph" w:customStyle="1" w:styleId="222">
    <w:name w:val="Style24"/>
    <w:basedOn w:val="1"/>
    <w:unhideWhenUsed/>
    <w:qFormat/>
    <w:uiPriority w:val="99"/>
    <w:rPr>
      <w:rFonts w:ascii="Calibri" w:hAnsi="Calibri"/>
    </w:rPr>
  </w:style>
  <w:style w:type="paragraph" w:customStyle="1" w:styleId="223">
    <w:name w:val="Style23"/>
    <w:basedOn w:val="1"/>
    <w:unhideWhenUsed/>
    <w:qFormat/>
    <w:uiPriority w:val="99"/>
    <w:rPr>
      <w:rFonts w:ascii="Calibri" w:hAnsi="Calibri"/>
    </w:rPr>
  </w:style>
  <w:style w:type="paragraph" w:customStyle="1" w:styleId="224">
    <w:name w:val="列出段落2"/>
    <w:basedOn w:val="1"/>
    <w:qFormat/>
    <w:uiPriority w:val="0"/>
    <w:pPr>
      <w:ind w:firstLine="200" w:firstLineChars="200"/>
    </w:pPr>
    <w:rPr>
      <w:rFonts w:ascii="Calibri" w:hAnsi="Calibri"/>
      <w:szCs w:val="22"/>
    </w:rPr>
  </w:style>
  <w:style w:type="paragraph" w:customStyle="1" w:styleId="225">
    <w:name w:val="Style13"/>
    <w:basedOn w:val="1"/>
    <w:unhideWhenUsed/>
    <w:qFormat/>
    <w:uiPriority w:val="99"/>
    <w:rPr>
      <w:rFonts w:ascii="Calibri" w:hAnsi="Calibri"/>
    </w:rPr>
  </w:style>
  <w:style w:type="paragraph" w:customStyle="1" w:styleId="226">
    <w:name w:val="Style44"/>
    <w:basedOn w:val="1"/>
    <w:unhideWhenUsed/>
    <w:qFormat/>
    <w:uiPriority w:val="99"/>
    <w:rPr>
      <w:rFonts w:ascii="Calibri" w:hAnsi="Calibri"/>
    </w:rPr>
  </w:style>
  <w:style w:type="paragraph" w:customStyle="1" w:styleId="227">
    <w:name w:val="Style4"/>
    <w:basedOn w:val="1"/>
    <w:unhideWhenUsed/>
    <w:qFormat/>
    <w:uiPriority w:val="99"/>
    <w:rPr>
      <w:rFonts w:ascii="Calibri" w:hAnsi="Calibri"/>
    </w:rPr>
  </w:style>
  <w:style w:type="paragraph" w:customStyle="1" w:styleId="228">
    <w:name w:val="_Style 39"/>
    <w:basedOn w:val="166"/>
    <w:qFormat/>
    <w:uiPriority w:val="0"/>
  </w:style>
  <w:style w:type="paragraph" w:customStyle="1" w:styleId="229">
    <w:name w:val="Default"/>
    <w:qFormat/>
    <w:uiPriority w:val="0"/>
    <w:pPr>
      <w:widowControl w:val="0"/>
      <w:autoSpaceDE w:val="0"/>
      <w:autoSpaceDN w:val="0"/>
      <w:adjustRightInd w:val="0"/>
    </w:pPr>
    <w:rPr>
      <w:rFonts w:ascii="FZShuSong-Z01" w:hAnsi="Times New Roman" w:eastAsia="FZShuSong-Z01" w:cs="FZShuSong-Z01"/>
      <w:color w:val="000000"/>
      <w:sz w:val="24"/>
      <w:szCs w:val="24"/>
      <w:lang w:val="en-US" w:eastAsia="zh-CN" w:bidi="ar-SA"/>
    </w:rPr>
  </w:style>
  <w:style w:type="character" w:customStyle="1" w:styleId="230">
    <w:name w:val="cur1"/>
    <w:basedOn w:val="42"/>
    <w:qFormat/>
    <w:uiPriority w:val="0"/>
    <w:rPr>
      <w:color w:val="FF9C00"/>
    </w:rPr>
  </w:style>
  <w:style w:type="character" w:customStyle="1" w:styleId="231">
    <w:name w:val="cur"/>
    <w:basedOn w:val="42"/>
    <w:qFormat/>
    <w:uiPriority w:val="0"/>
    <w:rPr>
      <w:color w:val="FF9C00"/>
    </w:rPr>
  </w:style>
  <w:style w:type="paragraph" w:customStyle="1" w:styleId="232">
    <w:name w:val="正文_0"/>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233">
    <w:name w:val="标题 1 Char_0"/>
    <w:qFormat/>
    <w:uiPriority w:val="0"/>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126</Pages>
  <Words>2641</Words>
  <Characters>3096</Characters>
  <Lines>776</Lines>
  <Paragraphs>218</Paragraphs>
  <TotalTime>24</TotalTime>
  <ScaleCrop>false</ScaleCrop>
  <LinksUpToDate>false</LinksUpToDate>
  <CharactersWithSpaces>3375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2021-08-16T10:42:00Z</dcterms:created>
  <dc:creator>User</dc:creator>
  <cp:lastModifiedBy>_Filth。</cp:lastModifiedBy>
  <cp:lastPrinted>2026-04-03T01:57:00Z</cp:lastPrinted>
  <dcterms:modified xsi:type="dcterms:W3CDTF">2026-07-02T09:44:01Z</dcterms:modified>
  <dc:title>第二章  投标人须知</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B4516D86526644D4BA5F4961E4B20FCE_13</vt:lpwstr>
  </property>
  <property fmtid="{D5CDD505-2E9C-101B-9397-08002B2CF9AE}" pid="4" name="KSOTemplateDocerSaveRecord">
    <vt:lpwstr>eyJoZGlkIjoiOWVmZTcwOGNiYjJmZmJiNzE2OWJlZTA1OGJhYWM1NzciLCJ1c2VySWQiOiIzNjk1ODk1NDQifQ==</vt:lpwstr>
  </property>
</Properties>
</file>