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50D0">
      <w:pPr>
        <w:widowControl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</w:p>
    <w:p w14:paraId="6569B4F0">
      <w:pPr>
        <w:widowControl/>
        <w:spacing w:line="560" w:lineRule="exac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kern w:val="0"/>
          <w:sz w:val="32"/>
          <w:szCs w:val="32"/>
        </w:rPr>
        <w:t>1</w:t>
      </w:r>
    </w:p>
    <w:p w14:paraId="6D42F90B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部门整体支出绩效评价基础数据表</w:t>
      </w:r>
    </w:p>
    <w:p w14:paraId="417FCD4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eastAsia="仿宋_GB2312"/>
          <w:kern w:val="0"/>
          <w:sz w:val="24"/>
        </w:rPr>
      </w:pP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6E3C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1D2FF1E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1779265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B5B62B5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E461775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 w14:paraId="4E13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1379AA5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36A51E6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964C86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9379F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100%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 w14:paraId="0631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C4745F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82C7401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A658005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FC919D2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 w14:paraId="3CCA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54" w:type="dxa"/>
            <w:noWrap w:val="0"/>
            <w:vAlign w:val="center"/>
          </w:tcPr>
          <w:p w14:paraId="4FE0B4C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4A4512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0.79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30B144B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0.8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A961D33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0.2311</w:t>
            </w:r>
          </w:p>
        </w:tc>
      </w:tr>
      <w:tr w14:paraId="68CE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1EBB3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03488B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A5545A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DCF44D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06ED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FF7A7B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171674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C0D7E3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C837FD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0D86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F1B030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E6FF27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428ABE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629349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696F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DEB6BE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FF5585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BBC26E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7A7635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55D7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41A315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B577C0B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0.79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5B6FB8C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0.8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F63ED9F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0.2311</w:t>
            </w:r>
          </w:p>
        </w:tc>
      </w:tr>
      <w:tr w14:paraId="7A04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71F51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6E1359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95F3BB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C8E8A4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5BFB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DDDAC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02C72C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8DE1EC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AC650C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30DC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04E0D0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BCCFFB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CCD3A9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63E310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3052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30F6F745">
            <w:pPr>
              <w:widowControl/>
              <w:ind w:firstLine="420" w:firstLineChars="200"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3、专项资金</w:t>
            </w:r>
          </w:p>
          <w:p w14:paraId="6D39E5CF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5801E5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EF3416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E47783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4274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CA702A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4、其他资金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AC1AA5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16A50F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50BF3D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4D32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0B699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50E897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085867E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E0C86E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17CF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267D0B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63AC63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12.3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B60C9A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6.5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A1F67DE"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</w:t>
            </w:r>
          </w:p>
        </w:tc>
      </w:tr>
      <w:tr w14:paraId="7839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44EBA3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A1DBDB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1.9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C7D3338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A62E98F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2.1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 w14:paraId="08DC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288972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F6D14D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0FD6DCD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0.7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95BA337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0.73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 w14:paraId="3FCD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69DACB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F1E940F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0.15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FA11EAB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F4253F3"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 w14:paraId="0851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23B11A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52ED5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C0E568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2FCA33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0550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274C82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9F9486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BA6EF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DDD107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7693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6ACCF89A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</w:p>
          <w:p w14:paraId="624FBD6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noWrap w:val="0"/>
            <w:vAlign w:val="center"/>
          </w:tcPr>
          <w:p w14:paraId="5BA18CC1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</w:p>
          <w:p w14:paraId="38F88715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noWrap w:val="0"/>
            <w:vAlign w:val="center"/>
          </w:tcPr>
          <w:p w14:paraId="2EED7EC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noWrap w:val="0"/>
            <w:vAlign w:val="center"/>
          </w:tcPr>
          <w:p w14:paraId="41B3B4C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6A90CD5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3740A337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75C3BFE1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 w14:paraId="3A0F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3360BAB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E0CF07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1CE1E16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29" w:type="dxa"/>
            <w:noWrap w:val="0"/>
            <w:vAlign w:val="center"/>
          </w:tcPr>
          <w:p w14:paraId="008A8A0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noWrap w:val="0"/>
            <w:vAlign w:val="center"/>
          </w:tcPr>
          <w:p w14:paraId="11A25EB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 w14:paraId="695A7C8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 w14:paraId="555200D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2CFD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noWrap w:val="0"/>
            <w:vAlign w:val="center"/>
          </w:tcPr>
          <w:p w14:paraId="2E6EE66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410ECF74">
            <w:pPr>
              <w:widowControl/>
              <w:ind w:firstLine="300" w:firstLineChars="200"/>
              <w:jc w:val="left"/>
              <w:rPr>
                <w:rFonts w:eastAsia="仿宋_GB2312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eastAsia="仿宋_GB2312"/>
                <w:kern w:val="0"/>
                <w:sz w:val="15"/>
                <w:szCs w:val="15"/>
              </w:rPr>
              <w:t>严格执行财经纪律与经费管理规定，规范日常办公、会议、差旅等经费支出，严控非必要开支。精简文件会议，减少耗材浪费，倡导绿色办公。强化预算约束，做到精打细算、专款专用，切实把有限资金用在文艺事业发展和服务群众工作上，提升资金使用效益。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 w14:paraId="7A151DF1"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DejaVu Math TeX Gyre"/>
    <w:panose1 w:val="02030600000101010101"/>
    <w:charset w:val="00"/>
    <w:family w:val="roman"/>
    <w:pitch w:val="default"/>
    <w:sig w:usb0="00000000" w:usb1="00000000" w:usb2="00000030" w:usb3="00000000" w:csb0="0008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410D2"/>
    <w:rsid w:val="0EAD0BA0"/>
    <w:rsid w:val="128827CE"/>
    <w:rsid w:val="73E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390</Characters>
  <Lines>0</Lines>
  <Paragraphs>0</Paragraphs>
  <TotalTime>1027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2026-03-19T08:02:00Z</dcterms:created>
  <dc:creator>在夏后氏</dc:creator>
  <cp:lastModifiedBy>在夏后氏</cp:lastModifiedBy>
  <dcterms:modified xsi:type="dcterms:W3CDTF">2026-04-08T07:17:19Z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0A19C7447F3C4410B9436030B15C2A9C_11</vt:lpwstr>
  </property>
  <property fmtid="{D5CDD505-2E9C-101B-9397-08002B2CF9AE}" pid="4" name="KSOTemplateDocerSaveRecord">
    <vt:lpwstr>eyJoZGlkIjoiNTQ5ZTFjNDYwMjI1NjRjOGNjYTQwNDRlOWU4ZTY3NzQiLCJ1c2VySWQiOiIxNjkwNjA0MzA5In0=</vt:lpwstr>
  </property>
</Properties>
</file>