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E9CBA">
      <w:pPr>
        <w:jc w:val="center"/>
        <w:rPr>
          <w:rFonts w:eastAsia="方正小标宋_GBK"/>
          <w:sz w:val="48"/>
          <w:szCs w:val="48"/>
        </w:rPr>
      </w:pPr>
      <w:r>
        <w:rPr>
          <w:rFonts w:hint="eastAsia" w:eastAsia="方正小标宋_GBK"/>
          <w:sz w:val="48"/>
          <w:szCs w:val="48"/>
        </w:rPr>
        <w:t>202</w:t>
      </w:r>
      <w:r>
        <w:rPr>
          <w:rFonts w:hint="eastAsia" w:eastAsia="方正小标宋_GBK"/>
          <w:sz w:val="48"/>
          <w:szCs w:val="48"/>
          <w:lang w:val="en-US" w:eastAsia="zh-CN"/>
        </w:rPr>
        <w:t>5</w:t>
      </w:r>
      <w:r>
        <w:rPr>
          <w:rFonts w:eastAsia="方正小标宋_GBK"/>
          <w:sz w:val="48"/>
          <w:szCs w:val="48"/>
        </w:rPr>
        <w:t>年度</w:t>
      </w:r>
      <w:r>
        <w:rPr>
          <w:rFonts w:hint="eastAsia" w:eastAsia="方正小标宋_GBK"/>
          <w:sz w:val="48"/>
          <w:szCs w:val="48"/>
        </w:rPr>
        <w:t>江永县夏层铺镇人民政府</w:t>
      </w:r>
      <w:r>
        <w:rPr>
          <w:rFonts w:eastAsia="方正小标宋_GBK"/>
          <w:sz w:val="48"/>
          <w:szCs w:val="48"/>
        </w:rPr>
        <w:t>整体支出绩效自评报告</w:t>
      </w:r>
    </w:p>
    <w:p w14:paraId="729E5C5E">
      <w:pPr>
        <w:jc w:val="center"/>
        <w:rPr>
          <w:rFonts w:eastAsia="方正小标宋_GBK"/>
          <w:sz w:val="48"/>
          <w:szCs w:val="48"/>
        </w:rPr>
      </w:pPr>
    </w:p>
    <w:p w14:paraId="0FBF2A13">
      <w:pPr>
        <w:ind w:firstLine="720" w:firstLineChars="200"/>
        <w:jc w:val="center"/>
        <w:rPr>
          <w:rFonts w:eastAsia="黑体"/>
          <w:sz w:val="36"/>
          <w:szCs w:val="36"/>
        </w:rPr>
      </w:pPr>
    </w:p>
    <w:p w14:paraId="23D4FE26">
      <w:pPr>
        <w:ind w:firstLine="720" w:firstLineChars="200"/>
        <w:jc w:val="center"/>
        <w:rPr>
          <w:rFonts w:eastAsia="黑体"/>
          <w:sz w:val="36"/>
          <w:szCs w:val="36"/>
        </w:rPr>
      </w:pPr>
    </w:p>
    <w:p w14:paraId="7C930CA3">
      <w:pPr>
        <w:ind w:firstLine="720" w:firstLineChars="200"/>
        <w:jc w:val="center"/>
        <w:rPr>
          <w:rFonts w:eastAsia="黑体"/>
          <w:sz w:val="36"/>
          <w:szCs w:val="36"/>
        </w:rPr>
      </w:pPr>
    </w:p>
    <w:p w14:paraId="6C153E46">
      <w:pPr>
        <w:ind w:firstLine="720" w:firstLineChars="200"/>
        <w:jc w:val="center"/>
        <w:rPr>
          <w:rFonts w:eastAsia="黑体"/>
          <w:sz w:val="36"/>
          <w:szCs w:val="36"/>
        </w:rPr>
      </w:pPr>
    </w:p>
    <w:p w14:paraId="2AA730C7">
      <w:pPr>
        <w:ind w:firstLine="720" w:firstLineChars="200"/>
        <w:jc w:val="center"/>
        <w:rPr>
          <w:rFonts w:eastAsia="黑体"/>
          <w:sz w:val="36"/>
          <w:szCs w:val="36"/>
        </w:rPr>
      </w:pPr>
    </w:p>
    <w:p w14:paraId="4B0C0556">
      <w:pPr>
        <w:ind w:firstLine="720" w:firstLineChars="200"/>
        <w:jc w:val="center"/>
        <w:rPr>
          <w:rFonts w:eastAsia="黑体"/>
          <w:sz w:val="36"/>
          <w:szCs w:val="36"/>
        </w:rPr>
      </w:pPr>
    </w:p>
    <w:p w14:paraId="5F9D0319">
      <w:pPr>
        <w:ind w:firstLine="720" w:firstLineChars="200"/>
        <w:jc w:val="center"/>
        <w:rPr>
          <w:rFonts w:eastAsia="黑体"/>
          <w:sz w:val="36"/>
          <w:szCs w:val="36"/>
        </w:rPr>
      </w:pPr>
    </w:p>
    <w:p w14:paraId="444A5A59">
      <w:pPr>
        <w:ind w:firstLine="720" w:firstLineChars="200"/>
        <w:jc w:val="center"/>
        <w:rPr>
          <w:rFonts w:eastAsia="黑体"/>
          <w:sz w:val="36"/>
          <w:szCs w:val="36"/>
        </w:rPr>
      </w:pPr>
    </w:p>
    <w:p w14:paraId="54B3548D">
      <w:pPr>
        <w:ind w:firstLine="720" w:firstLineChars="200"/>
        <w:jc w:val="center"/>
        <w:rPr>
          <w:rFonts w:eastAsia="黑体"/>
          <w:sz w:val="36"/>
          <w:szCs w:val="36"/>
        </w:rPr>
      </w:pPr>
    </w:p>
    <w:p w14:paraId="5C0C722B">
      <w:pPr>
        <w:ind w:firstLine="720" w:firstLineChars="200"/>
        <w:jc w:val="center"/>
        <w:rPr>
          <w:rFonts w:eastAsia="黑体"/>
          <w:sz w:val="36"/>
          <w:szCs w:val="36"/>
        </w:rPr>
      </w:pPr>
    </w:p>
    <w:p w14:paraId="3F33B755">
      <w:pPr>
        <w:ind w:firstLine="720" w:firstLineChars="200"/>
        <w:jc w:val="center"/>
        <w:rPr>
          <w:rFonts w:eastAsia="黑体"/>
          <w:sz w:val="36"/>
          <w:szCs w:val="36"/>
        </w:rPr>
      </w:pPr>
    </w:p>
    <w:p w14:paraId="2C802EA3">
      <w:pPr>
        <w:ind w:firstLine="720" w:firstLineChars="200"/>
        <w:jc w:val="center"/>
        <w:rPr>
          <w:rFonts w:eastAsia="黑体"/>
          <w:sz w:val="36"/>
          <w:szCs w:val="36"/>
        </w:rPr>
      </w:pPr>
    </w:p>
    <w:p w14:paraId="7B327111">
      <w:pPr>
        <w:ind w:firstLine="720" w:firstLineChars="200"/>
        <w:jc w:val="center"/>
        <w:rPr>
          <w:rFonts w:eastAsia="黑体"/>
          <w:sz w:val="36"/>
          <w:szCs w:val="36"/>
        </w:rPr>
      </w:pPr>
    </w:p>
    <w:p w14:paraId="05CD29B0">
      <w:pPr>
        <w:ind w:firstLine="720" w:firstLineChars="200"/>
        <w:jc w:val="center"/>
        <w:rPr>
          <w:rFonts w:eastAsia="黑体"/>
          <w:sz w:val="36"/>
          <w:szCs w:val="36"/>
        </w:rPr>
      </w:pPr>
    </w:p>
    <w:p w14:paraId="48641B70">
      <w:pPr>
        <w:ind w:firstLine="720" w:firstLineChars="200"/>
        <w:jc w:val="center"/>
        <w:rPr>
          <w:rFonts w:eastAsia="黑体"/>
          <w:sz w:val="36"/>
          <w:szCs w:val="36"/>
        </w:rPr>
      </w:pPr>
    </w:p>
    <w:p w14:paraId="63BEE883">
      <w:pPr>
        <w:ind w:firstLine="720" w:firstLineChars="200"/>
        <w:jc w:val="center"/>
        <w:rPr>
          <w:rFonts w:eastAsia="黑体"/>
          <w:sz w:val="36"/>
          <w:szCs w:val="36"/>
        </w:rPr>
      </w:pPr>
      <w:r>
        <w:rPr>
          <w:rFonts w:eastAsia="黑体"/>
          <w:sz w:val="36"/>
          <w:szCs w:val="36"/>
        </w:rPr>
        <w:t>单位名称（盖章）：</w:t>
      </w:r>
      <w:r>
        <w:rPr>
          <w:rFonts w:hint="eastAsia" w:eastAsia="黑体"/>
          <w:sz w:val="36"/>
          <w:szCs w:val="36"/>
        </w:rPr>
        <w:t>江永县夏层铺镇人民政府</w:t>
      </w:r>
    </w:p>
    <w:p w14:paraId="4339A134">
      <w:pPr>
        <w:jc w:val="center"/>
        <w:rPr>
          <w:rFonts w:eastAsia="方正小标宋_GBK"/>
          <w:sz w:val="48"/>
          <w:szCs w:val="48"/>
        </w:rPr>
      </w:pPr>
    </w:p>
    <w:p w14:paraId="5428554A">
      <w:pPr>
        <w:jc w:val="center"/>
        <w:rPr>
          <w:rFonts w:eastAsia="方正小标宋_GBK"/>
          <w:sz w:val="48"/>
          <w:szCs w:val="48"/>
        </w:rPr>
      </w:pPr>
    </w:p>
    <w:p w14:paraId="360E783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Calibri" w:hAnsi="Calibri" w:eastAsia="仿宋_GB2312"/>
          <w:b/>
          <w:bCs/>
          <w:kern w:val="2"/>
          <w:sz w:val="32"/>
          <w:szCs w:val="32"/>
        </w:rPr>
      </w:pPr>
      <w:r>
        <w:rPr>
          <w:rFonts w:hint="eastAsia" w:ascii="Calibri" w:hAnsi="Calibri" w:eastAsia="仿宋_GB2312"/>
          <w:b/>
          <w:bCs/>
          <w:kern w:val="2"/>
          <w:sz w:val="32"/>
          <w:szCs w:val="32"/>
        </w:rPr>
        <w:t>一、基本情况</w:t>
      </w:r>
    </w:p>
    <w:p w14:paraId="4A666C3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Calibri" w:hAnsi="Calibri" w:eastAsia="仿宋_GB2312"/>
          <w:b/>
          <w:bCs/>
          <w:kern w:val="2"/>
          <w:sz w:val="32"/>
          <w:szCs w:val="32"/>
        </w:rPr>
      </w:pPr>
      <w:r>
        <w:rPr>
          <w:rFonts w:hint="eastAsia" w:ascii="Calibri" w:hAnsi="Calibri" w:eastAsia="仿宋_GB2312"/>
          <w:b/>
          <w:bCs/>
          <w:kern w:val="2"/>
          <w:sz w:val="32"/>
          <w:szCs w:val="32"/>
        </w:rPr>
        <w:t>（一）部门（单位）基本情况</w:t>
      </w:r>
    </w:p>
    <w:p w14:paraId="6040C90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Calibri" w:hAnsi="Calibri" w:eastAsia="仿宋_GB2312"/>
          <w:b/>
          <w:bCs/>
          <w:kern w:val="2"/>
          <w:sz w:val="32"/>
          <w:szCs w:val="32"/>
        </w:rPr>
      </w:pPr>
      <w:r>
        <w:rPr>
          <w:rFonts w:hint="eastAsia" w:ascii="Calibri" w:hAnsi="Calibri" w:eastAsia="仿宋_GB2312"/>
          <w:b/>
          <w:bCs/>
          <w:kern w:val="2"/>
          <w:sz w:val="32"/>
          <w:szCs w:val="32"/>
        </w:rPr>
        <w:t>（1）工作职责</w:t>
      </w:r>
    </w:p>
    <w:p w14:paraId="40D2DEC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Fonts w:ascii="Calibri" w:hAnsi="Calibri" w:eastAsia="仿宋_GB2312"/>
          <w:kern w:val="2"/>
          <w:sz w:val="32"/>
          <w:szCs w:val="32"/>
        </w:rPr>
      </w:pPr>
      <w:r>
        <w:rPr>
          <w:rFonts w:hint="eastAsia" w:ascii="Calibri" w:hAnsi="Calibri" w:eastAsia="仿宋_GB2312"/>
          <w:kern w:val="2"/>
          <w:sz w:val="32"/>
          <w:szCs w:val="32"/>
        </w:rPr>
        <w:t>1、执行本级人民代表大会的决议和上级国家行政机关的决定和命令，发布决定和命令;</w:t>
      </w:r>
    </w:p>
    <w:p w14:paraId="3217C42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Fonts w:ascii="Calibri" w:hAnsi="Calibri" w:eastAsia="仿宋_GB2312"/>
          <w:kern w:val="2"/>
          <w:sz w:val="32"/>
          <w:szCs w:val="32"/>
        </w:rPr>
      </w:pPr>
      <w:r>
        <w:rPr>
          <w:rFonts w:hint="eastAsia" w:ascii="Calibri" w:hAnsi="Calibri" w:eastAsia="仿宋_GB2312"/>
          <w:kern w:val="2"/>
          <w:sz w:val="32"/>
          <w:szCs w:val="32"/>
        </w:rPr>
        <w:t>2、执行本行政区域内的经济和社会发展计划、预算，管理本行政区域内的经济、教育、科学、文化、卫生、体育事业和财政、民政、公安、司法行政、计划生育等行政工作;</w:t>
      </w:r>
    </w:p>
    <w:p w14:paraId="4F3F962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Fonts w:ascii="Calibri" w:hAnsi="Calibri" w:eastAsia="仿宋_GB2312"/>
          <w:kern w:val="2"/>
          <w:sz w:val="32"/>
          <w:szCs w:val="32"/>
        </w:rPr>
      </w:pPr>
      <w:r>
        <w:rPr>
          <w:rFonts w:hint="eastAsia" w:ascii="Calibri" w:hAnsi="Calibri" w:eastAsia="仿宋_GB2312"/>
          <w:kern w:val="2"/>
          <w:sz w:val="32"/>
          <w:szCs w:val="32"/>
        </w:rPr>
        <w:t>3、保护社会主义的全民所有的财产和劳动群众集体所有的财产，保护公民私人所有的合法财产，维护社会秩序，保障公民的人身权利、民主权利和其他权利;</w:t>
      </w:r>
    </w:p>
    <w:p w14:paraId="5511A97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Fonts w:ascii="Calibri" w:hAnsi="Calibri" w:eastAsia="仿宋_GB2312"/>
          <w:kern w:val="2"/>
          <w:sz w:val="32"/>
          <w:szCs w:val="32"/>
        </w:rPr>
      </w:pPr>
      <w:r>
        <w:rPr>
          <w:rFonts w:hint="eastAsia" w:ascii="Calibri" w:hAnsi="Calibri" w:eastAsia="仿宋_GB2312"/>
          <w:kern w:val="2"/>
          <w:sz w:val="32"/>
          <w:szCs w:val="32"/>
        </w:rPr>
        <w:t>4、保护各种经济组织的合法权益;</w:t>
      </w:r>
    </w:p>
    <w:p w14:paraId="0EBC83E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Fonts w:ascii="Calibri" w:hAnsi="Calibri" w:eastAsia="仿宋_GB2312"/>
          <w:kern w:val="2"/>
          <w:sz w:val="32"/>
          <w:szCs w:val="32"/>
        </w:rPr>
      </w:pPr>
      <w:r>
        <w:rPr>
          <w:rFonts w:hint="eastAsia" w:ascii="Calibri" w:hAnsi="Calibri" w:eastAsia="仿宋_GB2312"/>
          <w:kern w:val="2"/>
          <w:sz w:val="32"/>
          <w:szCs w:val="32"/>
        </w:rPr>
        <w:t>5、保障少数民族的权利和尊重少数民族的风俗习惯;</w:t>
      </w:r>
    </w:p>
    <w:p w14:paraId="71EC6E4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Fonts w:ascii="Calibri" w:hAnsi="Calibri" w:eastAsia="仿宋_GB2312"/>
          <w:kern w:val="2"/>
          <w:sz w:val="32"/>
          <w:szCs w:val="32"/>
        </w:rPr>
      </w:pPr>
      <w:r>
        <w:rPr>
          <w:rFonts w:hint="eastAsia" w:ascii="Calibri" w:hAnsi="Calibri" w:eastAsia="仿宋_GB2312"/>
          <w:kern w:val="2"/>
          <w:sz w:val="32"/>
          <w:szCs w:val="32"/>
        </w:rPr>
        <w:t>6、办理上级人民政府交办的其他事项。</w:t>
      </w:r>
    </w:p>
    <w:p w14:paraId="2910699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Calibri" w:hAnsi="Calibri" w:eastAsia="仿宋_GB2312"/>
          <w:b/>
          <w:bCs/>
          <w:kern w:val="2"/>
          <w:sz w:val="32"/>
          <w:szCs w:val="32"/>
        </w:rPr>
      </w:pPr>
      <w:r>
        <w:rPr>
          <w:rFonts w:hint="eastAsia" w:ascii="Calibri" w:hAnsi="Calibri" w:eastAsia="仿宋_GB2312"/>
          <w:b/>
          <w:bCs/>
          <w:kern w:val="2"/>
          <w:sz w:val="32"/>
          <w:szCs w:val="32"/>
        </w:rPr>
        <w:t>（2）机构设置</w:t>
      </w:r>
    </w:p>
    <w:p w14:paraId="225B9D52">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本单位下设机构综合设置9</w:t>
      </w:r>
      <w:r>
        <w:rPr>
          <w:rFonts w:ascii="仿宋_GB2312" w:hAnsi="仿宋_GB2312" w:eastAsia="仿宋_GB2312" w:cs="仿宋_GB2312"/>
          <w:sz w:val="32"/>
          <w:szCs w:val="32"/>
        </w:rPr>
        <w:t>个:党政办公室</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党建工作办公室</w:t>
      </w:r>
      <w:r>
        <w:rPr>
          <w:rFonts w:hint="eastAsia" w:ascii="仿宋_GB2312" w:hAnsi="仿宋_GB2312" w:eastAsia="仿宋_GB2312" w:cs="仿宋_GB2312"/>
          <w:sz w:val="32"/>
          <w:szCs w:val="32"/>
        </w:rPr>
        <w:t>、经济发展办公室、生态办公室、平安法治与应急管理办公室、夏层铺镇便民服务中心、夏层铺镇农业综合服务中心、夏层铺镇退役军人服务站、夏层铺镇综合行政执法大队</w:t>
      </w:r>
      <w:r>
        <w:rPr>
          <w:rFonts w:ascii="仿宋_GB2312" w:hAnsi="仿宋_GB2312" w:eastAsia="仿宋_GB2312" w:cs="仿宋_GB2312"/>
          <w:sz w:val="32"/>
          <w:szCs w:val="32"/>
        </w:rPr>
        <w:t>。</w:t>
      </w:r>
    </w:p>
    <w:p w14:paraId="5FEFE25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Calibri" w:hAnsi="Calibri" w:eastAsia="仿宋_GB2312"/>
          <w:b/>
          <w:bCs/>
          <w:kern w:val="2"/>
          <w:sz w:val="32"/>
          <w:szCs w:val="32"/>
        </w:rPr>
      </w:pPr>
      <w:r>
        <w:rPr>
          <w:rFonts w:hint="eastAsia" w:ascii="Calibri" w:hAnsi="Calibri" w:eastAsia="仿宋_GB2312"/>
          <w:b/>
          <w:bCs/>
          <w:kern w:val="2"/>
          <w:sz w:val="32"/>
          <w:szCs w:val="32"/>
        </w:rPr>
        <w:t>（二）部门（单位）年度整体支出绩效目标</w:t>
      </w:r>
    </w:p>
    <w:p w14:paraId="18F66C3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Fonts w:ascii="Calibri" w:hAnsi="Calibri" w:eastAsia="仿宋_GB2312"/>
          <w:kern w:val="2"/>
          <w:sz w:val="32"/>
          <w:szCs w:val="32"/>
        </w:rPr>
      </w:pPr>
      <w:r>
        <w:rPr>
          <w:rFonts w:hint="eastAsia" w:ascii="Calibri" w:hAnsi="Calibri" w:eastAsia="仿宋_GB2312"/>
          <w:kern w:val="2"/>
          <w:sz w:val="32"/>
          <w:szCs w:val="32"/>
        </w:rPr>
        <w:t>1、贯彻执行上级的各项方针政策，稳定和完善农村基本经营管理全面实施下政府各项决策部署，加强农业基础设施和群众生活基础设施建设，改善农业生产条件和群众生活条件。</w:t>
      </w:r>
    </w:p>
    <w:p w14:paraId="67E3FE9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Fonts w:ascii="Calibri" w:hAnsi="Calibri" w:eastAsia="仿宋_GB2312"/>
          <w:kern w:val="2"/>
          <w:sz w:val="32"/>
          <w:szCs w:val="32"/>
        </w:rPr>
      </w:pPr>
      <w:r>
        <w:rPr>
          <w:rFonts w:hint="eastAsia" w:ascii="Calibri" w:hAnsi="Calibri" w:eastAsia="仿宋_GB2312"/>
          <w:kern w:val="2"/>
          <w:sz w:val="32"/>
          <w:szCs w:val="32"/>
        </w:rPr>
        <w:t>2、保障全镇经济、文化、生态环保、农村人居环境综合治理等各方面工作有序推进。</w:t>
      </w:r>
    </w:p>
    <w:p w14:paraId="1A4319B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Fonts w:ascii="Calibri" w:hAnsi="Calibri" w:eastAsia="仿宋_GB2312"/>
          <w:kern w:val="2"/>
          <w:sz w:val="32"/>
          <w:szCs w:val="32"/>
        </w:rPr>
      </w:pPr>
      <w:r>
        <w:rPr>
          <w:rFonts w:hint="eastAsia" w:ascii="Calibri" w:hAnsi="Calibri" w:eastAsia="仿宋_GB2312"/>
          <w:kern w:val="2"/>
          <w:sz w:val="32"/>
          <w:szCs w:val="32"/>
        </w:rPr>
        <w:t>3、抓好安全生产、社会治安综合治理工作，保障各职能部门高效运转，提高执政效率。努力巩固“精准扶贫”成果，推动人民生活水平不断提高，社会公众满意程度普遍提升。</w:t>
      </w:r>
    </w:p>
    <w:p w14:paraId="1B2CC42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Calibri" w:hAnsi="Calibri" w:eastAsia="仿宋_GB2312"/>
          <w:b/>
          <w:bCs/>
          <w:kern w:val="2"/>
          <w:sz w:val="32"/>
          <w:szCs w:val="32"/>
        </w:rPr>
      </w:pPr>
      <w:r>
        <w:rPr>
          <w:rFonts w:hint="eastAsia" w:ascii="Calibri" w:hAnsi="Calibri" w:eastAsia="仿宋_GB2312"/>
          <w:b/>
          <w:bCs/>
          <w:kern w:val="2"/>
          <w:sz w:val="32"/>
          <w:szCs w:val="32"/>
        </w:rPr>
        <w:t>二、一般公共预算支出情况</w:t>
      </w:r>
    </w:p>
    <w:p w14:paraId="6185934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Calibri" w:hAnsi="Calibri" w:eastAsia="仿宋_GB2312"/>
          <w:b/>
          <w:bCs/>
          <w:kern w:val="2"/>
          <w:sz w:val="32"/>
          <w:szCs w:val="32"/>
        </w:rPr>
      </w:pPr>
      <w:r>
        <w:rPr>
          <w:rFonts w:hint="eastAsia" w:ascii="Calibri" w:hAnsi="Calibri" w:eastAsia="仿宋_GB2312"/>
          <w:b/>
          <w:bCs/>
          <w:kern w:val="2"/>
          <w:sz w:val="32"/>
          <w:szCs w:val="32"/>
        </w:rPr>
        <w:t>（一）基本支出情况</w:t>
      </w:r>
    </w:p>
    <w:p w14:paraId="0196B8C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Fonts w:hint="eastAsia" w:ascii="Calibri" w:hAnsi="Calibri" w:eastAsia="仿宋_GB2312"/>
          <w:kern w:val="2"/>
          <w:sz w:val="32"/>
          <w:szCs w:val="32"/>
        </w:rPr>
      </w:pPr>
      <w:r>
        <w:rPr>
          <w:rFonts w:hint="eastAsia" w:ascii="Calibri" w:hAnsi="Calibri" w:eastAsia="仿宋_GB2312"/>
          <w:kern w:val="2"/>
          <w:sz w:val="32"/>
          <w:szCs w:val="32"/>
        </w:rPr>
        <w:t>202</w:t>
      </w:r>
      <w:r>
        <w:rPr>
          <w:rFonts w:hint="eastAsia" w:ascii="Calibri" w:hAnsi="Calibri" w:eastAsia="仿宋_GB2312"/>
          <w:kern w:val="2"/>
          <w:sz w:val="32"/>
          <w:szCs w:val="32"/>
          <w:lang w:val="en-US" w:eastAsia="zh-CN"/>
        </w:rPr>
        <w:t>5</w:t>
      </w:r>
      <w:r>
        <w:rPr>
          <w:rFonts w:hint="eastAsia" w:ascii="Calibri" w:hAnsi="Calibri" w:eastAsia="仿宋_GB2312"/>
          <w:kern w:val="2"/>
          <w:sz w:val="32"/>
          <w:szCs w:val="32"/>
        </w:rPr>
        <w:t>年我镇预算工作坚持量入为出，收支平衡，合理安排，从严控制，认真执行202</w:t>
      </w:r>
      <w:r>
        <w:rPr>
          <w:rFonts w:hint="eastAsia" w:ascii="Calibri" w:hAnsi="Calibri" w:eastAsia="仿宋_GB2312"/>
          <w:kern w:val="2"/>
          <w:sz w:val="32"/>
          <w:szCs w:val="32"/>
          <w:lang w:val="en-US" w:eastAsia="zh-CN"/>
        </w:rPr>
        <w:t>5</w:t>
      </w:r>
      <w:r>
        <w:rPr>
          <w:rFonts w:hint="eastAsia" w:ascii="Calibri" w:hAnsi="Calibri" w:eastAsia="仿宋_GB2312"/>
          <w:kern w:val="2"/>
          <w:sz w:val="32"/>
          <w:szCs w:val="32"/>
        </w:rPr>
        <w:t>年部门预算，合理安排资金，确保各项工作的正常运转。202</w:t>
      </w:r>
      <w:r>
        <w:rPr>
          <w:rFonts w:hint="eastAsia" w:ascii="Calibri" w:hAnsi="Calibri" w:eastAsia="仿宋_GB2312"/>
          <w:kern w:val="2"/>
          <w:sz w:val="32"/>
          <w:szCs w:val="32"/>
          <w:lang w:val="en-US" w:eastAsia="zh-CN"/>
        </w:rPr>
        <w:t>5</w:t>
      </w:r>
      <w:r>
        <w:rPr>
          <w:rFonts w:hint="eastAsia" w:ascii="Calibri" w:hAnsi="Calibri" w:eastAsia="仿宋_GB2312"/>
          <w:kern w:val="2"/>
          <w:sz w:val="32"/>
          <w:szCs w:val="32"/>
        </w:rPr>
        <w:t>年基本支出总计</w:t>
      </w:r>
      <w:r>
        <w:rPr>
          <w:rFonts w:hint="eastAsia" w:ascii="Calibri" w:hAnsi="Calibri" w:eastAsia="仿宋_GB2312"/>
          <w:kern w:val="2"/>
          <w:sz w:val="32"/>
          <w:szCs w:val="32"/>
          <w:lang w:val="en-US" w:eastAsia="zh-CN"/>
        </w:rPr>
        <w:t>1475.3</w:t>
      </w:r>
      <w:r>
        <w:rPr>
          <w:rFonts w:hint="eastAsia" w:ascii="Calibri" w:hAnsi="Calibri" w:eastAsia="仿宋_GB2312"/>
          <w:kern w:val="2"/>
          <w:sz w:val="32"/>
          <w:szCs w:val="32"/>
        </w:rPr>
        <w:t>万元。主要用于单位人员工资、社保费、办公费、差旅费、车辆运行维护费等。</w:t>
      </w:r>
    </w:p>
    <w:p w14:paraId="7A3E243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Calibri" w:hAnsi="Calibri" w:eastAsia="仿宋_GB2312"/>
          <w:b/>
          <w:bCs/>
          <w:kern w:val="2"/>
          <w:sz w:val="32"/>
          <w:szCs w:val="32"/>
        </w:rPr>
      </w:pPr>
      <w:r>
        <w:rPr>
          <w:rFonts w:hint="eastAsia" w:ascii="Calibri" w:hAnsi="Calibri" w:eastAsia="仿宋_GB2312"/>
          <w:b/>
          <w:bCs/>
          <w:kern w:val="2"/>
          <w:sz w:val="32"/>
          <w:szCs w:val="32"/>
        </w:rPr>
        <w:t>（二）项目支出情况</w:t>
      </w:r>
    </w:p>
    <w:p w14:paraId="5A0ADA4F">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Calibri" w:hAnsi="Calibri" w:eastAsia="仿宋_GB2312"/>
          <w:sz w:val="32"/>
          <w:szCs w:val="32"/>
          <w:lang w:val="en-US" w:eastAsia="zh-CN"/>
        </w:rPr>
      </w:pPr>
      <w:r>
        <w:rPr>
          <w:rFonts w:hint="eastAsia" w:ascii="Calibri" w:hAnsi="Calibri" w:eastAsia="仿宋_GB2312"/>
          <w:sz w:val="32"/>
          <w:szCs w:val="32"/>
        </w:rPr>
        <w:t>202</w:t>
      </w:r>
      <w:r>
        <w:rPr>
          <w:rFonts w:hint="eastAsia" w:ascii="Calibri" w:hAnsi="Calibri" w:eastAsia="仿宋_GB2312"/>
          <w:sz w:val="32"/>
          <w:szCs w:val="32"/>
          <w:lang w:val="en-US" w:eastAsia="zh-CN"/>
        </w:rPr>
        <w:t>5</w:t>
      </w:r>
      <w:r>
        <w:rPr>
          <w:rFonts w:hint="eastAsia" w:ascii="Calibri" w:hAnsi="Calibri" w:eastAsia="仿宋_GB2312"/>
          <w:sz w:val="32"/>
          <w:szCs w:val="32"/>
        </w:rPr>
        <w:t>项目支出总计</w:t>
      </w:r>
      <w:r>
        <w:rPr>
          <w:rFonts w:hint="eastAsia" w:ascii="Calibri" w:hAnsi="Calibri" w:eastAsia="仿宋_GB2312"/>
          <w:sz w:val="32"/>
          <w:szCs w:val="32"/>
          <w:lang w:val="en-US" w:eastAsia="zh-CN"/>
        </w:rPr>
        <w:t>16</w:t>
      </w:r>
      <w:r>
        <w:rPr>
          <w:rFonts w:hint="eastAsia" w:ascii="Calibri" w:hAnsi="Calibri" w:eastAsia="仿宋_GB2312"/>
          <w:sz w:val="32"/>
          <w:szCs w:val="32"/>
        </w:rPr>
        <w:t>万元，主要包含基层武装、乡镇妇联、乡镇团委、</w:t>
      </w:r>
      <w:r>
        <w:rPr>
          <w:rFonts w:hint="eastAsia" w:ascii="Calibri" w:hAnsi="Calibri" w:eastAsia="仿宋_GB2312"/>
          <w:sz w:val="32"/>
          <w:szCs w:val="32"/>
          <w:lang w:eastAsia="zh-CN"/>
        </w:rPr>
        <w:t>民生实事项目</w:t>
      </w:r>
      <w:r>
        <w:rPr>
          <w:rFonts w:hint="eastAsia" w:ascii="Calibri" w:hAnsi="Calibri" w:eastAsia="仿宋_GB2312"/>
          <w:sz w:val="32"/>
          <w:szCs w:val="32"/>
        </w:rPr>
        <w:t>人大代表票决</w:t>
      </w:r>
      <w:r>
        <w:rPr>
          <w:rFonts w:hint="eastAsia" w:ascii="Calibri" w:hAnsi="Calibri" w:eastAsia="仿宋_GB2312"/>
          <w:sz w:val="32"/>
          <w:szCs w:val="32"/>
          <w:lang w:eastAsia="zh-CN"/>
        </w:rPr>
        <w:t>、乡镇基层党建、两代表一委员联系、工会和乡镇人大主席团工作经费。</w:t>
      </w:r>
    </w:p>
    <w:p w14:paraId="772C6C14">
      <w:pPr>
        <w:pStyle w:val="10"/>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三、政府性基金预算支出情况</w:t>
      </w:r>
    </w:p>
    <w:p w14:paraId="54D0DDFA">
      <w:pPr>
        <w:pStyle w:val="11"/>
        <w:keepNext w:val="0"/>
        <w:keepLines w:val="0"/>
        <w:pageBreakBefore w:val="0"/>
        <w:widowControl/>
        <w:kinsoku/>
        <w:wordWrap/>
        <w:overflowPunct/>
        <w:topLinePunct w:val="0"/>
        <w:autoSpaceDE/>
        <w:autoSpaceDN/>
        <w:bidi w:val="0"/>
        <w:adjustRightInd/>
        <w:snapToGrid/>
        <w:spacing w:before="156" w:beforeLines="50" w:after="156" w:afterLines="50" w:line="600" w:lineRule="exact"/>
        <w:ind w:firstLine="640" w:firstLineChars="200"/>
        <w:textAlignment w:val="auto"/>
        <w:rPr>
          <w:rFonts w:ascii="Calibri" w:hAnsi="Calibri" w:eastAsia="仿宋_GB2312"/>
          <w:sz w:val="32"/>
          <w:szCs w:val="32"/>
        </w:rPr>
      </w:pPr>
      <w:r>
        <w:rPr>
          <w:rFonts w:hint="eastAsia" w:ascii="Calibri" w:hAnsi="Calibri" w:eastAsia="仿宋_GB2312"/>
          <w:sz w:val="32"/>
          <w:szCs w:val="32"/>
        </w:rPr>
        <w:t>我单位</w:t>
      </w:r>
      <w:r>
        <w:rPr>
          <w:rFonts w:hint="eastAsia" w:ascii="Calibri" w:hAnsi="Calibri" w:eastAsia="仿宋_GB2312"/>
          <w:sz w:val="32"/>
          <w:szCs w:val="32"/>
          <w:lang w:val="en-US" w:eastAsia="zh-CN"/>
        </w:rPr>
        <w:t>2025</w:t>
      </w:r>
      <w:r>
        <w:rPr>
          <w:rFonts w:hint="eastAsia" w:ascii="Calibri" w:hAnsi="Calibri" w:eastAsia="仿宋_GB2312"/>
          <w:sz w:val="32"/>
          <w:szCs w:val="32"/>
        </w:rPr>
        <w:t>年度无政府性基金预算支出。</w:t>
      </w:r>
    </w:p>
    <w:p w14:paraId="727343D1">
      <w:pPr>
        <w:pStyle w:val="10"/>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四、国有资本经营预算支出情况</w:t>
      </w:r>
    </w:p>
    <w:p w14:paraId="3841BBB4">
      <w:pPr>
        <w:pStyle w:val="11"/>
        <w:keepNext w:val="0"/>
        <w:keepLines w:val="0"/>
        <w:pageBreakBefore w:val="0"/>
        <w:widowControl/>
        <w:kinsoku/>
        <w:wordWrap/>
        <w:overflowPunct/>
        <w:topLinePunct w:val="0"/>
        <w:autoSpaceDE/>
        <w:autoSpaceDN/>
        <w:bidi w:val="0"/>
        <w:adjustRightInd/>
        <w:snapToGrid/>
        <w:spacing w:before="156" w:beforeLines="50" w:after="156" w:afterLines="50" w:line="600" w:lineRule="exact"/>
        <w:ind w:firstLine="640" w:firstLineChars="200"/>
        <w:textAlignment w:val="auto"/>
        <w:rPr>
          <w:rFonts w:ascii="Calibri" w:hAnsi="Calibri" w:eastAsia="仿宋_GB2312"/>
          <w:sz w:val="32"/>
          <w:szCs w:val="32"/>
        </w:rPr>
      </w:pPr>
      <w:r>
        <w:rPr>
          <w:rFonts w:hint="eastAsia" w:ascii="Calibri" w:hAnsi="Calibri" w:eastAsia="仿宋_GB2312"/>
          <w:sz w:val="32"/>
          <w:szCs w:val="32"/>
        </w:rPr>
        <w:t>我单位</w:t>
      </w:r>
      <w:r>
        <w:rPr>
          <w:rFonts w:hint="eastAsia" w:ascii="Calibri" w:hAnsi="Calibri" w:eastAsia="仿宋_GB2312"/>
          <w:sz w:val="32"/>
          <w:szCs w:val="32"/>
          <w:lang w:val="en-US" w:eastAsia="zh-CN"/>
        </w:rPr>
        <w:t>2025</w:t>
      </w:r>
      <w:r>
        <w:rPr>
          <w:rFonts w:hint="eastAsia" w:ascii="Calibri" w:hAnsi="Calibri" w:eastAsia="仿宋_GB2312"/>
          <w:sz w:val="32"/>
          <w:szCs w:val="32"/>
        </w:rPr>
        <w:t>年度无国有资本经营预算支出</w:t>
      </w:r>
    </w:p>
    <w:p w14:paraId="630508D2">
      <w:pPr>
        <w:pStyle w:val="10"/>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五、社会保险基金预算支出情况</w:t>
      </w:r>
    </w:p>
    <w:p w14:paraId="30FD251B">
      <w:pPr>
        <w:pStyle w:val="11"/>
        <w:keepNext w:val="0"/>
        <w:keepLines w:val="0"/>
        <w:pageBreakBefore w:val="0"/>
        <w:widowControl/>
        <w:kinsoku/>
        <w:wordWrap/>
        <w:overflowPunct/>
        <w:topLinePunct w:val="0"/>
        <w:autoSpaceDE/>
        <w:autoSpaceDN/>
        <w:bidi w:val="0"/>
        <w:adjustRightInd/>
        <w:snapToGrid/>
        <w:spacing w:before="156" w:beforeLines="50" w:after="156" w:afterLines="50" w:line="600" w:lineRule="exact"/>
        <w:ind w:firstLine="640" w:firstLineChars="200"/>
        <w:textAlignment w:val="auto"/>
        <w:rPr>
          <w:rFonts w:hint="eastAsia" w:ascii="Calibri" w:hAnsi="Calibri" w:eastAsia="仿宋_GB2312"/>
          <w:sz w:val="32"/>
          <w:szCs w:val="32"/>
        </w:rPr>
      </w:pPr>
      <w:r>
        <w:rPr>
          <w:rFonts w:hint="eastAsia" w:ascii="Calibri" w:hAnsi="Calibri" w:eastAsia="仿宋_GB2312"/>
          <w:sz w:val="32"/>
          <w:szCs w:val="32"/>
        </w:rPr>
        <w:t>机关事业单位基社会保障就业支出</w:t>
      </w:r>
      <w:r>
        <w:rPr>
          <w:rFonts w:hint="eastAsia" w:ascii="Calibri" w:hAnsi="Calibri" w:eastAsia="仿宋_GB2312"/>
          <w:sz w:val="32"/>
          <w:szCs w:val="32"/>
          <w:lang w:val="en-US" w:eastAsia="zh-CN"/>
        </w:rPr>
        <w:t>68.15</w:t>
      </w:r>
      <w:r>
        <w:rPr>
          <w:rFonts w:hint="eastAsia" w:ascii="Calibri" w:hAnsi="Calibri" w:eastAsia="仿宋_GB2312"/>
          <w:sz w:val="32"/>
          <w:szCs w:val="32"/>
        </w:rPr>
        <w:t>万元</w:t>
      </w:r>
    </w:p>
    <w:p w14:paraId="702FF7C1">
      <w:pPr>
        <w:pStyle w:val="10"/>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六、部门整体支出绩效情况</w:t>
      </w:r>
    </w:p>
    <w:p w14:paraId="47DEF354">
      <w:pPr>
        <w:pStyle w:val="11"/>
        <w:keepNext w:val="0"/>
        <w:keepLines w:val="0"/>
        <w:pageBreakBefore w:val="0"/>
        <w:widowControl/>
        <w:kinsoku/>
        <w:wordWrap/>
        <w:overflowPunct/>
        <w:topLinePunct w:val="0"/>
        <w:autoSpaceDE/>
        <w:autoSpaceDN/>
        <w:bidi w:val="0"/>
        <w:adjustRightInd/>
        <w:snapToGrid/>
        <w:spacing w:before="156" w:beforeLines="50" w:after="156" w:afterLines="50" w:line="600" w:lineRule="exact"/>
        <w:ind w:firstLine="640" w:firstLineChars="200"/>
        <w:textAlignment w:val="auto"/>
        <w:rPr>
          <w:rFonts w:hint="eastAsia" w:ascii="Calibri" w:hAnsi="Calibri" w:eastAsia="仿宋_GB2312"/>
          <w:sz w:val="32"/>
          <w:szCs w:val="32"/>
        </w:rPr>
      </w:pPr>
      <w:r>
        <w:rPr>
          <w:rFonts w:hint="eastAsia" w:ascii="Calibri" w:hAnsi="Calibri" w:eastAsia="仿宋_GB2312"/>
          <w:sz w:val="32"/>
          <w:szCs w:val="32"/>
          <w:lang w:val="en-US" w:eastAsia="zh-CN"/>
        </w:rPr>
        <w:t>2025</w:t>
      </w:r>
      <w:r>
        <w:rPr>
          <w:rFonts w:hint="eastAsia" w:ascii="Calibri" w:hAnsi="Calibri" w:eastAsia="仿宋_GB2312"/>
          <w:sz w:val="32"/>
          <w:szCs w:val="32"/>
        </w:rPr>
        <w:t xml:space="preserve">年通过规范预算支出管理，不断完善内部管理制度，理顺内部业务管理流程，部门整体支出绩效情况如下: </w:t>
      </w:r>
    </w:p>
    <w:p w14:paraId="5B9D326E">
      <w:pPr>
        <w:pStyle w:val="11"/>
        <w:keepNext w:val="0"/>
        <w:keepLines w:val="0"/>
        <w:pageBreakBefore w:val="0"/>
        <w:widowControl/>
        <w:kinsoku/>
        <w:wordWrap/>
        <w:overflowPunct/>
        <w:topLinePunct w:val="0"/>
        <w:autoSpaceDE/>
        <w:autoSpaceDN/>
        <w:bidi w:val="0"/>
        <w:adjustRightInd/>
        <w:snapToGrid/>
        <w:spacing w:before="156" w:beforeLines="50" w:after="156" w:afterLines="50" w:line="600" w:lineRule="exact"/>
        <w:ind w:firstLine="640" w:firstLineChars="200"/>
        <w:textAlignment w:val="auto"/>
        <w:rPr>
          <w:rFonts w:hint="eastAsia" w:ascii="Calibri" w:hAnsi="Calibri" w:eastAsia="仿宋_GB2312"/>
          <w:sz w:val="32"/>
          <w:szCs w:val="32"/>
        </w:rPr>
      </w:pPr>
      <w:r>
        <w:rPr>
          <w:rFonts w:hint="eastAsia" w:ascii="Calibri" w:hAnsi="Calibri" w:eastAsia="仿宋_GB2312"/>
          <w:sz w:val="32"/>
          <w:szCs w:val="32"/>
        </w:rPr>
        <w:t>1、在职人员控制率较好，配置合理规范；2、支出总额控制在预算总额内，没有超支情况；3、规范部门整体支出，加强国有资产管理，完善内部控制管理，通过健全内控体系，提升风险防范能力，提高政府运行效率和管理水平。且在</w:t>
      </w:r>
      <w:r>
        <w:rPr>
          <w:rFonts w:hint="eastAsia" w:ascii="Calibri" w:hAnsi="Calibri" w:eastAsia="仿宋_GB2312"/>
          <w:sz w:val="32"/>
          <w:szCs w:val="32"/>
          <w:lang w:val="en-US" w:eastAsia="zh-CN"/>
        </w:rPr>
        <w:t>2025</w:t>
      </w:r>
      <w:r>
        <w:rPr>
          <w:rFonts w:hint="eastAsia" w:ascii="Calibri" w:hAnsi="Calibri" w:eastAsia="仿宋_GB2312"/>
          <w:sz w:val="32"/>
          <w:szCs w:val="32"/>
        </w:rPr>
        <w:t>年项目实施的前期做好调查，对立项实施的项目，定期不定期地对项目实施情况和资金使用情况进行跟踪检查，对实现预期绩效目标的项目予以充分肯定，对实施进展缓慢的项目督促整改，确保项目实施工作正常运行，达到预期绩效目标，取得了显著的社会效益。</w:t>
      </w:r>
    </w:p>
    <w:p w14:paraId="02FA0639">
      <w:pPr>
        <w:pStyle w:val="10"/>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七、存在的问题及原因分析</w:t>
      </w:r>
    </w:p>
    <w:p w14:paraId="7C15A22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Fonts w:ascii="Calibri" w:hAnsi="Calibri" w:eastAsia="仿宋_GB2312"/>
          <w:kern w:val="2"/>
          <w:sz w:val="32"/>
          <w:szCs w:val="32"/>
        </w:rPr>
      </w:pPr>
      <w:r>
        <w:rPr>
          <w:rFonts w:hint="eastAsia" w:ascii="Calibri" w:hAnsi="Calibri" w:eastAsia="仿宋_GB2312"/>
          <w:kern w:val="2"/>
          <w:sz w:val="32"/>
          <w:szCs w:val="32"/>
        </w:rPr>
        <w:t>近几年来，江永县财政收支紧张，国库资金调度艰难，国库支付报账进度很不均衡，对财政资金使用效率产生了一定的消极影响。</w:t>
      </w:r>
    </w:p>
    <w:p w14:paraId="0D993326">
      <w:pPr>
        <w:pStyle w:val="10"/>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八、下一步改进措施</w:t>
      </w:r>
    </w:p>
    <w:p w14:paraId="769F11A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 w:eastAsia="仿宋_GB2312" w:cs="仿宋_GB2312"/>
          <w:color w:val="666666"/>
          <w:sz w:val="32"/>
          <w:szCs w:val="32"/>
          <w:shd w:val="clear" w:color="auto" w:fill="FFFFFF"/>
        </w:rPr>
      </w:pPr>
      <w:r>
        <w:rPr>
          <w:rFonts w:hint="eastAsia" w:ascii="Calibri" w:hAnsi="Calibri" w:eastAsia="仿宋_GB2312"/>
          <w:kern w:val="2"/>
          <w:sz w:val="32"/>
          <w:szCs w:val="32"/>
        </w:rPr>
        <w:t>加强资金绩效运行监控，掌握资金使用情况，进一步提高资金使用效能，提高预算完成率；同时加强收支管理，科学合理调度好财政资金，确保各方面工作正常、高效运转</w:t>
      </w:r>
      <w:r>
        <w:rPr>
          <w:rFonts w:hint="eastAsia" w:ascii="仿宋_GB2312" w:hAnsi="仿宋" w:eastAsia="仿宋_GB2312" w:cs="仿宋_GB2312"/>
          <w:color w:val="666666"/>
          <w:sz w:val="32"/>
          <w:szCs w:val="32"/>
          <w:shd w:val="clear" w:color="auto" w:fill="FFFFFF"/>
        </w:rPr>
        <w:t>。</w:t>
      </w:r>
    </w:p>
    <w:p w14:paraId="4A5F86D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color w:val="666666"/>
        </w:rPr>
      </w:pPr>
      <w:r>
        <w:rPr>
          <w:rFonts w:hint="eastAsia" w:eastAsia="黑体" w:cs="Times New Roman"/>
          <w:kern w:val="2"/>
          <w:sz w:val="32"/>
          <w:szCs w:val="32"/>
          <w:lang w:val="en-US" w:eastAsia="zh-CN" w:bidi="ar-SA"/>
        </w:rPr>
        <w:t>九、</w:t>
      </w:r>
      <w:r>
        <w:rPr>
          <w:rFonts w:hint="eastAsia" w:ascii="Times New Roman" w:hAnsi="Times New Roman" w:eastAsia="黑体" w:cs="Times New Roman"/>
          <w:kern w:val="2"/>
          <w:sz w:val="32"/>
          <w:szCs w:val="32"/>
          <w:lang w:val="en-US" w:eastAsia="zh-CN" w:bidi="ar-SA"/>
        </w:rPr>
        <w:t>绩效自</w:t>
      </w:r>
      <w:r>
        <w:rPr>
          <w:rFonts w:hint="eastAsia" w:eastAsia="黑体"/>
          <w:kern w:val="2"/>
          <w:sz w:val="32"/>
          <w:szCs w:val="32"/>
        </w:rPr>
        <w:t>评结果拟应用和公开情况</w:t>
      </w:r>
      <w:r>
        <w:rPr>
          <w:rFonts w:hint="eastAsia" w:ascii="仿宋_GB2312" w:hAnsi="仿宋" w:eastAsia="仿宋_GB2312" w:cs="仿宋_GB2312"/>
          <w:color w:val="666666"/>
          <w:sz w:val="32"/>
          <w:szCs w:val="32"/>
          <w:shd w:val="clear" w:color="auto" w:fill="FFFFFF"/>
          <w:lang w:val="en-US" w:eastAsia="zh-CN"/>
        </w:rPr>
        <w:t xml:space="preserve">          </w:t>
      </w:r>
      <w:r>
        <w:rPr>
          <w:rFonts w:hint="eastAsia" w:eastAsia="黑体" w:cs="Times New Roman"/>
          <w:kern w:val="2"/>
          <w:sz w:val="32"/>
          <w:szCs w:val="32"/>
          <w:lang w:val="en-US" w:eastAsia="zh-CN" w:bidi="ar-SA"/>
        </w:rPr>
        <w:t xml:space="preserve">       </w:t>
      </w:r>
    </w:p>
    <w:p w14:paraId="45E569F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Calibri" w:hAnsi="Calibri" w:eastAsia="仿宋_GB2312"/>
          <w:kern w:val="2"/>
          <w:sz w:val="32"/>
          <w:szCs w:val="32"/>
        </w:rPr>
      </w:pPr>
      <w:r>
        <w:rPr>
          <w:rFonts w:hint="eastAsia" w:ascii="Calibri" w:hAnsi="Calibri" w:eastAsia="仿宋_GB2312"/>
          <w:kern w:val="2"/>
          <w:sz w:val="32"/>
          <w:szCs w:val="32"/>
        </w:rPr>
        <w:t>根据</w:t>
      </w:r>
      <w:r>
        <w:rPr>
          <w:rFonts w:hint="eastAsia" w:ascii="Calibri" w:hAnsi="Calibri" w:eastAsia="仿宋_GB2312"/>
          <w:kern w:val="2"/>
          <w:sz w:val="32"/>
          <w:szCs w:val="32"/>
          <w:lang w:val="en-US" w:eastAsia="zh-CN"/>
        </w:rPr>
        <w:t>2025</w:t>
      </w:r>
      <w:r>
        <w:rPr>
          <w:rFonts w:hint="eastAsia" w:ascii="Calibri" w:hAnsi="Calibri" w:eastAsia="仿宋_GB2312"/>
          <w:kern w:val="2"/>
          <w:sz w:val="32"/>
          <w:szCs w:val="32"/>
        </w:rPr>
        <w:t>年财政资金使用绩效情况，我单位将向县财政继续申请有关项目资金，根据县财政局规定，我单位将在江永政府网公示绩效自评结果。</w:t>
      </w:r>
    </w:p>
    <w:p w14:paraId="0F89AA6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黑体"/>
          <w:sz w:val="32"/>
          <w:szCs w:val="32"/>
        </w:rPr>
      </w:pPr>
      <w:r>
        <w:rPr>
          <w:rFonts w:hint="eastAsia" w:eastAsia="黑体"/>
          <w:sz w:val="32"/>
          <w:szCs w:val="32"/>
        </w:rPr>
        <w:t>无</w:t>
      </w:r>
      <w:r>
        <w:rPr>
          <w:rFonts w:eastAsia="黑体"/>
          <w:sz w:val="32"/>
          <w:szCs w:val="32"/>
        </w:rPr>
        <w:t>其他需要说明的情况</w:t>
      </w:r>
    </w:p>
    <w:p w14:paraId="50B5647D">
      <w:pPr>
        <w:sectPr>
          <w:pgSz w:w="11906" w:h="16838"/>
          <w:pgMar w:top="1440" w:right="1800" w:bottom="1440" w:left="1800" w:header="851" w:footer="992" w:gutter="0"/>
          <w:cols w:space="720" w:num="1"/>
          <w:docGrid w:type="lines" w:linePitch="312" w:charSpace="0"/>
        </w:sectPr>
      </w:pPr>
    </w:p>
    <w:p w14:paraId="7603E76E">
      <w:pPr>
        <w:sectPr>
          <w:pgSz w:w="11906" w:h="16838"/>
          <w:pgMar w:top="1440" w:right="1800" w:bottom="1440" w:left="1800" w:header="851" w:footer="992" w:gutter="0"/>
          <w:cols w:space="720" w:num="1"/>
          <w:docGrid w:type="lines" w:linePitch="312" w:charSpace="0"/>
        </w:sectPr>
      </w:pPr>
      <w:r>
        <w:object>
          <v:shape id="_x0000_i1025" o:spt="75" type="#_x0000_t75" style="height:689.3pt;width:415.15pt;" o:ole="t" filled="f" o:preferrelative="t" stroked="f" coordsize="21600,21600">
            <v:path/>
            <v:fill on="f" focussize="0,0"/>
            <v:stroke on="f"/>
            <v:imagedata r:id="rId5" o:title=""/>
            <o:lock v:ext="edit" aspectratio="f"/>
            <w10:wrap type="none"/>
            <w10:anchorlock/>
          </v:shape>
          <o:OLEObject Type="Embed" ProgID="Excel.Sheet.12" ShapeID="_x0000_i1025" DrawAspect="Content" ObjectID="_1468075725" r:id="rId4">
            <o:LockedField>false</o:LockedField>
          </o:OLEObject>
        </w:object>
      </w:r>
    </w:p>
    <w:p w14:paraId="20C643A7">
      <w:r>
        <w:object>
          <v:shape id="_x0000_i1026" o:spt="75" type="#_x0000_t75" style="height:726.85pt;width:414.9pt;" o:ole="t" filled="f" o:preferrelative="t" stroked="f" coordsize="21600,21600">
            <v:path/>
            <v:fill on="f" focussize="0,0"/>
            <v:stroke on="f"/>
            <v:imagedata r:id="rId7" o:title=""/>
            <o:lock v:ext="edit" aspectratio="f"/>
            <w10:wrap type="none"/>
            <w10:anchorlock/>
          </v:shape>
          <o:OLEObject Type="Embed" ProgID="Excel.Sheet.12" ShapeID="_x0000_i1026" DrawAspect="Content" ObjectID="_1468075726" r:id="rId6">
            <o:LockedField>false</o:LockedField>
          </o:OLEObject>
        </w:object>
      </w:r>
    </w:p>
    <w:p w14:paraId="01BF2F18">
      <w:pPr>
        <w:sectPr>
          <w:pgSz w:w="11906" w:h="16838"/>
          <w:pgMar w:top="1440" w:right="1800" w:bottom="1440" w:left="1800" w:header="851" w:footer="992" w:gutter="0"/>
          <w:cols w:space="720" w:num="1"/>
          <w:docGrid w:type="lines" w:linePitch="312" w:charSpace="0"/>
        </w:sectPr>
      </w:pPr>
    </w:p>
    <w:p w14:paraId="4B2E9023">
      <w:pPr>
        <w:spacing w:line="560" w:lineRule="exact"/>
        <w:jc w:val="center"/>
        <w:rPr>
          <w:rFonts w:hint="eastAsia" w:ascii="方正小标宋_GBK" w:hAnsi="方正小标宋_GBK" w:eastAsia="方正小标宋_GBK" w:cs="Times New Roman"/>
          <w:kern w:val="0"/>
          <w:sz w:val="44"/>
          <w:szCs w:val="44"/>
          <w:lang w:eastAsia="zh-CN"/>
        </w:rPr>
      </w:pPr>
      <w:r>
        <w:rPr>
          <w:rFonts w:hint="eastAsia" w:ascii="方正小标宋_GBK" w:hAnsi="方正小标宋_GBK" w:eastAsia="方正小标宋_GBK" w:cs="Times New Roman"/>
          <w:kern w:val="0"/>
          <w:sz w:val="44"/>
          <w:szCs w:val="44"/>
          <w:lang w:eastAsia="zh-CN"/>
        </w:rPr>
        <w:t>江永县夏层铺镇人民政府</w:t>
      </w:r>
    </w:p>
    <w:p w14:paraId="0C79F206">
      <w:pPr>
        <w:spacing w:line="560" w:lineRule="exact"/>
        <w:jc w:val="center"/>
        <w:rPr>
          <w:rFonts w:hint="eastAsia" w:ascii="Times New Roman" w:hAnsi="Times New Roman"/>
          <w:kern w:val="0"/>
          <w:sz w:val="44"/>
          <w:szCs w:val="44"/>
        </w:rPr>
      </w:pPr>
      <w:r>
        <w:rPr>
          <w:rFonts w:ascii="方正小标宋_GBK" w:hAnsi="方正小标宋_GBK" w:eastAsia="方正小标宋_GBK"/>
          <w:kern w:val="0"/>
          <w:sz w:val="44"/>
          <w:szCs w:val="44"/>
        </w:rPr>
        <w:t>部门整体支出绩效评价表</w:t>
      </w:r>
    </w:p>
    <w:tbl>
      <w:tblPr>
        <w:tblStyle w:val="6"/>
        <w:tblW w:w="0" w:type="auto"/>
        <w:jc w:val="center"/>
        <w:tblLayout w:type="fixed"/>
        <w:tblCellMar>
          <w:top w:w="0" w:type="dxa"/>
          <w:left w:w="108" w:type="dxa"/>
          <w:bottom w:w="0" w:type="dxa"/>
          <w:right w:w="108" w:type="dxa"/>
        </w:tblCellMar>
      </w:tblPr>
      <w:tblGrid>
        <w:gridCol w:w="518"/>
        <w:gridCol w:w="416"/>
        <w:gridCol w:w="432"/>
        <w:gridCol w:w="245"/>
        <w:gridCol w:w="416"/>
        <w:gridCol w:w="1194"/>
        <w:gridCol w:w="478"/>
        <w:gridCol w:w="2977"/>
        <w:gridCol w:w="3402"/>
        <w:gridCol w:w="522"/>
        <w:gridCol w:w="8"/>
      </w:tblGrid>
      <w:tr w14:paraId="1087062B">
        <w:trPr>
          <w:gridAfter w:val="1"/>
          <w:wAfter w:w="8" w:type="dxa"/>
          <w:jc w:val="center"/>
        </w:trPr>
        <w:tc>
          <w:tcPr>
            <w:tcW w:w="518" w:type="dxa"/>
            <w:tcBorders>
              <w:top w:val="single" w:color="auto" w:sz="4" w:space="0"/>
              <w:left w:val="single" w:color="auto" w:sz="4" w:space="0"/>
              <w:bottom w:val="single" w:color="auto" w:sz="4" w:space="0"/>
              <w:right w:val="single" w:color="auto" w:sz="4" w:space="0"/>
            </w:tcBorders>
            <w:noWrap w:val="0"/>
            <w:vAlign w:val="center"/>
          </w:tcPr>
          <w:p w14:paraId="3D647FCE">
            <w:pPr>
              <w:widowControl/>
              <w:jc w:val="left"/>
              <w:rPr>
                <w:rFonts w:eastAsia="仿宋_GB2312"/>
                <w:kern w:val="0"/>
                <w:sz w:val="20"/>
                <w:szCs w:val="20"/>
              </w:rPr>
            </w:pPr>
            <w:r>
              <w:rPr>
                <w:rFonts w:eastAsia="仿宋_GB2312"/>
                <w:kern w:val="0"/>
                <w:sz w:val="20"/>
                <w:szCs w:val="20"/>
              </w:rPr>
              <w:t>一级指标</w:t>
            </w:r>
          </w:p>
        </w:tc>
        <w:tc>
          <w:tcPr>
            <w:tcW w:w="416" w:type="dxa"/>
            <w:tcBorders>
              <w:top w:val="single" w:color="auto" w:sz="4" w:space="0"/>
              <w:left w:val="nil"/>
              <w:bottom w:val="single" w:color="auto" w:sz="4" w:space="0"/>
              <w:right w:val="single" w:color="auto" w:sz="4" w:space="0"/>
            </w:tcBorders>
            <w:noWrap w:val="0"/>
            <w:vAlign w:val="center"/>
          </w:tcPr>
          <w:p w14:paraId="022CEAB2">
            <w:pPr>
              <w:widowControl/>
              <w:jc w:val="center"/>
              <w:rPr>
                <w:rFonts w:eastAsia="仿宋_GB2312"/>
                <w:kern w:val="0"/>
                <w:sz w:val="20"/>
                <w:szCs w:val="20"/>
              </w:rPr>
            </w:pPr>
            <w:r>
              <w:rPr>
                <w:rFonts w:eastAsia="仿宋_GB2312"/>
                <w:kern w:val="0"/>
                <w:sz w:val="20"/>
                <w:szCs w:val="20"/>
              </w:rPr>
              <w:t>分值</w:t>
            </w:r>
          </w:p>
        </w:tc>
        <w:tc>
          <w:tcPr>
            <w:tcW w:w="677" w:type="dxa"/>
            <w:gridSpan w:val="2"/>
            <w:tcBorders>
              <w:top w:val="single" w:color="auto" w:sz="4" w:space="0"/>
              <w:left w:val="nil"/>
              <w:bottom w:val="single" w:color="auto" w:sz="4" w:space="0"/>
              <w:right w:val="single" w:color="auto" w:sz="4" w:space="0"/>
            </w:tcBorders>
            <w:noWrap w:val="0"/>
            <w:vAlign w:val="center"/>
          </w:tcPr>
          <w:p w14:paraId="5E7A04B7">
            <w:pPr>
              <w:widowControl/>
              <w:jc w:val="center"/>
              <w:rPr>
                <w:rFonts w:eastAsia="仿宋_GB2312"/>
                <w:kern w:val="0"/>
                <w:sz w:val="20"/>
                <w:szCs w:val="20"/>
              </w:rPr>
            </w:pPr>
            <w:r>
              <w:rPr>
                <w:rFonts w:eastAsia="仿宋_GB2312"/>
                <w:kern w:val="0"/>
                <w:sz w:val="20"/>
                <w:szCs w:val="20"/>
              </w:rPr>
              <w:t>二级指标</w:t>
            </w:r>
          </w:p>
        </w:tc>
        <w:tc>
          <w:tcPr>
            <w:tcW w:w="416" w:type="dxa"/>
            <w:tcBorders>
              <w:top w:val="single" w:color="auto" w:sz="4" w:space="0"/>
              <w:left w:val="nil"/>
              <w:bottom w:val="single" w:color="auto" w:sz="4" w:space="0"/>
              <w:right w:val="single" w:color="auto" w:sz="4" w:space="0"/>
            </w:tcBorders>
            <w:noWrap w:val="0"/>
            <w:vAlign w:val="center"/>
          </w:tcPr>
          <w:p w14:paraId="6D1E9276">
            <w:pPr>
              <w:widowControl/>
              <w:jc w:val="center"/>
              <w:rPr>
                <w:rFonts w:eastAsia="仿宋_GB2312"/>
                <w:kern w:val="0"/>
                <w:sz w:val="20"/>
                <w:szCs w:val="20"/>
              </w:rPr>
            </w:pPr>
            <w:r>
              <w:rPr>
                <w:rFonts w:eastAsia="仿宋_GB2312"/>
                <w:kern w:val="0"/>
                <w:sz w:val="20"/>
                <w:szCs w:val="20"/>
              </w:rPr>
              <w:t>分值</w:t>
            </w:r>
          </w:p>
        </w:tc>
        <w:tc>
          <w:tcPr>
            <w:tcW w:w="1194" w:type="dxa"/>
            <w:tcBorders>
              <w:top w:val="single" w:color="auto" w:sz="4" w:space="0"/>
              <w:left w:val="nil"/>
              <w:bottom w:val="single" w:color="auto" w:sz="4" w:space="0"/>
              <w:right w:val="single" w:color="auto" w:sz="4" w:space="0"/>
            </w:tcBorders>
            <w:noWrap w:val="0"/>
            <w:vAlign w:val="center"/>
          </w:tcPr>
          <w:p w14:paraId="373F786D">
            <w:pPr>
              <w:widowControl/>
              <w:jc w:val="center"/>
              <w:rPr>
                <w:rFonts w:eastAsia="仿宋_GB2312"/>
                <w:kern w:val="0"/>
                <w:sz w:val="20"/>
                <w:szCs w:val="20"/>
              </w:rPr>
            </w:pPr>
            <w:r>
              <w:rPr>
                <w:rFonts w:eastAsia="仿宋_GB2312"/>
                <w:kern w:val="0"/>
                <w:sz w:val="20"/>
                <w:szCs w:val="20"/>
              </w:rPr>
              <w:t>三级</w:t>
            </w:r>
          </w:p>
          <w:p w14:paraId="3A5C1AC7">
            <w:pPr>
              <w:widowControl/>
              <w:jc w:val="center"/>
              <w:rPr>
                <w:rFonts w:eastAsia="仿宋_GB2312"/>
                <w:kern w:val="0"/>
                <w:sz w:val="20"/>
                <w:szCs w:val="20"/>
              </w:rPr>
            </w:pPr>
            <w:r>
              <w:rPr>
                <w:rFonts w:eastAsia="仿宋_GB2312"/>
                <w:kern w:val="0"/>
                <w:sz w:val="20"/>
                <w:szCs w:val="20"/>
              </w:rPr>
              <w:t>指标</w:t>
            </w:r>
          </w:p>
        </w:tc>
        <w:tc>
          <w:tcPr>
            <w:tcW w:w="478" w:type="dxa"/>
            <w:tcBorders>
              <w:top w:val="single" w:color="auto" w:sz="4" w:space="0"/>
              <w:left w:val="nil"/>
              <w:bottom w:val="single" w:color="auto" w:sz="4" w:space="0"/>
              <w:right w:val="single" w:color="auto" w:sz="4" w:space="0"/>
            </w:tcBorders>
            <w:noWrap w:val="0"/>
            <w:vAlign w:val="center"/>
          </w:tcPr>
          <w:p w14:paraId="5A98D619">
            <w:pPr>
              <w:widowControl/>
              <w:jc w:val="center"/>
              <w:rPr>
                <w:rFonts w:eastAsia="仿宋_GB2312"/>
                <w:kern w:val="0"/>
                <w:sz w:val="20"/>
                <w:szCs w:val="20"/>
              </w:rPr>
            </w:pPr>
            <w:r>
              <w:rPr>
                <w:rFonts w:eastAsia="仿宋_GB2312"/>
                <w:kern w:val="0"/>
                <w:sz w:val="20"/>
                <w:szCs w:val="20"/>
              </w:rPr>
              <w:t>分值</w:t>
            </w:r>
          </w:p>
        </w:tc>
        <w:tc>
          <w:tcPr>
            <w:tcW w:w="2977" w:type="dxa"/>
            <w:tcBorders>
              <w:top w:val="single" w:color="auto" w:sz="4" w:space="0"/>
              <w:left w:val="nil"/>
              <w:bottom w:val="single" w:color="auto" w:sz="4" w:space="0"/>
              <w:right w:val="single" w:color="auto" w:sz="4" w:space="0"/>
            </w:tcBorders>
            <w:noWrap w:val="0"/>
            <w:vAlign w:val="center"/>
          </w:tcPr>
          <w:p w14:paraId="4200EE56">
            <w:pPr>
              <w:widowControl/>
              <w:jc w:val="center"/>
              <w:rPr>
                <w:rFonts w:eastAsia="仿宋_GB2312"/>
                <w:kern w:val="0"/>
                <w:sz w:val="20"/>
                <w:szCs w:val="20"/>
              </w:rPr>
            </w:pPr>
            <w:r>
              <w:rPr>
                <w:rFonts w:eastAsia="仿宋_GB2312"/>
                <w:kern w:val="0"/>
                <w:sz w:val="20"/>
                <w:szCs w:val="20"/>
              </w:rPr>
              <w:t>评价标准</w:t>
            </w:r>
          </w:p>
        </w:tc>
        <w:tc>
          <w:tcPr>
            <w:tcW w:w="3402" w:type="dxa"/>
            <w:tcBorders>
              <w:top w:val="single" w:color="auto" w:sz="4" w:space="0"/>
              <w:left w:val="nil"/>
              <w:bottom w:val="single" w:color="auto" w:sz="4" w:space="0"/>
              <w:right w:val="single" w:color="auto" w:sz="4" w:space="0"/>
            </w:tcBorders>
            <w:noWrap w:val="0"/>
            <w:vAlign w:val="center"/>
          </w:tcPr>
          <w:p w14:paraId="4A93B22A">
            <w:pPr>
              <w:widowControl/>
              <w:jc w:val="center"/>
              <w:rPr>
                <w:rFonts w:eastAsia="仿宋_GB2312"/>
                <w:kern w:val="0"/>
                <w:sz w:val="20"/>
                <w:szCs w:val="20"/>
              </w:rPr>
            </w:pPr>
            <w:r>
              <w:rPr>
                <w:rFonts w:eastAsia="仿宋_GB2312"/>
                <w:kern w:val="0"/>
                <w:sz w:val="20"/>
                <w:szCs w:val="20"/>
              </w:rPr>
              <w:t>指标说明</w:t>
            </w:r>
          </w:p>
        </w:tc>
        <w:tc>
          <w:tcPr>
            <w:tcW w:w="522" w:type="dxa"/>
            <w:tcBorders>
              <w:top w:val="single" w:color="auto" w:sz="4" w:space="0"/>
              <w:left w:val="nil"/>
              <w:bottom w:val="single" w:color="auto" w:sz="4" w:space="0"/>
              <w:right w:val="single" w:color="auto" w:sz="4" w:space="0"/>
            </w:tcBorders>
            <w:noWrap w:val="0"/>
            <w:vAlign w:val="center"/>
          </w:tcPr>
          <w:p w14:paraId="7204492B">
            <w:pPr>
              <w:widowControl/>
              <w:jc w:val="center"/>
              <w:rPr>
                <w:rFonts w:eastAsia="仿宋_GB2312"/>
                <w:kern w:val="0"/>
                <w:sz w:val="20"/>
                <w:szCs w:val="20"/>
              </w:rPr>
            </w:pPr>
            <w:r>
              <w:rPr>
                <w:rFonts w:eastAsia="仿宋_GB2312"/>
                <w:kern w:val="0"/>
                <w:sz w:val="20"/>
                <w:szCs w:val="20"/>
              </w:rPr>
              <w:t>得分</w:t>
            </w:r>
          </w:p>
        </w:tc>
      </w:tr>
      <w:tr w14:paraId="3FC9264D">
        <w:tblPrEx>
          <w:tblCellMar>
            <w:top w:w="0" w:type="dxa"/>
            <w:left w:w="108" w:type="dxa"/>
            <w:bottom w:w="0" w:type="dxa"/>
            <w:right w:w="108" w:type="dxa"/>
          </w:tblCellMar>
        </w:tblPrEx>
        <w:trPr>
          <w:gridAfter w:val="1"/>
          <w:wAfter w:w="8" w:type="dxa"/>
          <w:trHeight w:val="1814" w:hRule="atLeast"/>
          <w:jc w:val="center"/>
        </w:trPr>
        <w:tc>
          <w:tcPr>
            <w:tcW w:w="518" w:type="dxa"/>
            <w:vMerge w:val="restart"/>
            <w:tcBorders>
              <w:top w:val="nil"/>
              <w:left w:val="single" w:color="auto" w:sz="4" w:space="0"/>
              <w:bottom w:val="single" w:color="auto" w:sz="4" w:space="0"/>
              <w:right w:val="single" w:color="auto" w:sz="4" w:space="0"/>
            </w:tcBorders>
            <w:noWrap w:val="0"/>
            <w:vAlign w:val="center"/>
          </w:tcPr>
          <w:p w14:paraId="4FC8709E">
            <w:pPr>
              <w:widowControl/>
              <w:jc w:val="center"/>
              <w:rPr>
                <w:rFonts w:eastAsia="仿宋_GB2312"/>
                <w:kern w:val="0"/>
                <w:sz w:val="20"/>
                <w:szCs w:val="20"/>
              </w:rPr>
            </w:pPr>
            <w:r>
              <w:rPr>
                <w:rFonts w:eastAsia="仿宋_GB2312"/>
                <w:kern w:val="0"/>
                <w:sz w:val="20"/>
                <w:szCs w:val="20"/>
              </w:rPr>
              <w:t>投入</w:t>
            </w:r>
          </w:p>
        </w:tc>
        <w:tc>
          <w:tcPr>
            <w:tcW w:w="416" w:type="dxa"/>
            <w:vMerge w:val="restart"/>
            <w:tcBorders>
              <w:top w:val="nil"/>
              <w:left w:val="nil"/>
              <w:bottom w:val="single" w:color="000000" w:sz="4" w:space="0"/>
              <w:right w:val="single" w:color="auto" w:sz="4" w:space="0"/>
            </w:tcBorders>
            <w:noWrap w:val="0"/>
            <w:vAlign w:val="center"/>
          </w:tcPr>
          <w:p w14:paraId="5E537B9C">
            <w:pPr>
              <w:widowControl/>
              <w:jc w:val="center"/>
              <w:rPr>
                <w:rFonts w:eastAsia="仿宋_GB2312"/>
                <w:kern w:val="0"/>
                <w:sz w:val="20"/>
                <w:szCs w:val="20"/>
              </w:rPr>
            </w:pPr>
            <w:r>
              <w:rPr>
                <w:rFonts w:eastAsia="仿宋_GB2312"/>
                <w:kern w:val="0"/>
                <w:sz w:val="20"/>
                <w:szCs w:val="20"/>
              </w:rPr>
              <w:t>10</w:t>
            </w:r>
          </w:p>
        </w:tc>
        <w:tc>
          <w:tcPr>
            <w:tcW w:w="677" w:type="dxa"/>
            <w:gridSpan w:val="2"/>
            <w:vMerge w:val="restart"/>
            <w:tcBorders>
              <w:top w:val="nil"/>
              <w:left w:val="nil"/>
              <w:bottom w:val="single" w:color="auto" w:sz="4" w:space="0"/>
              <w:right w:val="single" w:color="auto" w:sz="4" w:space="0"/>
            </w:tcBorders>
            <w:noWrap w:val="0"/>
            <w:vAlign w:val="center"/>
          </w:tcPr>
          <w:p w14:paraId="6684BB93">
            <w:pPr>
              <w:widowControl/>
              <w:jc w:val="center"/>
              <w:rPr>
                <w:rFonts w:eastAsia="仿宋_GB2312"/>
                <w:kern w:val="0"/>
                <w:sz w:val="20"/>
                <w:szCs w:val="20"/>
              </w:rPr>
            </w:pPr>
            <w:r>
              <w:rPr>
                <w:rFonts w:eastAsia="仿宋_GB2312"/>
                <w:kern w:val="0"/>
                <w:sz w:val="20"/>
                <w:szCs w:val="20"/>
              </w:rPr>
              <w:t>预算配置</w:t>
            </w:r>
          </w:p>
        </w:tc>
        <w:tc>
          <w:tcPr>
            <w:tcW w:w="416" w:type="dxa"/>
            <w:vMerge w:val="restart"/>
            <w:tcBorders>
              <w:top w:val="nil"/>
              <w:left w:val="nil"/>
              <w:bottom w:val="single" w:color="000000" w:sz="4" w:space="0"/>
              <w:right w:val="single" w:color="auto" w:sz="4" w:space="0"/>
            </w:tcBorders>
            <w:noWrap w:val="0"/>
            <w:vAlign w:val="center"/>
          </w:tcPr>
          <w:p w14:paraId="5BAD1543">
            <w:pPr>
              <w:widowControl/>
              <w:jc w:val="center"/>
              <w:rPr>
                <w:rFonts w:eastAsia="仿宋_GB2312"/>
                <w:kern w:val="0"/>
                <w:sz w:val="20"/>
                <w:szCs w:val="20"/>
              </w:rPr>
            </w:pPr>
            <w:r>
              <w:rPr>
                <w:rFonts w:eastAsia="仿宋_GB2312"/>
                <w:kern w:val="0"/>
                <w:sz w:val="20"/>
                <w:szCs w:val="20"/>
              </w:rPr>
              <w:t>10</w:t>
            </w:r>
          </w:p>
        </w:tc>
        <w:tc>
          <w:tcPr>
            <w:tcW w:w="1194" w:type="dxa"/>
            <w:tcBorders>
              <w:top w:val="nil"/>
              <w:left w:val="nil"/>
              <w:bottom w:val="single" w:color="auto" w:sz="4" w:space="0"/>
              <w:right w:val="single" w:color="auto" w:sz="4" w:space="0"/>
            </w:tcBorders>
            <w:noWrap w:val="0"/>
            <w:vAlign w:val="center"/>
          </w:tcPr>
          <w:p w14:paraId="0A54B8B2">
            <w:pPr>
              <w:widowControl/>
              <w:jc w:val="left"/>
              <w:rPr>
                <w:rFonts w:eastAsia="仿宋_GB2312"/>
                <w:kern w:val="0"/>
                <w:sz w:val="20"/>
                <w:szCs w:val="20"/>
              </w:rPr>
            </w:pPr>
            <w:r>
              <w:rPr>
                <w:rFonts w:eastAsia="仿宋_GB2312"/>
                <w:kern w:val="0"/>
                <w:sz w:val="20"/>
                <w:szCs w:val="20"/>
              </w:rPr>
              <w:t>在职人员控制率</w:t>
            </w:r>
          </w:p>
        </w:tc>
        <w:tc>
          <w:tcPr>
            <w:tcW w:w="478" w:type="dxa"/>
            <w:tcBorders>
              <w:top w:val="nil"/>
              <w:left w:val="nil"/>
              <w:bottom w:val="single" w:color="auto" w:sz="4" w:space="0"/>
              <w:right w:val="single" w:color="auto" w:sz="4" w:space="0"/>
            </w:tcBorders>
            <w:noWrap w:val="0"/>
            <w:vAlign w:val="center"/>
          </w:tcPr>
          <w:p w14:paraId="7C666719">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nil"/>
              <w:right w:val="nil"/>
            </w:tcBorders>
            <w:noWrap w:val="0"/>
            <w:vAlign w:val="center"/>
          </w:tcPr>
          <w:p w14:paraId="78438C64">
            <w:pPr>
              <w:widowControl/>
              <w:jc w:val="left"/>
              <w:rPr>
                <w:rFonts w:eastAsia="仿宋_GB2312"/>
                <w:kern w:val="0"/>
                <w:sz w:val="20"/>
                <w:szCs w:val="20"/>
              </w:rPr>
            </w:pPr>
            <w:r>
              <w:rPr>
                <w:rFonts w:eastAsia="仿宋_GB2312"/>
                <w:kern w:val="0"/>
                <w:sz w:val="20"/>
                <w:szCs w:val="20"/>
              </w:rPr>
              <w:t>以100%</w:t>
            </w:r>
            <w:r>
              <w:rPr>
                <w:rFonts w:ascii="仿宋_GB2312" w:hAnsi="仿宋_GB2312" w:eastAsia="仿宋_GB2312"/>
                <w:kern w:val="0"/>
                <w:sz w:val="20"/>
                <w:szCs w:val="20"/>
              </w:rPr>
              <w:t>为标准。在职人员控制率</w:t>
            </w:r>
            <w:r>
              <w:rPr>
                <w:rFonts w:hint="eastAsia" w:ascii="宋体" w:hAnsi="宋体"/>
                <w:kern w:val="0"/>
                <w:sz w:val="20"/>
                <w:szCs w:val="20"/>
              </w:rPr>
              <w:t>≦</w:t>
            </w:r>
            <w:r>
              <w:rPr>
                <w:rFonts w:eastAsia="仿宋_GB2312"/>
                <w:kern w:val="0"/>
                <w:sz w:val="20"/>
                <w:szCs w:val="20"/>
              </w:rPr>
              <w:t>100%</w:t>
            </w:r>
            <w:r>
              <w:rPr>
                <w:rFonts w:ascii="仿宋_GB2312" w:hAnsi="仿宋_GB2312" w:eastAsia="仿宋_GB2312"/>
                <w:kern w:val="0"/>
                <w:sz w:val="20"/>
                <w:szCs w:val="20"/>
              </w:rPr>
              <w:t>，计</w:t>
            </w:r>
            <w:r>
              <w:rPr>
                <w:rFonts w:eastAsia="仿宋_GB2312"/>
                <w:kern w:val="0"/>
                <w:sz w:val="20"/>
                <w:szCs w:val="20"/>
              </w:rPr>
              <w:t>5</w:t>
            </w:r>
            <w:r>
              <w:rPr>
                <w:rFonts w:ascii="仿宋_GB2312" w:hAnsi="仿宋_GB2312" w:eastAsia="仿宋_GB2312"/>
                <w:kern w:val="0"/>
                <w:sz w:val="20"/>
                <w:szCs w:val="20"/>
              </w:rPr>
              <w:t>分；每超过一个百分点扣</w:t>
            </w:r>
            <w:r>
              <w:rPr>
                <w:rFonts w:eastAsia="仿宋_GB2312"/>
                <w:kern w:val="0"/>
                <w:sz w:val="20"/>
                <w:szCs w:val="20"/>
              </w:rPr>
              <w:t>0.5</w:t>
            </w:r>
            <w:r>
              <w:rPr>
                <w:rFonts w:ascii="仿宋_GB2312" w:hAnsi="仿宋_GB2312" w:eastAsia="仿宋_GB2312"/>
                <w:kern w:val="0"/>
                <w:sz w:val="20"/>
                <w:szCs w:val="20"/>
              </w:rPr>
              <w:t>分，扣完为止。</w:t>
            </w:r>
          </w:p>
        </w:tc>
        <w:tc>
          <w:tcPr>
            <w:tcW w:w="3402" w:type="dxa"/>
            <w:tcBorders>
              <w:top w:val="nil"/>
              <w:left w:val="single" w:color="auto" w:sz="4" w:space="0"/>
              <w:bottom w:val="single" w:color="auto" w:sz="4" w:space="0"/>
              <w:right w:val="single" w:color="auto" w:sz="4" w:space="0"/>
            </w:tcBorders>
            <w:noWrap w:val="0"/>
            <w:vAlign w:val="center"/>
          </w:tcPr>
          <w:p w14:paraId="55E47291">
            <w:pPr>
              <w:widowControl/>
              <w:jc w:val="left"/>
              <w:rPr>
                <w:rFonts w:hint="eastAsia" w:eastAsia="仿宋_GB2312"/>
                <w:kern w:val="0"/>
                <w:sz w:val="20"/>
                <w:szCs w:val="20"/>
                <w:lang w:eastAsia="zh-CN"/>
              </w:rPr>
            </w:pPr>
            <w:r>
              <w:rPr>
                <w:rFonts w:eastAsia="仿宋_GB2312"/>
                <w:kern w:val="0"/>
                <w:sz w:val="20"/>
                <w:szCs w:val="20"/>
              </w:rPr>
              <w:t>在职人员控制率=</w:t>
            </w:r>
            <w:r>
              <w:rPr>
                <w:rFonts w:ascii="仿宋_GB2312" w:hAnsi="仿宋_GB2312" w:eastAsia="仿宋_GB2312"/>
                <w:kern w:val="0"/>
                <w:sz w:val="20"/>
                <w:szCs w:val="20"/>
              </w:rPr>
              <w:t>（在职人员数</w:t>
            </w:r>
            <w:r>
              <w:rPr>
                <w:rFonts w:eastAsia="仿宋_GB2312"/>
                <w:kern w:val="0"/>
                <w:sz w:val="20"/>
                <w:szCs w:val="20"/>
              </w:rPr>
              <w:t>/</w:t>
            </w:r>
            <w:r>
              <w:rPr>
                <w:rFonts w:ascii="仿宋_GB2312" w:hAnsi="仿宋_GB2312" w:eastAsia="仿宋_GB2312"/>
                <w:kern w:val="0"/>
                <w:sz w:val="20"/>
                <w:szCs w:val="20"/>
              </w:rPr>
              <w:t>编制数）</w:t>
            </w:r>
            <w:r>
              <w:rPr>
                <w:rFonts w:eastAsia="仿宋_GB2312"/>
                <w:kern w:val="0"/>
                <w:sz w:val="20"/>
                <w:szCs w:val="20"/>
              </w:rPr>
              <w:t>×100%</w:t>
            </w:r>
            <w:r>
              <w:rPr>
                <w:rFonts w:ascii="仿宋_GB2312" w:hAnsi="仿宋_GB2312" w:eastAsia="仿宋_GB2312"/>
                <w:kern w:val="0"/>
                <w:sz w:val="20"/>
                <w:szCs w:val="20"/>
              </w:rPr>
              <w:t>，在职人员数：部门（单位）实际在职人数，以</w:t>
            </w:r>
            <w:r>
              <w:rPr>
                <w:kern w:val="0"/>
                <w:sz w:val="20"/>
                <w:szCs w:val="20"/>
              </w:rPr>
              <w:t>市</w:t>
            </w:r>
            <w:r>
              <w:rPr>
                <w:rFonts w:eastAsia="仿宋_GB2312"/>
                <w:kern w:val="0"/>
                <w:sz w:val="20"/>
                <w:szCs w:val="20"/>
              </w:rPr>
              <w:t>财政</w:t>
            </w:r>
            <w:r>
              <w:rPr>
                <w:kern w:val="0"/>
                <w:sz w:val="20"/>
                <w:szCs w:val="20"/>
              </w:rPr>
              <w:t>局</w:t>
            </w:r>
            <w:r>
              <w:rPr>
                <w:rFonts w:eastAsia="仿宋_GB2312"/>
                <w:kern w:val="0"/>
                <w:sz w:val="20"/>
                <w:szCs w:val="20"/>
              </w:rPr>
              <w:t>确定的部门决算编制口径为准。</w:t>
            </w:r>
          </w:p>
          <w:p w14:paraId="3B6B073D">
            <w:pPr>
              <w:widowControl/>
              <w:jc w:val="left"/>
              <w:rPr>
                <w:rFonts w:eastAsia="仿宋_GB2312"/>
                <w:kern w:val="0"/>
                <w:sz w:val="20"/>
                <w:szCs w:val="20"/>
              </w:rPr>
            </w:pPr>
            <w:r>
              <w:rPr>
                <w:rFonts w:eastAsia="仿宋_GB2312"/>
                <w:kern w:val="0"/>
                <w:sz w:val="20"/>
                <w:szCs w:val="20"/>
              </w:rPr>
              <w:t>编制数：机构编制部门核定批复的部门（单位）的人员编制数。</w:t>
            </w:r>
          </w:p>
        </w:tc>
        <w:tc>
          <w:tcPr>
            <w:tcW w:w="522" w:type="dxa"/>
            <w:tcBorders>
              <w:top w:val="nil"/>
              <w:left w:val="nil"/>
              <w:bottom w:val="single" w:color="auto" w:sz="4" w:space="0"/>
              <w:right w:val="single" w:color="auto" w:sz="4" w:space="0"/>
            </w:tcBorders>
            <w:noWrap w:val="0"/>
            <w:vAlign w:val="center"/>
          </w:tcPr>
          <w:p w14:paraId="24F3897B">
            <w:pPr>
              <w:widowControl/>
              <w:jc w:val="left"/>
              <w:rPr>
                <w:rFonts w:hint="eastAsia" w:eastAsia="宋体"/>
                <w:kern w:val="0"/>
                <w:sz w:val="24"/>
                <w:lang w:val="en-US" w:eastAsia="zh-CN"/>
              </w:rPr>
            </w:pPr>
            <w:r>
              <w:rPr>
                <w:rFonts w:hint="eastAsia"/>
                <w:kern w:val="0"/>
                <w:sz w:val="24"/>
                <w:lang w:val="en-US" w:eastAsia="zh-CN"/>
              </w:rPr>
              <w:t>5</w:t>
            </w:r>
          </w:p>
        </w:tc>
      </w:tr>
      <w:tr w14:paraId="79E77A57">
        <w:trPr>
          <w:gridAfter w:val="1"/>
          <w:wAfter w:w="8" w:type="dxa"/>
          <w:jc w:val="center"/>
        </w:trPr>
        <w:tc>
          <w:tcPr>
            <w:tcW w:w="518" w:type="dxa"/>
            <w:vMerge w:val="continue"/>
            <w:tcBorders>
              <w:top w:val="nil"/>
              <w:left w:val="single" w:color="auto" w:sz="4" w:space="0"/>
              <w:bottom w:val="single" w:color="auto" w:sz="4" w:space="0"/>
              <w:right w:val="single" w:color="auto" w:sz="4" w:space="0"/>
            </w:tcBorders>
            <w:noWrap w:val="0"/>
            <w:vAlign w:val="center"/>
          </w:tcPr>
          <w:p w14:paraId="12FA149F">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6861AC7D">
            <w:pPr>
              <w:widowControl/>
              <w:jc w:val="left"/>
              <w:rPr>
                <w:rFonts w:eastAsia="仿宋_GB2312"/>
                <w:kern w:val="0"/>
                <w:sz w:val="20"/>
                <w:szCs w:val="20"/>
              </w:rPr>
            </w:pPr>
          </w:p>
        </w:tc>
        <w:tc>
          <w:tcPr>
            <w:tcW w:w="677" w:type="dxa"/>
            <w:gridSpan w:val="2"/>
            <w:vMerge w:val="continue"/>
            <w:tcBorders>
              <w:top w:val="nil"/>
              <w:left w:val="nil"/>
              <w:bottom w:val="single" w:color="auto" w:sz="4" w:space="0"/>
              <w:right w:val="single" w:color="auto" w:sz="4" w:space="0"/>
            </w:tcBorders>
            <w:noWrap w:val="0"/>
            <w:vAlign w:val="center"/>
          </w:tcPr>
          <w:p w14:paraId="7A480C7B">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72458C54">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14:paraId="2CAEBB63">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变动率</w:t>
            </w:r>
          </w:p>
        </w:tc>
        <w:tc>
          <w:tcPr>
            <w:tcW w:w="478" w:type="dxa"/>
            <w:tcBorders>
              <w:top w:val="nil"/>
              <w:left w:val="nil"/>
              <w:bottom w:val="single" w:color="auto" w:sz="4" w:space="0"/>
              <w:right w:val="single" w:color="auto" w:sz="4" w:space="0"/>
            </w:tcBorders>
            <w:noWrap w:val="0"/>
            <w:vAlign w:val="center"/>
          </w:tcPr>
          <w:p w14:paraId="60181103">
            <w:pPr>
              <w:widowControl/>
              <w:jc w:val="center"/>
              <w:rPr>
                <w:rFonts w:eastAsia="仿宋_GB2312"/>
                <w:kern w:val="0"/>
                <w:sz w:val="20"/>
                <w:szCs w:val="20"/>
              </w:rPr>
            </w:pPr>
            <w:r>
              <w:rPr>
                <w:rFonts w:eastAsia="仿宋_GB2312"/>
                <w:kern w:val="0"/>
                <w:sz w:val="20"/>
                <w:szCs w:val="20"/>
              </w:rPr>
              <w:t>5</w:t>
            </w:r>
          </w:p>
        </w:tc>
        <w:tc>
          <w:tcPr>
            <w:tcW w:w="2977" w:type="dxa"/>
            <w:tcBorders>
              <w:top w:val="single" w:color="auto" w:sz="4" w:space="0"/>
              <w:left w:val="nil"/>
              <w:bottom w:val="single" w:color="auto" w:sz="4" w:space="0"/>
              <w:right w:val="single" w:color="auto" w:sz="4" w:space="0"/>
            </w:tcBorders>
            <w:noWrap w:val="0"/>
            <w:vAlign w:val="center"/>
          </w:tcPr>
          <w:p w14:paraId="4E091761">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变动率</w:t>
            </w:r>
            <w:r>
              <w:rPr>
                <w:rFonts w:hint="eastAsia" w:ascii="宋体" w:hAnsi="宋体"/>
                <w:kern w:val="0"/>
                <w:sz w:val="20"/>
                <w:szCs w:val="20"/>
              </w:rPr>
              <w:t>≦</w:t>
            </w:r>
            <w:r>
              <w:rPr>
                <w:rFonts w:eastAsia="仿宋_GB2312"/>
                <w:kern w:val="0"/>
                <w:sz w:val="20"/>
                <w:szCs w:val="20"/>
              </w:rPr>
              <w:t>0,</w:t>
            </w:r>
            <w:r>
              <w:rPr>
                <w:rFonts w:ascii="仿宋_GB2312" w:hAnsi="仿宋_GB2312" w:eastAsia="仿宋_GB2312"/>
                <w:kern w:val="0"/>
                <w:sz w:val="20"/>
                <w:szCs w:val="20"/>
              </w:rPr>
              <w:t>计</w:t>
            </w:r>
            <w:r>
              <w:rPr>
                <w:kern w:val="0"/>
                <w:sz w:val="20"/>
                <w:szCs w:val="20"/>
              </w:rPr>
              <w:t>5</w:t>
            </w:r>
            <w:r>
              <w:rPr>
                <w:rFonts w:eastAsia="仿宋_GB2312"/>
                <w:kern w:val="0"/>
                <w:sz w:val="20"/>
                <w:szCs w:val="20"/>
              </w:rPr>
              <w:t>分；“</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w:t>
            </w:r>
            <w:r>
              <w:rPr>
                <w:rFonts w:eastAsia="仿宋_GB2312"/>
                <w:kern w:val="0"/>
                <w:sz w:val="20"/>
                <w:szCs w:val="20"/>
              </w:rPr>
              <w:t>0</w:t>
            </w:r>
            <w:r>
              <w:rPr>
                <w:rFonts w:ascii="仿宋_GB2312" w:hAnsi="仿宋_GB2312" w:eastAsia="仿宋_GB2312"/>
                <w:kern w:val="0"/>
                <w:sz w:val="20"/>
                <w:szCs w:val="20"/>
              </w:rPr>
              <w:t>，每超过一个百分点扣</w:t>
            </w:r>
            <w:r>
              <w:rPr>
                <w:rFonts w:eastAsia="仿宋_GB2312"/>
                <w:kern w:val="0"/>
                <w:sz w:val="20"/>
                <w:szCs w:val="20"/>
              </w:rPr>
              <w:t>0.8</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14:paraId="6E0934FA">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变动率</w:t>
            </w:r>
            <w:r>
              <w:rPr>
                <w:rFonts w:eastAsia="仿宋_GB2312"/>
                <w:kern w:val="0"/>
                <w:sz w:val="20"/>
                <w:szCs w:val="20"/>
              </w:rPr>
              <w:t>=[</w:t>
            </w:r>
            <w:r>
              <w:rPr>
                <w:rFonts w:ascii="仿宋_GB2312" w:hAnsi="仿宋_GB2312" w:eastAsia="仿宋_GB2312"/>
                <w:kern w:val="0"/>
                <w:sz w:val="20"/>
                <w:szCs w:val="20"/>
              </w:rPr>
              <w:t>（本年度</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预算数</w:t>
            </w:r>
            <w:r>
              <w:rPr>
                <w:rFonts w:eastAsia="仿宋_GB2312"/>
                <w:kern w:val="0"/>
                <w:sz w:val="20"/>
                <w:szCs w:val="20"/>
              </w:rPr>
              <w:t>-</w:t>
            </w:r>
            <w:r>
              <w:rPr>
                <w:rFonts w:ascii="仿宋_GB2312" w:hAnsi="仿宋_GB2312" w:eastAsia="仿宋_GB2312"/>
                <w:kern w:val="0"/>
                <w:sz w:val="20"/>
                <w:szCs w:val="20"/>
              </w:rPr>
              <w:t>上年度</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预算数）</w:t>
            </w:r>
            <w:r>
              <w:rPr>
                <w:rFonts w:eastAsia="仿宋_GB2312"/>
                <w:kern w:val="0"/>
                <w:sz w:val="20"/>
                <w:szCs w:val="20"/>
              </w:rPr>
              <w:t>/</w:t>
            </w:r>
            <w:r>
              <w:rPr>
                <w:rFonts w:ascii="仿宋_GB2312" w:hAnsi="仿宋_GB2312" w:eastAsia="仿宋_GB2312"/>
                <w:kern w:val="0"/>
                <w:sz w:val="20"/>
                <w:szCs w:val="20"/>
              </w:rPr>
              <w:t>上年度</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预算数</w:t>
            </w:r>
            <w:r>
              <w:rPr>
                <w:rFonts w:eastAsia="仿宋_GB2312"/>
                <w:kern w:val="0"/>
                <w:sz w:val="20"/>
                <w:szCs w:val="20"/>
              </w:rPr>
              <w:t>]×100%</w:t>
            </w:r>
          </w:p>
        </w:tc>
        <w:tc>
          <w:tcPr>
            <w:tcW w:w="522" w:type="dxa"/>
            <w:tcBorders>
              <w:top w:val="nil"/>
              <w:left w:val="nil"/>
              <w:bottom w:val="single" w:color="auto" w:sz="4" w:space="0"/>
              <w:right w:val="single" w:color="auto" w:sz="4" w:space="0"/>
            </w:tcBorders>
            <w:noWrap w:val="0"/>
            <w:vAlign w:val="center"/>
          </w:tcPr>
          <w:p w14:paraId="493C51BF">
            <w:pPr>
              <w:widowControl/>
              <w:jc w:val="left"/>
              <w:rPr>
                <w:kern w:val="0"/>
                <w:sz w:val="24"/>
              </w:rPr>
            </w:pPr>
            <w:r>
              <w:rPr>
                <w:rFonts w:hint="eastAsia"/>
                <w:kern w:val="0"/>
                <w:sz w:val="24"/>
                <w:lang w:val="en-US" w:eastAsia="zh-CN"/>
              </w:rPr>
              <w:t>5</w:t>
            </w:r>
            <w:r>
              <w:rPr>
                <w:kern w:val="0"/>
                <w:sz w:val="24"/>
              </w:rPr>
              <w:t>　</w:t>
            </w:r>
          </w:p>
        </w:tc>
      </w:tr>
      <w:tr w14:paraId="751211E3">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0"/>
            <w:vAlign w:val="center"/>
          </w:tcPr>
          <w:p w14:paraId="4978A71C">
            <w:pPr>
              <w:widowControl/>
              <w:jc w:val="center"/>
              <w:rPr>
                <w:rFonts w:eastAsia="仿宋_GB2312"/>
                <w:kern w:val="0"/>
                <w:sz w:val="20"/>
                <w:szCs w:val="20"/>
              </w:rPr>
            </w:pPr>
            <w:r>
              <w:rPr>
                <w:rFonts w:eastAsia="仿宋_GB2312"/>
                <w:kern w:val="0"/>
                <w:sz w:val="20"/>
                <w:szCs w:val="20"/>
              </w:rPr>
              <w:t>过                                                                                                                                       程</w:t>
            </w:r>
          </w:p>
        </w:tc>
        <w:tc>
          <w:tcPr>
            <w:tcW w:w="416" w:type="dxa"/>
            <w:vMerge w:val="restart"/>
            <w:tcBorders>
              <w:top w:val="nil"/>
              <w:left w:val="nil"/>
              <w:bottom w:val="single" w:color="000000" w:sz="4" w:space="0"/>
              <w:right w:val="single" w:color="auto" w:sz="4" w:space="0"/>
            </w:tcBorders>
            <w:noWrap w:val="0"/>
            <w:vAlign w:val="center"/>
          </w:tcPr>
          <w:p w14:paraId="490FDB14">
            <w:pPr>
              <w:widowControl/>
              <w:jc w:val="center"/>
              <w:rPr>
                <w:rFonts w:eastAsia="仿宋_GB2312"/>
                <w:kern w:val="0"/>
                <w:sz w:val="20"/>
                <w:szCs w:val="20"/>
              </w:rPr>
            </w:pPr>
            <w:r>
              <w:rPr>
                <w:rFonts w:eastAsia="仿宋_GB2312"/>
                <w:kern w:val="0"/>
                <w:sz w:val="20"/>
                <w:szCs w:val="20"/>
              </w:rPr>
              <w:t>60</w:t>
            </w:r>
          </w:p>
        </w:tc>
        <w:tc>
          <w:tcPr>
            <w:tcW w:w="677" w:type="dxa"/>
            <w:gridSpan w:val="2"/>
            <w:vMerge w:val="restart"/>
            <w:tcBorders>
              <w:top w:val="nil"/>
              <w:left w:val="nil"/>
              <w:bottom w:val="single" w:color="000000" w:sz="4" w:space="0"/>
              <w:right w:val="single" w:color="auto" w:sz="4" w:space="0"/>
            </w:tcBorders>
            <w:noWrap w:val="0"/>
            <w:vAlign w:val="center"/>
          </w:tcPr>
          <w:p w14:paraId="45EC2966">
            <w:pPr>
              <w:widowControl/>
              <w:jc w:val="center"/>
              <w:rPr>
                <w:rFonts w:eastAsia="仿宋_GB2312"/>
                <w:kern w:val="0"/>
                <w:sz w:val="20"/>
                <w:szCs w:val="20"/>
              </w:rPr>
            </w:pPr>
            <w:r>
              <w:rPr>
                <w:rFonts w:eastAsia="仿宋_GB2312"/>
                <w:kern w:val="0"/>
                <w:sz w:val="20"/>
                <w:szCs w:val="20"/>
              </w:rPr>
              <w:t>预算执行</w:t>
            </w:r>
          </w:p>
        </w:tc>
        <w:tc>
          <w:tcPr>
            <w:tcW w:w="416" w:type="dxa"/>
            <w:vMerge w:val="restart"/>
            <w:tcBorders>
              <w:top w:val="nil"/>
              <w:left w:val="nil"/>
              <w:bottom w:val="single" w:color="000000" w:sz="4" w:space="0"/>
              <w:right w:val="single" w:color="auto" w:sz="4" w:space="0"/>
            </w:tcBorders>
            <w:noWrap w:val="0"/>
            <w:vAlign w:val="center"/>
          </w:tcPr>
          <w:p w14:paraId="3282FE15">
            <w:pPr>
              <w:widowControl/>
              <w:jc w:val="center"/>
              <w:rPr>
                <w:rFonts w:eastAsia="仿宋_GB2312"/>
                <w:kern w:val="0"/>
                <w:sz w:val="20"/>
                <w:szCs w:val="20"/>
              </w:rPr>
            </w:pPr>
            <w:r>
              <w:rPr>
                <w:rFonts w:eastAsia="仿宋_GB2312"/>
                <w:kern w:val="0"/>
                <w:sz w:val="20"/>
                <w:szCs w:val="20"/>
              </w:rPr>
              <w:t>20</w:t>
            </w:r>
          </w:p>
        </w:tc>
        <w:tc>
          <w:tcPr>
            <w:tcW w:w="1194" w:type="dxa"/>
            <w:tcBorders>
              <w:top w:val="nil"/>
              <w:left w:val="nil"/>
              <w:bottom w:val="single" w:color="auto" w:sz="4" w:space="0"/>
              <w:right w:val="single" w:color="auto" w:sz="4" w:space="0"/>
            </w:tcBorders>
            <w:noWrap w:val="0"/>
            <w:vAlign w:val="center"/>
          </w:tcPr>
          <w:p w14:paraId="5458125A">
            <w:pPr>
              <w:widowControl/>
              <w:jc w:val="left"/>
              <w:rPr>
                <w:rFonts w:eastAsia="仿宋_GB2312"/>
                <w:kern w:val="0"/>
                <w:sz w:val="20"/>
                <w:szCs w:val="20"/>
              </w:rPr>
            </w:pPr>
            <w:r>
              <w:rPr>
                <w:rFonts w:eastAsia="仿宋_GB2312"/>
                <w:kern w:val="0"/>
                <w:sz w:val="20"/>
                <w:szCs w:val="20"/>
              </w:rPr>
              <w:t>预算完成率</w:t>
            </w:r>
          </w:p>
        </w:tc>
        <w:tc>
          <w:tcPr>
            <w:tcW w:w="478" w:type="dxa"/>
            <w:tcBorders>
              <w:top w:val="nil"/>
              <w:left w:val="nil"/>
              <w:bottom w:val="single" w:color="auto" w:sz="4" w:space="0"/>
              <w:right w:val="single" w:color="auto" w:sz="4" w:space="0"/>
            </w:tcBorders>
            <w:noWrap w:val="0"/>
            <w:vAlign w:val="center"/>
          </w:tcPr>
          <w:p w14:paraId="38FDAC8D">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14:paraId="4F67A633">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计满分，每低于</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14:paraId="0A417CBD">
            <w:pPr>
              <w:widowControl/>
              <w:jc w:val="left"/>
              <w:rPr>
                <w:rFonts w:eastAsia="仿宋_GB2312"/>
                <w:kern w:val="0"/>
                <w:sz w:val="20"/>
                <w:szCs w:val="20"/>
              </w:rPr>
            </w:pPr>
            <w:r>
              <w:rPr>
                <w:rFonts w:eastAsia="仿宋_GB2312"/>
                <w:kern w:val="0"/>
                <w:sz w:val="20"/>
                <w:szCs w:val="20"/>
              </w:rPr>
              <w:t>预算完成率=</w:t>
            </w:r>
            <w:r>
              <w:rPr>
                <w:rFonts w:ascii="仿宋_GB2312" w:hAnsi="仿宋_GB2312" w:eastAsia="仿宋_GB2312"/>
                <w:kern w:val="0"/>
                <w:sz w:val="20"/>
                <w:szCs w:val="20"/>
              </w:rPr>
              <w:t>（上年结转</w:t>
            </w:r>
            <w:r>
              <w:rPr>
                <w:rFonts w:eastAsia="仿宋_GB2312"/>
                <w:kern w:val="0"/>
                <w:sz w:val="20"/>
                <w:szCs w:val="20"/>
              </w:rPr>
              <w:t>+</w:t>
            </w:r>
            <w:r>
              <w:rPr>
                <w:rFonts w:ascii="仿宋_GB2312" w:hAnsi="仿宋_GB2312" w:eastAsia="仿宋_GB2312"/>
                <w:kern w:val="0"/>
                <w:sz w:val="20"/>
                <w:szCs w:val="20"/>
              </w:rPr>
              <w:t>年初预算</w:t>
            </w:r>
            <w:r>
              <w:rPr>
                <w:rFonts w:eastAsia="仿宋_GB2312"/>
                <w:kern w:val="0"/>
                <w:sz w:val="20"/>
                <w:szCs w:val="20"/>
              </w:rPr>
              <w:t>+</w:t>
            </w:r>
            <w:r>
              <w:rPr>
                <w:rFonts w:ascii="仿宋_GB2312" w:hAnsi="仿宋_GB2312" w:eastAsia="仿宋_GB2312"/>
                <w:kern w:val="0"/>
                <w:sz w:val="20"/>
                <w:szCs w:val="20"/>
              </w:rPr>
              <w:t>本年追加预算</w:t>
            </w:r>
            <w:r>
              <w:rPr>
                <w:rFonts w:eastAsia="仿宋_GB2312"/>
                <w:kern w:val="0"/>
                <w:sz w:val="20"/>
                <w:szCs w:val="20"/>
              </w:rPr>
              <w:t>-</w:t>
            </w:r>
            <w:r>
              <w:rPr>
                <w:rFonts w:ascii="仿宋_GB2312" w:hAnsi="仿宋_GB2312" w:eastAsia="仿宋_GB2312"/>
                <w:kern w:val="0"/>
                <w:sz w:val="20"/>
                <w:szCs w:val="20"/>
              </w:rPr>
              <w:t>年末结余）</w:t>
            </w:r>
            <w:r>
              <w:rPr>
                <w:rFonts w:eastAsia="仿宋_GB2312"/>
                <w:kern w:val="0"/>
                <w:sz w:val="20"/>
                <w:szCs w:val="20"/>
              </w:rPr>
              <w:t>/</w:t>
            </w:r>
            <w:r>
              <w:rPr>
                <w:rFonts w:ascii="仿宋_GB2312" w:hAnsi="仿宋_GB2312" w:eastAsia="仿宋_GB2312"/>
                <w:kern w:val="0"/>
                <w:sz w:val="20"/>
                <w:szCs w:val="20"/>
              </w:rPr>
              <w:t>（上年结转</w:t>
            </w:r>
            <w:r>
              <w:rPr>
                <w:rFonts w:eastAsia="仿宋_GB2312"/>
                <w:kern w:val="0"/>
                <w:sz w:val="20"/>
                <w:szCs w:val="20"/>
              </w:rPr>
              <w:t>+</w:t>
            </w:r>
            <w:r>
              <w:rPr>
                <w:rFonts w:ascii="仿宋_GB2312" w:hAnsi="仿宋_GB2312" w:eastAsia="仿宋_GB2312"/>
                <w:kern w:val="0"/>
                <w:sz w:val="20"/>
                <w:szCs w:val="20"/>
              </w:rPr>
              <w:t>年初预算</w:t>
            </w:r>
            <w:r>
              <w:rPr>
                <w:rFonts w:eastAsia="仿宋_GB2312"/>
                <w:kern w:val="0"/>
                <w:sz w:val="20"/>
                <w:szCs w:val="20"/>
              </w:rPr>
              <w:t>+</w:t>
            </w:r>
            <w:r>
              <w:rPr>
                <w:rFonts w:ascii="仿宋_GB2312" w:hAnsi="仿宋_GB2312" w:eastAsia="仿宋_GB2312"/>
                <w:kern w:val="0"/>
                <w:sz w:val="20"/>
                <w:szCs w:val="20"/>
              </w:rPr>
              <w:t>本年追加预算）</w:t>
            </w:r>
            <w:r>
              <w:rPr>
                <w:rFonts w:eastAsia="仿宋_GB2312"/>
                <w:kern w:val="0"/>
                <w:sz w:val="20"/>
                <w:szCs w:val="20"/>
              </w:rPr>
              <w:t>×100%</w:t>
            </w:r>
            <w:r>
              <w:rPr>
                <w:rFonts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noWrap w:val="0"/>
            <w:vAlign w:val="center"/>
          </w:tcPr>
          <w:p w14:paraId="58791F7A">
            <w:pPr>
              <w:widowControl/>
              <w:jc w:val="left"/>
              <w:rPr>
                <w:kern w:val="0"/>
                <w:sz w:val="24"/>
              </w:rPr>
            </w:pPr>
            <w:r>
              <w:rPr>
                <w:rFonts w:hint="eastAsia"/>
                <w:kern w:val="0"/>
                <w:sz w:val="24"/>
                <w:lang w:val="en-US" w:eastAsia="zh-CN"/>
              </w:rPr>
              <w:t>5</w:t>
            </w:r>
            <w:r>
              <w:rPr>
                <w:kern w:val="0"/>
                <w:sz w:val="24"/>
              </w:rPr>
              <w:t>　</w:t>
            </w:r>
          </w:p>
        </w:tc>
      </w:tr>
      <w:tr w14:paraId="787AE930">
        <w:tblPrEx>
          <w:tblCellMar>
            <w:top w:w="0" w:type="dxa"/>
            <w:left w:w="108" w:type="dxa"/>
            <w:bottom w:w="0" w:type="dxa"/>
            <w:right w:w="108" w:type="dxa"/>
          </w:tblCellMar>
        </w:tblPrEx>
        <w:trPr>
          <w:gridAfter w:val="1"/>
          <w:wAfter w:w="8" w:type="dxa"/>
          <w:trHeight w:val="127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50B2F75B">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4DF2E3EA">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14:paraId="68850D1E">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7BCE515D">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14:paraId="36FEF845">
            <w:pPr>
              <w:widowControl/>
              <w:jc w:val="left"/>
              <w:rPr>
                <w:rFonts w:eastAsia="仿宋_GB2312"/>
                <w:kern w:val="0"/>
                <w:sz w:val="20"/>
                <w:szCs w:val="20"/>
              </w:rPr>
            </w:pPr>
            <w:r>
              <w:rPr>
                <w:rFonts w:eastAsia="仿宋_GB2312"/>
                <w:kern w:val="0"/>
                <w:sz w:val="20"/>
                <w:szCs w:val="20"/>
              </w:rPr>
              <w:t>预算控制率</w:t>
            </w:r>
          </w:p>
        </w:tc>
        <w:tc>
          <w:tcPr>
            <w:tcW w:w="478" w:type="dxa"/>
            <w:tcBorders>
              <w:top w:val="nil"/>
              <w:left w:val="nil"/>
              <w:bottom w:val="single" w:color="auto" w:sz="4" w:space="0"/>
              <w:right w:val="single" w:color="auto" w:sz="4" w:space="0"/>
            </w:tcBorders>
            <w:noWrap w:val="0"/>
            <w:vAlign w:val="center"/>
          </w:tcPr>
          <w:p w14:paraId="7C9969B3">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14:paraId="16F48510">
            <w:pPr>
              <w:widowControl/>
              <w:jc w:val="left"/>
              <w:rPr>
                <w:rFonts w:eastAsia="仿宋_GB2312"/>
                <w:kern w:val="0"/>
                <w:sz w:val="20"/>
                <w:szCs w:val="20"/>
              </w:rPr>
            </w:pPr>
            <w:r>
              <w:rPr>
                <w:rFonts w:eastAsia="仿宋_GB2312"/>
                <w:kern w:val="0"/>
                <w:sz w:val="20"/>
                <w:szCs w:val="20"/>
              </w:rPr>
              <w:t>预算控制率=0</w:t>
            </w:r>
            <w:r>
              <w:rPr>
                <w:rFonts w:ascii="仿宋_GB2312" w:hAnsi="仿宋_GB2312" w:eastAsia="仿宋_GB2312"/>
                <w:kern w:val="0"/>
                <w:sz w:val="20"/>
                <w:szCs w:val="20"/>
              </w:rPr>
              <w:t>，计</w:t>
            </w:r>
            <w:r>
              <w:rPr>
                <w:rFonts w:eastAsia="仿宋_GB2312"/>
                <w:kern w:val="0"/>
                <w:sz w:val="20"/>
                <w:szCs w:val="20"/>
              </w:rPr>
              <w:t>5</w:t>
            </w:r>
            <w:r>
              <w:rPr>
                <w:rFonts w:ascii="仿宋_GB2312" w:hAnsi="仿宋_GB2312" w:eastAsia="仿宋_GB2312"/>
                <w:kern w:val="0"/>
                <w:sz w:val="20"/>
                <w:szCs w:val="20"/>
              </w:rPr>
              <w:t>分；</w:t>
            </w:r>
            <w:r>
              <w:rPr>
                <w:rFonts w:eastAsia="仿宋_GB2312"/>
                <w:kern w:val="0"/>
                <w:sz w:val="20"/>
                <w:szCs w:val="20"/>
              </w:rPr>
              <w:t>0-10%</w:t>
            </w:r>
            <w:r>
              <w:rPr>
                <w:rFonts w:ascii="仿宋_GB2312" w:hAnsi="仿宋_GB2312" w:eastAsia="仿宋_GB2312"/>
                <w:kern w:val="0"/>
                <w:sz w:val="20"/>
                <w:szCs w:val="20"/>
              </w:rPr>
              <w:t>（含），计</w:t>
            </w:r>
            <w:r>
              <w:rPr>
                <w:rFonts w:eastAsia="仿宋_GB2312"/>
                <w:kern w:val="0"/>
                <w:sz w:val="20"/>
                <w:szCs w:val="20"/>
              </w:rPr>
              <w:t>4</w:t>
            </w:r>
            <w:r>
              <w:rPr>
                <w:rFonts w:ascii="仿宋_GB2312" w:hAnsi="仿宋_GB2312" w:eastAsia="仿宋_GB2312"/>
                <w:kern w:val="0"/>
                <w:sz w:val="20"/>
                <w:szCs w:val="20"/>
              </w:rPr>
              <w:t>分；</w:t>
            </w:r>
            <w:r>
              <w:rPr>
                <w:rFonts w:eastAsia="仿宋_GB2312"/>
                <w:kern w:val="0"/>
                <w:sz w:val="20"/>
                <w:szCs w:val="20"/>
              </w:rPr>
              <w:t>10-20%</w:t>
            </w:r>
            <w:r>
              <w:rPr>
                <w:rFonts w:ascii="仿宋_GB2312" w:hAnsi="仿宋_GB2312" w:eastAsia="仿宋_GB2312"/>
                <w:kern w:val="0"/>
                <w:sz w:val="20"/>
                <w:szCs w:val="20"/>
              </w:rPr>
              <w:t>（含），计</w:t>
            </w:r>
            <w:r>
              <w:rPr>
                <w:rFonts w:eastAsia="仿宋_GB2312"/>
                <w:kern w:val="0"/>
                <w:sz w:val="20"/>
                <w:szCs w:val="20"/>
              </w:rPr>
              <w:t>3</w:t>
            </w:r>
            <w:r>
              <w:rPr>
                <w:rFonts w:ascii="仿宋_GB2312" w:hAnsi="仿宋_GB2312" w:eastAsia="仿宋_GB2312"/>
                <w:kern w:val="0"/>
                <w:sz w:val="20"/>
                <w:szCs w:val="20"/>
              </w:rPr>
              <w:t>分；</w:t>
            </w:r>
            <w:r>
              <w:rPr>
                <w:rFonts w:eastAsia="仿宋_GB2312"/>
                <w:kern w:val="0"/>
                <w:sz w:val="20"/>
                <w:szCs w:val="20"/>
              </w:rPr>
              <w:t>20-30%</w:t>
            </w:r>
            <w:r>
              <w:rPr>
                <w:rFonts w:ascii="仿宋_GB2312" w:hAnsi="仿宋_GB2312" w:eastAsia="仿宋_GB2312"/>
                <w:kern w:val="0"/>
                <w:sz w:val="20"/>
                <w:szCs w:val="20"/>
              </w:rPr>
              <w:t>（含），计</w:t>
            </w:r>
            <w:r>
              <w:rPr>
                <w:rFonts w:eastAsia="仿宋_GB2312"/>
                <w:kern w:val="0"/>
                <w:sz w:val="20"/>
                <w:szCs w:val="20"/>
              </w:rPr>
              <w:t>2</w:t>
            </w:r>
            <w:r>
              <w:rPr>
                <w:rFonts w:ascii="仿宋_GB2312" w:hAnsi="仿宋_GB2312" w:eastAsia="仿宋_GB2312"/>
                <w:kern w:val="0"/>
                <w:sz w:val="20"/>
                <w:szCs w:val="20"/>
              </w:rPr>
              <w:t>分；大于</w:t>
            </w:r>
            <w:r>
              <w:rPr>
                <w:rFonts w:eastAsia="仿宋_GB2312"/>
                <w:kern w:val="0"/>
                <w:sz w:val="20"/>
                <w:szCs w:val="20"/>
              </w:rPr>
              <w:t>30%</w:t>
            </w:r>
            <w:r>
              <w:rPr>
                <w:rFonts w:ascii="仿宋_GB2312" w:hAnsi="仿宋_GB2312" w:eastAsia="仿宋_GB2312"/>
                <w:kern w:val="0"/>
                <w:sz w:val="20"/>
                <w:szCs w:val="20"/>
              </w:rPr>
              <w:t>不得分。</w:t>
            </w:r>
          </w:p>
        </w:tc>
        <w:tc>
          <w:tcPr>
            <w:tcW w:w="3402" w:type="dxa"/>
            <w:tcBorders>
              <w:top w:val="nil"/>
              <w:left w:val="nil"/>
              <w:bottom w:val="single" w:color="auto" w:sz="4" w:space="0"/>
              <w:right w:val="single" w:color="auto" w:sz="4" w:space="0"/>
            </w:tcBorders>
            <w:noWrap w:val="0"/>
            <w:vAlign w:val="center"/>
          </w:tcPr>
          <w:p w14:paraId="2113DD01">
            <w:pPr>
              <w:widowControl/>
              <w:jc w:val="left"/>
              <w:rPr>
                <w:rFonts w:eastAsia="仿宋_GB2312"/>
                <w:kern w:val="0"/>
                <w:sz w:val="20"/>
                <w:szCs w:val="20"/>
              </w:rPr>
            </w:pPr>
            <w:r>
              <w:rPr>
                <w:rFonts w:eastAsia="仿宋_GB2312"/>
                <w:kern w:val="0"/>
                <w:sz w:val="20"/>
                <w:szCs w:val="20"/>
              </w:rPr>
              <w:t>预算控制率=</w:t>
            </w:r>
            <w:r>
              <w:rPr>
                <w:rFonts w:ascii="仿宋_GB2312" w:hAnsi="仿宋_GB2312" w:eastAsia="仿宋_GB2312"/>
                <w:kern w:val="0"/>
                <w:sz w:val="20"/>
                <w:szCs w:val="20"/>
              </w:rPr>
              <w:t>（本年追加预算</w:t>
            </w:r>
            <w:r>
              <w:rPr>
                <w:rFonts w:eastAsia="仿宋_GB2312"/>
                <w:kern w:val="0"/>
                <w:sz w:val="20"/>
                <w:szCs w:val="20"/>
              </w:rPr>
              <w:t>/</w:t>
            </w:r>
            <w:r>
              <w:rPr>
                <w:rFonts w:ascii="仿宋_GB2312" w:hAnsi="仿宋_GB2312" w:eastAsia="仿宋_GB2312"/>
                <w:kern w:val="0"/>
                <w:sz w:val="20"/>
                <w:szCs w:val="20"/>
              </w:rPr>
              <w:t>年初预算）</w:t>
            </w:r>
            <w:r>
              <w:rPr>
                <w:rFonts w:eastAsia="仿宋_GB2312"/>
                <w:kern w:val="0"/>
                <w:sz w:val="20"/>
                <w:szCs w:val="20"/>
              </w:rPr>
              <w:t>×100%</w:t>
            </w:r>
            <w:r>
              <w:rPr>
                <w:rFonts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noWrap w:val="0"/>
            <w:vAlign w:val="center"/>
          </w:tcPr>
          <w:p w14:paraId="72CF913C">
            <w:pPr>
              <w:widowControl/>
              <w:jc w:val="left"/>
              <w:rPr>
                <w:kern w:val="0"/>
                <w:sz w:val="24"/>
              </w:rPr>
            </w:pPr>
            <w:r>
              <w:rPr>
                <w:rFonts w:hint="eastAsia"/>
                <w:kern w:val="0"/>
                <w:sz w:val="24"/>
                <w:lang w:val="en-US" w:eastAsia="zh-CN"/>
              </w:rPr>
              <w:t>5</w:t>
            </w:r>
            <w:r>
              <w:rPr>
                <w:kern w:val="0"/>
                <w:sz w:val="24"/>
              </w:rPr>
              <w:t>　</w:t>
            </w:r>
          </w:p>
        </w:tc>
      </w:tr>
      <w:tr w14:paraId="7B3EEC19">
        <w:tblPrEx>
          <w:tblCellMar>
            <w:top w:w="0" w:type="dxa"/>
            <w:left w:w="108" w:type="dxa"/>
            <w:bottom w:w="0" w:type="dxa"/>
            <w:right w:w="108" w:type="dxa"/>
          </w:tblCellMar>
        </w:tblPrEx>
        <w:trPr>
          <w:gridAfter w:val="1"/>
          <w:wAfter w:w="8" w:type="dxa"/>
          <w:trHeight w:val="1325"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59A1C6AF">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4D8010F0">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14:paraId="18B66E87">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53F7F5FF">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14:paraId="682CC3E6">
            <w:pPr>
              <w:widowControl/>
              <w:jc w:val="left"/>
              <w:rPr>
                <w:rFonts w:eastAsia="仿宋_GB2312"/>
                <w:kern w:val="0"/>
                <w:sz w:val="20"/>
                <w:szCs w:val="20"/>
              </w:rPr>
            </w:pPr>
            <w:r>
              <w:rPr>
                <w:rFonts w:eastAsia="仿宋_GB2312"/>
                <w:kern w:val="0"/>
                <w:sz w:val="20"/>
                <w:szCs w:val="20"/>
              </w:rPr>
              <w:t>新建楼堂馆所面积控制率</w:t>
            </w:r>
          </w:p>
        </w:tc>
        <w:tc>
          <w:tcPr>
            <w:tcW w:w="478" w:type="dxa"/>
            <w:tcBorders>
              <w:top w:val="nil"/>
              <w:left w:val="nil"/>
              <w:bottom w:val="single" w:color="auto" w:sz="4" w:space="0"/>
              <w:right w:val="single" w:color="auto" w:sz="4" w:space="0"/>
            </w:tcBorders>
            <w:noWrap w:val="0"/>
            <w:vAlign w:val="center"/>
          </w:tcPr>
          <w:p w14:paraId="66A7F0C3">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14:paraId="7E64EFF9">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分，扣完为止。没有楼堂馆所项目的部门按满分计算。</w:t>
            </w:r>
          </w:p>
        </w:tc>
        <w:tc>
          <w:tcPr>
            <w:tcW w:w="3402" w:type="dxa"/>
            <w:tcBorders>
              <w:top w:val="nil"/>
              <w:left w:val="nil"/>
              <w:bottom w:val="single" w:color="auto" w:sz="4" w:space="0"/>
              <w:right w:val="single" w:color="auto" w:sz="4" w:space="0"/>
            </w:tcBorders>
            <w:noWrap w:val="0"/>
            <w:vAlign w:val="center"/>
          </w:tcPr>
          <w:p w14:paraId="2392EC23">
            <w:pPr>
              <w:widowControl/>
              <w:jc w:val="left"/>
              <w:rPr>
                <w:rFonts w:hint="eastAsia" w:ascii="仿宋_GB2312" w:hAnsi="仿宋_GB2312" w:eastAsia="仿宋_GB2312"/>
                <w:kern w:val="0"/>
                <w:sz w:val="20"/>
                <w:szCs w:val="20"/>
                <w:lang w:eastAsia="zh-CN"/>
              </w:rPr>
            </w:pPr>
            <w:r>
              <w:rPr>
                <w:rFonts w:eastAsia="仿宋_GB2312"/>
                <w:kern w:val="0"/>
                <w:sz w:val="20"/>
                <w:szCs w:val="20"/>
              </w:rPr>
              <w:t>楼堂馆所面积控制率=</w:t>
            </w:r>
            <w:r>
              <w:rPr>
                <w:rFonts w:ascii="仿宋_GB2312" w:hAnsi="仿宋_GB2312" w:eastAsia="仿宋_GB2312"/>
                <w:kern w:val="0"/>
                <w:sz w:val="20"/>
                <w:szCs w:val="20"/>
              </w:rPr>
              <w:t>实际建设面积</w:t>
            </w:r>
            <w:r>
              <w:rPr>
                <w:rFonts w:eastAsia="仿宋_GB2312"/>
                <w:kern w:val="0"/>
                <w:sz w:val="20"/>
                <w:szCs w:val="20"/>
              </w:rPr>
              <w:t>/</w:t>
            </w:r>
            <w:r>
              <w:rPr>
                <w:rFonts w:ascii="仿宋_GB2312" w:hAnsi="仿宋_GB2312" w:eastAsia="仿宋_GB2312"/>
                <w:kern w:val="0"/>
                <w:sz w:val="20"/>
                <w:szCs w:val="20"/>
              </w:rPr>
              <w:t>批准建设面积</w:t>
            </w:r>
            <w:r>
              <w:rPr>
                <w:rFonts w:eastAsia="仿宋_GB2312"/>
                <w:kern w:val="0"/>
                <w:sz w:val="20"/>
                <w:szCs w:val="20"/>
              </w:rPr>
              <w:t xml:space="preserve">×100% </w:t>
            </w:r>
            <w:r>
              <w:rPr>
                <w:rFonts w:ascii="仿宋_GB2312" w:hAnsi="仿宋_GB2312" w:eastAsia="仿宋_GB2312"/>
                <w:kern w:val="0"/>
                <w:sz w:val="20"/>
                <w:szCs w:val="20"/>
              </w:rPr>
              <w:t>。</w:t>
            </w:r>
          </w:p>
          <w:p w14:paraId="00D04DE8">
            <w:pPr>
              <w:widowControl/>
              <w:jc w:val="left"/>
              <w:rPr>
                <w:rFonts w:eastAsia="仿宋_GB2312"/>
                <w:kern w:val="0"/>
                <w:sz w:val="20"/>
                <w:szCs w:val="20"/>
              </w:rPr>
            </w:pPr>
            <w:r>
              <w:rPr>
                <w:rFonts w:eastAsia="仿宋_GB2312"/>
                <w:kern w:val="0"/>
                <w:sz w:val="20"/>
                <w:szCs w:val="20"/>
              </w:rPr>
              <w:t>该指标以</w:t>
            </w:r>
            <w:r>
              <w:rPr>
                <w:rFonts w:hint="eastAsia" w:eastAsia="仿宋_GB2312"/>
                <w:kern w:val="0"/>
                <w:sz w:val="20"/>
                <w:szCs w:val="20"/>
                <w:lang w:eastAsia="zh-CN"/>
              </w:rPr>
              <w:t>2023</w:t>
            </w:r>
            <w:r>
              <w:rPr>
                <w:rFonts w:eastAsia="仿宋_GB2312"/>
                <w:kern w:val="0"/>
                <w:sz w:val="20"/>
                <w:szCs w:val="20"/>
              </w:rPr>
              <w:t>年完工的新建楼堂馆所为评价内容。</w:t>
            </w:r>
          </w:p>
        </w:tc>
        <w:tc>
          <w:tcPr>
            <w:tcW w:w="522" w:type="dxa"/>
            <w:tcBorders>
              <w:top w:val="nil"/>
              <w:left w:val="nil"/>
              <w:bottom w:val="single" w:color="auto" w:sz="4" w:space="0"/>
              <w:right w:val="single" w:color="auto" w:sz="4" w:space="0"/>
            </w:tcBorders>
            <w:noWrap w:val="0"/>
            <w:vAlign w:val="center"/>
          </w:tcPr>
          <w:p w14:paraId="5975C8CC">
            <w:pPr>
              <w:widowControl/>
              <w:jc w:val="left"/>
              <w:rPr>
                <w:kern w:val="0"/>
                <w:sz w:val="24"/>
              </w:rPr>
            </w:pPr>
            <w:r>
              <w:rPr>
                <w:rFonts w:hint="eastAsia"/>
                <w:kern w:val="0"/>
                <w:sz w:val="24"/>
                <w:lang w:val="en-US" w:eastAsia="zh-CN"/>
              </w:rPr>
              <w:t>5</w:t>
            </w:r>
            <w:r>
              <w:rPr>
                <w:kern w:val="0"/>
                <w:sz w:val="24"/>
              </w:rPr>
              <w:t>　</w:t>
            </w:r>
          </w:p>
        </w:tc>
      </w:tr>
      <w:tr w14:paraId="7B8C5941">
        <w:tblPrEx>
          <w:tblCellMar>
            <w:top w:w="0" w:type="dxa"/>
            <w:left w:w="108" w:type="dxa"/>
            <w:bottom w:w="0" w:type="dxa"/>
            <w:right w:w="108" w:type="dxa"/>
          </w:tblCellMar>
        </w:tblPrEx>
        <w:trPr>
          <w:gridAfter w:val="1"/>
          <w:wAfter w:w="8" w:type="dxa"/>
          <w:trHeight w:val="154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69AA6435">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5E9F25CE">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14:paraId="59CE23B2">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0B5B3150">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14:paraId="00BD2247">
            <w:pPr>
              <w:widowControl/>
              <w:jc w:val="left"/>
              <w:rPr>
                <w:rFonts w:eastAsia="仿宋_GB2312"/>
                <w:kern w:val="0"/>
                <w:sz w:val="20"/>
                <w:szCs w:val="20"/>
              </w:rPr>
            </w:pPr>
            <w:r>
              <w:rPr>
                <w:rFonts w:eastAsia="仿宋_GB2312"/>
                <w:kern w:val="0"/>
                <w:sz w:val="20"/>
                <w:szCs w:val="20"/>
              </w:rPr>
              <w:t>新建楼堂馆所投资概算控制率</w:t>
            </w:r>
          </w:p>
        </w:tc>
        <w:tc>
          <w:tcPr>
            <w:tcW w:w="478" w:type="dxa"/>
            <w:tcBorders>
              <w:top w:val="nil"/>
              <w:left w:val="nil"/>
              <w:bottom w:val="single" w:color="auto" w:sz="4" w:space="0"/>
              <w:right w:val="single" w:color="auto" w:sz="4" w:space="0"/>
            </w:tcBorders>
            <w:noWrap w:val="0"/>
            <w:vAlign w:val="center"/>
          </w:tcPr>
          <w:p w14:paraId="4306D4B5">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14:paraId="4E630690">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14:paraId="2C5243BB">
            <w:pPr>
              <w:widowControl/>
              <w:jc w:val="left"/>
              <w:rPr>
                <w:rFonts w:hint="eastAsia" w:ascii="仿宋_GB2312" w:hAnsi="仿宋_GB2312" w:eastAsia="仿宋_GB2312"/>
                <w:kern w:val="0"/>
                <w:sz w:val="20"/>
                <w:szCs w:val="20"/>
                <w:lang w:eastAsia="zh-CN"/>
              </w:rPr>
            </w:pPr>
            <w:r>
              <w:rPr>
                <w:rFonts w:eastAsia="仿宋_GB2312"/>
                <w:kern w:val="0"/>
                <w:sz w:val="20"/>
                <w:szCs w:val="20"/>
              </w:rPr>
              <w:t>楼堂馆所投资预算控制率=</w:t>
            </w:r>
            <w:r>
              <w:rPr>
                <w:rFonts w:ascii="仿宋_GB2312" w:hAnsi="仿宋_GB2312" w:eastAsia="仿宋_GB2312"/>
                <w:kern w:val="0"/>
                <w:sz w:val="20"/>
                <w:szCs w:val="20"/>
              </w:rPr>
              <w:t>实际投资金额</w:t>
            </w:r>
            <w:r>
              <w:rPr>
                <w:rFonts w:eastAsia="仿宋_GB2312"/>
                <w:kern w:val="0"/>
                <w:sz w:val="20"/>
                <w:szCs w:val="20"/>
              </w:rPr>
              <w:t>/</w:t>
            </w:r>
            <w:r>
              <w:rPr>
                <w:rFonts w:ascii="仿宋_GB2312" w:hAnsi="仿宋_GB2312" w:eastAsia="仿宋_GB2312"/>
                <w:kern w:val="0"/>
                <w:sz w:val="20"/>
                <w:szCs w:val="20"/>
              </w:rPr>
              <w:t>批准投资金额</w:t>
            </w:r>
            <w:r>
              <w:rPr>
                <w:rFonts w:eastAsia="仿宋_GB2312"/>
                <w:kern w:val="0"/>
                <w:sz w:val="20"/>
                <w:szCs w:val="20"/>
              </w:rPr>
              <w:t xml:space="preserve">×100% </w:t>
            </w:r>
            <w:r>
              <w:rPr>
                <w:rFonts w:ascii="仿宋_GB2312" w:hAnsi="仿宋_GB2312" w:eastAsia="仿宋_GB2312"/>
                <w:kern w:val="0"/>
                <w:sz w:val="20"/>
                <w:szCs w:val="20"/>
              </w:rPr>
              <w:t>。</w:t>
            </w:r>
          </w:p>
          <w:p w14:paraId="4956A090">
            <w:pPr>
              <w:widowControl/>
              <w:jc w:val="left"/>
              <w:rPr>
                <w:rFonts w:eastAsia="仿宋_GB2312"/>
                <w:kern w:val="0"/>
                <w:sz w:val="20"/>
                <w:szCs w:val="20"/>
              </w:rPr>
            </w:pPr>
            <w:r>
              <w:rPr>
                <w:rFonts w:eastAsia="仿宋_GB2312"/>
                <w:kern w:val="0"/>
                <w:sz w:val="20"/>
                <w:szCs w:val="20"/>
              </w:rPr>
              <w:t>该指标以</w:t>
            </w:r>
            <w:r>
              <w:rPr>
                <w:rFonts w:hint="eastAsia" w:eastAsia="仿宋_GB2312"/>
                <w:kern w:val="0"/>
                <w:sz w:val="20"/>
                <w:szCs w:val="20"/>
                <w:lang w:eastAsia="zh-CN"/>
              </w:rPr>
              <w:t>2023</w:t>
            </w:r>
            <w:r>
              <w:rPr>
                <w:rFonts w:eastAsia="仿宋_GB2312"/>
                <w:kern w:val="0"/>
                <w:sz w:val="20"/>
                <w:szCs w:val="20"/>
              </w:rPr>
              <w:t>年完工的新建楼堂馆所为评价内容。</w:t>
            </w:r>
          </w:p>
        </w:tc>
        <w:tc>
          <w:tcPr>
            <w:tcW w:w="522" w:type="dxa"/>
            <w:tcBorders>
              <w:top w:val="nil"/>
              <w:left w:val="nil"/>
              <w:bottom w:val="single" w:color="auto" w:sz="4" w:space="0"/>
              <w:right w:val="single" w:color="auto" w:sz="4" w:space="0"/>
            </w:tcBorders>
            <w:noWrap w:val="0"/>
            <w:vAlign w:val="center"/>
          </w:tcPr>
          <w:p w14:paraId="07523CCC">
            <w:pPr>
              <w:widowControl/>
              <w:jc w:val="left"/>
              <w:rPr>
                <w:kern w:val="0"/>
                <w:sz w:val="24"/>
              </w:rPr>
            </w:pPr>
            <w:r>
              <w:rPr>
                <w:rFonts w:hint="eastAsia"/>
                <w:kern w:val="0"/>
                <w:sz w:val="24"/>
                <w:lang w:val="en-US" w:eastAsia="zh-CN"/>
              </w:rPr>
              <w:t>5</w:t>
            </w:r>
            <w:r>
              <w:rPr>
                <w:kern w:val="0"/>
                <w:sz w:val="24"/>
              </w:rPr>
              <w:t>　</w:t>
            </w:r>
          </w:p>
        </w:tc>
      </w:tr>
      <w:tr w14:paraId="0001F203">
        <w:tblPrEx>
          <w:tblCellMar>
            <w:top w:w="0" w:type="dxa"/>
            <w:left w:w="108" w:type="dxa"/>
            <w:bottom w:w="0" w:type="dxa"/>
            <w:right w:w="108" w:type="dxa"/>
          </w:tblCellMar>
        </w:tblPrEx>
        <w:trPr>
          <w:gridAfter w:val="1"/>
          <w:wAfter w:w="8" w:type="dxa"/>
          <w:trHeight w:val="1562"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175C5887">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55923C46">
            <w:pPr>
              <w:widowControl/>
              <w:jc w:val="left"/>
              <w:rPr>
                <w:rFonts w:eastAsia="仿宋_GB2312"/>
                <w:kern w:val="0"/>
                <w:sz w:val="20"/>
                <w:szCs w:val="20"/>
              </w:rPr>
            </w:pPr>
          </w:p>
        </w:tc>
        <w:tc>
          <w:tcPr>
            <w:tcW w:w="677" w:type="dxa"/>
            <w:gridSpan w:val="2"/>
            <w:vMerge w:val="restart"/>
            <w:tcBorders>
              <w:top w:val="nil"/>
              <w:left w:val="nil"/>
              <w:bottom w:val="single" w:color="000000" w:sz="4" w:space="0"/>
              <w:right w:val="single" w:color="auto" w:sz="4" w:space="0"/>
            </w:tcBorders>
            <w:noWrap w:val="0"/>
            <w:vAlign w:val="center"/>
          </w:tcPr>
          <w:p w14:paraId="1A8DD566">
            <w:pPr>
              <w:widowControl/>
              <w:jc w:val="center"/>
              <w:rPr>
                <w:rFonts w:eastAsia="仿宋_GB2312"/>
                <w:kern w:val="0"/>
                <w:sz w:val="20"/>
                <w:szCs w:val="20"/>
              </w:rPr>
            </w:pPr>
            <w:r>
              <w:rPr>
                <w:rFonts w:eastAsia="仿宋_GB2312"/>
                <w:kern w:val="0"/>
                <w:sz w:val="20"/>
                <w:szCs w:val="20"/>
              </w:rPr>
              <w:t>预算管理</w:t>
            </w:r>
          </w:p>
        </w:tc>
        <w:tc>
          <w:tcPr>
            <w:tcW w:w="416" w:type="dxa"/>
            <w:vMerge w:val="restart"/>
            <w:tcBorders>
              <w:top w:val="nil"/>
              <w:left w:val="nil"/>
              <w:bottom w:val="single" w:color="000000" w:sz="4" w:space="0"/>
              <w:right w:val="single" w:color="auto" w:sz="4" w:space="0"/>
            </w:tcBorders>
            <w:noWrap w:val="0"/>
            <w:vAlign w:val="center"/>
          </w:tcPr>
          <w:p w14:paraId="34EA9F44">
            <w:pPr>
              <w:widowControl/>
              <w:jc w:val="center"/>
              <w:rPr>
                <w:rFonts w:eastAsia="仿宋_GB2312"/>
                <w:kern w:val="0"/>
                <w:sz w:val="20"/>
                <w:szCs w:val="20"/>
              </w:rPr>
            </w:pPr>
            <w:r>
              <w:rPr>
                <w:rFonts w:eastAsia="仿宋_GB2312"/>
                <w:kern w:val="0"/>
                <w:sz w:val="20"/>
                <w:szCs w:val="20"/>
              </w:rPr>
              <w:t>40</w:t>
            </w:r>
          </w:p>
        </w:tc>
        <w:tc>
          <w:tcPr>
            <w:tcW w:w="1194" w:type="dxa"/>
            <w:tcBorders>
              <w:top w:val="nil"/>
              <w:left w:val="nil"/>
              <w:bottom w:val="single" w:color="auto" w:sz="4" w:space="0"/>
              <w:right w:val="single" w:color="auto" w:sz="4" w:space="0"/>
            </w:tcBorders>
            <w:noWrap w:val="0"/>
            <w:vAlign w:val="center"/>
          </w:tcPr>
          <w:p w14:paraId="6AEFD549">
            <w:pPr>
              <w:widowControl/>
              <w:jc w:val="left"/>
              <w:rPr>
                <w:rFonts w:eastAsia="仿宋_GB2312"/>
                <w:kern w:val="0"/>
                <w:sz w:val="20"/>
                <w:szCs w:val="20"/>
              </w:rPr>
            </w:pPr>
            <w:r>
              <w:rPr>
                <w:rFonts w:eastAsia="仿宋_GB2312"/>
                <w:kern w:val="0"/>
                <w:sz w:val="20"/>
                <w:szCs w:val="20"/>
              </w:rPr>
              <w:t>公用经费控制率</w:t>
            </w:r>
          </w:p>
        </w:tc>
        <w:tc>
          <w:tcPr>
            <w:tcW w:w="478" w:type="dxa"/>
            <w:tcBorders>
              <w:top w:val="nil"/>
              <w:left w:val="nil"/>
              <w:bottom w:val="single" w:color="auto" w:sz="4" w:space="0"/>
              <w:right w:val="single" w:color="auto" w:sz="4" w:space="0"/>
            </w:tcBorders>
            <w:noWrap w:val="0"/>
            <w:vAlign w:val="center"/>
          </w:tcPr>
          <w:p w14:paraId="6AFFAEE6">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noWrap w:val="0"/>
            <w:vAlign w:val="center"/>
          </w:tcPr>
          <w:p w14:paraId="2EB1EF15">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1%</w:t>
            </w:r>
            <w:r>
              <w:rPr>
                <w:rFonts w:ascii="仿宋_GB2312" w:hAnsi="仿宋_GB2312" w:eastAsia="仿宋_GB2312"/>
                <w:kern w:val="0"/>
                <w:sz w:val="20"/>
                <w:szCs w:val="20"/>
              </w:rPr>
              <w:t>扣</w:t>
            </w:r>
            <w:r>
              <w:rPr>
                <w:rFonts w:eastAsia="仿宋_GB2312"/>
                <w:kern w:val="0"/>
                <w:sz w:val="20"/>
                <w:szCs w:val="20"/>
              </w:rPr>
              <w:t>1</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14:paraId="1868A20B">
            <w:pPr>
              <w:widowControl/>
              <w:jc w:val="left"/>
              <w:rPr>
                <w:rFonts w:hint="eastAsia" w:ascii="仿宋_GB2312" w:hAnsi="仿宋_GB2312" w:eastAsia="仿宋_GB2312"/>
                <w:kern w:val="0"/>
                <w:sz w:val="20"/>
                <w:szCs w:val="20"/>
                <w:lang w:eastAsia="zh-CN"/>
              </w:rPr>
            </w:pPr>
            <w:r>
              <w:rPr>
                <w:rFonts w:eastAsia="仿宋_GB2312"/>
                <w:kern w:val="0"/>
                <w:sz w:val="20"/>
                <w:szCs w:val="20"/>
              </w:rPr>
              <w:t>公用经费控制率=</w:t>
            </w:r>
            <w:r>
              <w:rPr>
                <w:rFonts w:ascii="仿宋_GB2312" w:hAnsi="仿宋_GB2312" w:eastAsia="仿宋_GB2312"/>
                <w:kern w:val="0"/>
                <w:sz w:val="20"/>
                <w:szCs w:val="20"/>
              </w:rPr>
              <w:t>（实际支出公用经费总额</w:t>
            </w:r>
            <w:r>
              <w:rPr>
                <w:rFonts w:eastAsia="仿宋_GB2312"/>
                <w:kern w:val="0"/>
                <w:sz w:val="20"/>
                <w:szCs w:val="20"/>
              </w:rPr>
              <w:t>/</w:t>
            </w:r>
            <w:r>
              <w:rPr>
                <w:rFonts w:ascii="仿宋_GB2312" w:hAnsi="仿宋_GB2312" w:eastAsia="仿宋_GB2312"/>
                <w:kern w:val="0"/>
                <w:sz w:val="20"/>
                <w:szCs w:val="20"/>
              </w:rPr>
              <w:t>预算安排公用经费总额）</w:t>
            </w:r>
            <w:r>
              <w:rPr>
                <w:rFonts w:eastAsia="仿宋_GB2312"/>
                <w:kern w:val="0"/>
                <w:sz w:val="20"/>
                <w:szCs w:val="20"/>
              </w:rPr>
              <w:t>×100%</w:t>
            </w:r>
            <w:r>
              <w:rPr>
                <w:rFonts w:ascii="仿宋_GB2312" w:hAnsi="仿宋_GB2312" w:eastAsia="仿宋_GB2312"/>
                <w:kern w:val="0"/>
                <w:sz w:val="20"/>
                <w:szCs w:val="20"/>
              </w:rPr>
              <w:t>。</w:t>
            </w:r>
          </w:p>
          <w:p w14:paraId="5D6AB79C">
            <w:pPr>
              <w:widowControl/>
              <w:jc w:val="left"/>
              <w:rPr>
                <w:rFonts w:eastAsia="仿宋_GB2312"/>
                <w:kern w:val="0"/>
                <w:sz w:val="20"/>
                <w:szCs w:val="20"/>
              </w:rPr>
            </w:pPr>
            <w:r>
              <w:rPr>
                <w:rFonts w:eastAsia="仿宋_GB2312"/>
                <w:kern w:val="0"/>
                <w:sz w:val="20"/>
                <w:szCs w:val="20"/>
              </w:rPr>
              <w:t>公用经费支出是指部门基本支出中的一般商品和服务支出。</w:t>
            </w:r>
          </w:p>
        </w:tc>
        <w:tc>
          <w:tcPr>
            <w:tcW w:w="522" w:type="dxa"/>
            <w:tcBorders>
              <w:top w:val="nil"/>
              <w:left w:val="nil"/>
              <w:bottom w:val="single" w:color="auto" w:sz="4" w:space="0"/>
              <w:right w:val="single" w:color="auto" w:sz="4" w:space="0"/>
            </w:tcBorders>
            <w:noWrap w:val="0"/>
            <w:vAlign w:val="center"/>
          </w:tcPr>
          <w:p w14:paraId="190ADCFE">
            <w:pPr>
              <w:widowControl/>
              <w:jc w:val="left"/>
              <w:rPr>
                <w:kern w:val="0"/>
                <w:sz w:val="24"/>
              </w:rPr>
            </w:pPr>
            <w:r>
              <w:rPr>
                <w:rFonts w:hint="eastAsia"/>
                <w:kern w:val="0"/>
                <w:sz w:val="24"/>
                <w:lang w:val="en-US" w:eastAsia="zh-CN"/>
              </w:rPr>
              <w:t>5</w:t>
            </w:r>
            <w:r>
              <w:rPr>
                <w:kern w:val="0"/>
                <w:sz w:val="24"/>
              </w:rPr>
              <w:t>　</w:t>
            </w:r>
          </w:p>
        </w:tc>
      </w:tr>
      <w:tr w14:paraId="27A6CF56">
        <w:tblPrEx>
          <w:tblCellMar>
            <w:top w:w="0" w:type="dxa"/>
            <w:left w:w="108" w:type="dxa"/>
            <w:bottom w:w="0" w:type="dxa"/>
            <w:right w:w="108" w:type="dxa"/>
          </w:tblCellMar>
        </w:tblPrEx>
        <w:trPr>
          <w:gridAfter w:val="1"/>
          <w:wAfter w:w="8" w:type="dxa"/>
          <w:trHeight w:val="107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15C09337">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28B1E4C4">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14:paraId="3AF6E639">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5B0EA4A6">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14:paraId="121EE917">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控制率</w:t>
            </w:r>
          </w:p>
        </w:tc>
        <w:tc>
          <w:tcPr>
            <w:tcW w:w="478" w:type="dxa"/>
            <w:tcBorders>
              <w:top w:val="nil"/>
              <w:left w:val="nil"/>
              <w:bottom w:val="single" w:color="auto" w:sz="4" w:space="0"/>
              <w:right w:val="single" w:color="auto" w:sz="4" w:space="0"/>
            </w:tcBorders>
            <w:noWrap w:val="0"/>
            <w:vAlign w:val="center"/>
          </w:tcPr>
          <w:p w14:paraId="407D6834">
            <w:pPr>
              <w:widowControl/>
              <w:jc w:val="center"/>
              <w:rPr>
                <w:rFonts w:eastAsia="仿宋_GB2312"/>
                <w:kern w:val="0"/>
                <w:sz w:val="20"/>
                <w:szCs w:val="20"/>
              </w:rPr>
            </w:pPr>
            <w:r>
              <w:rPr>
                <w:rFonts w:eastAsia="仿宋_GB2312"/>
                <w:kern w:val="0"/>
                <w:sz w:val="20"/>
                <w:szCs w:val="20"/>
              </w:rPr>
              <w:t>7</w:t>
            </w:r>
          </w:p>
        </w:tc>
        <w:tc>
          <w:tcPr>
            <w:tcW w:w="2977" w:type="dxa"/>
            <w:tcBorders>
              <w:top w:val="nil"/>
              <w:left w:val="nil"/>
              <w:bottom w:val="single" w:color="auto" w:sz="4" w:space="0"/>
              <w:right w:val="single" w:color="auto" w:sz="4" w:space="0"/>
            </w:tcBorders>
            <w:noWrap w:val="0"/>
            <w:vAlign w:val="center"/>
          </w:tcPr>
          <w:p w14:paraId="6A278F3E">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1%</w:t>
            </w:r>
            <w:r>
              <w:rPr>
                <w:rFonts w:ascii="仿宋_GB2312" w:hAnsi="仿宋_GB2312" w:eastAsia="仿宋_GB2312"/>
                <w:kern w:val="0"/>
                <w:sz w:val="20"/>
                <w:szCs w:val="20"/>
              </w:rPr>
              <w:t>扣</w:t>
            </w:r>
            <w:r>
              <w:rPr>
                <w:rFonts w:eastAsia="仿宋_GB2312"/>
                <w:kern w:val="0"/>
                <w:sz w:val="20"/>
                <w:szCs w:val="20"/>
              </w:rPr>
              <w:t>1</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14:paraId="504F9EC0">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控制率</w:t>
            </w:r>
            <w:r>
              <w:rPr>
                <w:rFonts w:eastAsia="仿宋_GB2312"/>
                <w:kern w:val="0"/>
                <w:sz w:val="20"/>
                <w:szCs w:val="20"/>
              </w:rPr>
              <w:t>-</w:t>
            </w:r>
            <w:r>
              <w:rPr>
                <w:rFonts w:ascii="仿宋_GB2312" w:hAnsi="仿宋_GB2312" w:eastAsia="仿宋_GB2312"/>
                <w:kern w:val="0"/>
                <w:sz w:val="20"/>
                <w:szCs w:val="20"/>
              </w:rPr>
              <w:t>（</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实际支出数</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预算安排数）</w:t>
            </w:r>
            <w:r>
              <w:rPr>
                <w:rFonts w:eastAsia="仿宋_GB2312"/>
                <w:kern w:val="0"/>
                <w:sz w:val="20"/>
                <w:szCs w:val="20"/>
              </w:rPr>
              <w:t>×100%</w:t>
            </w:r>
            <w:r>
              <w:rPr>
                <w:rFonts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noWrap w:val="0"/>
            <w:vAlign w:val="center"/>
          </w:tcPr>
          <w:p w14:paraId="5C85F9EF">
            <w:pPr>
              <w:widowControl/>
              <w:jc w:val="left"/>
              <w:rPr>
                <w:kern w:val="0"/>
                <w:sz w:val="24"/>
              </w:rPr>
            </w:pPr>
            <w:r>
              <w:rPr>
                <w:rFonts w:hint="eastAsia"/>
                <w:kern w:val="0"/>
                <w:sz w:val="24"/>
                <w:lang w:val="en-US" w:eastAsia="zh-CN"/>
              </w:rPr>
              <w:t>5</w:t>
            </w:r>
            <w:r>
              <w:rPr>
                <w:kern w:val="0"/>
                <w:sz w:val="24"/>
              </w:rPr>
              <w:t>　</w:t>
            </w:r>
          </w:p>
        </w:tc>
      </w:tr>
      <w:tr w14:paraId="3AA0F3D7">
        <w:tblPrEx>
          <w:tblCellMar>
            <w:top w:w="0" w:type="dxa"/>
            <w:left w:w="108" w:type="dxa"/>
            <w:bottom w:w="0" w:type="dxa"/>
            <w:right w:w="108" w:type="dxa"/>
          </w:tblCellMar>
        </w:tblPrEx>
        <w:trPr>
          <w:gridAfter w:val="1"/>
          <w:wAfter w:w="8" w:type="dxa"/>
          <w:trHeight w:val="918"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4C07B51C">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31AC063C">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14:paraId="44D691E7">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5E16817F">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14:paraId="4E1BDC43">
            <w:pPr>
              <w:widowControl/>
              <w:jc w:val="left"/>
              <w:rPr>
                <w:rFonts w:eastAsia="仿宋_GB2312"/>
                <w:kern w:val="0"/>
                <w:sz w:val="20"/>
                <w:szCs w:val="20"/>
              </w:rPr>
            </w:pPr>
            <w:r>
              <w:rPr>
                <w:rFonts w:eastAsia="仿宋_GB2312"/>
                <w:kern w:val="0"/>
                <w:sz w:val="20"/>
                <w:szCs w:val="20"/>
              </w:rPr>
              <w:t>政府采购执行率</w:t>
            </w:r>
          </w:p>
        </w:tc>
        <w:tc>
          <w:tcPr>
            <w:tcW w:w="478" w:type="dxa"/>
            <w:tcBorders>
              <w:top w:val="nil"/>
              <w:left w:val="nil"/>
              <w:bottom w:val="single" w:color="auto" w:sz="4" w:space="0"/>
              <w:right w:val="single" w:color="auto" w:sz="4" w:space="0"/>
            </w:tcBorders>
            <w:noWrap w:val="0"/>
            <w:vAlign w:val="center"/>
          </w:tcPr>
          <w:p w14:paraId="3834B346">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single" w:color="auto" w:sz="4" w:space="0"/>
              <w:right w:val="single" w:color="auto" w:sz="4" w:space="0"/>
            </w:tcBorders>
            <w:noWrap w:val="0"/>
            <w:vAlign w:val="center"/>
          </w:tcPr>
          <w:p w14:paraId="6D4E34C4">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计满分，每超过（降低）</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14:paraId="58344712">
            <w:pPr>
              <w:widowControl/>
              <w:jc w:val="left"/>
              <w:rPr>
                <w:rFonts w:eastAsia="仿宋_GB2312"/>
                <w:kern w:val="0"/>
                <w:sz w:val="20"/>
                <w:szCs w:val="20"/>
              </w:rPr>
            </w:pPr>
            <w:r>
              <w:rPr>
                <w:rFonts w:eastAsia="仿宋_GB2312"/>
                <w:kern w:val="0"/>
                <w:sz w:val="20"/>
                <w:szCs w:val="20"/>
              </w:rPr>
              <w:t>政府采购执行率=</w:t>
            </w:r>
            <w:r>
              <w:rPr>
                <w:rFonts w:ascii="仿宋_GB2312" w:hAnsi="仿宋_GB2312" w:eastAsia="仿宋_GB2312"/>
                <w:kern w:val="0"/>
                <w:sz w:val="20"/>
                <w:szCs w:val="20"/>
              </w:rPr>
              <w:t>（实际政府采购金额</w:t>
            </w:r>
            <w:r>
              <w:rPr>
                <w:rFonts w:eastAsia="仿宋_GB2312"/>
                <w:kern w:val="0"/>
                <w:sz w:val="20"/>
                <w:szCs w:val="20"/>
              </w:rPr>
              <w:t>/</w:t>
            </w:r>
            <w:r>
              <w:rPr>
                <w:rFonts w:ascii="仿宋_GB2312" w:hAnsi="仿宋_GB2312" w:eastAsia="仿宋_GB2312"/>
                <w:kern w:val="0"/>
                <w:sz w:val="20"/>
                <w:szCs w:val="20"/>
              </w:rPr>
              <w:t>政府采购预算数）</w:t>
            </w:r>
            <w:r>
              <w:rPr>
                <w:rFonts w:eastAsia="仿宋_GB2312"/>
                <w:kern w:val="0"/>
                <w:sz w:val="20"/>
                <w:szCs w:val="20"/>
              </w:rPr>
              <w:t>×100%</w:t>
            </w:r>
          </w:p>
        </w:tc>
        <w:tc>
          <w:tcPr>
            <w:tcW w:w="522" w:type="dxa"/>
            <w:tcBorders>
              <w:top w:val="nil"/>
              <w:left w:val="nil"/>
              <w:bottom w:val="single" w:color="auto" w:sz="4" w:space="0"/>
              <w:right w:val="single" w:color="auto" w:sz="4" w:space="0"/>
            </w:tcBorders>
            <w:noWrap w:val="0"/>
            <w:vAlign w:val="center"/>
          </w:tcPr>
          <w:p w14:paraId="79187F96">
            <w:pPr>
              <w:widowControl/>
              <w:jc w:val="left"/>
              <w:rPr>
                <w:kern w:val="0"/>
                <w:sz w:val="24"/>
              </w:rPr>
            </w:pPr>
            <w:r>
              <w:rPr>
                <w:rFonts w:hint="eastAsia"/>
                <w:kern w:val="0"/>
                <w:sz w:val="24"/>
                <w:lang w:val="en-US" w:eastAsia="zh-CN"/>
              </w:rPr>
              <w:t>6</w:t>
            </w:r>
            <w:r>
              <w:rPr>
                <w:kern w:val="0"/>
                <w:sz w:val="24"/>
              </w:rPr>
              <w:t>　</w:t>
            </w:r>
          </w:p>
        </w:tc>
      </w:tr>
      <w:tr w14:paraId="2784E66A">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0"/>
            <w:vAlign w:val="center"/>
          </w:tcPr>
          <w:p w14:paraId="15CE9C70">
            <w:pPr>
              <w:jc w:val="left"/>
              <w:rPr>
                <w:rFonts w:eastAsia="仿宋_GB2312"/>
                <w:kern w:val="0"/>
                <w:sz w:val="20"/>
                <w:szCs w:val="20"/>
              </w:rPr>
            </w:pPr>
            <w:r>
              <w:rPr>
                <w:rFonts w:eastAsia="仿宋_GB2312"/>
                <w:kern w:val="0"/>
                <w:sz w:val="20"/>
                <w:szCs w:val="20"/>
              </w:rPr>
              <w:t>过                                                                                                                                       程</w:t>
            </w:r>
          </w:p>
        </w:tc>
        <w:tc>
          <w:tcPr>
            <w:tcW w:w="416" w:type="dxa"/>
            <w:vMerge w:val="restart"/>
            <w:tcBorders>
              <w:top w:val="nil"/>
              <w:left w:val="nil"/>
              <w:bottom w:val="single" w:color="000000" w:sz="4" w:space="0"/>
              <w:right w:val="single" w:color="auto" w:sz="4" w:space="0"/>
            </w:tcBorders>
            <w:noWrap w:val="0"/>
            <w:vAlign w:val="center"/>
          </w:tcPr>
          <w:p w14:paraId="0E1B0905">
            <w:pPr>
              <w:jc w:val="left"/>
              <w:rPr>
                <w:rFonts w:eastAsia="仿宋_GB2312"/>
                <w:kern w:val="0"/>
                <w:sz w:val="20"/>
                <w:szCs w:val="20"/>
              </w:rPr>
            </w:pPr>
          </w:p>
        </w:tc>
        <w:tc>
          <w:tcPr>
            <w:tcW w:w="677" w:type="dxa"/>
            <w:gridSpan w:val="2"/>
            <w:vMerge w:val="restart"/>
            <w:tcBorders>
              <w:top w:val="nil"/>
              <w:left w:val="nil"/>
              <w:bottom w:val="single" w:color="auto" w:sz="4" w:space="0"/>
              <w:right w:val="single" w:color="auto" w:sz="4" w:space="0"/>
            </w:tcBorders>
            <w:noWrap w:val="0"/>
            <w:vAlign w:val="center"/>
          </w:tcPr>
          <w:p w14:paraId="32473985">
            <w:pPr>
              <w:widowControl/>
              <w:jc w:val="left"/>
              <w:rPr>
                <w:rFonts w:eastAsia="仿宋_GB2312"/>
                <w:kern w:val="0"/>
                <w:sz w:val="20"/>
                <w:szCs w:val="20"/>
              </w:rPr>
            </w:pPr>
            <w:r>
              <w:rPr>
                <w:rFonts w:eastAsia="仿宋_GB2312"/>
                <w:kern w:val="0"/>
                <w:sz w:val="20"/>
                <w:szCs w:val="20"/>
              </w:rPr>
              <w:t>预算管理</w:t>
            </w:r>
          </w:p>
        </w:tc>
        <w:tc>
          <w:tcPr>
            <w:tcW w:w="416" w:type="dxa"/>
            <w:vMerge w:val="continue"/>
            <w:tcBorders>
              <w:top w:val="nil"/>
              <w:left w:val="nil"/>
              <w:bottom w:val="single" w:color="000000" w:sz="4" w:space="0"/>
              <w:right w:val="single" w:color="auto" w:sz="4" w:space="0"/>
            </w:tcBorders>
            <w:noWrap w:val="0"/>
            <w:vAlign w:val="center"/>
          </w:tcPr>
          <w:p w14:paraId="75305C2C">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14:paraId="36A96DF6">
            <w:pPr>
              <w:widowControl/>
              <w:jc w:val="left"/>
              <w:rPr>
                <w:rFonts w:eastAsia="仿宋_GB2312"/>
                <w:kern w:val="0"/>
                <w:sz w:val="20"/>
                <w:szCs w:val="20"/>
              </w:rPr>
            </w:pPr>
            <w:r>
              <w:rPr>
                <w:rFonts w:eastAsia="仿宋_GB2312"/>
                <w:kern w:val="0"/>
                <w:sz w:val="20"/>
                <w:szCs w:val="20"/>
              </w:rPr>
              <w:t>管理制度健全性</w:t>
            </w:r>
          </w:p>
        </w:tc>
        <w:tc>
          <w:tcPr>
            <w:tcW w:w="478" w:type="dxa"/>
            <w:tcBorders>
              <w:top w:val="nil"/>
              <w:left w:val="nil"/>
              <w:bottom w:val="single" w:color="auto" w:sz="4" w:space="0"/>
              <w:right w:val="single" w:color="auto" w:sz="4" w:space="0"/>
            </w:tcBorders>
            <w:noWrap w:val="0"/>
            <w:vAlign w:val="center"/>
          </w:tcPr>
          <w:p w14:paraId="2A0FCE14">
            <w:pPr>
              <w:widowControl/>
              <w:jc w:val="center"/>
              <w:rPr>
                <w:rFonts w:eastAsia="仿宋_GB2312"/>
                <w:kern w:val="0"/>
                <w:sz w:val="20"/>
                <w:szCs w:val="20"/>
              </w:rPr>
            </w:pPr>
            <w:r>
              <w:rPr>
                <w:rFonts w:eastAsia="仿宋_GB2312"/>
                <w:kern w:val="0"/>
                <w:sz w:val="20"/>
                <w:szCs w:val="20"/>
              </w:rPr>
              <w:t>8</w:t>
            </w:r>
          </w:p>
        </w:tc>
        <w:tc>
          <w:tcPr>
            <w:tcW w:w="6379" w:type="dxa"/>
            <w:gridSpan w:val="2"/>
            <w:tcBorders>
              <w:top w:val="nil"/>
              <w:left w:val="nil"/>
              <w:bottom w:val="single" w:color="auto" w:sz="4" w:space="0"/>
              <w:right w:val="single" w:color="auto" w:sz="4" w:space="0"/>
            </w:tcBorders>
            <w:noWrap w:val="0"/>
            <w:vAlign w:val="center"/>
          </w:tcPr>
          <w:p w14:paraId="7A0CCB9C">
            <w:pPr>
              <w:widowControl/>
              <w:jc w:val="left"/>
              <w:rPr>
                <w:rFonts w:hint="eastAsia" w:ascii="仿宋_GB2312" w:hAnsi="仿宋_GB2312" w:eastAsia="仿宋_GB2312"/>
                <w:kern w:val="0"/>
                <w:sz w:val="20"/>
                <w:szCs w:val="20"/>
                <w:lang w:eastAsia="zh-CN"/>
              </w:rPr>
            </w:pPr>
            <w:r>
              <w:rPr>
                <w:rFonts w:hint="eastAsia" w:ascii="宋体" w:hAnsi="宋体"/>
                <w:kern w:val="0"/>
                <w:sz w:val="20"/>
                <w:szCs w:val="20"/>
              </w:rPr>
              <w:t>①</w:t>
            </w:r>
            <w:r>
              <w:rPr>
                <w:rFonts w:ascii="仿宋_GB2312" w:hAnsi="仿宋_GB2312" w:eastAsia="仿宋_GB2312"/>
                <w:kern w:val="0"/>
                <w:sz w:val="20"/>
                <w:szCs w:val="20"/>
              </w:rPr>
              <w:t>有内部财务管理制度、会计核算制度等管理制度，</w:t>
            </w:r>
            <w:r>
              <w:rPr>
                <w:rFonts w:eastAsia="仿宋_GB2312"/>
                <w:kern w:val="0"/>
                <w:sz w:val="20"/>
                <w:szCs w:val="20"/>
              </w:rPr>
              <w:t>2</w:t>
            </w:r>
            <w:r>
              <w:rPr>
                <w:rFonts w:ascii="仿宋_GB2312" w:hAnsi="仿宋_GB2312" w:eastAsia="仿宋_GB2312"/>
                <w:kern w:val="0"/>
                <w:sz w:val="20"/>
                <w:szCs w:val="20"/>
              </w:rPr>
              <w:t>分；</w:t>
            </w:r>
          </w:p>
          <w:p w14:paraId="7E8DFD53">
            <w:pPr>
              <w:widowControl/>
              <w:jc w:val="left"/>
              <w:rPr>
                <w:rFonts w:hint="eastAsia" w:ascii="仿宋_GB2312" w:hAnsi="仿宋_GB2312" w:eastAsia="仿宋_GB2312"/>
                <w:kern w:val="0"/>
                <w:sz w:val="20"/>
                <w:szCs w:val="20"/>
                <w:lang w:eastAsia="zh-CN"/>
              </w:rPr>
            </w:pPr>
            <w:r>
              <w:rPr>
                <w:rFonts w:hint="eastAsia" w:ascii="宋体" w:hAnsi="宋体"/>
                <w:kern w:val="0"/>
                <w:sz w:val="20"/>
                <w:szCs w:val="20"/>
              </w:rPr>
              <w:t>②</w:t>
            </w:r>
            <w:r>
              <w:rPr>
                <w:rFonts w:ascii="仿宋_GB2312" w:hAnsi="仿宋_GB2312" w:eastAsia="仿宋_GB2312"/>
                <w:kern w:val="0"/>
                <w:sz w:val="20"/>
                <w:szCs w:val="20"/>
              </w:rPr>
              <w:t>有本部门厉行节约制度</w:t>
            </w:r>
            <w:r>
              <w:rPr>
                <w:rFonts w:eastAsia="仿宋_GB2312"/>
                <w:kern w:val="0"/>
                <w:sz w:val="20"/>
                <w:szCs w:val="20"/>
              </w:rPr>
              <w:t>,2</w:t>
            </w:r>
            <w:r>
              <w:rPr>
                <w:rFonts w:ascii="仿宋_GB2312" w:hAnsi="仿宋_GB2312" w:eastAsia="仿宋_GB2312"/>
                <w:kern w:val="0"/>
                <w:sz w:val="20"/>
                <w:szCs w:val="20"/>
              </w:rPr>
              <w:t>分；</w:t>
            </w:r>
          </w:p>
          <w:p w14:paraId="76104688">
            <w:pPr>
              <w:widowControl/>
              <w:jc w:val="left"/>
              <w:rPr>
                <w:rFonts w:eastAsia="仿宋_GB2312"/>
                <w:kern w:val="0"/>
                <w:sz w:val="20"/>
                <w:szCs w:val="20"/>
              </w:rPr>
            </w:pPr>
            <w:r>
              <w:rPr>
                <w:rFonts w:hint="eastAsia" w:ascii="宋体" w:hAnsi="宋体"/>
                <w:kern w:val="0"/>
                <w:sz w:val="20"/>
                <w:szCs w:val="20"/>
              </w:rPr>
              <w:t>③</w:t>
            </w:r>
            <w:r>
              <w:rPr>
                <w:rFonts w:ascii="仿宋_GB2312" w:hAnsi="仿宋_GB2312" w:eastAsia="仿宋_GB2312"/>
                <w:kern w:val="0"/>
                <w:sz w:val="20"/>
                <w:szCs w:val="20"/>
              </w:rPr>
              <w:t>相关管理制度合法、合规、完整，</w:t>
            </w:r>
            <w:r>
              <w:rPr>
                <w:rFonts w:eastAsia="仿宋_GB2312"/>
                <w:kern w:val="0"/>
                <w:sz w:val="20"/>
                <w:szCs w:val="20"/>
              </w:rPr>
              <w:t>2</w:t>
            </w:r>
            <w:r>
              <w:rPr>
                <w:rFonts w:ascii="仿宋_GB2312" w:hAnsi="仿宋_GB2312" w:eastAsia="仿宋_GB2312"/>
                <w:kern w:val="0"/>
                <w:sz w:val="20"/>
                <w:szCs w:val="20"/>
              </w:rPr>
              <w:t>分；</w:t>
            </w:r>
            <w:r>
              <w:rPr>
                <w:rFonts w:hint="eastAsia" w:ascii="宋体" w:hAnsi="宋体"/>
                <w:kern w:val="0"/>
                <w:sz w:val="20"/>
                <w:szCs w:val="20"/>
              </w:rPr>
              <w:t>④</w:t>
            </w:r>
            <w:r>
              <w:rPr>
                <w:rFonts w:ascii="仿宋_GB2312" w:hAnsi="仿宋_GB2312" w:eastAsia="仿宋_GB2312"/>
                <w:kern w:val="0"/>
                <w:sz w:val="20"/>
                <w:szCs w:val="20"/>
              </w:rPr>
              <w:t>相关管理制度得到有效执行，</w:t>
            </w:r>
            <w:r>
              <w:rPr>
                <w:rFonts w:eastAsia="仿宋_GB2312"/>
                <w:kern w:val="0"/>
                <w:sz w:val="20"/>
                <w:szCs w:val="20"/>
              </w:rPr>
              <w:t>2</w:t>
            </w:r>
            <w:r>
              <w:rPr>
                <w:rFonts w:ascii="仿宋_GB2312" w:hAnsi="仿宋_GB2312" w:eastAsia="仿宋_GB2312"/>
                <w:kern w:val="0"/>
                <w:sz w:val="20"/>
                <w:szCs w:val="20"/>
              </w:rPr>
              <w:t>分。</w:t>
            </w:r>
          </w:p>
          <w:p w14:paraId="4A8C894D">
            <w:pPr>
              <w:widowControl/>
              <w:jc w:val="left"/>
              <w:rPr>
                <w:rFonts w:eastAsia="仿宋_GB2312"/>
                <w:kern w:val="0"/>
                <w:sz w:val="20"/>
                <w:szCs w:val="20"/>
              </w:rPr>
            </w:pPr>
            <w:r>
              <w:rPr>
                <w:rFonts w:eastAsia="仿宋_GB2312"/>
                <w:kern w:val="0"/>
                <w:sz w:val="20"/>
                <w:szCs w:val="20"/>
              </w:rPr>
              <w:t>　</w:t>
            </w:r>
          </w:p>
        </w:tc>
        <w:tc>
          <w:tcPr>
            <w:tcW w:w="522" w:type="dxa"/>
            <w:tcBorders>
              <w:top w:val="nil"/>
              <w:left w:val="nil"/>
              <w:bottom w:val="single" w:color="auto" w:sz="4" w:space="0"/>
              <w:right w:val="single" w:color="auto" w:sz="4" w:space="0"/>
            </w:tcBorders>
            <w:noWrap w:val="0"/>
            <w:vAlign w:val="center"/>
          </w:tcPr>
          <w:p w14:paraId="1ACD5501">
            <w:pPr>
              <w:widowControl/>
              <w:jc w:val="left"/>
              <w:rPr>
                <w:kern w:val="0"/>
                <w:sz w:val="24"/>
              </w:rPr>
            </w:pPr>
            <w:r>
              <w:rPr>
                <w:rFonts w:hint="eastAsia"/>
                <w:kern w:val="0"/>
                <w:sz w:val="24"/>
                <w:lang w:val="en-US" w:eastAsia="zh-CN"/>
              </w:rPr>
              <w:t>8</w:t>
            </w:r>
            <w:r>
              <w:rPr>
                <w:kern w:val="0"/>
                <w:sz w:val="24"/>
              </w:rPr>
              <w:t>　</w:t>
            </w:r>
          </w:p>
        </w:tc>
      </w:tr>
      <w:tr w14:paraId="5D328CCF">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288056E2">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3EDF521D">
            <w:pPr>
              <w:widowControl/>
              <w:jc w:val="left"/>
              <w:rPr>
                <w:rFonts w:eastAsia="仿宋_GB2312"/>
                <w:kern w:val="0"/>
                <w:sz w:val="20"/>
                <w:szCs w:val="20"/>
              </w:rPr>
            </w:pPr>
          </w:p>
        </w:tc>
        <w:tc>
          <w:tcPr>
            <w:tcW w:w="677" w:type="dxa"/>
            <w:gridSpan w:val="2"/>
            <w:vMerge w:val="continue"/>
            <w:tcBorders>
              <w:top w:val="nil"/>
              <w:left w:val="nil"/>
              <w:bottom w:val="single" w:color="auto" w:sz="4" w:space="0"/>
              <w:right w:val="single" w:color="auto" w:sz="4" w:space="0"/>
            </w:tcBorders>
            <w:noWrap w:val="0"/>
            <w:vAlign w:val="center"/>
          </w:tcPr>
          <w:p w14:paraId="2BAEFB14">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66A08A91">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14:paraId="6EEC0E03">
            <w:pPr>
              <w:widowControl/>
              <w:jc w:val="left"/>
              <w:rPr>
                <w:rFonts w:eastAsia="仿宋_GB2312"/>
                <w:kern w:val="0"/>
                <w:sz w:val="20"/>
                <w:szCs w:val="20"/>
              </w:rPr>
            </w:pPr>
            <w:r>
              <w:rPr>
                <w:rFonts w:eastAsia="仿宋_GB2312"/>
                <w:kern w:val="0"/>
                <w:sz w:val="20"/>
                <w:szCs w:val="20"/>
              </w:rPr>
              <w:t>资金使用合规性</w:t>
            </w:r>
          </w:p>
        </w:tc>
        <w:tc>
          <w:tcPr>
            <w:tcW w:w="478" w:type="dxa"/>
            <w:tcBorders>
              <w:top w:val="nil"/>
              <w:left w:val="nil"/>
              <w:bottom w:val="single" w:color="auto" w:sz="4" w:space="0"/>
              <w:right w:val="single" w:color="auto" w:sz="4" w:space="0"/>
            </w:tcBorders>
            <w:noWrap w:val="0"/>
            <w:vAlign w:val="center"/>
          </w:tcPr>
          <w:p w14:paraId="050042EC">
            <w:pPr>
              <w:widowControl/>
              <w:jc w:val="center"/>
              <w:rPr>
                <w:rFonts w:eastAsia="仿宋_GB2312"/>
                <w:kern w:val="0"/>
                <w:sz w:val="20"/>
                <w:szCs w:val="20"/>
              </w:rPr>
            </w:pPr>
            <w:r>
              <w:rPr>
                <w:rFonts w:eastAsia="仿宋_GB2312"/>
                <w:kern w:val="0"/>
                <w:sz w:val="20"/>
                <w:szCs w:val="20"/>
              </w:rPr>
              <w:t>6</w:t>
            </w:r>
          </w:p>
        </w:tc>
        <w:tc>
          <w:tcPr>
            <w:tcW w:w="6379" w:type="dxa"/>
            <w:gridSpan w:val="2"/>
            <w:tcBorders>
              <w:top w:val="nil"/>
              <w:left w:val="nil"/>
              <w:bottom w:val="single" w:color="auto" w:sz="4" w:space="0"/>
              <w:right w:val="single" w:color="auto" w:sz="4" w:space="0"/>
            </w:tcBorders>
            <w:noWrap w:val="0"/>
            <w:vAlign w:val="center"/>
          </w:tcPr>
          <w:p w14:paraId="4D076480">
            <w:pPr>
              <w:widowControl/>
              <w:jc w:val="left"/>
              <w:rPr>
                <w:rFonts w:hint="eastAsia" w:ascii="仿宋_GB2312" w:hAnsi="仿宋_GB2312" w:eastAsia="仿宋_GB2312"/>
                <w:kern w:val="0"/>
                <w:sz w:val="20"/>
                <w:szCs w:val="20"/>
                <w:lang w:eastAsia="zh-CN"/>
              </w:rPr>
            </w:pPr>
            <w:r>
              <w:rPr>
                <w:rFonts w:hint="eastAsia" w:ascii="宋体" w:hAnsi="宋体"/>
                <w:kern w:val="0"/>
                <w:sz w:val="20"/>
                <w:szCs w:val="20"/>
              </w:rPr>
              <w:t>①</w:t>
            </w:r>
            <w:r>
              <w:rPr>
                <w:rFonts w:ascii="仿宋_GB2312" w:hAnsi="仿宋_GB2312" w:eastAsia="仿宋_GB2312"/>
                <w:kern w:val="0"/>
                <w:sz w:val="20"/>
                <w:szCs w:val="20"/>
              </w:rPr>
              <w:t>支出符合国家财经法规和财务管理制度规定以及有关专项资金管理办法的规定；</w:t>
            </w:r>
            <w:r>
              <w:rPr>
                <w:rFonts w:hint="eastAsia" w:ascii="宋体" w:hAnsi="宋体"/>
                <w:kern w:val="0"/>
                <w:sz w:val="20"/>
                <w:szCs w:val="20"/>
              </w:rPr>
              <w:t>②</w:t>
            </w:r>
            <w:r>
              <w:rPr>
                <w:rFonts w:ascii="仿宋_GB2312" w:hAnsi="仿宋_GB2312" w:eastAsia="仿宋_GB2312"/>
                <w:kern w:val="0"/>
                <w:sz w:val="20"/>
                <w:szCs w:val="20"/>
              </w:rPr>
              <w:t>资金拨付有完整的审批程序和手续；</w:t>
            </w:r>
            <w:r>
              <w:rPr>
                <w:rFonts w:hint="eastAsia" w:ascii="宋体" w:hAnsi="宋体"/>
                <w:kern w:val="0"/>
                <w:sz w:val="20"/>
                <w:szCs w:val="20"/>
              </w:rPr>
              <w:t>③</w:t>
            </w:r>
            <w:r>
              <w:rPr>
                <w:rFonts w:ascii="仿宋_GB2312" w:hAnsi="仿宋_GB2312" w:eastAsia="仿宋_GB2312"/>
                <w:kern w:val="0"/>
                <w:sz w:val="20"/>
                <w:szCs w:val="20"/>
              </w:rPr>
              <w:t>项目支出按规定经过评估论证；</w:t>
            </w:r>
            <w:r>
              <w:rPr>
                <w:rFonts w:hint="eastAsia" w:ascii="宋体" w:hAnsi="宋体"/>
                <w:kern w:val="0"/>
                <w:sz w:val="20"/>
                <w:szCs w:val="20"/>
              </w:rPr>
              <w:t>④</w:t>
            </w:r>
            <w:r>
              <w:rPr>
                <w:rFonts w:ascii="仿宋_GB2312" w:hAnsi="仿宋_GB2312" w:eastAsia="仿宋_GB2312"/>
                <w:kern w:val="0"/>
                <w:sz w:val="20"/>
                <w:szCs w:val="20"/>
              </w:rPr>
              <w:t>支出符合部门预算批复的用途；</w:t>
            </w:r>
            <w:r>
              <w:rPr>
                <w:rFonts w:hint="eastAsia" w:ascii="宋体" w:hAnsi="宋体"/>
                <w:kern w:val="0"/>
                <w:sz w:val="20"/>
                <w:szCs w:val="20"/>
              </w:rPr>
              <w:t>⑤</w:t>
            </w:r>
            <w:r>
              <w:rPr>
                <w:rFonts w:ascii="仿宋_GB2312" w:hAnsi="仿宋_GB2312" w:eastAsia="仿宋_GB2312"/>
                <w:kern w:val="0"/>
                <w:sz w:val="20"/>
                <w:szCs w:val="20"/>
              </w:rPr>
              <w:t>资金使用无截留、挤占、挪用、虚列支出等情况。</w:t>
            </w:r>
          </w:p>
          <w:p w14:paraId="2026B7B3">
            <w:pPr>
              <w:widowControl/>
              <w:jc w:val="left"/>
              <w:rPr>
                <w:rFonts w:eastAsia="仿宋_GB2312"/>
                <w:kern w:val="0"/>
                <w:sz w:val="20"/>
                <w:szCs w:val="20"/>
              </w:rPr>
            </w:pPr>
            <w:r>
              <w:rPr>
                <w:rFonts w:eastAsia="仿宋_GB2312"/>
                <w:kern w:val="0"/>
                <w:sz w:val="20"/>
                <w:szCs w:val="20"/>
              </w:rPr>
              <w:t>以上情况每出现一例不符合要求的扣1</w:t>
            </w:r>
            <w:r>
              <w:rPr>
                <w:rFonts w:ascii="仿宋_GB2312" w:hAnsi="仿宋_GB2312" w:eastAsia="仿宋_GB2312"/>
                <w:kern w:val="0"/>
                <w:sz w:val="20"/>
                <w:szCs w:val="20"/>
              </w:rPr>
              <w:t>分，扣完为止。</w:t>
            </w:r>
          </w:p>
          <w:p w14:paraId="3E3F97C5">
            <w:pPr>
              <w:widowControl/>
              <w:jc w:val="left"/>
              <w:rPr>
                <w:rFonts w:eastAsia="仿宋_GB2312"/>
                <w:kern w:val="0"/>
                <w:sz w:val="20"/>
                <w:szCs w:val="20"/>
              </w:rPr>
            </w:pPr>
            <w:r>
              <w:rPr>
                <w:rFonts w:eastAsia="仿宋_GB2312"/>
                <w:kern w:val="0"/>
                <w:sz w:val="20"/>
                <w:szCs w:val="20"/>
              </w:rPr>
              <w:t>　</w:t>
            </w:r>
          </w:p>
        </w:tc>
        <w:tc>
          <w:tcPr>
            <w:tcW w:w="522" w:type="dxa"/>
            <w:tcBorders>
              <w:top w:val="nil"/>
              <w:left w:val="nil"/>
              <w:bottom w:val="single" w:color="auto" w:sz="4" w:space="0"/>
              <w:right w:val="single" w:color="auto" w:sz="4" w:space="0"/>
            </w:tcBorders>
            <w:noWrap w:val="0"/>
            <w:vAlign w:val="center"/>
          </w:tcPr>
          <w:p w14:paraId="02AE030C">
            <w:pPr>
              <w:widowControl/>
              <w:jc w:val="left"/>
              <w:rPr>
                <w:kern w:val="0"/>
                <w:sz w:val="24"/>
              </w:rPr>
            </w:pPr>
            <w:r>
              <w:rPr>
                <w:rFonts w:hint="eastAsia"/>
                <w:kern w:val="0"/>
                <w:sz w:val="24"/>
                <w:lang w:val="en-US" w:eastAsia="zh-CN"/>
              </w:rPr>
              <w:t>6</w:t>
            </w:r>
            <w:r>
              <w:rPr>
                <w:kern w:val="0"/>
                <w:sz w:val="24"/>
              </w:rPr>
              <w:t>　</w:t>
            </w:r>
          </w:p>
        </w:tc>
      </w:tr>
      <w:tr w14:paraId="252031AC">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5312F2F9">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4B2A6EC1">
            <w:pPr>
              <w:widowControl/>
              <w:jc w:val="left"/>
              <w:rPr>
                <w:rFonts w:eastAsia="仿宋_GB2312"/>
                <w:kern w:val="0"/>
                <w:sz w:val="20"/>
                <w:szCs w:val="20"/>
              </w:rPr>
            </w:pPr>
          </w:p>
        </w:tc>
        <w:tc>
          <w:tcPr>
            <w:tcW w:w="677" w:type="dxa"/>
            <w:gridSpan w:val="2"/>
            <w:vMerge w:val="continue"/>
            <w:tcBorders>
              <w:top w:val="nil"/>
              <w:left w:val="nil"/>
              <w:bottom w:val="single" w:color="auto" w:sz="4" w:space="0"/>
              <w:right w:val="single" w:color="auto" w:sz="4" w:space="0"/>
            </w:tcBorders>
            <w:noWrap w:val="0"/>
            <w:vAlign w:val="center"/>
          </w:tcPr>
          <w:p w14:paraId="600F4B23">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69A0F6EC">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14:paraId="5292F29A">
            <w:pPr>
              <w:widowControl/>
              <w:jc w:val="left"/>
              <w:rPr>
                <w:rFonts w:eastAsia="仿宋_GB2312"/>
                <w:kern w:val="0"/>
                <w:sz w:val="20"/>
                <w:szCs w:val="20"/>
              </w:rPr>
            </w:pPr>
            <w:r>
              <w:rPr>
                <w:rFonts w:eastAsia="仿宋_GB2312"/>
                <w:kern w:val="0"/>
                <w:sz w:val="20"/>
                <w:szCs w:val="20"/>
              </w:rPr>
              <w:t>预决算信息公开性</w:t>
            </w:r>
          </w:p>
        </w:tc>
        <w:tc>
          <w:tcPr>
            <w:tcW w:w="478" w:type="dxa"/>
            <w:tcBorders>
              <w:top w:val="nil"/>
              <w:left w:val="nil"/>
              <w:bottom w:val="single" w:color="auto" w:sz="4" w:space="0"/>
              <w:right w:val="single" w:color="auto" w:sz="4" w:space="0"/>
            </w:tcBorders>
            <w:noWrap w:val="0"/>
            <w:vAlign w:val="center"/>
          </w:tcPr>
          <w:p w14:paraId="0F393C15">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14:paraId="03077B47">
            <w:pPr>
              <w:widowControl/>
              <w:jc w:val="left"/>
              <w:rPr>
                <w:rFonts w:eastAsia="仿宋_GB2312"/>
                <w:kern w:val="0"/>
                <w:sz w:val="20"/>
                <w:szCs w:val="20"/>
              </w:rPr>
            </w:pPr>
            <w:r>
              <w:rPr>
                <w:rFonts w:hint="eastAsia" w:ascii="宋体" w:hAnsi="宋体"/>
                <w:kern w:val="0"/>
                <w:sz w:val="20"/>
                <w:szCs w:val="20"/>
              </w:rPr>
              <w:t>①</w:t>
            </w:r>
            <w:r>
              <w:rPr>
                <w:rFonts w:ascii="仿宋_GB2312" w:hAnsi="仿宋_GB2312" w:eastAsia="仿宋_GB2312"/>
                <w:kern w:val="0"/>
                <w:sz w:val="20"/>
                <w:szCs w:val="20"/>
              </w:rPr>
              <w:t>按规定内容公开预决算信息，</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②</w:t>
            </w:r>
            <w:r>
              <w:rPr>
                <w:rFonts w:ascii="仿宋_GB2312" w:hAnsi="仿宋_GB2312" w:eastAsia="仿宋_GB2312"/>
                <w:kern w:val="0"/>
                <w:sz w:val="20"/>
                <w:szCs w:val="20"/>
              </w:rPr>
              <w:t>按规定时限公开预决算信息，</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③</w:t>
            </w:r>
            <w:r>
              <w:rPr>
                <w:rFonts w:ascii="仿宋_GB2312" w:hAnsi="仿宋_GB2312" w:eastAsia="仿宋_GB2312"/>
                <w:kern w:val="0"/>
                <w:sz w:val="20"/>
                <w:szCs w:val="20"/>
              </w:rPr>
              <w:t>基础数据信息和会计信息资料真实，</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④</w:t>
            </w:r>
            <w:r>
              <w:rPr>
                <w:rFonts w:ascii="仿宋_GB2312" w:hAnsi="仿宋_GB2312" w:eastAsia="仿宋_GB2312"/>
                <w:kern w:val="0"/>
                <w:sz w:val="20"/>
                <w:szCs w:val="20"/>
              </w:rPr>
              <w:t>基础数据信息和会计信息资料完整，</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⑤</w:t>
            </w:r>
            <w:r>
              <w:rPr>
                <w:rFonts w:ascii="仿宋_GB2312" w:hAnsi="仿宋_GB2312" w:eastAsia="仿宋_GB2312"/>
                <w:kern w:val="0"/>
                <w:sz w:val="20"/>
                <w:szCs w:val="20"/>
              </w:rPr>
              <w:t>基础数据信息和汇集信息资料准确，</w:t>
            </w:r>
            <w:r>
              <w:rPr>
                <w:rFonts w:eastAsia="仿宋_GB2312"/>
                <w:kern w:val="0"/>
                <w:sz w:val="20"/>
                <w:szCs w:val="20"/>
              </w:rPr>
              <w:t>1</w:t>
            </w:r>
            <w:r>
              <w:rPr>
                <w:rFonts w:ascii="仿宋_GB2312" w:hAnsi="仿宋_GB2312" w:eastAsia="仿宋_GB2312"/>
                <w:kern w:val="0"/>
                <w:sz w:val="20"/>
                <w:szCs w:val="20"/>
              </w:rPr>
              <w:t xml:space="preserve">分。  </w:t>
            </w:r>
          </w:p>
        </w:tc>
        <w:tc>
          <w:tcPr>
            <w:tcW w:w="3402" w:type="dxa"/>
            <w:tcBorders>
              <w:top w:val="nil"/>
              <w:left w:val="nil"/>
              <w:bottom w:val="single" w:color="auto" w:sz="4" w:space="0"/>
              <w:right w:val="single" w:color="auto" w:sz="4" w:space="0"/>
            </w:tcBorders>
            <w:noWrap w:val="0"/>
            <w:vAlign w:val="center"/>
          </w:tcPr>
          <w:p w14:paraId="7341E7CC">
            <w:pPr>
              <w:widowControl/>
              <w:jc w:val="left"/>
              <w:rPr>
                <w:rFonts w:eastAsia="仿宋_GB2312"/>
                <w:kern w:val="0"/>
                <w:sz w:val="20"/>
                <w:szCs w:val="20"/>
              </w:rPr>
            </w:pPr>
            <w:r>
              <w:rPr>
                <w:rFonts w:eastAsia="仿宋_GB2312"/>
                <w:kern w:val="0"/>
                <w:sz w:val="20"/>
                <w:szCs w:val="20"/>
              </w:rPr>
              <w:t>预决算信息是指与部门预算、执行、决算、监督、绩效等管理相关的信息。</w:t>
            </w:r>
          </w:p>
        </w:tc>
        <w:tc>
          <w:tcPr>
            <w:tcW w:w="522" w:type="dxa"/>
            <w:tcBorders>
              <w:top w:val="nil"/>
              <w:left w:val="nil"/>
              <w:bottom w:val="single" w:color="auto" w:sz="4" w:space="0"/>
              <w:right w:val="single" w:color="auto" w:sz="4" w:space="0"/>
            </w:tcBorders>
            <w:noWrap w:val="0"/>
            <w:vAlign w:val="center"/>
          </w:tcPr>
          <w:p w14:paraId="0CC8D31D">
            <w:pPr>
              <w:widowControl/>
              <w:jc w:val="left"/>
              <w:rPr>
                <w:kern w:val="0"/>
                <w:sz w:val="24"/>
              </w:rPr>
            </w:pPr>
            <w:r>
              <w:rPr>
                <w:rFonts w:hint="eastAsia"/>
                <w:kern w:val="0"/>
                <w:sz w:val="24"/>
                <w:lang w:val="en-US" w:eastAsia="zh-CN"/>
              </w:rPr>
              <w:t>5</w:t>
            </w:r>
            <w:r>
              <w:rPr>
                <w:kern w:val="0"/>
                <w:sz w:val="24"/>
              </w:rPr>
              <w:t>　</w:t>
            </w:r>
          </w:p>
        </w:tc>
      </w:tr>
      <w:tr w14:paraId="1086AC11">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0"/>
            <w:vAlign w:val="center"/>
          </w:tcPr>
          <w:p w14:paraId="3E2D8352">
            <w:pPr>
              <w:widowControl/>
              <w:jc w:val="center"/>
              <w:rPr>
                <w:rFonts w:eastAsia="仿宋_GB2312"/>
                <w:kern w:val="0"/>
                <w:sz w:val="20"/>
                <w:szCs w:val="20"/>
              </w:rPr>
            </w:pPr>
            <w:r>
              <w:rPr>
                <w:rFonts w:eastAsia="仿宋_GB2312"/>
                <w:kern w:val="0"/>
                <w:sz w:val="20"/>
                <w:szCs w:val="20"/>
              </w:rPr>
              <w:t>产出及效率</w:t>
            </w:r>
          </w:p>
        </w:tc>
        <w:tc>
          <w:tcPr>
            <w:tcW w:w="416" w:type="dxa"/>
            <w:vMerge w:val="restart"/>
            <w:tcBorders>
              <w:top w:val="nil"/>
              <w:left w:val="nil"/>
              <w:bottom w:val="single" w:color="000000" w:sz="4" w:space="0"/>
              <w:right w:val="single" w:color="auto" w:sz="4" w:space="0"/>
            </w:tcBorders>
            <w:noWrap w:val="0"/>
            <w:vAlign w:val="center"/>
          </w:tcPr>
          <w:p w14:paraId="3A9982BE">
            <w:pPr>
              <w:widowControl/>
              <w:jc w:val="center"/>
              <w:rPr>
                <w:rFonts w:eastAsia="仿宋_GB2312"/>
                <w:kern w:val="0"/>
                <w:sz w:val="20"/>
                <w:szCs w:val="20"/>
              </w:rPr>
            </w:pPr>
            <w:r>
              <w:rPr>
                <w:rFonts w:eastAsia="仿宋_GB2312"/>
                <w:kern w:val="0"/>
                <w:sz w:val="20"/>
                <w:szCs w:val="20"/>
              </w:rPr>
              <w:t>30</w:t>
            </w:r>
          </w:p>
        </w:tc>
        <w:tc>
          <w:tcPr>
            <w:tcW w:w="677" w:type="dxa"/>
            <w:gridSpan w:val="2"/>
            <w:tcBorders>
              <w:top w:val="nil"/>
              <w:left w:val="nil"/>
              <w:bottom w:val="single" w:color="auto" w:sz="4" w:space="0"/>
              <w:right w:val="single" w:color="auto" w:sz="4" w:space="0"/>
            </w:tcBorders>
            <w:noWrap w:val="0"/>
            <w:vAlign w:val="center"/>
          </w:tcPr>
          <w:p w14:paraId="56AD12E9">
            <w:pPr>
              <w:widowControl/>
              <w:jc w:val="center"/>
              <w:rPr>
                <w:rFonts w:eastAsia="仿宋_GB2312"/>
                <w:kern w:val="0"/>
                <w:sz w:val="20"/>
                <w:szCs w:val="20"/>
              </w:rPr>
            </w:pPr>
            <w:r>
              <w:rPr>
                <w:rFonts w:eastAsia="仿宋_GB2312"/>
                <w:kern w:val="0"/>
                <w:sz w:val="20"/>
                <w:szCs w:val="20"/>
              </w:rPr>
              <w:t>职责履行</w:t>
            </w:r>
          </w:p>
        </w:tc>
        <w:tc>
          <w:tcPr>
            <w:tcW w:w="416" w:type="dxa"/>
            <w:tcBorders>
              <w:top w:val="nil"/>
              <w:left w:val="nil"/>
              <w:bottom w:val="single" w:color="auto" w:sz="4" w:space="0"/>
              <w:right w:val="single" w:color="auto" w:sz="4" w:space="0"/>
            </w:tcBorders>
            <w:noWrap w:val="0"/>
            <w:vAlign w:val="center"/>
          </w:tcPr>
          <w:p w14:paraId="283D046B">
            <w:pPr>
              <w:widowControl/>
              <w:jc w:val="center"/>
              <w:rPr>
                <w:rFonts w:eastAsia="仿宋_GB2312"/>
                <w:kern w:val="0"/>
                <w:sz w:val="20"/>
                <w:szCs w:val="20"/>
              </w:rPr>
            </w:pPr>
            <w:r>
              <w:rPr>
                <w:rFonts w:eastAsia="仿宋_GB2312"/>
                <w:kern w:val="0"/>
                <w:sz w:val="20"/>
                <w:szCs w:val="20"/>
              </w:rPr>
              <w:t>8</w:t>
            </w:r>
          </w:p>
        </w:tc>
        <w:tc>
          <w:tcPr>
            <w:tcW w:w="1194" w:type="dxa"/>
            <w:tcBorders>
              <w:top w:val="nil"/>
              <w:left w:val="nil"/>
              <w:bottom w:val="nil"/>
              <w:right w:val="single" w:color="auto" w:sz="4" w:space="0"/>
            </w:tcBorders>
            <w:noWrap w:val="0"/>
            <w:vAlign w:val="center"/>
          </w:tcPr>
          <w:p w14:paraId="18202FE6">
            <w:pPr>
              <w:widowControl/>
              <w:jc w:val="left"/>
              <w:rPr>
                <w:rFonts w:eastAsia="仿宋_GB2312"/>
                <w:kern w:val="0"/>
                <w:sz w:val="20"/>
                <w:szCs w:val="20"/>
              </w:rPr>
            </w:pPr>
            <w:r>
              <w:rPr>
                <w:rFonts w:eastAsia="仿宋_GB2312"/>
                <w:kern w:val="0"/>
                <w:sz w:val="20"/>
                <w:szCs w:val="20"/>
              </w:rPr>
              <w:t>重点工作实际完成率</w:t>
            </w:r>
          </w:p>
        </w:tc>
        <w:tc>
          <w:tcPr>
            <w:tcW w:w="478" w:type="dxa"/>
            <w:tcBorders>
              <w:top w:val="nil"/>
              <w:left w:val="nil"/>
              <w:bottom w:val="single" w:color="auto" w:sz="4" w:space="0"/>
              <w:right w:val="single" w:color="auto" w:sz="4" w:space="0"/>
            </w:tcBorders>
            <w:noWrap w:val="0"/>
            <w:vAlign w:val="center"/>
          </w:tcPr>
          <w:p w14:paraId="5D387393">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noWrap w:val="0"/>
            <w:vAlign w:val="center"/>
          </w:tcPr>
          <w:p w14:paraId="4BA355FF">
            <w:pPr>
              <w:widowControl/>
              <w:jc w:val="left"/>
              <w:rPr>
                <w:rFonts w:hint="eastAsia" w:eastAsia="仿宋_GB2312"/>
                <w:kern w:val="0"/>
                <w:sz w:val="20"/>
                <w:szCs w:val="20"/>
                <w:lang w:eastAsia="zh-CN"/>
              </w:rPr>
            </w:pPr>
            <w:r>
              <w:rPr>
                <w:rFonts w:eastAsia="仿宋_GB2312"/>
                <w:kern w:val="0"/>
                <w:sz w:val="20"/>
                <w:szCs w:val="20"/>
              </w:rPr>
              <w:t>根据绩效办</w:t>
            </w:r>
            <w:r>
              <w:rPr>
                <w:rFonts w:hint="eastAsia" w:eastAsia="仿宋_GB2312"/>
                <w:kern w:val="0"/>
                <w:sz w:val="20"/>
                <w:szCs w:val="20"/>
                <w:lang w:eastAsia="zh-CN"/>
              </w:rPr>
              <w:t>2023</w:t>
            </w:r>
            <w:r>
              <w:rPr>
                <w:rFonts w:eastAsia="仿宋_GB2312"/>
                <w:kern w:val="0"/>
                <w:sz w:val="20"/>
                <w:szCs w:val="20"/>
              </w:rPr>
              <w:t>年对各部门为民办实事和部门重点工程与重点工作考核分数折算。</w:t>
            </w:r>
          </w:p>
          <w:p w14:paraId="7B3DC4E5">
            <w:pPr>
              <w:widowControl/>
              <w:jc w:val="left"/>
              <w:rPr>
                <w:rFonts w:eastAsia="仿宋_GB2312"/>
                <w:kern w:val="0"/>
                <w:sz w:val="20"/>
                <w:szCs w:val="20"/>
              </w:rPr>
            </w:pPr>
            <w:r>
              <w:rPr>
                <w:rFonts w:eastAsia="仿宋_GB2312"/>
                <w:kern w:val="0"/>
                <w:sz w:val="20"/>
                <w:szCs w:val="20"/>
              </w:rPr>
              <w:t>该项得分=</w:t>
            </w:r>
            <w:r>
              <w:rPr>
                <w:rFonts w:ascii="仿宋_GB2312" w:hAnsi="仿宋_GB2312" w:eastAsia="仿宋_GB2312"/>
                <w:kern w:val="0"/>
                <w:sz w:val="20"/>
                <w:szCs w:val="20"/>
              </w:rPr>
              <w:t>（绩效办对应部分考核得分</w:t>
            </w:r>
            <w:r>
              <w:rPr>
                <w:rFonts w:eastAsia="仿宋_GB2312"/>
                <w:kern w:val="0"/>
                <w:sz w:val="20"/>
                <w:szCs w:val="20"/>
              </w:rPr>
              <w:t>/350</w:t>
            </w:r>
            <w:r>
              <w:rPr>
                <w:rFonts w:ascii="仿宋_GB2312" w:hAnsi="仿宋_GB2312" w:eastAsia="仿宋_GB2312"/>
                <w:kern w:val="0"/>
                <w:sz w:val="20"/>
                <w:szCs w:val="20"/>
              </w:rPr>
              <w:t>）</w:t>
            </w:r>
            <w:r>
              <w:rPr>
                <w:rFonts w:eastAsia="仿宋_GB2312"/>
                <w:kern w:val="0"/>
                <w:sz w:val="20"/>
                <w:szCs w:val="20"/>
              </w:rPr>
              <w:t>*8</w:t>
            </w:r>
          </w:p>
        </w:tc>
        <w:tc>
          <w:tcPr>
            <w:tcW w:w="3402" w:type="dxa"/>
            <w:tcBorders>
              <w:top w:val="nil"/>
              <w:left w:val="nil"/>
              <w:bottom w:val="single" w:color="auto" w:sz="4" w:space="0"/>
              <w:right w:val="single" w:color="auto" w:sz="4" w:space="0"/>
            </w:tcBorders>
            <w:noWrap w:val="0"/>
            <w:vAlign w:val="center"/>
          </w:tcPr>
          <w:p w14:paraId="315A99BD">
            <w:pPr>
              <w:widowControl/>
              <w:jc w:val="left"/>
              <w:rPr>
                <w:rFonts w:eastAsia="仿宋_GB2312"/>
                <w:kern w:val="0"/>
                <w:sz w:val="20"/>
                <w:szCs w:val="20"/>
              </w:rPr>
            </w:pPr>
            <w:r>
              <w:rPr>
                <w:rFonts w:eastAsia="仿宋_GB2312"/>
                <w:kern w:val="0"/>
                <w:sz w:val="20"/>
                <w:szCs w:val="20"/>
              </w:rPr>
              <w:t>　</w:t>
            </w:r>
          </w:p>
        </w:tc>
        <w:tc>
          <w:tcPr>
            <w:tcW w:w="522" w:type="dxa"/>
            <w:tcBorders>
              <w:top w:val="nil"/>
              <w:left w:val="nil"/>
              <w:bottom w:val="single" w:color="auto" w:sz="4" w:space="0"/>
              <w:right w:val="single" w:color="auto" w:sz="4" w:space="0"/>
            </w:tcBorders>
            <w:noWrap w:val="0"/>
            <w:vAlign w:val="center"/>
          </w:tcPr>
          <w:p w14:paraId="1A0B825E">
            <w:pPr>
              <w:widowControl/>
              <w:jc w:val="left"/>
              <w:rPr>
                <w:kern w:val="0"/>
                <w:sz w:val="24"/>
              </w:rPr>
            </w:pPr>
            <w:r>
              <w:rPr>
                <w:rFonts w:hint="eastAsia"/>
                <w:kern w:val="0"/>
                <w:sz w:val="24"/>
                <w:lang w:val="en-US" w:eastAsia="zh-CN"/>
              </w:rPr>
              <w:t>8</w:t>
            </w:r>
            <w:r>
              <w:rPr>
                <w:kern w:val="0"/>
                <w:sz w:val="24"/>
              </w:rPr>
              <w:t>　</w:t>
            </w:r>
          </w:p>
        </w:tc>
      </w:tr>
      <w:tr w14:paraId="5760892F">
        <w:tblPrEx>
          <w:tblCellMar>
            <w:top w:w="0" w:type="dxa"/>
            <w:left w:w="108" w:type="dxa"/>
            <w:bottom w:w="0" w:type="dxa"/>
            <w:right w:w="108" w:type="dxa"/>
          </w:tblCellMar>
        </w:tblPrEx>
        <w:trPr>
          <w:gridAfter w:val="1"/>
          <w:wAfter w:w="8" w:type="dxa"/>
          <w:trHeight w:val="445"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34AD7D02">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1D5BAC17">
            <w:pPr>
              <w:widowControl/>
              <w:jc w:val="left"/>
              <w:rPr>
                <w:rFonts w:eastAsia="仿宋_GB2312"/>
                <w:kern w:val="0"/>
                <w:sz w:val="20"/>
                <w:szCs w:val="20"/>
              </w:rPr>
            </w:pPr>
          </w:p>
        </w:tc>
        <w:tc>
          <w:tcPr>
            <w:tcW w:w="677" w:type="dxa"/>
            <w:gridSpan w:val="2"/>
            <w:vMerge w:val="restart"/>
            <w:tcBorders>
              <w:top w:val="nil"/>
              <w:left w:val="nil"/>
              <w:bottom w:val="single" w:color="000000" w:sz="4" w:space="0"/>
              <w:right w:val="single" w:color="auto" w:sz="4" w:space="0"/>
            </w:tcBorders>
            <w:noWrap w:val="0"/>
            <w:vAlign w:val="center"/>
          </w:tcPr>
          <w:p w14:paraId="6D4179DB">
            <w:pPr>
              <w:widowControl/>
              <w:jc w:val="center"/>
              <w:rPr>
                <w:rFonts w:eastAsia="仿宋_GB2312"/>
                <w:kern w:val="0"/>
                <w:sz w:val="20"/>
                <w:szCs w:val="20"/>
              </w:rPr>
            </w:pPr>
            <w:r>
              <w:rPr>
                <w:rFonts w:eastAsia="仿宋_GB2312"/>
                <w:kern w:val="0"/>
                <w:sz w:val="20"/>
                <w:szCs w:val="20"/>
              </w:rPr>
              <w:t>履职 效益</w:t>
            </w:r>
          </w:p>
        </w:tc>
        <w:tc>
          <w:tcPr>
            <w:tcW w:w="416" w:type="dxa"/>
            <w:vMerge w:val="restart"/>
            <w:tcBorders>
              <w:top w:val="nil"/>
              <w:left w:val="nil"/>
              <w:bottom w:val="single" w:color="000000" w:sz="4" w:space="0"/>
              <w:right w:val="single" w:color="auto" w:sz="4" w:space="0"/>
            </w:tcBorders>
            <w:noWrap w:val="0"/>
            <w:vAlign w:val="center"/>
          </w:tcPr>
          <w:p w14:paraId="021C9147">
            <w:pPr>
              <w:widowControl/>
              <w:jc w:val="center"/>
              <w:rPr>
                <w:rFonts w:eastAsia="仿宋_GB2312"/>
                <w:kern w:val="0"/>
                <w:sz w:val="20"/>
                <w:szCs w:val="20"/>
              </w:rPr>
            </w:pPr>
            <w:r>
              <w:rPr>
                <w:rFonts w:eastAsia="仿宋_GB2312"/>
                <w:kern w:val="0"/>
                <w:sz w:val="20"/>
                <w:szCs w:val="20"/>
              </w:rPr>
              <w:t>10</w:t>
            </w:r>
          </w:p>
        </w:tc>
        <w:tc>
          <w:tcPr>
            <w:tcW w:w="1194" w:type="dxa"/>
            <w:tcBorders>
              <w:top w:val="single" w:color="auto" w:sz="4" w:space="0"/>
              <w:left w:val="nil"/>
              <w:bottom w:val="single" w:color="auto" w:sz="4" w:space="0"/>
              <w:right w:val="single" w:color="auto" w:sz="4" w:space="0"/>
            </w:tcBorders>
            <w:noWrap w:val="0"/>
            <w:vAlign w:val="center"/>
          </w:tcPr>
          <w:p w14:paraId="7F93EE8A">
            <w:pPr>
              <w:widowControl/>
              <w:jc w:val="center"/>
              <w:rPr>
                <w:rFonts w:eastAsia="仿宋_GB2312"/>
                <w:kern w:val="0"/>
                <w:sz w:val="20"/>
                <w:szCs w:val="20"/>
              </w:rPr>
            </w:pPr>
            <w:r>
              <w:rPr>
                <w:rFonts w:eastAsia="仿宋_GB2312"/>
                <w:kern w:val="0"/>
                <w:sz w:val="20"/>
                <w:szCs w:val="20"/>
              </w:rPr>
              <w:t>经济效益</w:t>
            </w:r>
          </w:p>
        </w:tc>
        <w:tc>
          <w:tcPr>
            <w:tcW w:w="478" w:type="dxa"/>
            <w:vMerge w:val="restart"/>
            <w:tcBorders>
              <w:top w:val="nil"/>
              <w:left w:val="nil"/>
              <w:bottom w:val="nil"/>
              <w:right w:val="single" w:color="auto" w:sz="4" w:space="0"/>
            </w:tcBorders>
            <w:noWrap w:val="0"/>
            <w:vAlign w:val="center"/>
          </w:tcPr>
          <w:p w14:paraId="4C15B977">
            <w:pPr>
              <w:widowControl/>
              <w:jc w:val="center"/>
              <w:rPr>
                <w:rFonts w:eastAsia="仿宋_GB2312"/>
                <w:kern w:val="0"/>
                <w:sz w:val="20"/>
                <w:szCs w:val="20"/>
              </w:rPr>
            </w:pPr>
            <w:r>
              <w:rPr>
                <w:rFonts w:eastAsia="仿宋_GB2312"/>
                <w:kern w:val="0"/>
                <w:sz w:val="20"/>
                <w:szCs w:val="20"/>
              </w:rPr>
              <w:t>10</w:t>
            </w:r>
          </w:p>
        </w:tc>
        <w:tc>
          <w:tcPr>
            <w:tcW w:w="6379" w:type="dxa"/>
            <w:gridSpan w:val="2"/>
            <w:vMerge w:val="restart"/>
            <w:tcBorders>
              <w:top w:val="nil"/>
              <w:left w:val="nil"/>
              <w:bottom w:val="nil"/>
              <w:right w:val="single" w:color="000000" w:sz="4" w:space="0"/>
            </w:tcBorders>
            <w:noWrap w:val="0"/>
            <w:vAlign w:val="center"/>
          </w:tcPr>
          <w:p w14:paraId="49CF2A32">
            <w:pPr>
              <w:widowControl/>
              <w:jc w:val="left"/>
              <w:rPr>
                <w:rFonts w:eastAsia="仿宋_GB2312"/>
                <w:kern w:val="0"/>
                <w:sz w:val="20"/>
                <w:szCs w:val="20"/>
              </w:rPr>
            </w:pPr>
            <w:r>
              <w:rPr>
                <w:rFonts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2" w:type="dxa"/>
            <w:tcBorders>
              <w:top w:val="nil"/>
              <w:left w:val="nil"/>
              <w:bottom w:val="nil"/>
              <w:right w:val="single" w:color="auto" w:sz="4" w:space="0"/>
            </w:tcBorders>
            <w:noWrap w:val="0"/>
            <w:vAlign w:val="center"/>
          </w:tcPr>
          <w:p w14:paraId="260B23EE">
            <w:pPr>
              <w:widowControl/>
              <w:jc w:val="left"/>
              <w:rPr>
                <w:kern w:val="0"/>
                <w:sz w:val="24"/>
              </w:rPr>
            </w:pPr>
            <w:r>
              <w:rPr>
                <w:rFonts w:hint="eastAsia"/>
                <w:kern w:val="0"/>
                <w:sz w:val="24"/>
                <w:lang w:val="en-US" w:eastAsia="zh-CN"/>
              </w:rPr>
              <w:t>9</w:t>
            </w:r>
            <w:r>
              <w:rPr>
                <w:kern w:val="0"/>
                <w:sz w:val="24"/>
              </w:rPr>
              <w:t>　</w:t>
            </w:r>
          </w:p>
        </w:tc>
      </w:tr>
      <w:tr w14:paraId="15C0D27B">
        <w:tblPrEx>
          <w:tblCellMar>
            <w:top w:w="0" w:type="dxa"/>
            <w:left w:w="108" w:type="dxa"/>
            <w:bottom w:w="0" w:type="dxa"/>
            <w:right w:w="108" w:type="dxa"/>
          </w:tblCellMar>
        </w:tblPrEx>
        <w:trPr>
          <w:gridAfter w:val="1"/>
          <w:wAfter w:w="8" w:type="dxa"/>
          <w:trHeight w:val="38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32D38D1C">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6919924A">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14:paraId="415D2F6B">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5F6C6345">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14:paraId="55D561AF">
            <w:pPr>
              <w:widowControl/>
              <w:jc w:val="center"/>
              <w:rPr>
                <w:rFonts w:eastAsia="仿宋_GB2312"/>
                <w:kern w:val="0"/>
                <w:sz w:val="20"/>
                <w:szCs w:val="20"/>
              </w:rPr>
            </w:pPr>
            <w:r>
              <w:rPr>
                <w:rFonts w:eastAsia="仿宋_GB2312"/>
                <w:kern w:val="0"/>
                <w:sz w:val="20"/>
                <w:szCs w:val="20"/>
              </w:rPr>
              <w:t>社会效益</w:t>
            </w:r>
          </w:p>
        </w:tc>
        <w:tc>
          <w:tcPr>
            <w:tcW w:w="478" w:type="dxa"/>
            <w:vMerge w:val="continue"/>
            <w:tcBorders>
              <w:top w:val="nil"/>
              <w:left w:val="nil"/>
              <w:bottom w:val="nil"/>
              <w:right w:val="single" w:color="auto" w:sz="4" w:space="0"/>
            </w:tcBorders>
            <w:noWrap w:val="0"/>
            <w:vAlign w:val="center"/>
          </w:tcPr>
          <w:p w14:paraId="50784B91">
            <w:pPr>
              <w:widowControl/>
              <w:jc w:val="left"/>
              <w:rPr>
                <w:rFonts w:eastAsia="仿宋_GB2312"/>
                <w:kern w:val="0"/>
                <w:sz w:val="20"/>
                <w:szCs w:val="20"/>
              </w:rPr>
            </w:pPr>
          </w:p>
        </w:tc>
        <w:tc>
          <w:tcPr>
            <w:tcW w:w="6379" w:type="dxa"/>
            <w:gridSpan w:val="2"/>
            <w:vMerge w:val="continue"/>
            <w:tcBorders>
              <w:top w:val="nil"/>
              <w:left w:val="nil"/>
              <w:bottom w:val="nil"/>
              <w:right w:val="single" w:color="000000" w:sz="4" w:space="0"/>
            </w:tcBorders>
            <w:noWrap w:val="0"/>
            <w:vAlign w:val="center"/>
          </w:tcPr>
          <w:p w14:paraId="6865FAA3">
            <w:pPr>
              <w:widowControl/>
              <w:jc w:val="left"/>
              <w:rPr>
                <w:rFonts w:eastAsia="仿宋_GB2312"/>
                <w:kern w:val="0"/>
                <w:sz w:val="20"/>
                <w:szCs w:val="20"/>
              </w:rPr>
            </w:pPr>
          </w:p>
        </w:tc>
        <w:tc>
          <w:tcPr>
            <w:tcW w:w="522" w:type="dxa"/>
            <w:tcBorders>
              <w:top w:val="nil"/>
              <w:left w:val="nil"/>
              <w:bottom w:val="nil"/>
              <w:right w:val="single" w:color="auto" w:sz="4" w:space="0"/>
            </w:tcBorders>
            <w:noWrap w:val="0"/>
            <w:vAlign w:val="center"/>
          </w:tcPr>
          <w:p w14:paraId="6F3FDFC4">
            <w:pPr>
              <w:widowControl/>
              <w:jc w:val="left"/>
              <w:rPr>
                <w:kern w:val="0"/>
                <w:sz w:val="24"/>
              </w:rPr>
            </w:pPr>
            <w:r>
              <w:rPr>
                <w:kern w:val="0"/>
                <w:sz w:val="24"/>
              </w:rPr>
              <w:t>　</w:t>
            </w:r>
          </w:p>
        </w:tc>
      </w:tr>
      <w:tr w14:paraId="1E168217">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noWrap w:val="0"/>
            <w:vAlign w:val="center"/>
          </w:tcPr>
          <w:p w14:paraId="717E5722">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14:paraId="6D6AAFFB">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14:paraId="6BD16606">
            <w:pPr>
              <w:widowControl/>
              <w:jc w:val="left"/>
              <w:rPr>
                <w:rFonts w:eastAsia="仿宋_GB2312"/>
                <w:kern w:val="0"/>
                <w:sz w:val="20"/>
                <w:szCs w:val="20"/>
              </w:rPr>
            </w:pPr>
          </w:p>
        </w:tc>
        <w:tc>
          <w:tcPr>
            <w:tcW w:w="416" w:type="dxa"/>
            <w:vMerge w:val="restart"/>
            <w:tcBorders>
              <w:top w:val="nil"/>
              <w:left w:val="nil"/>
              <w:bottom w:val="single" w:color="000000" w:sz="4" w:space="0"/>
              <w:right w:val="single" w:color="auto" w:sz="4" w:space="0"/>
            </w:tcBorders>
            <w:noWrap w:val="0"/>
            <w:vAlign w:val="center"/>
          </w:tcPr>
          <w:p w14:paraId="1E5F461F">
            <w:pPr>
              <w:widowControl/>
              <w:jc w:val="center"/>
              <w:rPr>
                <w:rFonts w:eastAsia="仿宋_GB2312"/>
                <w:kern w:val="0"/>
                <w:sz w:val="20"/>
                <w:szCs w:val="20"/>
              </w:rPr>
            </w:pPr>
            <w:r>
              <w:rPr>
                <w:rFonts w:eastAsia="仿宋_GB2312"/>
                <w:kern w:val="0"/>
                <w:sz w:val="20"/>
                <w:szCs w:val="20"/>
              </w:rPr>
              <w:t>12</w:t>
            </w:r>
          </w:p>
        </w:tc>
        <w:tc>
          <w:tcPr>
            <w:tcW w:w="1194" w:type="dxa"/>
            <w:tcBorders>
              <w:top w:val="nil"/>
              <w:left w:val="nil"/>
              <w:bottom w:val="single" w:color="auto" w:sz="4" w:space="0"/>
              <w:right w:val="single" w:color="auto" w:sz="4" w:space="0"/>
            </w:tcBorders>
            <w:noWrap w:val="0"/>
            <w:vAlign w:val="center"/>
          </w:tcPr>
          <w:p w14:paraId="5A270F7C">
            <w:pPr>
              <w:widowControl/>
              <w:jc w:val="left"/>
              <w:rPr>
                <w:rFonts w:eastAsia="仿宋_GB2312"/>
                <w:kern w:val="0"/>
                <w:sz w:val="20"/>
                <w:szCs w:val="20"/>
              </w:rPr>
            </w:pPr>
            <w:r>
              <w:rPr>
                <w:rFonts w:eastAsia="仿宋_GB2312"/>
                <w:kern w:val="0"/>
                <w:sz w:val="20"/>
                <w:szCs w:val="20"/>
              </w:rPr>
              <w:t>行政效能</w:t>
            </w:r>
          </w:p>
        </w:tc>
        <w:tc>
          <w:tcPr>
            <w:tcW w:w="478" w:type="dxa"/>
            <w:tcBorders>
              <w:top w:val="single" w:color="auto" w:sz="4" w:space="0"/>
              <w:left w:val="nil"/>
              <w:bottom w:val="single" w:color="auto" w:sz="4" w:space="0"/>
              <w:right w:val="single" w:color="auto" w:sz="4" w:space="0"/>
            </w:tcBorders>
            <w:noWrap w:val="0"/>
            <w:vAlign w:val="center"/>
          </w:tcPr>
          <w:p w14:paraId="3D6A6EE5">
            <w:pPr>
              <w:widowControl/>
              <w:jc w:val="center"/>
              <w:rPr>
                <w:rFonts w:eastAsia="仿宋_GB2312"/>
                <w:kern w:val="0"/>
                <w:sz w:val="20"/>
                <w:szCs w:val="20"/>
              </w:rPr>
            </w:pPr>
            <w:r>
              <w:rPr>
                <w:rFonts w:eastAsia="仿宋_GB2312"/>
                <w:kern w:val="0"/>
                <w:sz w:val="20"/>
                <w:szCs w:val="20"/>
              </w:rPr>
              <w:t>6</w:t>
            </w:r>
          </w:p>
        </w:tc>
        <w:tc>
          <w:tcPr>
            <w:tcW w:w="2977" w:type="dxa"/>
            <w:tcBorders>
              <w:top w:val="single" w:color="auto" w:sz="4" w:space="0"/>
              <w:left w:val="nil"/>
              <w:bottom w:val="single" w:color="auto" w:sz="4" w:space="0"/>
              <w:right w:val="single" w:color="auto" w:sz="4" w:space="0"/>
            </w:tcBorders>
            <w:noWrap w:val="0"/>
            <w:vAlign w:val="center"/>
          </w:tcPr>
          <w:p w14:paraId="5F2AA43D">
            <w:pPr>
              <w:widowControl/>
              <w:jc w:val="left"/>
              <w:rPr>
                <w:rFonts w:eastAsia="仿宋_GB2312"/>
                <w:kern w:val="0"/>
                <w:sz w:val="20"/>
                <w:szCs w:val="20"/>
              </w:rPr>
            </w:pPr>
            <w:r>
              <w:rPr>
                <w:rFonts w:eastAsia="仿宋_GB2312"/>
                <w:kern w:val="0"/>
                <w:sz w:val="20"/>
                <w:szCs w:val="20"/>
              </w:rPr>
              <w:t>促进部门改进文风会风，加强经费及资产管理，推动网上办事，提高行政效率，降低行政成本效果较好的计6</w:t>
            </w:r>
            <w:r>
              <w:rPr>
                <w:rFonts w:ascii="仿宋_GB2312" w:hAnsi="仿宋_GB2312" w:eastAsia="仿宋_GB2312"/>
                <w:kern w:val="0"/>
                <w:sz w:val="20"/>
                <w:szCs w:val="20"/>
              </w:rPr>
              <w:t>分；一般</w:t>
            </w:r>
            <w:r>
              <w:rPr>
                <w:rFonts w:eastAsia="仿宋_GB2312"/>
                <w:kern w:val="0"/>
                <w:sz w:val="20"/>
                <w:szCs w:val="20"/>
              </w:rPr>
              <w:t>3</w:t>
            </w:r>
            <w:r>
              <w:rPr>
                <w:rFonts w:ascii="仿宋_GB2312" w:hAnsi="仿宋_GB2312" w:eastAsia="仿宋_GB2312"/>
                <w:kern w:val="0"/>
                <w:sz w:val="20"/>
                <w:szCs w:val="20"/>
              </w:rPr>
              <w:t>分；无效果或者效果不明显</w:t>
            </w:r>
            <w:r>
              <w:rPr>
                <w:rFonts w:eastAsia="仿宋_GB2312"/>
                <w:kern w:val="0"/>
                <w:sz w:val="20"/>
                <w:szCs w:val="20"/>
              </w:rPr>
              <w:t>0</w:t>
            </w:r>
            <w:r>
              <w:rPr>
                <w:rFonts w:ascii="仿宋_GB2312" w:hAnsi="仿宋_GB2312" w:eastAsia="仿宋_GB2312"/>
                <w:kern w:val="0"/>
                <w:sz w:val="20"/>
                <w:szCs w:val="20"/>
              </w:rPr>
              <w:t>分。</w:t>
            </w:r>
          </w:p>
        </w:tc>
        <w:tc>
          <w:tcPr>
            <w:tcW w:w="3402" w:type="dxa"/>
            <w:tcBorders>
              <w:top w:val="single" w:color="auto" w:sz="4" w:space="0"/>
              <w:left w:val="nil"/>
              <w:bottom w:val="single" w:color="auto" w:sz="4" w:space="0"/>
              <w:right w:val="single" w:color="auto" w:sz="4" w:space="0"/>
            </w:tcBorders>
            <w:noWrap w:val="0"/>
            <w:vAlign w:val="center"/>
          </w:tcPr>
          <w:p w14:paraId="1B3327AD">
            <w:pPr>
              <w:widowControl/>
              <w:jc w:val="left"/>
              <w:rPr>
                <w:rFonts w:eastAsia="仿宋_GB2312"/>
                <w:kern w:val="0"/>
                <w:sz w:val="20"/>
                <w:szCs w:val="20"/>
              </w:rPr>
            </w:pPr>
            <w:r>
              <w:rPr>
                <w:rFonts w:eastAsia="仿宋_GB2312"/>
                <w:kern w:val="0"/>
                <w:sz w:val="20"/>
                <w:szCs w:val="20"/>
              </w:rPr>
              <w:t>根据部门自评材料评定。</w:t>
            </w:r>
          </w:p>
        </w:tc>
        <w:tc>
          <w:tcPr>
            <w:tcW w:w="522" w:type="dxa"/>
            <w:tcBorders>
              <w:top w:val="single" w:color="auto" w:sz="4" w:space="0"/>
              <w:left w:val="nil"/>
              <w:bottom w:val="single" w:color="auto" w:sz="4" w:space="0"/>
              <w:right w:val="single" w:color="auto" w:sz="4" w:space="0"/>
            </w:tcBorders>
            <w:noWrap w:val="0"/>
            <w:vAlign w:val="center"/>
          </w:tcPr>
          <w:p w14:paraId="470BB082">
            <w:pPr>
              <w:widowControl/>
              <w:jc w:val="left"/>
              <w:rPr>
                <w:kern w:val="0"/>
                <w:sz w:val="24"/>
              </w:rPr>
            </w:pPr>
            <w:r>
              <w:rPr>
                <w:rFonts w:hint="eastAsia"/>
                <w:kern w:val="0"/>
                <w:sz w:val="24"/>
                <w:lang w:val="en-US" w:eastAsia="zh-CN"/>
              </w:rPr>
              <w:t>5</w:t>
            </w:r>
            <w:r>
              <w:rPr>
                <w:kern w:val="0"/>
                <w:sz w:val="24"/>
              </w:rPr>
              <w:t>　</w:t>
            </w:r>
          </w:p>
        </w:tc>
      </w:tr>
      <w:tr w14:paraId="2EDF02F6">
        <w:tblPrEx>
          <w:tblCellMar>
            <w:top w:w="0" w:type="dxa"/>
            <w:left w:w="108" w:type="dxa"/>
            <w:bottom w:w="0" w:type="dxa"/>
            <w:right w:w="108" w:type="dxa"/>
          </w:tblCellMar>
        </w:tblPrEx>
        <w:trPr>
          <w:gridAfter w:val="1"/>
          <w:wAfter w:w="8" w:type="dxa"/>
          <w:trHeight w:val="1241" w:hRule="atLeast"/>
          <w:jc w:val="center"/>
        </w:trPr>
        <w:tc>
          <w:tcPr>
            <w:tcW w:w="518" w:type="dxa"/>
            <w:vMerge w:val="continue"/>
            <w:tcBorders>
              <w:top w:val="nil"/>
              <w:left w:val="single" w:color="auto" w:sz="4" w:space="0"/>
              <w:bottom w:val="nil"/>
              <w:right w:val="single" w:color="auto" w:sz="4" w:space="0"/>
            </w:tcBorders>
            <w:noWrap w:val="0"/>
            <w:vAlign w:val="center"/>
          </w:tcPr>
          <w:p w14:paraId="49361034">
            <w:pPr>
              <w:widowControl/>
              <w:jc w:val="left"/>
              <w:rPr>
                <w:rFonts w:eastAsia="仿宋_GB2312"/>
                <w:kern w:val="0"/>
                <w:sz w:val="20"/>
                <w:szCs w:val="20"/>
              </w:rPr>
            </w:pPr>
          </w:p>
        </w:tc>
        <w:tc>
          <w:tcPr>
            <w:tcW w:w="416" w:type="dxa"/>
            <w:vMerge w:val="continue"/>
            <w:tcBorders>
              <w:top w:val="nil"/>
              <w:left w:val="nil"/>
              <w:bottom w:val="nil"/>
              <w:right w:val="single" w:color="auto" w:sz="4" w:space="0"/>
            </w:tcBorders>
            <w:noWrap w:val="0"/>
            <w:vAlign w:val="center"/>
          </w:tcPr>
          <w:p w14:paraId="20F16727">
            <w:pPr>
              <w:widowControl/>
              <w:jc w:val="left"/>
              <w:rPr>
                <w:rFonts w:eastAsia="仿宋_GB2312"/>
                <w:kern w:val="0"/>
                <w:sz w:val="20"/>
                <w:szCs w:val="20"/>
              </w:rPr>
            </w:pPr>
          </w:p>
        </w:tc>
        <w:tc>
          <w:tcPr>
            <w:tcW w:w="677" w:type="dxa"/>
            <w:gridSpan w:val="2"/>
            <w:vMerge w:val="continue"/>
            <w:tcBorders>
              <w:top w:val="nil"/>
              <w:left w:val="nil"/>
              <w:bottom w:val="nil"/>
              <w:right w:val="single" w:color="auto" w:sz="4" w:space="0"/>
            </w:tcBorders>
            <w:noWrap w:val="0"/>
            <w:vAlign w:val="center"/>
          </w:tcPr>
          <w:p w14:paraId="318E7B25">
            <w:pPr>
              <w:widowControl/>
              <w:jc w:val="left"/>
              <w:rPr>
                <w:rFonts w:eastAsia="仿宋_GB2312"/>
                <w:kern w:val="0"/>
                <w:sz w:val="20"/>
                <w:szCs w:val="20"/>
              </w:rPr>
            </w:pPr>
          </w:p>
        </w:tc>
        <w:tc>
          <w:tcPr>
            <w:tcW w:w="416" w:type="dxa"/>
            <w:vMerge w:val="continue"/>
            <w:tcBorders>
              <w:top w:val="nil"/>
              <w:left w:val="nil"/>
              <w:bottom w:val="nil"/>
              <w:right w:val="single" w:color="auto" w:sz="4" w:space="0"/>
            </w:tcBorders>
            <w:noWrap w:val="0"/>
            <w:vAlign w:val="center"/>
          </w:tcPr>
          <w:p w14:paraId="63BBF7DA">
            <w:pPr>
              <w:widowControl/>
              <w:jc w:val="left"/>
              <w:rPr>
                <w:rFonts w:eastAsia="仿宋_GB2312"/>
                <w:kern w:val="0"/>
                <w:sz w:val="20"/>
                <w:szCs w:val="20"/>
              </w:rPr>
            </w:pPr>
          </w:p>
        </w:tc>
        <w:tc>
          <w:tcPr>
            <w:tcW w:w="1194" w:type="dxa"/>
            <w:tcBorders>
              <w:top w:val="nil"/>
              <w:left w:val="nil"/>
              <w:bottom w:val="nil"/>
              <w:right w:val="single" w:color="auto" w:sz="4" w:space="0"/>
            </w:tcBorders>
            <w:noWrap w:val="0"/>
            <w:vAlign w:val="center"/>
          </w:tcPr>
          <w:p w14:paraId="69301C70">
            <w:pPr>
              <w:widowControl/>
              <w:jc w:val="left"/>
              <w:rPr>
                <w:rFonts w:eastAsia="仿宋_GB2312"/>
                <w:kern w:val="0"/>
                <w:sz w:val="20"/>
                <w:szCs w:val="20"/>
              </w:rPr>
            </w:pPr>
            <w:r>
              <w:rPr>
                <w:rFonts w:eastAsia="仿宋_GB2312"/>
                <w:kern w:val="0"/>
                <w:sz w:val="20"/>
                <w:szCs w:val="20"/>
              </w:rPr>
              <w:t>社会公众或服务对象满意度</w:t>
            </w:r>
          </w:p>
        </w:tc>
        <w:tc>
          <w:tcPr>
            <w:tcW w:w="478" w:type="dxa"/>
            <w:tcBorders>
              <w:top w:val="nil"/>
              <w:left w:val="nil"/>
              <w:bottom w:val="nil"/>
              <w:right w:val="single" w:color="auto" w:sz="4" w:space="0"/>
            </w:tcBorders>
            <w:noWrap w:val="0"/>
            <w:vAlign w:val="center"/>
          </w:tcPr>
          <w:p w14:paraId="223787F8">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nil"/>
              <w:right w:val="single" w:color="auto" w:sz="4" w:space="0"/>
            </w:tcBorders>
            <w:noWrap w:val="0"/>
            <w:vAlign w:val="center"/>
          </w:tcPr>
          <w:p w14:paraId="38DD9468">
            <w:pPr>
              <w:widowControl/>
              <w:jc w:val="left"/>
              <w:rPr>
                <w:rFonts w:hint="eastAsia" w:ascii="仿宋_GB2312" w:hAnsi="仿宋_GB2312" w:eastAsia="仿宋_GB2312"/>
                <w:kern w:val="0"/>
                <w:sz w:val="20"/>
                <w:szCs w:val="20"/>
                <w:lang w:eastAsia="zh-CN"/>
              </w:rPr>
            </w:pPr>
            <w:r>
              <w:rPr>
                <w:rFonts w:eastAsia="仿宋_GB2312"/>
                <w:kern w:val="0"/>
                <w:sz w:val="20"/>
                <w:szCs w:val="20"/>
              </w:rPr>
              <w:t>90%</w:t>
            </w:r>
            <w:r>
              <w:rPr>
                <w:rFonts w:ascii="仿宋_GB2312" w:hAnsi="仿宋_GB2312" w:eastAsia="仿宋_GB2312"/>
                <w:kern w:val="0"/>
                <w:sz w:val="20"/>
                <w:szCs w:val="20"/>
              </w:rPr>
              <w:t>（含）以上计</w:t>
            </w:r>
            <w:r>
              <w:rPr>
                <w:rFonts w:eastAsia="仿宋_GB2312"/>
                <w:kern w:val="0"/>
                <w:sz w:val="20"/>
                <w:szCs w:val="20"/>
              </w:rPr>
              <w:t>6</w:t>
            </w:r>
            <w:r>
              <w:rPr>
                <w:rFonts w:ascii="仿宋_GB2312" w:hAnsi="仿宋_GB2312" w:eastAsia="仿宋_GB2312"/>
                <w:kern w:val="0"/>
                <w:sz w:val="20"/>
                <w:szCs w:val="20"/>
              </w:rPr>
              <w:t>分；</w:t>
            </w:r>
          </w:p>
          <w:p w14:paraId="7002A97C">
            <w:pPr>
              <w:widowControl/>
              <w:jc w:val="left"/>
              <w:rPr>
                <w:rFonts w:hint="eastAsia" w:ascii="仿宋_GB2312" w:hAnsi="仿宋_GB2312" w:eastAsia="仿宋_GB2312"/>
                <w:kern w:val="0"/>
                <w:sz w:val="20"/>
                <w:szCs w:val="20"/>
                <w:lang w:eastAsia="zh-CN"/>
              </w:rPr>
            </w:pPr>
            <w:r>
              <w:rPr>
                <w:rFonts w:eastAsia="仿宋_GB2312"/>
                <w:kern w:val="0"/>
                <w:sz w:val="20"/>
                <w:szCs w:val="20"/>
              </w:rPr>
              <w:t>80%</w:t>
            </w:r>
            <w:r>
              <w:rPr>
                <w:rFonts w:ascii="仿宋_GB2312" w:hAnsi="仿宋_GB2312" w:eastAsia="仿宋_GB2312"/>
                <w:kern w:val="0"/>
                <w:sz w:val="20"/>
                <w:szCs w:val="20"/>
              </w:rPr>
              <w:t>（含）</w:t>
            </w:r>
            <w:r>
              <w:rPr>
                <w:rFonts w:eastAsia="仿宋_GB2312"/>
                <w:kern w:val="0"/>
                <w:sz w:val="20"/>
                <w:szCs w:val="20"/>
              </w:rPr>
              <w:t>-90%</w:t>
            </w:r>
            <w:r>
              <w:rPr>
                <w:rFonts w:ascii="仿宋_GB2312" w:hAnsi="仿宋_GB2312" w:eastAsia="仿宋_GB2312"/>
                <w:kern w:val="0"/>
                <w:sz w:val="20"/>
                <w:szCs w:val="20"/>
              </w:rPr>
              <w:t>，计</w:t>
            </w:r>
            <w:r>
              <w:rPr>
                <w:rFonts w:eastAsia="仿宋_GB2312"/>
                <w:kern w:val="0"/>
                <w:sz w:val="20"/>
                <w:szCs w:val="20"/>
              </w:rPr>
              <w:t>4</w:t>
            </w:r>
            <w:r>
              <w:rPr>
                <w:rFonts w:ascii="仿宋_GB2312" w:hAnsi="仿宋_GB2312" w:eastAsia="仿宋_GB2312"/>
                <w:kern w:val="0"/>
                <w:sz w:val="20"/>
                <w:szCs w:val="20"/>
              </w:rPr>
              <w:t>分；</w:t>
            </w:r>
          </w:p>
          <w:p w14:paraId="600D1D0D">
            <w:pPr>
              <w:widowControl/>
              <w:jc w:val="left"/>
              <w:rPr>
                <w:rFonts w:hint="eastAsia" w:ascii="仿宋_GB2312" w:hAnsi="仿宋_GB2312" w:eastAsia="仿宋_GB2312"/>
                <w:kern w:val="0"/>
                <w:sz w:val="20"/>
                <w:szCs w:val="20"/>
                <w:lang w:eastAsia="zh-CN"/>
              </w:rPr>
            </w:pPr>
            <w:r>
              <w:rPr>
                <w:rFonts w:eastAsia="仿宋_GB2312"/>
                <w:kern w:val="0"/>
                <w:sz w:val="20"/>
                <w:szCs w:val="20"/>
              </w:rPr>
              <w:t>70%</w:t>
            </w:r>
            <w:r>
              <w:rPr>
                <w:rFonts w:ascii="仿宋_GB2312" w:hAnsi="仿宋_GB2312" w:eastAsia="仿宋_GB2312"/>
                <w:kern w:val="0"/>
                <w:sz w:val="20"/>
                <w:szCs w:val="20"/>
              </w:rPr>
              <w:t>（含）</w:t>
            </w:r>
            <w:r>
              <w:rPr>
                <w:rFonts w:eastAsia="仿宋_GB2312"/>
                <w:kern w:val="0"/>
                <w:sz w:val="20"/>
                <w:szCs w:val="20"/>
              </w:rPr>
              <w:t>-80%</w:t>
            </w:r>
            <w:r>
              <w:rPr>
                <w:rFonts w:ascii="仿宋_GB2312" w:hAnsi="仿宋_GB2312" w:eastAsia="仿宋_GB2312"/>
                <w:kern w:val="0"/>
                <w:sz w:val="20"/>
                <w:szCs w:val="20"/>
              </w:rPr>
              <w:t>，计</w:t>
            </w:r>
            <w:r>
              <w:rPr>
                <w:rFonts w:eastAsia="仿宋_GB2312"/>
                <w:kern w:val="0"/>
                <w:sz w:val="20"/>
                <w:szCs w:val="20"/>
              </w:rPr>
              <w:t>2</w:t>
            </w:r>
            <w:r>
              <w:rPr>
                <w:rFonts w:ascii="仿宋_GB2312" w:hAnsi="仿宋_GB2312" w:eastAsia="仿宋_GB2312"/>
                <w:kern w:val="0"/>
                <w:sz w:val="20"/>
                <w:szCs w:val="20"/>
              </w:rPr>
              <w:t>分；</w:t>
            </w:r>
          </w:p>
          <w:p w14:paraId="116132DD">
            <w:pPr>
              <w:widowControl/>
              <w:jc w:val="left"/>
              <w:rPr>
                <w:rFonts w:eastAsia="仿宋_GB2312"/>
                <w:kern w:val="0"/>
                <w:sz w:val="20"/>
                <w:szCs w:val="20"/>
              </w:rPr>
            </w:pPr>
            <w:r>
              <w:rPr>
                <w:rFonts w:eastAsia="仿宋_GB2312"/>
                <w:kern w:val="0"/>
                <w:sz w:val="20"/>
                <w:szCs w:val="20"/>
              </w:rPr>
              <w:t>低于70%</w:t>
            </w:r>
            <w:r>
              <w:rPr>
                <w:rFonts w:ascii="仿宋_GB2312" w:hAnsi="仿宋_GB2312" w:eastAsia="仿宋_GB2312"/>
                <w:kern w:val="0"/>
                <w:sz w:val="20"/>
                <w:szCs w:val="20"/>
              </w:rPr>
              <w:t>计</w:t>
            </w:r>
            <w:r>
              <w:rPr>
                <w:rFonts w:eastAsia="仿宋_GB2312"/>
                <w:kern w:val="0"/>
                <w:sz w:val="20"/>
                <w:szCs w:val="20"/>
              </w:rPr>
              <w:t>0</w:t>
            </w:r>
            <w:r>
              <w:rPr>
                <w:rFonts w:ascii="仿宋_GB2312" w:hAnsi="仿宋_GB2312" w:eastAsia="仿宋_GB2312"/>
                <w:kern w:val="0"/>
                <w:sz w:val="20"/>
                <w:szCs w:val="20"/>
              </w:rPr>
              <w:t>分。</w:t>
            </w:r>
          </w:p>
        </w:tc>
        <w:tc>
          <w:tcPr>
            <w:tcW w:w="3402" w:type="dxa"/>
            <w:tcBorders>
              <w:top w:val="nil"/>
              <w:left w:val="nil"/>
              <w:bottom w:val="nil"/>
              <w:right w:val="single" w:color="auto" w:sz="4" w:space="0"/>
            </w:tcBorders>
            <w:noWrap w:val="0"/>
            <w:vAlign w:val="center"/>
          </w:tcPr>
          <w:p w14:paraId="0A7FBFFE">
            <w:pPr>
              <w:widowControl/>
              <w:jc w:val="left"/>
              <w:rPr>
                <w:rFonts w:eastAsia="仿宋_GB2312"/>
                <w:kern w:val="0"/>
                <w:sz w:val="20"/>
                <w:szCs w:val="20"/>
              </w:rPr>
            </w:pPr>
            <w:r>
              <w:rPr>
                <w:rFonts w:eastAsia="仿宋_GB2312"/>
                <w:kern w:val="0"/>
                <w:sz w:val="20"/>
                <w:szCs w:val="20"/>
              </w:rPr>
              <w:t>社会公众或服务对象是指部门（单位）履行职责而影响到的部门、群体或个人，一般采取社会调查的方式。</w:t>
            </w:r>
          </w:p>
        </w:tc>
        <w:tc>
          <w:tcPr>
            <w:tcW w:w="522" w:type="dxa"/>
            <w:tcBorders>
              <w:top w:val="nil"/>
              <w:left w:val="nil"/>
              <w:bottom w:val="nil"/>
              <w:right w:val="single" w:color="auto" w:sz="4" w:space="0"/>
            </w:tcBorders>
            <w:noWrap w:val="0"/>
            <w:vAlign w:val="center"/>
          </w:tcPr>
          <w:p w14:paraId="313C8AA4">
            <w:pPr>
              <w:widowControl/>
              <w:jc w:val="left"/>
              <w:rPr>
                <w:kern w:val="0"/>
                <w:sz w:val="24"/>
              </w:rPr>
            </w:pPr>
            <w:r>
              <w:rPr>
                <w:rFonts w:hint="eastAsia"/>
                <w:kern w:val="0"/>
                <w:sz w:val="24"/>
                <w:lang w:val="en-US" w:eastAsia="zh-CN"/>
              </w:rPr>
              <w:t>6</w:t>
            </w:r>
            <w:r>
              <w:rPr>
                <w:kern w:val="0"/>
                <w:sz w:val="24"/>
              </w:rPr>
              <w:t>　</w:t>
            </w:r>
          </w:p>
        </w:tc>
      </w:tr>
      <w:tr w14:paraId="2416282A">
        <w:tblPrEx>
          <w:tblCellMar>
            <w:top w:w="0" w:type="dxa"/>
            <w:left w:w="108" w:type="dxa"/>
            <w:bottom w:w="0" w:type="dxa"/>
            <w:right w:w="108" w:type="dxa"/>
          </w:tblCellMar>
        </w:tblPrEx>
        <w:trPr>
          <w:trHeight w:val="90" w:hRule="atLeast"/>
          <w:jc w:val="center"/>
        </w:trPr>
        <w:tc>
          <w:tcPr>
            <w:tcW w:w="1366" w:type="dxa"/>
            <w:gridSpan w:val="3"/>
            <w:tcBorders>
              <w:top w:val="single" w:color="auto" w:sz="4" w:space="0"/>
              <w:left w:val="single" w:color="auto" w:sz="4" w:space="0"/>
              <w:bottom w:val="single" w:color="auto" w:sz="4" w:space="0"/>
              <w:right w:val="single" w:color="auto" w:sz="4" w:space="0"/>
            </w:tcBorders>
            <w:noWrap w:val="0"/>
            <w:vAlign w:val="top"/>
          </w:tcPr>
          <w:p w14:paraId="539A6C3C">
            <w:pPr>
              <w:widowControl/>
              <w:jc w:val="left"/>
              <w:rPr>
                <w:rFonts w:ascii="仿宋_GB2312" w:hAnsi="宋体"/>
                <w:color w:val="000000"/>
                <w:kern w:val="0"/>
                <w:sz w:val="20"/>
                <w:szCs w:val="20"/>
              </w:rPr>
            </w:pPr>
            <w:r>
              <w:rPr>
                <w:rFonts w:hint="eastAsia" w:ascii="仿宋_GB2312" w:hAnsi="宋体"/>
                <w:color w:val="000000"/>
                <w:kern w:val="0"/>
                <w:sz w:val="20"/>
                <w:szCs w:val="20"/>
              </w:rPr>
              <w:t>合计(分)</w:t>
            </w:r>
          </w:p>
        </w:tc>
        <w:tc>
          <w:tcPr>
            <w:tcW w:w="9242" w:type="dxa"/>
            <w:gridSpan w:val="8"/>
            <w:tcBorders>
              <w:top w:val="single" w:color="auto" w:sz="4" w:space="0"/>
              <w:left w:val="nil"/>
              <w:bottom w:val="single" w:color="auto" w:sz="4" w:space="0"/>
              <w:right w:val="single" w:color="auto" w:sz="4" w:space="0"/>
            </w:tcBorders>
            <w:noWrap w:val="0"/>
            <w:vAlign w:val="center"/>
          </w:tcPr>
          <w:p w14:paraId="2F1F48C2">
            <w:pPr>
              <w:widowControl/>
              <w:rPr>
                <w:rFonts w:hint="default" w:ascii="宋体" w:hAnsi="宋体" w:eastAsia="宋体"/>
                <w:color w:val="000000"/>
                <w:kern w:val="0"/>
                <w:sz w:val="24"/>
                <w:lang w:val="en-US" w:eastAsia="zh-CN"/>
              </w:rPr>
            </w:pPr>
            <w:r>
              <w:rPr>
                <w:rFonts w:hint="eastAsia" w:ascii="宋体" w:hAnsi="宋体"/>
                <w:color w:val="000000"/>
                <w:kern w:val="0"/>
                <w:sz w:val="24"/>
                <w:lang w:val="en-US" w:eastAsia="zh-CN"/>
              </w:rPr>
              <w:t>98</w:t>
            </w:r>
          </w:p>
        </w:tc>
      </w:tr>
    </w:tbl>
    <w:p w14:paraId="43AEE6AF">
      <w:pPr>
        <w:sectPr>
          <w:pgSz w:w="11906" w:h="16838"/>
          <w:pgMar w:top="1440" w:right="1800" w:bottom="1440" w:left="1800" w:header="851" w:footer="992" w:gutter="0"/>
          <w:cols w:space="720" w:num="1"/>
          <w:docGrid w:type="lines" w:linePitch="312" w:charSpace="0"/>
        </w:sectPr>
      </w:pPr>
    </w:p>
    <w:p w14:paraId="3391BAE9">
      <w:pPr>
        <w:jc w:val="center"/>
        <w:rPr>
          <w:rFonts w:hint="eastAsia" w:ascii="宋体" w:hAnsi="宋体"/>
          <w:b/>
          <w:bCs/>
          <w:sz w:val="44"/>
          <w:szCs w:val="44"/>
        </w:rPr>
      </w:pPr>
      <w:r>
        <w:rPr>
          <w:rFonts w:hint="eastAsia" w:ascii="宋体" w:hAnsi="宋体"/>
          <w:b/>
          <w:bCs/>
          <w:sz w:val="44"/>
          <w:szCs w:val="44"/>
        </w:rPr>
        <w:t>江永县夏层铺镇人民政府专项（项目）</w:t>
      </w:r>
    </w:p>
    <w:p w14:paraId="233D728C">
      <w:pPr>
        <w:jc w:val="center"/>
        <w:rPr>
          <w:rFonts w:hint="eastAsia" w:ascii="宋体" w:hAnsi="宋体"/>
          <w:b/>
          <w:bCs/>
          <w:sz w:val="44"/>
          <w:szCs w:val="44"/>
        </w:rPr>
      </w:pPr>
      <w:r>
        <w:rPr>
          <w:rFonts w:hint="eastAsia" w:ascii="宋体" w:hAnsi="宋体" w:cs="Arial"/>
          <w:b/>
          <w:bCs/>
          <w:sz w:val="44"/>
          <w:szCs w:val="44"/>
        </w:rPr>
        <w:t>202</w:t>
      </w:r>
      <w:r>
        <w:rPr>
          <w:rFonts w:hint="eastAsia" w:ascii="宋体" w:hAnsi="宋体" w:cs="Arial"/>
          <w:b/>
          <w:bCs/>
          <w:sz w:val="44"/>
          <w:szCs w:val="44"/>
          <w:lang w:val="en-US" w:eastAsia="zh-CN"/>
        </w:rPr>
        <w:t>5</w:t>
      </w:r>
      <w:r>
        <w:rPr>
          <w:rFonts w:hint="eastAsia" w:ascii="宋体" w:hAnsi="宋体"/>
          <w:b/>
          <w:bCs/>
          <w:sz w:val="44"/>
          <w:szCs w:val="44"/>
        </w:rPr>
        <w:t>年度绩效自评报告</w:t>
      </w:r>
    </w:p>
    <w:p w14:paraId="10457BE1">
      <w:pPr>
        <w:keepNext w:val="0"/>
        <w:keepLines w:val="0"/>
        <w:pageBreakBefore w:val="0"/>
        <w:numPr>
          <w:ilvl w:val="0"/>
          <w:numId w:val="1"/>
        </w:numPr>
        <w:kinsoku/>
        <w:wordWrap/>
        <w:overflowPunct/>
        <w:topLinePunct w:val="0"/>
        <w:autoSpaceDE/>
        <w:autoSpaceDN/>
        <w:bidi w:val="0"/>
        <w:adjustRightInd/>
        <w:snapToGrid/>
        <w:spacing w:line="240" w:lineRule="auto"/>
        <w:ind w:leftChars="0" w:firstLine="624" w:firstLineChars="200"/>
        <w:textAlignment w:val="auto"/>
        <w:rPr>
          <w:rFonts w:hint="eastAsia"/>
          <w:b/>
          <w:bCs/>
          <w:sz w:val="32"/>
          <w:szCs w:val="32"/>
        </w:rPr>
      </w:pPr>
      <w:r>
        <w:rPr>
          <w:rFonts w:hint="eastAsia" w:ascii="仿宋_GB2312" w:hAnsi="新宋体"/>
          <w:spacing w:val="-4"/>
          <w:sz w:val="32"/>
          <w:szCs w:val="32"/>
        </w:rPr>
        <w:t xml:space="preserve">  </w:t>
      </w:r>
      <w:r>
        <w:rPr>
          <w:rFonts w:hint="eastAsia"/>
          <w:b/>
          <w:bCs/>
          <w:sz w:val="32"/>
          <w:szCs w:val="32"/>
        </w:rPr>
        <w:t>项目概况</w:t>
      </w:r>
    </w:p>
    <w:p w14:paraId="608A9EDE">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643" w:firstLineChars="200"/>
        <w:textAlignment w:val="auto"/>
        <w:rPr>
          <w:rFonts w:hint="eastAsia"/>
          <w:b/>
          <w:bCs/>
          <w:sz w:val="32"/>
          <w:szCs w:val="32"/>
        </w:rPr>
      </w:pPr>
      <w:r>
        <w:rPr>
          <w:rFonts w:hint="eastAsia"/>
          <w:b/>
          <w:bCs/>
          <w:sz w:val="32"/>
          <w:szCs w:val="32"/>
          <w:lang w:eastAsia="zh-CN"/>
        </w:rPr>
        <w:t>（一）</w:t>
      </w:r>
      <w:r>
        <w:rPr>
          <w:rFonts w:hint="eastAsia"/>
          <w:b/>
          <w:bCs/>
          <w:sz w:val="32"/>
          <w:szCs w:val="32"/>
        </w:rPr>
        <w:t>项目单位基本情况</w:t>
      </w:r>
    </w:p>
    <w:p w14:paraId="3D130357">
      <w:pPr>
        <w:keepNext w:val="0"/>
        <w:keepLines w:val="0"/>
        <w:pageBreakBefore w:val="0"/>
        <w:widowControl w:val="0"/>
        <w:kinsoku/>
        <w:wordWrap/>
        <w:overflowPunct/>
        <w:topLinePunct w:val="0"/>
        <w:autoSpaceDE/>
        <w:autoSpaceDN/>
        <w:bidi w:val="0"/>
        <w:adjustRightInd/>
        <w:snapToGrid/>
        <w:spacing w:line="240" w:lineRule="auto"/>
        <w:ind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（1）工作职责</w:t>
      </w:r>
    </w:p>
    <w:p w14:paraId="25803190">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1、执行本级人民代表大会的决议和上级国家行政机关的决定和命令，发布决定和命令</w:t>
      </w:r>
      <w:r>
        <w:rPr>
          <w:rFonts w:hint="eastAsia" w:ascii="仿宋" w:hAnsi="仿宋" w:eastAsia="仿宋" w:cs="仿宋"/>
          <w:sz w:val="32"/>
          <w:szCs w:val="32"/>
          <w:lang w:eastAsia="zh-CN"/>
        </w:rPr>
        <w:t>。</w:t>
      </w:r>
    </w:p>
    <w:p w14:paraId="4BF165AD">
      <w:pPr>
        <w:keepNext w:val="0"/>
        <w:keepLines w:val="0"/>
        <w:pageBreakBefore w:val="0"/>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2、执行本行政区域内的经济和社会发展计划、预算，管理本行政区域内的经济、教育、科学、文化、卫生、体育事业和财政、民政、公安、司法行政、计划生育等行政工作;</w:t>
      </w:r>
    </w:p>
    <w:p w14:paraId="24110563">
      <w:pPr>
        <w:keepNext w:val="0"/>
        <w:keepLines w:val="0"/>
        <w:pageBreakBefore w:val="0"/>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3、保护社会主义的全民所有的财产和劳动群众集体所有的财产，保护公民私人所有的合法财产，维护社会秩序，保障公民的人身权利、民主权利和其他权利</w:t>
      </w:r>
      <w:r>
        <w:rPr>
          <w:rFonts w:hint="eastAsia" w:ascii="仿宋" w:hAnsi="仿宋" w:eastAsia="仿宋" w:cs="仿宋"/>
          <w:sz w:val="32"/>
          <w:szCs w:val="32"/>
          <w:lang w:eastAsia="zh-CN"/>
        </w:rPr>
        <w:t>。</w:t>
      </w:r>
    </w:p>
    <w:p w14:paraId="70863D76">
      <w:pPr>
        <w:keepNext w:val="0"/>
        <w:keepLines w:val="0"/>
        <w:pageBreakBefore w:val="0"/>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4、保护各种经济组织的合法权益</w:t>
      </w:r>
      <w:r>
        <w:rPr>
          <w:rFonts w:hint="eastAsia" w:ascii="仿宋" w:hAnsi="仿宋" w:eastAsia="仿宋" w:cs="仿宋"/>
          <w:sz w:val="32"/>
          <w:szCs w:val="32"/>
          <w:lang w:eastAsia="zh-CN"/>
        </w:rPr>
        <w:t>。</w:t>
      </w:r>
    </w:p>
    <w:p w14:paraId="198A60BD">
      <w:pPr>
        <w:keepNext w:val="0"/>
        <w:keepLines w:val="0"/>
        <w:pageBreakBefore w:val="0"/>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5、保障少数民族的权利和尊重少数民族的风俗习惯;</w:t>
      </w:r>
    </w:p>
    <w:p w14:paraId="55FB0914">
      <w:pPr>
        <w:keepNext w:val="0"/>
        <w:keepLines w:val="0"/>
        <w:pageBreakBefore w:val="0"/>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6、办理上级人民政府交办的其他事项。</w:t>
      </w:r>
    </w:p>
    <w:p w14:paraId="42B5768A">
      <w:pPr>
        <w:keepNext w:val="0"/>
        <w:keepLines w:val="0"/>
        <w:pageBreakBefore w:val="0"/>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（2）机构设置</w:t>
      </w:r>
    </w:p>
    <w:p w14:paraId="4EB44926">
      <w:pPr>
        <w:keepNext w:val="0"/>
        <w:keepLines w:val="0"/>
        <w:pageBreakBefore w:val="0"/>
        <w:kinsoku/>
        <w:wordWrap/>
        <w:overflowPunct/>
        <w:topLinePunct w:val="0"/>
        <w:autoSpaceDE/>
        <w:autoSpaceDN/>
        <w:bidi w:val="0"/>
        <w:adjustRightInd/>
        <w:snapToGrid/>
        <w:spacing w:line="240" w:lineRule="auto"/>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本单位下设机构综合设置9</w:t>
      </w:r>
      <w:r>
        <w:rPr>
          <w:rFonts w:ascii="仿宋" w:hAnsi="仿宋" w:eastAsia="仿宋" w:cs="仿宋"/>
          <w:sz w:val="32"/>
          <w:szCs w:val="32"/>
        </w:rPr>
        <w:t>个:党政办公室</w:t>
      </w:r>
      <w:r>
        <w:rPr>
          <w:rFonts w:hint="eastAsia" w:ascii="仿宋" w:hAnsi="仿宋" w:eastAsia="仿宋" w:cs="仿宋"/>
          <w:sz w:val="32"/>
          <w:szCs w:val="32"/>
        </w:rPr>
        <w:t>、</w:t>
      </w:r>
      <w:r>
        <w:rPr>
          <w:rFonts w:ascii="仿宋" w:hAnsi="仿宋" w:eastAsia="仿宋" w:cs="仿宋"/>
          <w:sz w:val="32"/>
          <w:szCs w:val="32"/>
        </w:rPr>
        <w:t>党建工作办公室</w:t>
      </w:r>
      <w:r>
        <w:rPr>
          <w:rFonts w:hint="eastAsia" w:ascii="仿宋" w:hAnsi="仿宋" w:eastAsia="仿宋" w:cs="仿宋"/>
          <w:sz w:val="32"/>
          <w:szCs w:val="32"/>
        </w:rPr>
        <w:t>、经济发展办公室、生态办公室、平安法治与应急管理办公室、夏层铺镇便民服务中心、夏层铺镇农业综合服务中心、夏层铺镇退役军人服务站、夏层铺镇综合行政执法大队</w:t>
      </w:r>
      <w:r>
        <w:rPr>
          <w:rFonts w:ascii="仿宋" w:hAnsi="仿宋" w:eastAsia="仿宋" w:cs="仿宋"/>
          <w:sz w:val="32"/>
          <w:szCs w:val="32"/>
        </w:rPr>
        <w:t>。</w:t>
      </w:r>
    </w:p>
    <w:p w14:paraId="0550CFFA">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643" w:firstLineChars="200"/>
        <w:textAlignment w:val="auto"/>
        <w:rPr>
          <w:rFonts w:hint="eastAsia"/>
          <w:b/>
          <w:bCs/>
          <w:sz w:val="32"/>
          <w:szCs w:val="32"/>
          <w:lang w:eastAsia="zh-CN"/>
        </w:rPr>
      </w:pPr>
      <w:r>
        <w:rPr>
          <w:rFonts w:hint="eastAsia"/>
          <w:b/>
          <w:bCs/>
          <w:sz w:val="32"/>
          <w:szCs w:val="32"/>
          <w:lang w:eastAsia="zh-CN"/>
        </w:rPr>
        <w:t>（二）项目基本情况简介</w:t>
      </w:r>
    </w:p>
    <w:p w14:paraId="49985AF1">
      <w:pPr>
        <w:keepNext w:val="0"/>
        <w:keepLines w:val="0"/>
        <w:pageBreakBefore w:val="0"/>
        <w:kinsoku/>
        <w:wordWrap/>
        <w:overflowPunct/>
        <w:topLinePunct w:val="0"/>
        <w:autoSpaceDE/>
        <w:autoSpaceDN/>
        <w:bidi w:val="0"/>
        <w:adjustRightInd/>
        <w:snapToGrid/>
        <w:spacing w:line="240" w:lineRule="auto"/>
        <w:ind w:leftChars="0" w:firstLine="640" w:firstLineChars="200"/>
        <w:textAlignment w:val="auto"/>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县财政下达专项资金16万元，其中：工会经费支出1万元，主要是为了确保工会能够正常组织各项活动；人大主席团活动经费支出2万元，主要是为了确保镇人大工作能够正常进行；武装经费支出3万元，主要是为了确保武装工作能够正常进行，征兵工作能够正常开展；镇妇联经费支出2万元，主要是为了引领妇女参与乡村振兴建设、维护妇女儿童权益，做好相关法律进学校、进机关、进社区等活动，确保镇妇联工作能够正常进行；镇团委经费支出2万元，主要是为了确保镇团委工作能够正常进行；两代表一委员联系经费支出2万元，主要是为了办好惠民实事、化解矛盾纠纷、督促政策落实等工作，保证两代表一委员相关工作顺利进行；民生实事项目人大代表票决制工作经费3万元，主要是为了保障民生实事各项工作顺利进行；乡镇基层党建工作经费1万元。以做好党建工作，落实完成中央下达的政策和要求。</w:t>
      </w:r>
    </w:p>
    <w:p w14:paraId="5182D6ED">
      <w:pPr>
        <w:keepNext w:val="0"/>
        <w:keepLines w:val="0"/>
        <w:pageBreakBefore w:val="0"/>
        <w:numPr>
          <w:ilvl w:val="0"/>
          <w:numId w:val="2"/>
        </w:numPr>
        <w:kinsoku/>
        <w:wordWrap/>
        <w:overflowPunct/>
        <w:topLinePunct w:val="0"/>
        <w:autoSpaceDE/>
        <w:autoSpaceDN/>
        <w:bidi w:val="0"/>
        <w:adjustRightInd/>
        <w:snapToGrid/>
        <w:spacing w:line="240" w:lineRule="auto"/>
        <w:ind w:leftChars="0" w:firstLine="643" w:firstLineChars="200"/>
        <w:textAlignment w:val="auto"/>
        <w:rPr>
          <w:rFonts w:hint="eastAsia"/>
          <w:b/>
          <w:bCs/>
          <w:sz w:val="32"/>
          <w:szCs w:val="32"/>
        </w:rPr>
      </w:pPr>
      <w:r>
        <w:rPr>
          <w:rFonts w:hint="eastAsia"/>
          <w:b/>
          <w:bCs/>
          <w:sz w:val="32"/>
          <w:szCs w:val="32"/>
        </w:rPr>
        <w:t>项目资金使用及管理情况</w:t>
      </w:r>
    </w:p>
    <w:p w14:paraId="29A11A96">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643" w:firstLineChars="200"/>
        <w:textAlignment w:val="auto"/>
        <w:rPr>
          <w:rFonts w:hint="eastAsia"/>
          <w:b/>
          <w:bCs/>
          <w:sz w:val="32"/>
          <w:szCs w:val="32"/>
        </w:rPr>
      </w:pPr>
      <w:r>
        <w:rPr>
          <w:rFonts w:hint="eastAsia"/>
          <w:b/>
          <w:bCs/>
          <w:sz w:val="32"/>
          <w:szCs w:val="32"/>
        </w:rPr>
        <w:t>项目资金情况分析</w:t>
      </w:r>
    </w:p>
    <w:p w14:paraId="05498288">
      <w:pPr>
        <w:keepNext w:val="0"/>
        <w:keepLines w:val="0"/>
        <w:pageBreakBefore w:val="0"/>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2024年专项资金16万元，其中：工会经费支出1万元；人大主席团活动经费支出2万元；武装经费支出3万元；镇妇联经费支出2万元；镇团委经费支出2万元；两代表一委员联系经费支出2万元；民生实事项目人大代表票决制工作经费3万元；乡镇基层党建工作经费1万元。专项资金16万元及时足额拨付到位，专项项目实施完成。</w:t>
      </w:r>
    </w:p>
    <w:p w14:paraId="192E1FD3">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643" w:firstLineChars="200"/>
        <w:textAlignment w:val="auto"/>
        <w:rPr>
          <w:rFonts w:hint="eastAsia"/>
          <w:b/>
          <w:bCs/>
          <w:sz w:val="32"/>
          <w:szCs w:val="32"/>
        </w:rPr>
      </w:pPr>
      <w:r>
        <w:rPr>
          <w:rFonts w:hint="eastAsia"/>
          <w:b/>
          <w:bCs/>
          <w:sz w:val="32"/>
          <w:szCs w:val="32"/>
        </w:rPr>
        <w:t>项目资金实际使用情况分析</w:t>
      </w:r>
    </w:p>
    <w:p w14:paraId="75C346C6">
      <w:pPr>
        <w:keepNext w:val="0"/>
        <w:keepLines w:val="0"/>
        <w:pageBreakBefore w:val="0"/>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2024年项目支出总计16万元，其中：工会经费支出1万元；人大主席团活动经费支出2万元；武装经费支出3万元；镇妇联经费支出2万元；镇团委经费支出2万元；两代表一委员联系经费支出2万元；民生实事项目人大代表票决制工作经费3万元；乡镇基层党建工作经费1万元。资金使用率为100%。</w:t>
      </w:r>
    </w:p>
    <w:p w14:paraId="6D3DD897">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643" w:firstLineChars="200"/>
        <w:textAlignment w:val="auto"/>
        <w:rPr>
          <w:rFonts w:hint="eastAsia"/>
          <w:b/>
          <w:bCs/>
          <w:sz w:val="32"/>
          <w:szCs w:val="32"/>
        </w:rPr>
      </w:pPr>
      <w:r>
        <w:rPr>
          <w:rFonts w:hint="eastAsia"/>
          <w:b/>
          <w:bCs/>
          <w:sz w:val="32"/>
          <w:szCs w:val="32"/>
        </w:rPr>
        <w:t>项目资金管理情况分析</w:t>
      </w:r>
    </w:p>
    <w:p w14:paraId="6FD0B867">
      <w:pPr>
        <w:keepNext w:val="0"/>
        <w:keepLines w:val="0"/>
        <w:pageBreakBefore w:val="0"/>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单位项目支出资金支付，需经单位主要负责人审核，分管财务领导审批方可报账支付。在资金管理使用上，严格按照各项专项资金使用用途安排该专项资金的支出使用，严格遵守“专款专用”原则，严格落实专项资金的申拨、使用审批手续，充分发挥资金使用效益。</w:t>
      </w:r>
    </w:p>
    <w:p w14:paraId="345F95FB">
      <w:pPr>
        <w:keepNext w:val="0"/>
        <w:keepLines w:val="0"/>
        <w:pageBreakBefore w:val="0"/>
        <w:numPr>
          <w:ilvl w:val="0"/>
          <w:numId w:val="4"/>
        </w:numPr>
        <w:kinsoku/>
        <w:wordWrap/>
        <w:overflowPunct/>
        <w:topLinePunct w:val="0"/>
        <w:autoSpaceDE/>
        <w:autoSpaceDN/>
        <w:bidi w:val="0"/>
        <w:adjustRightInd/>
        <w:snapToGrid/>
        <w:spacing w:line="240" w:lineRule="auto"/>
        <w:ind w:leftChars="0" w:firstLine="643" w:firstLineChars="200"/>
        <w:textAlignment w:val="auto"/>
        <w:rPr>
          <w:rFonts w:hint="eastAsia"/>
          <w:b/>
          <w:bCs/>
          <w:sz w:val="32"/>
          <w:szCs w:val="32"/>
        </w:rPr>
      </w:pPr>
      <w:r>
        <w:rPr>
          <w:rFonts w:hint="eastAsia"/>
          <w:b/>
          <w:bCs/>
          <w:sz w:val="32"/>
          <w:szCs w:val="32"/>
        </w:rPr>
        <w:t>项目组织实施情况</w:t>
      </w:r>
    </w:p>
    <w:p w14:paraId="0C9ABD4C">
      <w:pPr>
        <w:keepNext w:val="0"/>
        <w:keepLines w:val="0"/>
        <w:pageBreakBefore w:val="0"/>
        <w:kinsoku/>
        <w:wordWrap/>
        <w:overflowPunct/>
        <w:topLinePunct w:val="0"/>
        <w:autoSpaceDE/>
        <w:autoSpaceDN/>
        <w:bidi w:val="0"/>
        <w:adjustRightInd/>
        <w:snapToGrid/>
        <w:spacing w:line="240" w:lineRule="auto"/>
        <w:ind w:leftChars="0" w:firstLine="643" w:firstLineChars="200"/>
        <w:textAlignment w:val="auto"/>
        <w:rPr>
          <w:rFonts w:hint="eastAsia"/>
        </w:rPr>
      </w:pPr>
      <w:r>
        <w:rPr>
          <w:rFonts w:hint="eastAsia"/>
          <w:b/>
          <w:bCs/>
          <w:sz w:val="32"/>
          <w:szCs w:val="32"/>
        </w:rPr>
        <w:t>（一）项目组织情况分析</w:t>
      </w:r>
    </w:p>
    <w:p w14:paraId="045641BC">
      <w:pPr>
        <w:keepNext w:val="0"/>
        <w:keepLines w:val="0"/>
        <w:pageBreakBefore w:val="0"/>
        <w:kinsoku/>
        <w:wordWrap/>
        <w:overflowPunct/>
        <w:topLinePunct w:val="0"/>
        <w:autoSpaceDE/>
        <w:autoSpaceDN/>
        <w:bidi w:val="0"/>
        <w:adjustRightInd/>
        <w:snapToGrid/>
        <w:spacing w:line="240" w:lineRule="auto"/>
        <w:ind w:leftChars="0" w:firstLine="640" w:firstLineChars="200"/>
        <w:textAlignment w:val="auto"/>
        <w:rPr>
          <w:rFonts w:hint="eastAsia"/>
        </w:rPr>
      </w:pPr>
      <w:r>
        <w:rPr>
          <w:rFonts w:hint="eastAsia" w:ascii="仿宋" w:hAnsi="仿宋" w:eastAsia="仿宋" w:cs="仿宋"/>
          <w:sz w:val="32"/>
          <w:szCs w:val="32"/>
        </w:rPr>
        <w:t>我单位项目支出属于业务工作经费，按财政安排的资金使用计划使用。单位设立资金支出审批领导小组审批，严格按照财政规章制度使用财政资金，无</w:t>
      </w:r>
      <w:r>
        <w:rPr>
          <w:rFonts w:hint="eastAsia" w:ascii="仿宋" w:hAnsi="仿宋" w:eastAsia="仿宋" w:cs="仿宋"/>
          <w:color w:val="333333"/>
          <w:sz w:val="32"/>
          <w:szCs w:val="32"/>
        </w:rPr>
        <w:t>截留、挤占、挪用、虚列支出等情况。</w:t>
      </w:r>
    </w:p>
    <w:p w14:paraId="18FED539">
      <w:pPr>
        <w:keepNext w:val="0"/>
        <w:keepLines w:val="0"/>
        <w:pageBreakBefore w:val="0"/>
        <w:kinsoku/>
        <w:wordWrap/>
        <w:overflowPunct/>
        <w:topLinePunct w:val="0"/>
        <w:autoSpaceDE/>
        <w:autoSpaceDN/>
        <w:bidi w:val="0"/>
        <w:adjustRightInd/>
        <w:snapToGrid/>
        <w:spacing w:line="240" w:lineRule="auto"/>
        <w:ind w:leftChars="0" w:firstLine="643" w:firstLineChars="200"/>
        <w:textAlignment w:val="auto"/>
        <w:rPr>
          <w:rFonts w:hint="eastAsia"/>
          <w:b/>
          <w:bCs/>
          <w:sz w:val="32"/>
          <w:szCs w:val="32"/>
        </w:rPr>
      </w:pPr>
      <w:r>
        <w:rPr>
          <w:rFonts w:hint="eastAsia"/>
          <w:b/>
          <w:bCs/>
          <w:sz w:val="32"/>
          <w:szCs w:val="32"/>
        </w:rPr>
        <w:t>（二）项目管理情况分析</w:t>
      </w:r>
    </w:p>
    <w:p w14:paraId="5DA4BC14">
      <w:pPr>
        <w:keepNext w:val="0"/>
        <w:keepLines w:val="0"/>
        <w:pageBreakBefore w:val="0"/>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1.加强制度建设。根据上级相关政策和单位实际情况，进一步完善了财经各项规章制度，严格按照专项资金的使用范围、禁止事项、管理和监督事项开展落实，坚持用制度规范专项资金的管理、使用。</w:t>
      </w:r>
    </w:p>
    <w:p w14:paraId="43FFE785">
      <w:pPr>
        <w:keepNext w:val="0"/>
        <w:keepLines w:val="0"/>
        <w:pageBreakBefore w:val="0"/>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2.专款专用管理。在资金管理使用上，严格按照各项专项资金使用用途安排该专项资金的支出使用，严格遵守“专款专用”原则，严格落实专项资金的申拨、使用审批手续，充分发挥资金使用效益。</w:t>
      </w:r>
    </w:p>
    <w:p w14:paraId="3523EB59">
      <w:pPr>
        <w:keepNext w:val="0"/>
        <w:keepLines w:val="0"/>
        <w:pageBreakBefore w:val="0"/>
        <w:numPr>
          <w:ilvl w:val="0"/>
          <w:numId w:val="5"/>
        </w:numPr>
        <w:kinsoku/>
        <w:wordWrap/>
        <w:overflowPunct/>
        <w:topLinePunct w:val="0"/>
        <w:autoSpaceDE/>
        <w:autoSpaceDN/>
        <w:bidi w:val="0"/>
        <w:adjustRightInd/>
        <w:snapToGrid/>
        <w:spacing w:line="240" w:lineRule="auto"/>
        <w:ind w:leftChars="0" w:firstLine="643" w:firstLineChars="200"/>
        <w:textAlignment w:val="auto"/>
        <w:rPr>
          <w:rFonts w:hint="eastAsia"/>
          <w:b/>
          <w:bCs/>
          <w:sz w:val="32"/>
          <w:szCs w:val="32"/>
        </w:rPr>
      </w:pPr>
      <w:r>
        <w:rPr>
          <w:rFonts w:hint="eastAsia"/>
          <w:b/>
          <w:bCs/>
          <w:sz w:val="32"/>
          <w:szCs w:val="32"/>
        </w:rPr>
        <w:t>项目绩效情况</w:t>
      </w:r>
    </w:p>
    <w:p w14:paraId="48AC91EC">
      <w:pPr>
        <w:keepNext w:val="0"/>
        <w:keepLines w:val="0"/>
        <w:pageBreakBefore w:val="0"/>
        <w:numPr>
          <w:ilvl w:val="0"/>
          <w:numId w:val="6"/>
        </w:numPr>
        <w:kinsoku/>
        <w:wordWrap/>
        <w:overflowPunct/>
        <w:topLinePunct w:val="0"/>
        <w:autoSpaceDE/>
        <w:autoSpaceDN/>
        <w:bidi w:val="0"/>
        <w:adjustRightInd/>
        <w:snapToGrid/>
        <w:spacing w:line="240" w:lineRule="auto"/>
        <w:ind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经济性评价</w:t>
      </w:r>
    </w:p>
    <w:p w14:paraId="72D05A61">
      <w:pPr>
        <w:keepNext w:val="0"/>
        <w:keepLines w:val="0"/>
        <w:pageBreakBefore w:val="0"/>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1.预算配置评价。在职人员控制率较好，202</w:t>
      </w:r>
      <w:r>
        <w:rPr>
          <w:rFonts w:hint="eastAsia" w:ascii="仿宋" w:hAnsi="仿宋" w:eastAsia="仿宋" w:cs="仿宋"/>
          <w:sz w:val="32"/>
          <w:szCs w:val="32"/>
          <w:lang w:val="en-US" w:eastAsia="zh-CN"/>
        </w:rPr>
        <w:t>5</w:t>
      </w:r>
      <w:r>
        <w:rPr>
          <w:rFonts w:hint="eastAsia" w:ascii="仿宋" w:hAnsi="仿宋" w:eastAsia="仿宋" w:cs="仿宋"/>
          <w:sz w:val="32"/>
          <w:szCs w:val="32"/>
        </w:rPr>
        <w:t>年人员编制数</w:t>
      </w:r>
      <w:r>
        <w:rPr>
          <w:rFonts w:hint="eastAsia" w:ascii="仿宋" w:hAnsi="仿宋" w:eastAsia="仿宋" w:cs="仿宋"/>
          <w:sz w:val="32"/>
          <w:szCs w:val="32"/>
          <w:lang w:val="en-US" w:eastAsia="zh-CN"/>
        </w:rPr>
        <w:t>64</w:t>
      </w:r>
      <w:r>
        <w:rPr>
          <w:rFonts w:hint="eastAsia" w:ascii="仿宋" w:hAnsi="仿宋" w:eastAsia="仿宋" w:cs="仿宋"/>
          <w:sz w:val="32"/>
          <w:szCs w:val="32"/>
        </w:rPr>
        <w:t>名，实有人员在职</w:t>
      </w:r>
      <w:r>
        <w:rPr>
          <w:rFonts w:hint="eastAsia" w:ascii="仿宋" w:hAnsi="仿宋" w:eastAsia="仿宋" w:cs="仿宋"/>
          <w:sz w:val="32"/>
          <w:szCs w:val="32"/>
          <w:lang w:val="en-US" w:eastAsia="zh-CN"/>
        </w:rPr>
        <w:t>64</w:t>
      </w:r>
      <w:r>
        <w:rPr>
          <w:rFonts w:hint="eastAsia" w:ascii="仿宋" w:hAnsi="仿宋" w:eastAsia="仿宋" w:cs="仿宋"/>
          <w:sz w:val="32"/>
          <w:szCs w:val="32"/>
        </w:rPr>
        <w:t>名，配置合理规范。</w:t>
      </w:r>
    </w:p>
    <w:p w14:paraId="54B8B83F">
      <w:pPr>
        <w:keepNext w:val="0"/>
        <w:keepLines w:val="0"/>
        <w:pageBreakBefore w:val="0"/>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2.预算执行评价。支出总额控制在预算总额内，没有超支情况。同时没有新建楼堂馆所支出。</w:t>
      </w:r>
    </w:p>
    <w:p w14:paraId="21E63E31">
      <w:pPr>
        <w:keepNext w:val="0"/>
        <w:keepLines w:val="0"/>
        <w:pageBreakBefore w:val="0"/>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3.预算管理评价。一是规范部门整体支出，认真贯彻《党政机关厉行节约反对浪费条例》，加强国有资产管理，完善内部控制管理，通过健全内控体系，提升风险防范能力，提高政府运行效率和管理水平。</w:t>
      </w:r>
    </w:p>
    <w:p w14:paraId="5C06A223">
      <w:pPr>
        <w:keepNext w:val="0"/>
        <w:keepLines w:val="0"/>
        <w:pageBreakBefore w:val="0"/>
        <w:kinsoku/>
        <w:wordWrap/>
        <w:overflowPunct/>
        <w:topLinePunct w:val="0"/>
        <w:autoSpaceDE/>
        <w:autoSpaceDN/>
        <w:bidi w:val="0"/>
        <w:adjustRightInd/>
        <w:snapToGrid/>
        <w:spacing w:line="240" w:lineRule="auto"/>
        <w:ind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（二）社会效益评价</w:t>
      </w:r>
    </w:p>
    <w:p w14:paraId="3BE739FF">
      <w:pPr>
        <w:keepNext w:val="0"/>
        <w:keepLines w:val="0"/>
        <w:pageBreakBefore w:val="0"/>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2024年做好项目实施的前期调查，对立项实施的项目，定期不定期地对项目实施情况和资金使用情况进行跟踪检查，对实现预期绩效目标的项目予以充分肯定，对实施进展缓慢的项目督促整改，确保项目实施工作正常运行，达到预期绩效目标，取得了显著的社会效益。</w:t>
      </w:r>
    </w:p>
    <w:p w14:paraId="1623163B">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Chars="0" w:firstLine="643" w:firstLineChars="200"/>
        <w:textAlignment w:val="auto"/>
        <w:rPr>
          <w:rFonts w:hint="eastAsia"/>
          <w:b/>
          <w:bCs/>
          <w:sz w:val="32"/>
          <w:szCs w:val="32"/>
        </w:rPr>
      </w:pPr>
      <w:r>
        <w:rPr>
          <w:rFonts w:hint="eastAsia"/>
          <w:b/>
          <w:bCs/>
          <w:sz w:val="32"/>
          <w:szCs w:val="32"/>
        </w:rPr>
        <w:t>其他需要说明的问题</w:t>
      </w:r>
    </w:p>
    <w:p w14:paraId="311E821A">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643" w:firstLineChars="200"/>
        <w:textAlignment w:val="auto"/>
        <w:rPr>
          <w:rFonts w:hint="eastAsia"/>
          <w:b/>
          <w:bCs/>
          <w:sz w:val="32"/>
          <w:szCs w:val="32"/>
        </w:rPr>
      </w:pPr>
      <w:r>
        <w:rPr>
          <w:rFonts w:hint="eastAsia"/>
          <w:b/>
          <w:bCs/>
          <w:sz w:val="32"/>
          <w:szCs w:val="32"/>
        </w:rPr>
        <w:t>后续工作计划</w:t>
      </w:r>
    </w:p>
    <w:p w14:paraId="2D80E3D9">
      <w:pPr>
        <w:keepNext w:val="0"/>
        <w:keepLines w:val="0"/>
        <w:pageBreakBefore w:val="0"/>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坚定不移推进产业建设，进一步提升经济水平。一是壮大特色产业，加大宣传力度，提高种烟大户积极性，力争进一步提高烤烟种植面积及产量；二是加快田园综合体建设，提升园区知名度，激活经济活力，找准文旅兴村发展定位，发挥示范引领作用，以微改造促精提升，保留原生态的同时，挖掘适合村庄情况的新业态，坚持文化艺术赋能乡村发展。</w:t>
      </w:r>
    </w:p>
    <w:p w14:paraId="401CA73B">
      <w:pPr>
        <w:keepNext w:val="0"/>
        <w:keepLines w:val="0"/>
        <w:pageBreakBefore w:val="0"/>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坚定不移优化生态环境，进一步推动绿色发展。一是建立健全河道保洁长效机制及考核办法，确保河道保洁常态化，加强河库水域日常保护管理与监督检查，加强长效机制建设，确保河库问题通过整治不反弹；二是以高压态势持续推进农村人居环境整治工作，并在整个夏层铺镇辖区内开展保护环境、人人有责系列宣传活动以及农村改厕政策宣讲活动，让村民积极参与到农村人居环境整治工作中来。</w:t>
      </w:r>
    </w:p>
    <w:p w14:paraId="0848479B">
      <w:pPr>
        <w:keepNext w:val="0"/>
        <w:keepLines w:val="0"/>
        <w:pageBreakBefore w:val="0"/>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坚定不移加强作风建设，进一步打造廉洁队伍。建立健全责任追究通报制度，对党风廉政建设责任制一岗双责落实不力的人员进行严肃问责，以落实“两个责任”为龙头，紧紧围绕县委县政府加快经济社会发展的一系列决策部署，结合夏层铺镇实际，健全反腐败领导体制和工作机制，谋划工作、制定政策、落实措施，使党风廉政建设更好地服务和发展。</w:t>
      </w:r>
    </w:p>
    <w:p w14:paraId="056CD736">
      <w:pPr>
        <w:keepNext w:val="0"/>
        <w:keepLines w:val="0"/>
        <w:pageBreakBefore w:val="0"/>
        <w:kinsoku/>
        <w:wordWrap/>
        <w:overflowPunct/>
        <w:topLinePunct w:val="0"/>
        <w:autoSpaceDE/>
        <w:autoSpaceDN/>
        <w:bidi w:val="0"/>
        <w:adjustRightInd/>
        <w:snapToGrid/>
        <w:spacing w:line="240" w:lineRule="auto"/>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4.坚定不移优化治理水平，进一步保障社会法治。一是</w:t>
      </w:r>
      <w:r>
        <w:rPr>
          <w:rFonts w:ascii="仿宋" w:hAnsi="仿宋" w:eastAsia="仿宋" w:cs="仿宋"/>
          <w:sz w:val="32"/>
          <w:szCs w:val="32"/>
        </w:rPr>
        <w:t>继续抓好综治办</w:t>
      </w:r>
      <w:r>
        <w:rPr>
          <w:rFonts w:hint="eastAsia" w:ascii="仿宋" w:hAnsi="仿宋" w:eastAsia="仿宋" w:cs="仿宋"/>
          <w:sz w:val="32"/>
          <w:szCs w:val="32"/>
        </w:rPr>
        <w:t>日</w:t>
      </w:r>
      <w:r>
        <w:rPr>
          <w:rFonts w:ascii="仿宋" w:hAnsi="仿宋" w:eastAsia="仿宋" w:cs="仿宋"/>
          <w:sz w:val="32"/>
          <w:szCs w:val="32"/>
        </w:rPr>
        <w:t>常性工作</w:t>
      </w:r>
      <w:r>
        <w:rPr>
          <w:rFonts w:hint="eastAsia" w:ascii="仿宋" w:hAnsi="仿宋" w:eastAsia="仿宋" w:cs="仿宋"/>
          <w:sz w:val="32"/>
          <w:szCs w:val="32"/>
        </w:rPr>
        <w:t>、</w:t>
      </w:r>
      <w:r>
        <w:rPr>
          <w:rFonts w:ascii="仿宋" w:hAnsi="仿宋" w:eastAsia="仿宋" w:cs="仿宋"/>
          <w:sz w:val="32"/>
          <w:szCs w:val="32"/>
        </w:rPr>
        <w:t>推进综治中心建设。</w:t>
      </w:r>
      <w:r>
        <w:rPr>
          <w:rFonts w:hint="eastAsia" w:ascii="仿宋" w:hAnsi="仿宋" w:eastAsia="仿宋" w:cs="仿宋"/>
          <w:sz w:val="32"/>
          <w:szCs w:val="32"/>
        </w:rPr>
        <w:t>二是</w:t>
      </w:r>
      <w:r>
        <w:rPr>
          <w:rFonts w:ascii="仿宋" w:hAnsi="仿宋" w:eastAsia="仿宋" w:cs="仿宋"/>
          <w:sz w:val="32"/>
          <w:szCs w:val="32"/>
        </w:rPr>
        <w:t>加强扫黑除恶和应急维稳机制建设。</w:t>
      </w:r>
      <w:r>
        <w:rPr>
          <w:rFonts w:hint="eastAsia" w:ascii="仿宋" w:hAnsi="仿宋" w:eastAsia="仿宋" w:cs="仿宋"/>
          <w:sz w:val="32"/>
          <w:szCs w:val="32"/>
        </w:rPr>
        <w:t>三是</w:t>
      </w:r>
      <w:r>
        <w:rPr>
          <w:rFonts w:ascii="仿宋" w:hAnsi="仿宋" w:eastAsia="仿宋" w:cs="仿宋"/>
          <w:sz w:val="32"/>
          <w:szCs w:val="32"/>
        </w:rPr>
        <w:t>努力提高村级综治队伍业务水平。</w:t>
      </w:r>
      <w:r>
        <w:rPr>
          <w:rFonts w:hint="eastAsia" w:ascii="仿宋" w:hAnsi="仿宋" w:eastAsia="仿宋" w:cs="仿宋"/>
          <w:sz w:val="32"/>
          <w:szCs w:val="32"/>
        </w:rPr>
        <w:t>四是</w:t>
      </w:r>
      <w:r>
        <w:rPr>
          <w:rFonts w:ascii="仿宋" w:hAnsi="仿宋" w:eastAsia="仿宋" w:cs="仿宋"/>
          <w:sz w:val="32"/>
          <w:szCs w:val="32"/>
        </w:rPr>
        <w:t>重点抓好群众安全感满意度双提升工作。</w:t>
      </w:r>
    </w:p>
    <w:p w14:paraId="3DCF5635">
      <w:pPr>
        <w:keepNext w:val="0"/>
        <w:keepLines w:val="0"/>
        <w:pageBreakBefore w:val="0"/>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坚定不移提高思想素质，进一步提升责任意识。一是加强看齐意识和责任意识。牢牢把握好正确的政治方向、向党中央看齐，向习总书记看齐，向党的理论路线方针政策看齐，向党中央各项决策部署看齐，并把意识形态工作纳入到党组工作报告、纪律检查、干部考核，以及平安建设考核当中去。二是强化担当意识和战斗意识。加强正面宣传，加强精神文明建设，做好环境保护成就的展示宣传，真正把社会主义核心价值观建设落地落实。三是加强短板意识和创新意识。汲取意识形态工作中的先进做法，补齐短板，做好创新工作。</w:t>
      </w:r>
    </w:p>
    <w:p w14:paraId="09F5BCB2">
      <w:pPr>
        <w:keepNext w:val="0"/>
        <w:keepLines w:val="0"/>
        <w:pageBreakBefore w:val="0"/>
        <w:kinsoku/>
        <w:wordWrap/>
        <w:overflowPunct/>
        <w:topLinePunct w:val="0"/>
        <w:autoSpaceDE/>
        <w:autoSpaceDN/>
        <w:bidi w:val="0"/>
        <w:adjustRightInd/>
        <w:snapToGrid/>
        <w:spacing w:line="240" w:lineRule="auto"/>
        <w:ind w:leftChars="0" w:firstLine="643" w:firstLineChars="200"/>
        <w:textAlignment w:val="auto"/>
        <w:rPr>
          <w:rFonts w:hint="eastAsia"/>
          <w:b/>
          <w:bCs/>
          <w:sz w:val="32"/>
          <w:szCs w:val="32"/>
        </w:rPr>
      </w:pPr>
      <w:r>
        <w:rPr>
          <w:rFonts w:hint="eastAsia"/>
          <w:b/>
          <w:bCs/>
          <w:sz w:val="32"/>
          <w:szCs w:val="32"/>
        </w:rPr>
        <w:t>（二）主要存在的问题和建议。</w:t>
      </w:r>
    </w:p>
    <w:p w14:paraId="0ED4E5EA">
      <w:pPr>
        <w:keepNext w:val="0"/>
        <w:keepLines w:val="0"/>
        <w:pageBreakBefore w:val="0"/>
        <w:kinsoku/>
        <w:wordWrap/>
        <w:overflowPunct/>
        <w:topLinePunct w:val="0"/>
        <w:autoSpaceDE/>
        <w:autoSpaceDN/>
        <w:bidi w:val="0"/>
        <w:adjustRightInd/>
        <w:snapToGrid/>
        <w:spacing w:line="240" w:lineRule="auto"/>
        <w:ind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（1）存在问题</w:t>
      </w:r>
    </w:p>
    <w:p w14:paraId="3F271492">
      <w:pPr>
        <w:keepNext w:val="0"/>
        <w:keepLines w:val="0"/>
        <w:pageBreakBefore w:val="0"/>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1.财务管理制度需进一步完善，制度执行力度需进一步提高，财务管理水平有待加强。</w:t>
      </w:r>
    </w:p>
    <w:p w14:paraId="49529CCA">
      <w:pPr>
        <w:keepNext w:val="0"/>
        <w:keepLines w:val="0"/>
        <w:pageBreakBefore w:val="0"/>
        <w:kinsoku/>
        <w:wordWrap/>
        <w:overflowPunct/>
        <w:topLinePunct w:val="0"/>
        <w:autoSpaceDE/>
        <w:autoSpaceDN/>
        <w:bidi w:val="0"/>
        <w:adjustRightInd/>
        <w:snapToGrid/>
        <w:spacing w:line="240" w:lineRule="auto"/>
        <w:ind w:leftChars="0" w:firstLine="640" w:firstLineChars="200"/>
        <w:textAlignment w:val="auto"/>
        <w:rPr>
          <w:rFonts w:hint="eastAsia"/>
        </w:rPr>
      </w:pPr>
      <w:r>
        <w:rPr>
          <w:rFonts w:hint="eastAsia" w:ascii="仿宋" w:hAnsi="仿宋" w:eastAsia="仿宋" w:cs="仿宋"/>
          <w:sz w:val="32"/>
          <w:szCs w:val="32"/>
        </w:rPr>
        <w:t>2.项目实施管理文件与实际管理操作存在偏差。原因是对村级项目具体管理要求过高，而村级人员管理水平不够，还达不到文件要求，导致部分报账资料不规范。</w:t>
      </w:r>
    </w:p>
    <w:p w14:paraId="4FA3D62D">
      <w:pPr>
        <w:keepNext w:val="0"/>
        <w:keepLines w:val="0"/>
        <w:pageBreakBefore w:val="0"/>
        <w:kinsoku/>
        <w:wordWrap/>
        <w:overflowPunct/>
        <w:topLinePunct w:val="0"/>
        <w:autoSpaceDE/>
        <w:autoSpaceDN/>
        <w:bidi w:val="0"/>
        <w:adjustRightInd/>
        <w:snapToGrid/>
        <w:spacing w:line="240" w:lineRule="auto"/>
        <w:ind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（2）建议</w:t>
      </w:r>
    </w:p>
    <w:p w14:paraId="7108F0A6">
      <w:pPr>
        <w:keepNext w:val="0"/>
        <w:keepLines w:val="0"/>
        <w:pageBreakBefore w:val="0"/>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1.进一步健全财务管理制度，规范财务收支行为，提高财务管理水平，建立健全财经纪律执行制度体系。</w:t>
      </w:r>
    </w:p>
    <w:p w14:paraId="43FEB8FE">
      <w:pPr>
        <w:keepNext w:val="0"/>
        <w:keepLines w:val="0"/>
        <w:pageBreakBefore w:val="0"/>
        <w:widowControl/>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2.进一步强化村级管理人员的业务培训。</w:t>
      </w:r>
    </w:p>
    <w:p w14:paraId="58A9A17C">
      <w:pPr>
        <w:sectPr>
          <w:pgSz w:w="11906" w:h="16838"/>
          <w:pgMar w:top="1440" w:right="1800" w:bottom="1440" w:left="1800" w:header="851" w:footer="992" w:gutter="0"/>
          <w:cols w:space="720" w:num="1"/>
          <w:docGrid w:type="lines" w:linePitch="312" w:charSpace="0"/>
        </w:sectPr>
      </w:pPr>
    </w:p>
    <w:p w14:paraId="33800A75">
      <w:pPr>
        <w:spacing w:line="560" w:lineRule="exact"/>
        <w:jc w:val="both"/>
        <w:rPr>
          <w:rFonts w:hint="eastAsia" w:ascii="方正小标宋_GBK" w:hAnsi="方正小标宋_GBK" w:eastAsia="方正小标宋_GBK" w:cs="Times New Roman"/>
          <w:kern w:val="0"/>
          <w:sz w:val="44"/>
          <w:szCs w:val="44"/>
          <w:lang w:val="en-US" w:eastAsia="zh-CN"/>
        </w:rPr>
      </w:pPr>
    </w:p>
    <w:p w14:paraId="41FEFAF3">
      <w:pPr>
        <w:bidi w:val="0"/>
        <w:jc w:val="center"/>
        <w:sectPr>
          <w:pgSz w:w="11906" w:h="16838"/>
          <w:pgMar w:top="1440" w:right="1800" w:bottom="1440" w:left="1800" w:header="851" w:footer="992" w:gutter="0"/>
          <w:cols w:space="720" w:num="1"/>
          <w:docGrid w:type="lines" w:linePitch="312" w:charSpace="0"/>
        </w:sectPr>
      </w:pPr>
      <w:r>
        <w:object>
          <v:shape id="_x0000_i1027" o:spt="75" type="#_x0000_t75" style="height:493.9pt;width:414.9pt;" o:ole="t" filled="f" o:preferrelative="t" stroked="f" coordsize="21600,21600">
            <v:path/>
            <v:fill on="f" focussize="0,0"/>
            <v:stroke on="f"/>
            <v:imagedata r:id="rId9" o:title=""/>
            <o:lock v:ext="edit" aspectratio="f"/>
            <w10:wrap type="none"/>
            <w10:anchorlock/>
          </v:shape>
          <o:OLEObject Type="Embed" ProgID="Excel.Sheet.12" ShapeID="_x0000_i1027" DrawAspect="Content" ObjectID="_1468075727" r:id="rId8">
            <o:LockedField>false</o:LockedField>
          </o:OLEObject>
        </w:object>
      </w:r>
    </w:p>
    <w:p w14:paraId="4416CD58">
      <w:pPr>
        <w:snapToGrid/>
        <w:spacing w:line="540" w:lineRule="auto"/>
      </w:pPr>
      <w:r>
        <w:object>
          <v:shape id="_x0000_i1028" o:spt="75" type="#_x0000_t75" style="height:493.25pt;width:414.5pt;" o:ole="t" filled="f" o:preferrelative="t" stroked="f" coordsize="21600,21600">
            <v:path/>
            <v:fill on="f" focussize="0,0"/>
            <v:stroke on="f"/>
            <v:imagedata r:id="rId11" o:title=""/>
            <o:lock v:ext="edit" aspectratio="f"/>
            <w10:wrap type="none"/>
            <w10:anchorlock/>
          </v:shape>
          <o:OLEObject Type="Embed" ProgID="Excel.Sheet.12" ShapeID="_x0000_i1028" DrawAspect="Content" ObjectID="_1468075728" r:id="rId10">
            <o:LockedField>false</o:LockedField>
          </o:OLEObject>
        </w:object>
      </w:r>
    </w:p>
    <w:p w14:paraId="7B389A1A">
      <w:pPr>
        <w:snapToGrid/>
        <w:spacing w:line="540" w:lineRule="auto"/>
        <w:sectPr>
          <w:pgSz w:w="11906" w:h="16838"/>
          <w:pgMar w:top="1440" w:right="1800" w:bottom="1440" w:left="1800" w:header="851" w:footer="992" w:gutter="0"/>
          <w:cols w:space="720" w:num="1"/>
          <w:docGrid w:type="lines" w:linePitch="312" w:charSpace="0"/>
        </w:sectPr>
      </w:pPr>
    </w:p>
    <w:p w14:paraId="4D71ADB6">
      <w:pPr>
        <w:snapToGrid/>
        <w:spacing w:line="240" w:lineRule="auto"/>
        <w:sectPr>
          <w:pgSz w:w="11906" w:h="16838"/>
          <w:pgMar w:top="1440" w:right="1800" w:bottom="1440" w:left="1800" w:header="851" w:footer="992" w:gutter="0"/>
          <w:cols w:space="720" w:num="1"/>
          <w:docGrid w:type="lines" w:linePitch="312" w:charSpace="0"/>
        </w:sectPr>
      </w:pPr>
      <w:r>
        <w:object>
          <v:shape id="_x0000_i1029" o:spt="75" type="#_x0000_t75" style="height:493.9pt;width:414.9pt;" o:ole="t" filled="f" o:preferrelative="t" stroked="f" coordsize="21600,21600">
            <v:path/>
            <v:fill on="f" focussize="0,0"/>
            <v:stroke on="f"/>
            <v:imagedata r:id="rId13" o:title=""/>
            <o:lock v:ext="edit" aspectratio="f"/>
            <w10:wrap type="none"/>
            <w10:anchorlock/>
          </v:shape>
          <o:OLEObject Type="Embed" ProgID="Excel.Sheet.12" ShapeID="_x0000_i1029" DrawAspect="Content" ObjectID="_1468075729" r:id="rId12">
            <o:LockedField>false</o:LockedField>
          </o:OLEObject>
        </w:object>
      </w:r>
    </w:p>
    <w:p w14:paraId="6F3843D7">
      <w:pPr>
        <w:snapToGrid/>
        <w:spacing w:line="540" w:lineRule="auto"/>
        <w:sectPr>
          <w:pgSz w:w="11906" w:h="16838"/>
          <w:pgMar w:top="1440" w:right="1800" w:bottom="1440" w:left="1800" w:header="851" w:footer="992" w:gutter="0"/>
          <w:cols w:space="720" w:num="1"/>
          <w:docGrid w:type="lines" w:linePitch="312" w:charSpace="0"/>
        </w:sectPr>
      </w:pPr>
      <w:r>
        <w:object>
          <v:shape id="_x0000_i1030" o:spt="75" type="#_x0000_t75" style="height:493.9pt;width:414.9pt;" o:ole="t" filled="f" o:preferrelative="t" stroked="f" coordsize="21600,21600">
            <v:path/>
            <v:fill on="f" focussize="0,0"/>
            <v:stroke on="f"/>
            <v:imagedata r:id="rId15" o:title=""/>
            <o:lock v:ext="edit" aspectratio="f"/>
            <w10:wrap type="none"/>
            <w10:anchorlock/>
          </v:shape>
          <o:OLEObject Type="Embed" ProgID="Excel.Sheet.12" ShapeID="_x0000_i1030" DrawAspect="Content" ObjectID="_1468075730" r:id="rId14">
            <o:LockedField>false</o:LockedField>
          </o:OLEObject>
        </w:object>
      </w:r>
    </w:p>
    <w:p w14:paraId="5C8BD9DF">
      <w:pPr>
        <w:snapToGrid/>
        <w:spacing w:line="540" w:lineRule="auto"/>
        <w:sectPr>
          <w:pgSz w:w="11906" w:h="16838"/>
          <w:pgMar w:top="1440" w:right="1800" w:bottom="1440" w:left="1800" w:header="851" w:footer="992" w:gutter="0"/>
          <w:cols w:space="720" w:num="1"/>
          <w:docGrid w:type="lines" w:linePitch="312" w:charSpace="0"/>
        </w:sectPr>
      </w:pPr>
      <w:r>
        <w:object>
          <v:shape id="_x0000_i1031" o:spt="75" type="#_x0000_t75" style="height:501.1pt;width:414.85pt;" o:ole="t" filled="f" o:preferrelative="t" stroked="f" coordsize="21600,21600">
            <v:path/>
            <v:fill on="f" focussize="0,0"/>
            <v:stroke on="f"/>
            <v:imagedata r:id="rId17" o:title=""/>
            <o:lock v:ext="edit" aspectratio="f"/>
            <w10:wrap type="none"/>
            <w10:anchorlock/>
          </v:shape>
          <o:OLEObject Type="Embed" ProgID="Excel.Sheet.12" ShapeID="_x0000_i1031" DrawAspect="Content" ObjectID="_1468075731" r:id="rId16">
            <o:LockedField>false</o:LockedField>
          </o:OLEObject>
        </w:object>
      </w:r>
    </w:p>
    <w:p w14:paraId="3EEA2F88">
      <w:pPr>
        <w:snapToGrid/>
        <w:spacing w:line="540" w:lineRule="auto"/>
        <w:sectPr>
          <w:pgSz w:w="11906" w:h="16838"/>
          <w:pgMar w:top="1440" w:right="1800" w:bottom="1440" w:left="1800" w:header="851" w:footer="992" w:gutter="0"/>
          <w:cols w:space="720" w:num="1"/>
          <w:docGrid w:type="lines" w:linePitch="312" w:charSpace="0"/>
        </w:sectPr>
      </w:pPr>
      <w:r>
        <w:object>
          <v:shape id="_x0000_i1032" o:spt="75" type="#_x0000_t75" style="height:493.9pt;width:414.9pt;" o:ole="t" filled="f" o:preferrelative="t" stroked="f" coordsize="21600,21600">
            <v:path/>
            <v:fill on="f" focussize="0,0"/>
            <v:stroke on="f"/>
            <v:imagedata r:id="rId19" o:title=""/>
            <o:lock v:ext="edit" aspectratio="f"/>
            <w10:wrap type="none"/>
            <w10:anchorlock/>
          </v:shape>
          <o:OLEObject Type="Embed" ProgID="Excel.Sheet.12" ShapeID="_x0000_i1032" DrawAspect="Content" ObjectID="_1468075732" r:id="rId18">
            <o:LockedField>false</o:LockedField>
          </o:OLEObject>
        </w:object>
      </w:r>
    </w:p>
    <w:p w14:paraId="03EED713">
      <w:pPr>
        <w:snapToGrid/>
        <w:spacing w:line="540" w:lineRule="auto"/>
        <w:sectPr>
          <w:pgSz w:w="11906" w:h="16838"/>
          <w:pgMar w:top="1440" w:right="1800" w:bottom="1440" w:left="1800" w:header="851" w:footer="992" w:gutter="0"/>
          <w:cols w:space="720" w:num="1"/>
          <w:docGrid w:type="lines" w:linePitch="312" w:charSpace="0"/>
        </w:sectPr>
      </w:pPr>
      <w:r>
        <w:object>
          <v:shape id="_x0000_i1033" o:spt="75" type="#_x0000_t75" style="height:493.9pt;width:414.9pt;" o:ole="t" filled="f" o:preferrelative="t" stroked="f" coordsize="21600,21600">
            <v:path/>
            <v:fill on="f" focussize="0,0"/>
            <v:stroke on="f"/>
            <v:imagedata r:id="rId21" o:title=""/>
            <o:lock v:ext="edit" aspectratio="f"/>
            <w10:wrap type="none"/>
            <w10:anchorlock/>
          </v:shape>
          <o:OLEObject Type="Embed" ProgID="Excel.Sheet.12" ShapeID="_x0000_i1033" DrawAspect="Content" ObjectID="_1468075733" r:id="rId20">
            <o:LockedField>false</o:LockedField>
          </o:OLEObject>
        </w:object>
      </w:r>
    </w:p>
    <w:p w14:paraId="362A9918">
      <w:pPr>
        <w:snapToGrid/>
        <w:spacing w:line="540" w:lineRule="auto"/>
        <w:sectPr>
          <w:pgSz w:w="11906" w:h="16838"/>
          <w:pgMar w:top="1440" w:right="1800" w:bottom="1440" w:left="1800" w:header="851" w:footer="992" w:gutter="0"/>
          <w:cols w:space="720" w:num="1"/>
          <w:docGrid w:type="lines" w:linePitch="312" w:charSpace="0"/>
        </w:sectPr>
      </w:pPr>
      <w:r>
        <w:object>
          <v:shape id="_x0000_i1034" o:spt="75" type="#_x0000_t75" style="height:480.25pt;width:415.1pt;" o:ole="t" filled="f" o:preferrelative="t" stroked="f" coordsize="21600,21600">
            <v:path/>
            <v:fill on="f" focussize="0,0"/>
            <v:stroke on="f"/>
            <v:imagedata r:id="rId23" o:title=""/>
            <o:lock v:ext="edit" aspectratio="f"/>
            <w10:wrap type="none"/>
            <w10:anchorlock/>
          </v:shape>
          <o:OLEObject Type="Embed" ProgID="Excel.Sheet.12" ShapeID="_x0000_i1034" DrawAspect="Content" ObjectID="_1468075734" r:id="rId22">
            <o:LockedField>false</o:LockedField>
          </o:OLEObject>
        </w:object>
      </w:r>
    </w:p>
    <w:p w14:paraId="21C57646">
      <w:pPr>
        <w:widowControl/>
        <w:ind w:left="93"/>
        <w:jc w:val="center"/>
        <w:rPr>
          <w:rFonts w:hint="eastAsia" w:ascii="方正小标宋_GBK" w:hAnsi="方正小标宋_GBK" w:eastAsia="方正小标宋_GBK" w:cs="Times New Roman"/>
          <w:kern w:val="0"/>
          <w:sz w:val="44"/>
          <w:szCs w:val="44"/>
          <w:lang w:eastAsia="zh-CN"/>
        </w:rPr>
      </w:pPr>
      <w:r>
        <w:rPr>
          <w:rFonts w:hint="eastAsia" w:ascii="方正小标宋_GBK" w:hAnsi="方正小标宋_GBK" w:eastAsia="方正小标宋_GBK" w:cs="Times New Roman"/>
          <w:kern w:val="0"/>
          <w:sz w:val="44"/>
          <w:szCs w:val="44"/>
          <w:lang w:eastAsia="zh-CN"/>
        </w:rPr>
        <w:t>江永县夏层铺镇人民政府</w:t>
      </w:r>
    </w:p>
    <w:p w14:paraId="68E09B90">
      <w:pPr>
        <w:widowControl/>
        <w:ind w:left="93"/>
        <w:jc w:val="center"/>
        <w:rPr>
          <w:rFonts w:ascii="Times New Roman" w:eastAsia="方正小标宋_GBK"/>
          <w:kern w:val="0"/>
          <w:sz w:val="44"/>
          <w:szCs w:val="44"/>
        </w:rPr>
      </w:pPr>
      <w:r>
        <w:rPr>
          <w:rFonts w:ascii="方正小标宋_GBK" w:hAnsi="方正小标宋_GBK" w:eastAsia="方正小标宋_GBK"/>
          <w:kern w:val="0"/>
          <w:sz w:val="44"/>
          <w:szCs w:val="44"/>
        </w:rPr>
        <w:t>财政专项</w:t>
      </w:r>
      <w:r>
        <w:rPr>
          <w:rFonts w:ascii="方正小标宋_GBK" w:hAnsi="方正小标宋_GBK"/>
          <w:kern w:val="0"/>
          <w:sz w:val="44"/>
          <w:szCs w:val="44"/>
        </w:rPr>
        <w:t>（项目）</w:t>
      </w:r>
      <w:r>
        <w:rPr>
          <w:rFonts w:ascii="方正小标宋_GBK" w:hAnsi="方正小标宋_GBK" w:eastAsia="方正小标宋_GBK"/>
          <w:kern w:val="0"/>
          <w:sz w:val="44"/>
          <w:szCs w:val="44"/>
        </w:rPr>
        <w:t>资金绩效评价表</w:t>
      </w:r>
    </w:p>
    <w:tbl>
      <w:tblPr>
        <w:tblStyle w:val="6"/>
        <w:tblW w:w="10608" w:type="dxa"/>
        <w:jc w:val="center"/>
        <w:tblLayout w:type="fixed"/>
        <w:tblCellMar>
          <w:top w:w="0" w:type="dxa"/>
          <w:left w:w="108" w:type="dxa"/>
          <w:bottom w:w="0" w:type="dxa"/>
          <w:right w:w="108" w:type="dxa"/>
        </w:tblCellMar>
      </w:tblPr>
      <w:tblGrid>
        <w:gridCol w:w="656"/>
        <w:gridCol w:w="710"/>
        <w:gridCol w:w="1275"/>
        <w:gridCol w:w="3080"/>
        <w:gridCol w:w="4502"/>
        <w:gridCol w:w="385"/>
      </w:tblGrid>
      <w:tr w14:paraId="33B8B4B0">
        <w:trPr>
          <w:jc w:val="center"/>
        </w:trPr>
        <w:tc>
          <w:tcPr>
            <w:tcW w:w="656" w:type="dxa"/>
            <w:tcBorders>
              <w:top w:val="single" w:color="auto" w:sz="4" w:space="0"/>
              <w:left w:val="single" w:color="auto" w:sz="4" w:space="0"/>
              <w:bottom w:val="nil"/>
              <w:right w:val="single" w:color="auto" w:sz="4" w:space="0"/>
            </w:tcBorders>
            <w:noWrap w:val="0"/>
            <w:vAlign w:val="center"/>
          </w:tcPr>
          <w:p w14:paraId="74DA235B">
            <w:pPr>
              <w:widowControl/>
              <w:jc w:val="center"/>
              <w:rPr>
                <w:rFonts w:eastAsia="仿宋_GB2312"/>
                <w:b/>
                <w:bCs/>
                <w:color w:val="000000"/>
                <w:kern w:val="0"/>
                <w:sz w:val="20"/>
                <w:szCs w:val="20"/>
              </w:rPr>
            </w:pPr>
            <w:r>
              <w:rPr>
                <w:rFonts w:eastAsia="仿宋_GB2312"/>
                <w:b/>
                <w:bCs/>
                <w:color w:val="000000"/>
                <w:kern w:val="0"/>
                <w:sz w:val="20"/>
                <w:szCs w:val="20"/>
              </w:rPr>
              <w:t>一级</w:t>
            </w:r>
          </w:p>
        </w:tc>
        <w:tc>
          <w:tcPr>
            <w:tcW w:w="710" w:type="dxa"/>
            <w:tcBorders>
              <w:top w:val="single" w:color="auto" w:sz="4" w:space="0"/>
              <w:left w:val="nil"/>
              <w:bottom w:val="nil"/>
              <w:right w:val="single" w:color="auto" w:sz="4" w:space="0"/>
            </w:tcBorders>
            <w:noWrap w:val="0"/>
            <w:vAlign w:val="center"/>
          </w:tcPr>
          <w:p w14:paraId="42125C9E">
            <w:pPr>
              <w:widowControl/>
              <w:jc w:val="center"/>
              <w:rPr>
                <w:rFonts w:eastAsia="仿宋_GB2312"/>
                <w:b/>
                <w:bCs/>
                <w:color w:val="000000"/>
                <w:kern w:val="0"/>
                <w:sz w:val="20"/>
                <w:szCs w:val="20"/>
              </w:rPr>
            </w:pPr>
            <w:r>
              <w:rPr>
                <w:rFonts w:eastAsia="仿宋_GB2312"/>
                <w:b/>
                <w:bCs/>
                <w:color w:val="000000"/>
                <w:kern w:val="0"/>
                <w:sz w:val="20"/>
                <w:szCs w:val="20"/>
              </w:rPr>
              <w:t>二级</w:t>
            </w:r>
          </w:p>
        </w:tc>
        <w:tc>
          <w:tcPr>
            <w:tcW w:w="1275" w:type="dxa"/>
            <w:vMerge w:val="restart"/>
            <w:tcBorders>
              <w:top w:val="single" w:color="auto" w:sz="4" w:space="0"/>
              <w:left w:val="nil"/>
              <w:bottom w:val="single" w:color="000000" w:sz="4" w:space="0"/>
              <w:right w:val="single" w:color="auto" w:sz="4" w:space="0"/>
            </w:tcBorders>
            <w:noWrap w:val="0"/>
            <w:vAlign w:val="center"/>
          </w:tcPr>
          <w:p w14:paraId="44AC7F4B">
            <w:pPr>
              <w:widowControl/>
              <w:jc w:val="center"/>
              <w:rPr>
                <w:rFonts w:eastAsia="仿宋_GB2312"/>
                <w:b/>
                <w:bCs/>
                <w:color w:val="000000"/>
                <w:kern w:val="0"/>
                <w:sz w:val="20"/>
                <w:szCs w:val="20"/>
              </w:rPr>
            </w:pPr>
            <w:r>
              <w:rPr>
                <w:rFonts w:eastAsia="仿宋_GB2312"/>
                <w:b/>
                <w:bCs/>
                <w:color w:val="000000"/>
                <w:kern w:val="0"/>
                <w:sz w:val="20"/>
                <w:szCs w:val="20"/>
              </w:rPr>
              <w:t>三级指标</w:t>
            </w:r>
          </w:p>
        </w:tc>
        <w:tc>
          <w:tcPr>
            <w:tcW w:w="3080" w:type="dxa"/>
            <w:vMerge w:val="restart"/>
            <w:tcBorders>
              <w:top w:val="single" w:color="auto" w:sz="4" w:space="0"/>
              <w:left w:val="nil"/>
              <w:bottom w:val="single" w:color="000000" w:sz="4" w:space="0"/>
              <w:right w:val="single" w:color="auto" w:sz="4" w:space="0"/>
            </w:tcBorders>
            <w:noWrap w:val="0"/>
            <w:vAlign w:val="center"/>
          </w:tcPr>
          <w:p w14:paraId="192F6605">
            <w:pPr>
              <w:widowControl/>
              <w:jc w:val="center"/>
              <w:rPr>
                <w:rFonts w:eastAsia="仿宋_GB2312"/>
                <w:b/>
                <w:bCs/>
                <w:color w:val="000000"/>
                <w:kern w:val="0"/>
                <w:sz w:val="20"/>
                <w:szCs w:val="20"/>
              </w:rPr>
            </w:pPr>
            <w:r>
              <w:rPr>
                <w:rFonts w:eastAsia="仿宋_GB2312"/>
                <w:b/>
                <w:bCs/>
                <w:color w:val="000000"/>
                <w:kern w:val="0"/>
                <w:sz w:val="20"/>
                <w:szCs w:val="20"/>
              </w:rPr>
              <w:t>指标解释</w:t>
            </w:r>
          </w:p>
        </w:tc>
        <w:tc>
          <w:tcPr>
            <w:tcW w:w="4502" w:type="dxa"/>
            <w:vMerge w:val="restart"/>
            <w:tcBorders>
              <w:top w:val="single" w:color="auto" w:sz="4" w:space="0"/>
              <w:left w:val="nil"/>
              <w:bottom w:val="single" w:color="000000" w:sz="4" w:space="0"/>
              <w:right w:val="single" w:color="auto" w:sz="4" w:space="0"/>
            </w:tcBorders>
            <w:noWrap w:val="0"/>
            <w:vAlign w:val="center"/>
          </w:tcPr>
          <w:p w14:paraId="089291D0">
            <w:pPr>
              <w:widowControl/>
              <w:jc w:val="center"/>
              <w:rPr>
                <w:rFonts w:eastAsia="仿宋_GB2312"/>
                <w:b/>
                <w:bCs/>
                <w:color w:val="000000"/>
                <w:kern w:val="0"/>
                <w:sz w:val="20"/>
                <w:szCs w:val="20"/>
              </w:rPr>
            </w:pPr>
            <w:r>
              <w:rPr>
                <w:rFonts w:eastAsia="仿宋_GB2312"/>
                <w:b/>
                <w:bCs/>
                <w:color w:val="000000"/>
                <w:kern w:val="0"/>
                <w:sz w:val="20"/>
                <w:szCs w:val="20"/>
              </w:rPr>
              <w:t>指标说明</w:t>
            </w:r>
          </w:p>
        </w:tc>
        <w:tc>
          <w:tcPr>
            <w:tcW w:w="385" w:type="dxa"/>
            <w:vMerge w:val="restart"/>
            <w:tcBorders>
              <w:top w:val="single" w:color="auto" w:sz="4" w:space="0"/>
              <w:left w:val="nil"/>
              <w:bottom w:val="nil"/>
              <w:right w:val="single" w:color="auto" w:sz="4" w:space="0"/>
            </w:tcBorders>
            <w:noWrap w:val="0"/>
            <w:vAlign w:val="center"/>
          </w:tcPr>
          <w:p w14:paraId="18EF35FC">
            <w:pPr>
              <w:widowControl/>
              <w:jc w:val="center"/>
              <w:rPr>
                <w:rFonts w:eastAsia="仿宋_GB2312"/>
                <w:b/>
                <w:bCs/>
                <w:color w:val="000000"/>
                <w:kern w:val="0"/>
                <w:sz w:val="20"/>
                <w:szCs w:val="20"/>
              </w:rPr>
            </w:pPr>
            <w:r>
              <w:rPr>
                <w:b/>
                <w:bCs/>
                <w:color w:val="000000"/>
                <w:kern w:val="0"/>
                <w:sz w:val="20"/>
                <w:szCs w:val="20"/>
              </w:rPr>
              <w:t>得分</w:t>
            </w:r>
          </w:p>
        </w:tc>
      </w:tr>
      <w:tr w14:paraId="2653DA24">
        <w:tblPrEx>
          <w:tblCellMar>
            <w:top w:w="0" w:type="dxa"/>
            <w:left w:w="108" w:type="dxa"/>
            <w:bottom w:w="0" w:type="dxa"/>
            <w:right w:w="108" w:type="dxa"/>
          </w:tblCellMar>
        </w:tblPrEx>
        <w:trPr>
          <w:trHeight w:val="391" w:hRule="atLeast"/>
          <w:jc w:val="center"/>
        </w:trPr>
        <w:tc>
          <w:tcPr>
            <w:tcW w:w="656" w:type="dxa"/>
            <w:tcBorders>
              <w:top w:val="nil"/>
              <w:left w:val="single" w:color="auto" w:sz="4" w:space="0"/>
              <w:bottom w:val="single" w:color="auto" w:sz="4" w:space="0"/>
              <w:right w:val="single" w:color="auto" w:sz="4" w:space="0"/>
            </w:tcBorders>
            <w:noWrap w:val="0"/>
            <w:vAlign w:val="center"/>
          </w:tcPr>
          <w:p w14:paraId="443BB066">
            <w:pPr>
              <w:widowControl/>
              <w:jc w:val="center"/>
              <w:rPr>
                <w:rFonts w:eastAsia="仿宋_GB2312"/>
                <w:b/>
                <w:bCs/>
                <w:color w:val="000000"/>
                <w:kern w:val="0"/>
                <w:sz w:val="20"/>
                <w:szCs w:val="20"/>
              </w:rPr>
            </w:pPr>
            <w:r>
              <w:rPr>
                <w:rFonts w:eastAsia="仿宋_GB2312"/>
                <w:b/>
                <w:bCs/>
                <w:color w:val="000000"/>
                <w:kern w:val="0"/>
                <w:sz w:val="20"/>
                <w:szCs w:val="20"/>
              </w:rPr>
              <w:t>指标</w:t>
            </w:r>
          </w:p>
        </w:tc>
        <w:tc>
          <w:tcPr>
            <w:tcW w:w="710" w:type="dxa"/>
            <w:tcBorders>
              <w:top w:val="nil"/>
              <w:left w:val="nil"/>
              <w:bottom w:val="single" w:color="auto" w:sz="4" w:space="0"/>
              <w:right w:val="single" w:color="auto" w:sz="4" w:space="0"/>
            </w:tcBorders>
            <w:noWrap w:val="0"/>
            <w:vAlign w:val="center"/>
          </w:tcPr>
          <w:p w14:paraId="188C44D1">
            <w:pPr>
              <w:widowControl/>
              <w:jc w:val="center"/>
              <w:rPr>
                <w:rFonts w:eastAsia="仿宋_GB2312"/>
                <w:b/>
                <w:bCs/>
                <w:color w:val="000000"/>
                <w:kern w:val="0"/>
                <w:sz w:val="20"/>
                <w:szCs w:val="20"/>
              </w:rPr>
            </w:pPr>
            <w:r>
              <w:rPr>
                <w:rFonts w:eastAsia="仿宋_GB2312"/>
                <w:b/>
                <w:bCs/>
                <w:color w:val="000000"/>
                <w:kern w:val="0"/>
                <w:sz w:val="20"/>
                <w:szCs w:val="20"/>
              </w:rPr>
              <w:t>指标</w:t>
            </w:r>
          </w:p>
        </w:tc>
        <w:tc>
          <w:tcPr>
            <w:tcW w:w="1275" w:type="dxa"/>
            <w:vMerge w:val="continue"/>
            <w:tcBorders>
              <w:top w:val="single" w:color="auto" w:sz="4" w:space="0"/>
              <w:left w:val="nil"/>
              <w:bottom w:val="single" w:color="000000" w:sz="4" w:space="0"/>
              <w:right w:val="single" w:color="auto" w:sz="4" w:space="0"/>
            </w:tcBorders>
            <w:noWrap w:val="0"/>
            <w:vAlign w:val="center"/>
          </w:tcPr>
          <w:p w14:paraId="14892CA2">
            <w:pPr>
              <w:widowControl/>
              <w:jc w:val="left"/>
              <w:rPr>
                <w:rFonts w:eastAsia="仿宋_GB2312"/>
                <w:b/>
                <w:bCs/>
                <w:color w:val="000000"/>
                <w:kern w:val="0"/>
                <w:sz w:val="20"/>
                <w:szCs w:val="20"/>
              </w:rPr>
            </w:pPr>
          </w:p>
        </w:tc>
        <w:tc>
          <w:tcPr>
            <w:tcW w:w="3080" w:type="dxa"/>
            <w:vMerge w:val="continue"/>
            <w:tcBorders>
              <w:top w:val="single" w:color="auto" w:sz="4" w:space="0"/>
              <w:left w:val="nil"/>
              <w:bottom w:val="single" w:color="000000" w:sz="4" w:space="0"/>
              <w:right w:val="single" w:color="auto" w:sz="4" w:space="0"/>
            </w:tcBorders>
            <w:noWrap w:val="0"/>
            <w:vAlign w:val="center"/>
          </w:tcPr>
          <w:p w14:paraId="7B44DA3E">
            <w:pPr>
              <w:widowControl/>
              <w:jc w:val="left"/>
              <w:rPr>
                <w:rFonts w:eastAsia="仿宋_GB2312"/>
                <w:b/>
                <w:bCs/>
                <w:color w:val="000000"/>
                <w:kern w:val="0"/>
                <w:sz w:val="20"/>
                <w:szCs w:val="20"/>
              </w:rPr>
            </w:pPr>
          </w:p>
        </w:tc>
        <w:tc>
          <w:tcPr>
            <w:tcW w:w="4502" w:type="dxa"/>
            <w:vMerge w:val="continue"/>
            <w:tcBorders>
              <w:top w:val="single" w:color="auto" w:sz="4" w:space="0"/>
              <w:left w:val="nil"/>
              <w:bottom w:val="single" w:color="000000" w:sz="4" w:space="0"/>
              <w:right w:val="single" w:color="auto" w:sz="4" w:space="0"/>
            </w:tcBorders>
            <w:noWrap w:val="0"/>
            <w:vAlign w:val="center"/>
          </w:tcPr>
          <w:p w14:paraId="4C7AE149">
            <w:pPr>
              <w:widowControl/>
              <w:jc w:val="left"/>
              <w:rPr>
                <w:rFonts w:eastAsia="仿宋_GB2312"/>
                <w:b/>
                <w:bCs/>
                <w:color w:val="000000"/>
                <w:kern w:val="0"/>
                <w:sz w:val="20"/>
                <w:szCs w:val="20"/>
              </w:rPr>
            </w:pPr>
          </w:p>
        </w:tc>
        <w:tc>
          <w:tcPr>
            <w:tcW w:w="385" w:type="dxa"/>
            <w:vMerge w:val="continue"/>
            <w:tcBorders>
              <w:top w:val="single" w:color="auto" w:sz="4" w:space="0"/>
              <w:left w:val="nil"/>
              <w:bottom w:val="nil"/>
              <w:right w:val="single" w:color="auto" w:sz="4" w:space="0"/>
            </w:tcBorders>
            <w:noWrap w:val="0"/>
            <w:vAlign w:val="center"/>
          </w:tcPr>
          <w:p w14:paraId="6F88B0F5">
            <w:pPr>
              <w:widowControl/>
              <w:jc w:val="left"/>
              <w:rPr>
                <w:rFonts w:eastAsia="仿宋_GB2312"/>
                <w:b/>
                <w:bCs/>
                <w:color w:val="000000"/>
                <w:kern w:val="0"/>
                <w:sz w:val="20"/>
                <w:szCs w:val="20"/>
              </w:rPr>
            </w:pPr>
          </w:p>
        </w:tc>
      </w:tr>
      <w:tr w14:paraId="4B61413C">
        <w:trPr>
          <w:jc w:val="center"/>
        </w:trPr>
        <w:tc>
          <w:tcPr>
            <w:tcW w:w="656" w:type="dxa"/>
            <w:vMerge w:val="restart"/>
            <w:tcBorders>
              <w:top w:val="nil"/>
              <w:left w:val="single" w:color="auto" w:sz="4" w:space="0"/>
              <w:bottom w:val="single" w:color="000000" w:sz="4" w:space="0"/>
              <w:right w:val="single" w:color="auto" w:sz="4" w:space="0"/>
            </w:tcBorders>
            <w:noWrap w:val="0"/>
            <w:vAlign w:val="center"/>
          </w:tcPr>
          <w:p w14:paraId="121A4812">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投入</w:t>
            </w:r>
          </w:p>
          <w:p w14:paraId="1FE8798A">
            <w:pPr>
              <w:widowControl/>
              <w:spacing w:line="280" w:lineRule="exact"/>
              <w:jc w:val="center"/>
              <w:rPr>
                <w:rFonts w:ascii="宋体" w:hAnsi="宋体"/>
                <w:color w:val="000000"/>
                <w:kern w:val="0"/>
                <w:sz w:val="24"/>
              </w:rPr>
            </w:pPr>
            <w:r>
              <w:rPr>
                <w:rFonts w:ascii="仿宋_GB2312" w:hAnsi="宋体"/>
                <w:color w:val="000000"/>
                <w:kern w:val="0"/>
                <w:sz w:val="20"/>
                <w:szCs w:val="20"/>
              </w:rPr>
              <w:t>（20分）</w:t>
            </w:r>
          </w:p>
        </w:tc>
        <w:tc>
          <w:tcPr>
            <w:tcW w:w="710" w:type="dxa"/>
            <w:vMerge w:val="restart"/>
            <w:tcBorders>
              <w:top w:val="nil"/>
              <w:left w:val="nil"/>
              <w:bottom w:val="single" w:color="000000" w:sz="4" w:space="0"/>
              <w:right w:val="single" w:color="auto" w:sz="4" w:space="0"/>
            </w:tcBorders>
            <w:noWrap w:val="0"/>
            <w:vAlign w:val="center"/>
          </w:tcPr>
          <w:p w14:paraId="14306D56">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项目立项</w:t>
            </w:r>
          </w:p>
          <w:p w14:paraId="53736D73">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（12分）</w:t>
            </w:r>
          </w:p>
        </w:tc>
        <w:tc>
          <w:tcPr>
            <w:tcW w:w="1275" w:type="dxa"/>
            <w:vMerge w:val="restart"/>
            <w:tcBorders>
              <w:top w:val="nil"/>
              <w:left w:val="nil"/>
              <w:bottom w:val="single" w:color="000000" w:sz="4" w:space="0"/>
              <w:right w:val="single" w:color="auto" w:sz="4" w:space="0"/>
            </w:tcBorders>
            <w:noWrap w:val="0"/>
            <w:vAlign w:val="center"/>
          </w:tcPr>
          <w:p w14:paraId="3C99747B">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项目立项规范性</w:t>
            </w:r>
          </w:p>
          <w:p w14:paraId="7AFD261F">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vMerge w:val="restart"/>
            <w:tcBorders>
              <w:top w:val="nil"/>
              <w:left w:val="nil"/>
              <w:bottom w:val="single" w:color="000000" w:sz="4" w:space="0"/>
              <w:right w:val="single" w:color="auto" w:sz="4" w:space="0"/>
            </w:tcBorders>
            <w:noWrap w:val="0"/>
            <w:vAlign w:val="center"/>
          </w:tcPr>
          <w:p w14:paraId="296FA3CC">
            <w:pPr>
              <w:widowControl/>
              <w:spacing w:line="280" w:lineRule="exact"/>
              <w:rPr>
                <w:rFonts w:ascii="仿宋_GB2312" w:hAnsi="宋体"/>
                <w:color w:val="000000"/>
                <w:kern w:val="0"/>
                <w:sz w:val="20"/>
                <w:szCs w:val="20"/>
              </w:rPr>
            </w:pPr>
            <w:r>
              <w:rPr>
                <w:rFonts w:ascii="仿宋_GB2312" w:hAnsi="宋体"/>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noWrap w:val="0"/>
            <w:vAlign w:val="center"/>
          </w:tcPr>
          <w:p w14:paraId="12A8194B">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14:paraId="41D9FDD2">
            <w:pPr>
              <w:widowControl/>
              <w:spacing w:line="280" w:lineRule="exact"/>
              <w:rPr>
                <w:rFonts w:ascii="宋体" w:hAnsi="宋体"/>
                <w:color w:val="000000"/>
                <w:kern w:val="0"/>
                <w:sz w:val="24"/>
              </w:rPr>
            </w:pPr>
          </w:p>
        </w:tc>
      </w:tr>
      <w:tr w14:paraId="6657D023">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38721194">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4227E3EC">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553CB5EF">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5C1F9E47">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6FE38238">
            <w:pPr>
              <w:widowControl/>
              <w:spacing w:line="280" w:lineRule="exact"/>
              <w:rPr>
                <w:rFonts w:ascii="仿宋_GB2312" w:hAnsi="宋体"/>
                <w:color w:val="000000"/>
                <w:kern w:val="0"/>
                <w:sz w:val="20"/>
                <w:szCs w:val="20"/>
              </w:rPr>
            </w:pPr>
            <w:r>
              <w:rPr>
                <w:rFonts w:ascii="仿宋_GB2312" w:hAnsi="宋体"/>
                <w:color w:val="000000"/>
                <w:kern w:val="0"/>
                <w:sz w:val="20"/>
                <w:szCs w:val="20"/>
              </w:rPr>
              <w:t>①项目是否按照规定的程序申请设立；</w:t>
            </w:r>
          </w:p>
        </w:tc>
        <w:tc>
          <w:tcPr>
            <w:tcW w:w="385" w:type="dxa"/>
            <w:tcBorders>
              <w:top w:val="nil"/>
              <w:left w:val="nil"/>
              <w:bottom w:val="nil"/>
              <w:right w:val="single" w:color="auto" w:sz="4" w:space="0"/>
            </w:tcBorders>
            <w:noWrap w:val="0"/>
            <w:vAlign w:val="top"/>
          </w:tcPr>
          <w:p w14:paraId="49878326">
            <w:pPr>
              <w:widowControl/>
              <w:spacing w:line="280" w:lineRule="exac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4</w:t>
            </w:r>
          </w:p>
        </w:tc>
      </w:tr>
      <w:tr w14:paraId="0E47E4D6">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50B6AA98">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00B2950D">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040A924A">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124D47A3">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26FC9838">
            <w:pPr>
              <w:widowControl/>
              <w:spacing w:line="280" w:lineRule="exact"/>
              <w:rPr>
                <w:rFonts w:ascii="仿宋_GB2312" w:hAnsi="宋体"/>
                <w:color w:val="000000"/>
                <w:kern w:val="0"/>
                <w:sz w:val="20"/>
                <w:szCs w:val="20"/>
              </w:rPr>
            </w:pPr>
            <w:r>
              <w:rPr>
                <w:rFonts w:ascii="仿宋_GB2312" w:hAnsi="宋体"/>
                <w:color w:val="000000"/>
                <w:kern w:val="0"/>
                <w:sz w:val="20"/>
                <w:szCs w:val="20"/>
              </w:rPr>
              <w:t>②所提交的文件、材料是否符合相关要求；</w:t>
            </w:r>
          </w:p>
        </w:tc>
        <w:tc>
          <w:tcPr>
            <w:tcW w:w="385" w:type="dxa"/>
            <w:tcBorders>
              <w:top w:val="nil"/>
              <w:left w:val="nil"/>
              <w:bottom w:val="nil"/>
              <w:right w:val="single" w:color="auto" w:sz="4" w:space="0"/>
            </w:tcBorders>
            <w:noWrap w:val="0"/>
            <w:vAlign w:val="top"/>
          </w:tcPr>
          <w:p w14:paraId="28C1C7B9">
            <w:pPr>
              <w:widowControl/>
              <w:spacing w:line="280" w:lineRule="exact"/>
              <w:rPr>
                <w:rFonts w:ascii="宋体" w:hAnsi="宋体"/>
                <w:color w:val="000000"/>
                <w:kern w:val="0"/>
                <w:sz w:val="24"/>
              </w:rPr>
            </w:pPr>
          </w:p>
        </w:tc>
      </w:tr>
      <w:tr w14:paraId="6CA2CD62">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480EDBD2">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572B2ECB">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5125B6AA">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6687E4E8">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47503D32">
            <w:pPr>
              <w:widowControl/>
              <w:spacing w:line="280" w:lineRule="exact"/>
              <w:rPr>
                <w:rFonts w:ascii="仿宋_GB2312" w:hAnsi="宋体"/>
                <w:color w:val="000000"/>
                <w:kern w:val="0"/>
                <w:sz w:val="20"/>
                <w:szCs w:val="20"/>
              </w:rPr>
            </w:pPr>
            <w:r>
              <w:rPr>
                <w:rFonts w:ascii="仿宋_GB2312" w:hAnsi="宋体"/>
                <w:color w:val="000000"/>
                <w:kern w:val="0"/>
                <w:sz w:val="20"/>
                <w:szCs w:val="20"/>
              </w:rPr>
              <w:t>③事前是否已经过必要的可行性研究、专家论证、风险评估、集体决策等。</w:t>
            </w:r>
          </w:p>
        </w:tc>
        <w:tc>
          <w:tcPr>
            <w:tcW w:w="385" w:type="dxa"/>
            <w:tcBorders>
              <w:top w:val="nil"/>
              <w:left w:val="nil"/>
              <w:bottom w:val="single" w:color="auto" w:sz="4" w:space="0"/>
              <w:right w:val="single" w:color="auto" w:sz="4" w:space="0"/>
            </w:tcBorders>
            <w:noWrap w:val="0"/>
            <w:vAlign w:val="top"/>
          </w:tcPr>
          <w:p w14:paraId="00671EEA">
            <w:pPr>
              <w:widowControl/>
              <w:spacing w:line="280" w:lineRule="exact"/>
              <w:rPr>
                <w:rFonts w:ascii="宋体" w:hAnsi="宋体"/>
                <w:color w:val="000000"/>
                <w:kern w:val="0"/>
                <w:sz w:val="24"/>
              </w:rPr>
            </w:pPr>
          </w:p>
        </w:tc>
      </w:tr>
      <w:tr w14:paraId="6AC56269">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742B3DA3">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657BAA8C">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14:paraId="79A6C22A">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绩效目标合理性</w:t>
            </w:r>
          </w:p>
          <w:p w14:paraId="68EA5AAA">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vMerge w:val="restart"/>
            <w:tcBorders>
              <w:top w:val="nil"/>
              <w:left w:val="nil"/>
              <w:bottom w:val="single" w:color="000000" w:sz="4" w:space="0"/>
              <w:right w:val="single" w:color="auto" w:sz="4" w:space="0"/>
            </w:tcBorders>
            <w:noWrap w:val="0"/>
            <w:vAlign w:val="center"/>
          </w:tcPr>
          <w:p w14:paraId="2A03FC70">
            <w:pPr>
              <w:widowControl/>
              <w:spacing w:line="280" w:lineRule="exact"/>
              <w:rPr>
                <w:rFonts w:ascii="仿宋_GB2312" w:hAnsi="宋体"/>
                <w:color w:val="000000"/>
                <w:kern w:val="0"/>
                <w:sz w:val="20"/>
                <w:szCs w:val="20"/>
              </w:rPr>
            </w:pPr>
            <w:r>
              <w:rPr>
                <w:rFonts w:ascii="仿宋_GB2312" w:hAnsi="宋体"/>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noWrap w:val="0"/>
            <w:vAlign w:val="center"/>
          </w:tcPr>
          <w:p w14:paraId="729C7F1D">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14:paraId="756266B8">
            <w:pPr>
              <w:widowControl/>
              <w:spacing w:line="280" w:lineRule="exact"/>
              <w:rPr>
                <w:rFonts w:ascii="宋体" w:hAnsi="宋体"/>
                <w:color w:val="000000"/>
                <w:kern w:val="0"/>
                <w:sz w:val="24"/>
              </w:rPr>
            </w:pPr>
          </w:p>
        </w:tc>
      </w:tr>
      <w:tr w14:paraId="36B3BB5B">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24F5184D">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1E076B43">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0129C28C">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4C2A657B">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62A6A4A6">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①是否符合国家相关法律法规，国民经济发展规划和党委政府决策；</w:t>
            </w:r>
          </w:p>
        </w:tc>
        <w:tc>
          <w:tcPr>
            <w:tcW w:w="385" w:type="dxa"/>
            <w:tcBorders>
              <w:top w:val="nil"/>
              <w:left w:val="nil"/>
              <w:bottom w:val="nil"/>
              <w:right w:val="single" w:color="auto" w:sz="4" w:space="0"/>
            </w:tcBorders>
            <w:noWrap w:val="0"/>
            <w:vAlign w:val="top"/>
          </w:tcPr>
          <w:p w14:paraId="7A6A3404">
            <w:pPr>
              <w:widowControl/>
              <w:spacing w:line="280" w:lineRule="exact"/>
              <w:rPr>
                <w:rFonts w:ascii="宋体" w:hAnsi="宋体"/>
                <w:color w:val="000000"/>
                <w:kern w:val="0"/>
                <w:sz w:val="24"/>
              </w:rPr>
            </w:pPr>
          </w:p>
        </w:tc>
      </w:tr>
      <w:tr w14:paraId="37476FE7">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630D86A5">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0E442F7A">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2FD2E88A">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4F74A4EE">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40613DD0">
            <w:pPr>
              <w:widowControl/>
              <w:spacing w:line="280" w:lineRule="exact"/>
              <w:rPr>
                <w:rFonts w:ascii="仿宋_GB2312" w:hAnsi="宋体"/>
                <w:color w:val="000000"/>
                <w:kern w:val="0"/>
                <w:sz w:val="20"/>
                <w:szCs w:val="20"/>
              </w:rPr>
            </w:pPr>
            <w:r>
              <w:rPr>
                <w:rFonts w:ascii="仿宋_GB2312" w:hAnsi="宋体"/>
                <w:color w:val="000000"/>
                <w:kern w:val="0"/>
                <w:sz w:val="20"/>
                <w:szCs w:val="20"/>
              </w:rPr>
              <w:t>②是否与项目实施单位或委托单位职责密切相关；</w:t>
            </w:r>
          </w:p>
        </w:tc>
        <w:tc>
          <w:tcPr>
            <w:tcW w:w="385" w:type="dxa"/>
            <w:tcBorders>
              <w:top w:val="nil"/>
              <w:left w:val="nil"/>
              <w:bottom w:val="nil"/>
              <w:right w:val="single" w:color="auto" w:sz="4" w:space="0"/>
            </w:tcBorders>
            <w:noWrap w:val="0"/>
            <w:vAlign w:val="top"/>
          </w:tcPr>
          <w:p w14:paraId="26E2AC8C">
            <w:pPr>
              <w:widowControl/>
              <w:spacing w:line="280" w:lineRule="exac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4</w:t>
            </w:r>
          </w:p>
        </w:tc>
      </w:tr>
      <w:tr w14:paraId="3705495C">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4D671476">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4663B53B">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1D718F47">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08CCCBBD">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52B83C47">
            <w:pPr>
              <w:widowControl/>
              <w:spacing w:line="280" w:lineRule="exact"/>
              <w:rPr>
                <w:rFonts w:ascii="仿宋_GB2312" w:hAnsi="宋体"/>
                <w:color w:val="000000"/>
                <w:kern w:val="0"/>
                <w:sz w:val="20"/>
                <w:szCs w:val="20"/>
              </w:rPr>
            </w:pPr>
            <w:r>
              <w:rPr>
                <w:rFonts w:ascii="仿宋_GB2312" w:hAnsi="宋体"/>
                <w:color w:val="000000"/>
                <w:kern w:val="0"/>
                <w:sz w:val="20"/>
                <w:szCs w:val="20"/>
              </w:rPr>
              <w:t>③项目是否为促进事业发展所必需；</w:t>
            </w:r>
          </w:p>
        </w:tc>
        <w:tc>
          <w:tcPr>
            <w:tcW w:w="385" w:type="dxa"/>
            <w:tcBorders>
              <w:top w:val="nil"/>
              <w:left w:val="nil"/>
              <w:bottom w:val="nil"/>
              <w:right w:val="single" w:color="auto" w:sz="4" w:space="0"/>
            </w:tcBorders>
            <w:noWrap w:val="0"/>
            <w:vAlign w:val="top"/>
          </w:tcPr>
          <w:p w14:paraId="3F980D4F">
            <w:pPr>
              <w:widowControl/>
              <w:spacing w:line="280" w:lineRule="exact"/>
              <w:rPr>
                <w:rFonts w:ascii="宋体" w:hAnsi="宋体"/>
                <w:color w:val="000000"/>
                <w:kern w:val="0"/>
                <w:sz w:val="24"/>
              </w:rPr>
            </w:pPr>
          </w:p>
        </w:tc>
      </w:tr>
      <w:tr w14:paraId="178A8804">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331ED0E8">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06EC0E3D">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775B6426">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37BB663B">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298E5632">
            <w:pPr>
              <w:widowControl/>
              <w:spacing w:line="280" w:lineRule="exact"/>
              <w:rPr>
                <w:rFonts w:ascii="仿宋_GB2312" w:hAnsi="宋体"/>
                <w:color w:val="000000"/>
                <w:kern w:val="0"/>
                <w:sz w:val="20"/>
                <w:szCs w:val="20"/>
              </w:rPr>
            </w:pPr>
            <w:r>
              <w:rPr>
                <w:rFonts w:ascii="仿宋_GB2312" w:hAnsi="宋体"/>
                <w:color w:val="000000"/>
                <w:kern w:val="0"/>
                <w:sz w:val="20"/>
                <w:szCs w:val="20"/>
              </w:rPr>
              <w:t>④项目预期产出效益和效果是否符合正常的业绩水平。</w:t>
            </w:r>
          </w:p>
        </w:tc>
        <w:tc>
          <w:tcPr>
            <w:tcW w:w="385" w:type="dxa"/>
            <w:tcBorders>
              <w:top w:val="nil"/>
              <w:left w:val="nil"/>
              <w:bottom w:val="single" w:color="auto" w:sz="4" w:space="0"/>
              <w:right w:val="single" w:color="auto" w:sz="4" w:space="0"/>
            </w:tcBorders>
            <w:noWrap w:val="0"/>
            <w:vAlign w:val="top"/>
          </w:tcPr>
          <w:p w14:paraId="1D3176A7">
            <w:pPr>
              <w:widowControl/>
              <w:spacing w:line="280" w:lineRule="exact"/>
              <w:rPr>
                <w:rFonts w:ascii="宋体" w:hAnsi="宋体"/>
                <w:color w:val="000000"/>
                <w:kern w:val="0"/>
                <w:sz w:val="24"/>
              </w:rPr>
            </w:pPr>
          </w:p>
        </w:tc>
      </w:tr>
      <w:tr w14:paraId="6484F42F">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6DC70746">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110C848F">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14:paraId="469EFB8E">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绩效指标明确性</w:t>
            </w:r>
          </w:p>
          <w:p w14:paraId="0CE3EC3E">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vMerge w:val="restart"/>
            <w:tcBorders>
              <w:top w:val="nil"/>
              <w:left w:val="nil"/>
              <w:bottom w:val="single" w:color="000000" w:sz="4" w:space="0"/>
              <w:right w:val="single" w:color="auto" w:sz="4" w:space="0"/>
            </w:tcBorders>
            <w:noWrap w:val="0"/>
            <w:vAlign w:val="center"/>
          </w:tcPr>
          <w:p w14:paraId="1D77AB47">
            <w:pPr>
              <w:widowControl/>
              <w:spacing w:line="280" w:lineRule="exact"/>
              <w:rPr>
                <w:rFonts w:ascii="仿宋_GB2312" w:hAnsi="宋体"/>
                <w:color w:val="000000"/>
                <w:kern w:val="0"/>
                <w:sz w:val="20"/>
                <w:szCs w:val="20"/>
              </w:rPr>
            </w:pPr>
            <w:r>
              <w:rPr>
                <w:rFonts w:ascii="仿宋_GB2312" w:hAnsi="宋体"/>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noWrap w:val="0"/>
            <w:vAlign w:val="center"/>
          </w:tcPr>
          <w:p w14:paraId="02822D42">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14:paraId="41B0FA80">
            <w:pPr>
              <w:widowControl/>
              <w:spacing w:line="280" w:lineRule="exact"/>
              <w:rPr>
                <w:rFonts w:ascii="宋体" w:hAnsi="宋体"/>
                <w:color w:val="000000"/>
                <w:kern w:val="0"/>
                <w:sz w:val="24"/>
              </w:rPr>
            </w:pPr>
          </w:p>
        </w:tc>
      </w:tr>
      <w:tr w14:paraId="68E44090">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7B1CA998">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45254AAD">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25F080D7">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00E70323">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6D8FD90A">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①是否将项目绩效目标细化分解为具体的绩效指标；</w:t>
            </w:r>
          </w:p>
        </w:tc>
        <w:tc>
          <w:tcPr>
            <w:tcW w:w="385" w:type="dxa"/>
            <w:tcBorders>
              <w:top w:val="nil"/>
              <w:left w:val="nil"/>
              <w:bottom w:val="nil"/>
              <w:right w:val="single" w:color="auto" w:sz="4" w:space="0"/>
            </w:tcBorders>
            <w:noWrap w:val="0"/>
            <w:vAlign w:val="top"/>
          </w:tcPr>
          <w:p w14:paraId="40C8C228">
            <w:pPr>
              <w:widowControl/>
              <w:spacing w:line="280" w:lineRule="exact"/>
              <w:rPr>
                <w:rFonts w:ascii="宋体" w:hAnsi="宋体"/>
                <w:color w:val="000000"/>
                <w:kern w:val="0"/>
                <w:sz w:val="24"/>
              </w:rPr>
            </w:pPr>
          </w:p>
        </w:tc>
      </w:tr>
      <w:tr w14:paraId="307730BA">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6BB7E5D2">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4A7C3E1E">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4143C56F">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09161FCD">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3D29BECC">
            <w:pPr>
              <w:widowControl/>
              <w:spacing w:line="280" w:lineRule="exact"/>
              <w:rPr>
                <w:rFonts w:ascii="仿宋_GB2312" w:hAnsi="宋体"/>
                <w:color w:val="000000"/>
                <w:kern w:val="0"/>
                <w:sz w:val="20"/>
                <w:szCs w:val="20"/>
              </w:rPr>
            </w:pPr>
            <w:r>
              <w:rPr>
                <w:rFonts w:ascii="仿宋_GB2312" w:hAnsi="宋体"/>
                <w:color w:val="000000"/>
                <w:kern w:val="0"/>
                <w:sz w:val="20"/>
                <w:szCs w:val="20"/>
              </w:rPr>
              <w:t>②是否通过清晰、可衡量的指标值予以体现；</w:t>
            </w:r>
          </w:p>
        </w:tc>
        <w:tc>
          <w:tcPr>
            <w:tcW w:w="385" w:type="dxa"/>
            <w:tcBorders>
              <w:top w:val="nil"/>
              <w:left w:val="nil"/>
              <w:bottom w:val="nil"/>
              <w:right w:val="single" w:color="auto" w:sz="4" w:space="0"/>
            </w:tcBorders>
            <w:noWrap w:val="0"/>
            <w:vAlign w:val="top"/>
          </w:tcPr>
          <w:p w14:paraId="6F486F39">
            <w:pPr>
              <w:widowControl/>
              <w:spacing w:line="280" w:lineRule="exac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4</w:t>
            </w:r>
          </w:p>
        </w:tc>
      </w:tr>
      <w:tr w14:paraId="22184178">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44F3B762">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4F07E13E">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21BBB632">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7B97F195">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467C2357">
            <w:pPr>
              <w:widowControl/>
              <w:spacing w:line="280" w:lineRule="exact"/>
              <w:rPr>
                <w:rFonts w:ascii="仿宋_GB2312" w:hAnsi="宋体"/>
                <w:color w:val="000000"/>
                <w:kern w:val="0"/>
                <w:sz w:val="20"/>
                <w:szCs w:val="20"/>
              </w:rPr>
            </w:pPr>
            <w:r>
              <w:rPr>
                <w:rFonts w:ascii="仿宋_GB2312" w:hAnsi="宋体"/>
                <w:color w:val="000000"/>
                <w:kern w:val="0"/>
                <w:sz w:val="20"/>
                <w:szCs w:val="20"/>
              </w:rPr>
              <w:t>③是否与项目年度任务教或计划数相对应；</w:t>
            </w:r>
          </w:p>
        </w:tc>
        <w:tc>
          <w:tcPr>
            <w:tcW w:w="385" w:type="dxa"/>
            <w:tcBorders>
              <w:top w:val="nil"/>
              <w:left w:val="nil"/>
              <w:bottom w:val="nil"/>
              <w:right w:val="single" w:color="auto" w:sz="4" w:space="0"/>
            </w:tcBorders>
            <w:noWrap w:val="0"/>
            <w:vAlign w:val="top"/>
          </w:tcPr>
          <w:p w14:paraId="66D152DA">
            <w:pPr>
              <w:widowControl/>
              <w:spacing w:line="280" w:lineRule="exact"/>
              <w:rPr>
                <w:rFonts w:ascii="宋体" w:hAnsi="宋体"/>
                <w:color w:val="000000"/>
                <w:kern w:val="0"/>
                <w:sz w:val="24"/>
              </w:rPr>
            </w:pPr>
          </w:p>
        </w:tc>
      </w:tr>
      <w:tr w14:paraId="63593BA4">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15A5BBA4">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34E8A85A">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2734AE01">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3D1ADDB3">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2D11544A">
            <w:pPr>
              <w:widowControl/>
              <w:spacing w:line="280" w:lineRule="exact"/>
              <w:rPr>
                <w:rFonts w:ascii="仿宋_GB2312" w:hAnsi="宋体"/>
                <w:color w:val="000000"/>
                <w:kern w:val="0"/>
                <w:sz w:val="20"/>
                <w:szCs w:val="20"/>
              </w:rPr>
            </w:pPr>
            <w:r>
              <w:rPr>
                <w:rFonts w:ascii="仿宋_GB2312" w:hAnsi="宋体"/>
                <w:color w:val="000000"/>
                <w:kern w:val="0"/>
                <w:sz w:val="20"/>
                <w:szCs w:val="20"/>
              </w:rPr>
              <w:t>④是否与预期确定的项目投资额或资金量相匹配。</w:t>
            </w:r>
          </w:p>
        </w:tc>
        <w:tc>
          <w:tcPr>
            <w:tcW w:w="385" w:type="dxa"/>
            <w:tcBorders>
              <w:top w:val="nil"/>
              <w:left w:val="nil"/>
              <w:bottom w:val="single" w:color="auto" w:sz="4" w:space="0"/>
              <w:right w:val="single" w:color="auto" w:sz="4" w:space="0"/>
            </w:tcBorders>
            <w:noWrap w:val="0"/>
            <w:vAlign w:val="top"/>
          </w:tcPr>
          <w:p w14:paraId="56B3B18E">
            <w:pPr>
              <w:widowControl/>
              <w:spacing w:line="280" w:lineRule="exact"/>
              <w:rPr>
                <w:rFonts w:ascii="宋体" w:hAnsi="宋体"/>
                <w:color w:val="000000"/>
                <w:kern w:val="0"/>
                <w:sz w:val="24"/>
              </w:rPr>
            </w:pPr>
          </w:p>
        </w:tc>
      </w:tr>
      <w:tr w14:paraId="13079B63">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4C5A5771">
            <w:pPr>
              <w:widowControl/>
              <w:jc w:val="left"/>
              <w:rPr>
                <w:rFonts w:ascii="宋体" w:hAnsi="宋体"/>
                <w:color w:val="000000"/>
                <w:kern w:val="0"/>
                <w:sz w:val="24"/>
              </w:rPr>
            </w:pPr>
          </w:p>
        </w:tc>
        <w:tc>
          <w:tcPr>
            <w:tcW w:w="710" w:type="dxa"/>
            <w:vMerge w:val="restart"/>
            <w:tcBorders>
              <w:top w:val="nil"/>
              <w:left w:val="nil"/>
              <w:bottom w:val="single" w:color="000000" w:sz="4" w:space="0"/>
              <w:right w:val="single" w:color="auto" w:sz="4" w:space="0"/>
            </w:tcBorders>
            <w:noWrap w:val="0"/>
            <w:vAlign w:val="center"/>
          </w:tcPr>
          <w:p w14:paraId="38E5D21C">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资金落实</w:t>
            </w:r>
          </w:p>
          <w:p w14:paraId="0695DD04">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（8分）</w:t>
            </w:r>
          </w:p>
        </w:tc>
        <w:tc>
          <w:tcPr>
            <w:tcW w:w="1275" w:type="dxa"/>
            <w:vMerge w:val="restart"/>
            <w:tcBorders>
              <w:top w:val="nil"/>
              <w:left w:val="nil"/>
              <w:bottom w:val="single" w:color="000000" w:sz="4" w:space="0"/>
              <w:right w:val="single" w:color="auto" w:sz="4" w:space="0"/>
            </w:tcBorders>
            <w:noWrap w:val="0"/>
            <w:vAlign w:val="center"/>
          </w:tcPr>
          <w:p w14:paraId="491F4A99">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资金到位率（4分）</w:t>
            </w:r>
          </w:p>
        </w:tc>
        <w:tc>
          <w:tcPr>
            <w:tcW w:w="3080" w:type="dxa"/>
            <w:vMerge w:val="restart"/>
            <w:tcBorders>
              <w:top w:val="nil"/>
              <w:left w:val="nil"/>
              <w:bottom w:val="single" w:color="000000" w:sz="4" w:space="0"/>
              <w:right w:val="single" w:color="auto" w:sz="4" w:space="0"/>
            </w:tcBorders>
            <w:noWrap w:val="0"/>
            <w:vAlign w:val="center"/>
          </w:tcPr>
          <w:p w14:paraId="18EE0C64">
            <w:pPr>
              <w:widowControl/>
              <w:spacing w:line="280" w:lineRule="exact"/>
              <w:rPr>
                <w:rFonts w:ascii="仿宋_GB2312" w:hAnsi="宋体"/>
                <w:color w:val="000000"/>
                <w:kern w:val="0"/>
                <w:sz w:val="20"/>
                <w:szCs w:val="20"/>
              </w:rPr>
            </w:pPr>
            <w:r>
              <w:rPr>
                <w:rFonts w:ascii="仿宋_GB2312" w:hAnsi="宋体"/>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noWrap w:val="0"/>
            <w:vAlign w:val="center"/>
          </w:tcPr>
          <w:p w14:paraId="1C912D68">
            <w:pPr>
              <w:widowControl/>
              <w:spacing w:line="280" w:lineRule="exact"/>
              <w:rPr>
                <w:rFonts w:ascii="仿宋_GB2312" w:hAnsi="宋体"/>
                <w:color w:val="000000"/>
                <w:kern w:val="0"/>
                <w:sz w:val="20"/>
                <w:szCs w:val="20"/>
              </w:rPr>
            </w:pPr>
            <w:r>
              <w:rPr>
                <w:rFonts w:ascii="仿宋_GB2312" w:hAnsi="宋体"/>
                <w:color w:val="000000"/>
                <w:kern w:val="0"/>
                <w:sz w:val="20"/>
                <w:szCs w:val="20"/>
              </w:rPr>
              <w:t>资金到位率=（实际到位资金/计划投入资金）×100%。</w:t>
            </w:r>
          </w:p>
        </w:tc>
        <w:tc>
          <w:tcPr>
            <w:tcW w:w="385" w:type="dxa"/>
            <w:tcBorders>
              <w:top w:val="nil"/>
              <w:left w:val="nil"/>
              <w:bottom w:val="nil"/>
              <w:right w:val="single" w:color="auto" w:sz="4" w:space="0"/>
            </w:tcBorders>
            <w:noWrap w:val="0"/>
            <w:vAlign w:val="top"/>
          </w:tcPr>
          <w:p w14:paraId="46994537">
            <w:pPr>
              <w:widowControl/>
              <w:spacing w:line="280" w:lineRule="exact"/>
              <w:rPr>
                <w:rFonts w:ascii="宋体" w:hAnsi="宋体"/>
                <w:color w:val="000000"/>
                <w:kern w:val="0"/>
                <w:sz w:val="24"/>
              </w:rPr>
            </w:pPr>
          </w:p>
        </w:tc>
      </w:tr>
      <w:tr w14:paraId="15B8181A">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67D210CB">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7228DE82">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1AE835DA">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0AA1952B">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2D607495">
            <w:pPr>
              <w:widowControl/>
              <w:spacing w:line="280" w:lineRule="exact"/>
              <w:rPr>
                <w:rFonts w:ascii="仿宋_GB2312" w:hAnsi="宋体"/>
                <w:color w:val="000000"/>
                <w:kern w:val="0"/>
                <w:sz w:val="20"/>
                <w:szCs w:val="20"/>
              </w:rPr>
            </w:pPr>
            <w:r>
              <w:rPr>
                <w:rFonts w:ascii="仿宋_GB2312" w:hAnsi="宋体"/>
                <w:color w:val="000000"/>
                <w:kern w:val="0"/>
                <w:sz w:val="20"/>
                <w:szCs w:val="20"/>
              </w:rPr>
              <w:t>实际到位资金：一定时期（本年度或项目期）内实际落实到具体项目的资金。</w:t>
            </w:r>
          </w:p>
        </w:tc>
        <w:tc>
          <w:tcPr>
            <w:tcW w:w="385" w:type="dxa"/>
            <w:tcBorders>
              <w:top w:val="nil"/>
              <w:left w:val="nil"/>
              <w:bottom w:val="nil"/>
              <w:right w:val="single" w:color="auto" w:sz="4" w:space="0"/>
            </w:tcBorders>
            <w:noWrap w:val="0"/>
            <w:vAlign w:val="top"/>
          </w:tcPr>
          <w:p w14:paraId="390D562B">
            <w:pPr>
              <w:widowControl/>
              <w:spacing w:line="280" w:lineRule="exac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4</w:t>
            </w:r>
          </w:p>
        </w:tc>
      </w:tr>
      <w:tr w14:paraId="7631F19C">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2C808363">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27E60AEC">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11B4EA1F">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32E236E3">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4B90F1AC">
            <w:pPr>
              <w:widowControl/>
              <w:spacing w:line="280" w:lineRule="exact"/>
              <w:rPr>
                <w:rFonts w:ascii="仿宋_GB2312" w:hAnsi="宋体"/>
                <w:color w:val="000000"/>
                <w:kern w:val="0"/>
                <w:sz w:val="20"/>
                <w:szCs w:val="20"/>
              </w:rPr>
            </w:pPr>
            <w:r>
              <w:rPr>
                <w:rFonts w:ascii="仿宋_GB2312" w:hAnsi="宋体"/>
                <w:color w:val="000000"/>
                <w:kern w:val="0"/>
                <w:sz w:val="20"/>
                <w:szCs w:val="20"/>
              </w:rPr>
              <w:t>计划投入资金：一定时期（本年度或项目期）内计划投入到具体项目的资金。</w:t>
            </w:r>
          </w:p>
        </w:tc>
        <w:tc>
          <w:tcPr>
            <w:tcW w:w="385" w:type="dxa"/>
            <w:tcBorders>
              <w:top w:val="nil"/>
              <w:left w:val="nil"/>
              <w:bottom w:val="single" w:color="auto" w:sz="4" w:space="0"/>
              <w:right w:val="single" w:color="auto" w:sz="4" w:space="0"/>
            </w:tcBorders>
            <w:noWrap w:val="0"/>
            <w:vAlign w:val="top"/>
          </w:tcPr>
          <w:p w14:paraId="51A03FF5">
            <w:pPr>
              <w:widowControl/>
              <w:spacing w:line="280" w:lineRule="exact"/>
              <w:rPr>
                <w:rFonts w:ascii="宋体" w:hAnsi="宋体"/>
                <w:color w:val="000000"/>
                <w:kern w:val="0"/>
                <w:sz w:val="24"/>
              </w:rPr>
            </w:pPr>
          </w:p>
        </w:tc>
      </w:tr>
      <w:tr w14:paraId="33F4C0F0">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3C86631B">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270F0825">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14:paraId="4F0C2893">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到位及时率（4分）</w:t>
            </w:r>
          </w:p>
        </w:tc>
        <w:tc>
          <w:tcPr>
            <w:tcW w:w="3080" w:type="dxa"/>
            <w:vMerge w:val="restart"/>
            <w:tcBorders>
              <w:top w:val="nil"/>
              <w:left w:val="nil"/>
              <w:bottom w:val="single" w:color="000000" w:sz="4" w:space="0"/>
              <w:right w:val="single" w:color="auto" w:sz="4" w:space="0"/>
            </w:tcBorders>
            <w:noWrap w:val="0"/>
            <w:vAlign w:val="center"/>
          </w:tcPr>
          <w:p w14:paraId="318269B9">
            <w:pPr>
              <w:widowControl/>
              <w:spacing w:line="280" w:lineRule="exact"/>
              <w:rPr>
                <w:rFonts w:ascii="仿宋_GB2312" w:hAnsi="宋体"/>
                <w:color w:val="000000"/>
                <w:kern w:val="0"/>
                <w:sz w:val="20"/>
                <w:szCs w:val="20"/>
              </w:rPr>
            </w:pPr>
            <w:r>
              <w:rPr>
                <w:rFonts w:ascii="仿宋_GB2312" w:hAnsi="宋体"/>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noWrap w:val="0"/>
            <w:vAlign w:val="center"/>
          </w:tcPr>
          <w:p w14:paraId="179A045C">
            <w:pPr>
              <w:widowControl/>
              <w:spacing w:line="280" w:lineRule="exact"/>
              <w:rPr>
                <w:rFonts w:ascii="仿宋_GB2312" w:hAnsi="宋体"/>
                <w:color w:val="000000"/>
                <w:kern w:val="0"/>
                <w:sz w:val="20"/>
                <w:szCs w:val="20"/>
              </w:rPr>
            </w:pPr>
            <w:r>
              <w:rPr>
                <w:rFonts w:ascii="仿宋_GB2312" w:hAnsi="宋体"/>
                <w:color w:val="000000"/>
                <w:kern w:val="0"/>
                <w:sz w:val="20"/>
                <w:szCs w:val="20"/>
              </w:rPr>
              <w:t>到位及时率＝（及时到位资金/应到位资金）×100%。</w:t>
            </w:r>
          </w:p>
        </w:tc>
        <w:tc>
          <w:tcPr>
            <w:tcW w:w="385" w:type="dxa"/>
            <w:tcBorders>
              <w:top w:val="nil"/>
              <w:left w:val="nil"/>
              <w:bottom w:val="nil"/>
              <w:right w:val="single" w:color="auto" w:sz="4" w:space="0"/>
            </w:tcBorders>
            <w:noWrap w:val="0"/>
            <w:vAlign w:val="top"/>
          </w:tcPr>
          <w:p w14:paraId="31561071">
            <w:pPr>
              <w:widowControl/>
              <w:spacing w:line="280" w:lineRule="exact"/>
              <w:rPr>
                <w:rFonts w:ascii="宋体" w:hAnsi="宋体"/>
                <w:color w:val="000000"/>
                <w:kern w:val="0"/>
                <w:sz w:val="24"/>
              </w:rPr>
            </w:pPr>
          </w:p>
        </w:tc>
      </w:tr>
      <w:tr w14:paraId="0B678DA5">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6166B353">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23F30F1D">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38E83485">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5B818617">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6E1D9F7F">
            <w:pPr>
              <w:widowControl/>
              <w:spacing w:line="280" w:lineRule="exact"/>
              <w:rPr>
                <w:rFonts w:ascii="仿宋_GB2312" w:hAnsi="宋体"/>
                <w:color w:val="000000"/>
                <w:kern w:val="0"/>
                <w:sz w:val="20"/>
                <w:szCs w:val="20"/>
              </w:rPr>
            </w:pPr>
            <w:r>
              <w:rPr>
                <w:rFonts w:ascii="仿宋_GB2312" w:hAnsi="宋体"/>
                <w:color w:val="000000"/>
                <w:kern w:val="0"/>
                <w:sz w:val="20"/>
                <w:szCs w:val="20"/>
              </w:rPr>
              <w:t>及时到位资金：截至规定时点实际落实到具体项目的资金。</w:t>
            </w:r>
          </w:p>
        </w:tc>
        <w:tc>
          <w:tcPr>
            <w:tcW w:w="385" w:type="dxa"/>
            <w:tcBorders>
              <w:top w:val="nil"/>
              <w:left w:val="nil"/>
              <w:bottom w:val="nil"/>
              <w:right w:val="single" w:color="auto" w:sz="4" w:space="0"/>
            </w:tcBorders>
            <w:noWrap w:val="0"/>
            <w:vAlign w:val="top"/>
          </w:tcPr>
          <w:p w14:paraId="4AEC16D4">
            <w:pPr>
              <w:widowControl/>
              <w:spacing w:line="280" w:lineRule="exac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3</w:t>
            </w:r>
          </w:p>
        </w:tc>
      </w:tr>
      <w:tr w14:paraId="70125138">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587136F2">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noWrap w:val="0"/>
            <w:vAlign w:val="center"/>
          </w:tcPr>
          <w:p w14:paraId="7C915CB4">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3F6131AB">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359D6782">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4E72747E">
            <w:pPr>
              <w:widowControl/>
              <w:spacing w:line="280" w:lineRule="exact"/>
              <w:rPr>
                <w:rFonts w:ascii="仿宋_GB2312" w:hAnsi="宋体"/>
                <w:color w:val="000000"/>
                <w:kern w:val="0"/>
                <w:sz w:val="20"/>
                <w:szCs w:val="20"/>
              </w:rPr>
            </w:pPr>
            <w:r>
              <w:rPr>
                <w:rFonts w:ascii="仿宋_GB2312" w:hAnsi="宋体"/>
                <w:color w:val="000000"/>
                <w:kern w:val="0"/>
                <w:sz w:val="20"/>
                <w:szCs w:val="20"/>
              </w:rPr>
              <w:t>应到位资金：按照合同或项目进度要求截至规定时点应落实到具体项目的资金。</w:t>
            </w:r>
          </w:p>
        </w:tc>
        <w:tc>
          <w:tcPr>
            <w:tcW w:w="385" w:type="dxa"/>
            <w:tcBorders>
              <w:top w:val="nil"/>
              <w:left w:val="nil"/>
              <w:bottom w:val="single" w:color="auto" w:sz="4" w:space="0"/>
              <w:right w:val="single" w:color="auto" w:sz="4" w:space="0"/>
            </w:tcBorders>
            <w:noWrap w:val="0"/>
            <w:vAlign w:val="top"/>
          </w:tcPr>
          <w:p w14:paraId="5F5EA3EF">
            <w:pPr>
              <w:widowControl/>
              <w:spacing w:line="280" w:lineRule="exact"/>
              <w:rPr>
                <w:rFonts w:ascii="宋体" w:hAnsi="宋体"/>
                <w:color w:val="000000"/>
                <w:kern w:val="0"/>
                <w:sz w:val="24"/>
              </w:rPr>
            </w:pPr>
          </w:p>
        </w:tc>
      </w:tr>
      <w:tr w14:paraId="511F4B00">
        <w:trPr>
          <w:jc w:val="center"/>
        </w:trPr>
        <w:tc>
          <w:tcPr>
            <w:tcW w:w="656" w:type="dxa"/>
            <w:vMerge w:val="restart"/>
            <w:tcBorders>
              <w:top w:val="nil"/>
              <w:left w:val="single" w:color="auto" w:sz="4" w:space="0"/>
              <w:bottom w:val="nil"/>
              <w:right w:val="single" w:color="auto" w:sz="4" w:space="0"/>
            </w:tcBorders>
            <w:noWrap w:val="0"/>
            <w:vAlign w:val="center"/>
          </w:tcPr>
          <w:p w14:paraId="3D8CAE07">
            <w:pPr>
              <w:jc w:val="center"/>
              <w:rPr>
                <w:rFonts w:ascii="仿宋_GB2312" w:hAnsi="宋体"/>
                <w:color w:val="000000"/>
                <w:kern w:val="0"/>
                <w:sz w:val="20"/>
                <w:szCs w:val="20"/>
              </w:rPr>
            </w:pPr>
            <w:r>
              <w:rPr>
                <w:rFonts w:ascii="仿宋_GB2312" w:hAnsi="宋体"/>
                <w:color w:val="000000"/>
                <w:kern w:val="0"/>
                <w:sz w:val="20"/>
                <w:szCs w:val="20"/>
              </w:rPr>
              <w:t>过程</w:t>
            </w:r>
          </w:p>
          <w:p w14:paraId="690C755D">
            <w:pPr>
              <w:jc w:val="center"/>
              <w:rPr>
                <w:rFonts w:ascii="仿宋_GB2312" w:hAnsi="宋体"/>
                <w:color w:val="000000"/>
                <w:kern w:val="0"/>
                <w:sz w:val="20"/>
                <w:szCs w:val="20"/>
              </w:rPr>
            </w:pPr>
            <w:r>
              <w:rPr>
                <w:rFonts w:ascii="仿宋_GB2312" w:hAnsi="宋体"/>
                <w:color w:val="000000"/>
                <w:kern w:val="0"/>
                <w:sz w:val="20"/>
                <w:szCs w:val="20"/>
              </w:rPr>
              <w:t>（30分）</w:t>
            </w:r>
          </w:p>
        </w:tc>
        <w:tc>
          <w:tcPr>
            <w:tcW w:w="710" w:type="dxa"/>
            <w:vMerge w:val="restart"/>
            <w:tcBorders>
              <w:top w:val="nil"/>
              <w:left w:val="nil"/>
              <w:bottom w:val="nil"/>
              <w:right w:val="single" w:color="auto" w:sz="4" w:space="0"/>
            </w:tcBorders>
            <w:noWrap w:val="0"/>
            <w:vAlign w:val="center"/>
          </w:tcPr>
          <w:p w14:paraId="757BC06E">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业务管理</w:t>
            </w:r>
          </w:p>
          <w:p w14:paraId="4511944E">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（10分）</w:t>
            </w:r>
          </w:p>
          <w:p w14:paraId="69FFA2E3">
            <w:pPr>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14:paraId="225A4D02">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管理制度健全</w:t>
            </w:r>
          </w:p>
          <w:p w14:paraId="3AE68BF4">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（3分）</w:t>
            </w:r>
          </w:p>
        </w:tc>
        <w:tc>
          <w:tcPr>
            <w:tcW w:w="3080" w:type="dxa"/>
            <w:vMerge w:val="restart"/>
            <w:tcBorders>
              <w:top w:val="nil"/>
              <w:left w:val="nil"/>
              <w:bottom w:val="single" w:color="000000" w:sz="4" w:space="0"/>
              <w:right w:val="single" w:color="auto" w:sz="4" w:space="0"/>
            </w:tcBorders>
            <w:noWrap w:val="0"/>
            <w:vAlign w:val="center"/>
          </w:tcPr>
          <w:p w14:paraId="58E0555C">
            <w:pPr>
              <w:widowControl/>
              <w:spacing w:line="280" w:lineRule="exact"/>
              <w:rPr>
                <w:rFonts w:ascii="仿宋_GB2312" w:hAnsi="宋体"/>
                <w:color w:val="000000"/>
                <w:kern w:val="0"/>
                <w:sz w:val="20"/>
                <w:szCs w:val="20"/>
              </w:rPr>
            </w:pPr>
            <w:r>
              <w:rPr>
                <w:rFonts w:ascii="仿宋_GB2312" w:hAnsi="宋体"/>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noWrap w:val="0"/>
            <w:vAlign w:val="center"/>
          </w:tcPr>
          <w:p w14:paraId="7FFA486A">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14:paraId="01589B70">
            <w:pPr>
              <w:widowControl/>
              <w:spacing w:line="280" w:lineRule="exact"/>
              <w:rPr>
                <w:rFonts w:ascii="宋体" w:hAnsi="宋体"/>
                <w:color w:val="000000"/>
                <w:kern w:val="0"/>
                <w:sz w:val="24"/>
              </w:rPr>
            </w:pPr>
          </w:p>
        </w:tc>
      </w:tr>
      <w:tr w14:paraId="7B2AF309">
        <w:trPr>
          <w:jc w:val="center"/>
        </w:trPr>
        <w:tc>
          <w:tcPr>
            <w:tcW w:w="656" w:type="dxa"/>
            <w:vMerge w:val="continue"/>
            <w:tcBorders>
              <w:top w:val="nil"/>
              <w:left w:val="single" w:color="auto" w:sz="4" w:space="0"/>
              <w:bottom w:val="nil"/>
              <w:right w:val="single" w:color="auto" w:sz="4" w:space="0"/>
            </w:tcBorders>
            <w:noWrap w:val="0"/>
            <w:vAlign w:val="center"/>
          </w:tcPr>
          <w:p w14:paraId="26C9F71E">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14:paraId="39711205">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5B53A275">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7D43A9F2">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32B8946D">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①是否已制定或具有相应的业务管理制度；</w:t>
            </w:r>
          </w:p>
        </w:tc>
        <w:tc>
          <w:tcPr>
            <w:tcW w:w="385" w:type="dxa"/>
            <w:tcBorders>
              <w:top w:val="nil"/>
              <w:left w:val="nil"/>
              <w:bottom w:val="nil"/>
              <w:right w:val="single" w:color="auto" w:sz="4" w:space="0"/>
            </w:tcBorders>
            <w:noWrap w:val="0"/>
            <w:vAlign w:val="top"/>
          </w:tcPr>
          <w:p w14:paraId="5E0BF672">
            <w:pPr>
              <w:widowControl/>
              <w:spacing w:line="280" w:lineRule="exac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3</w:t>
            </w:r>
          </w:p>
        </w:tc>
      </w:tr>
      <w:tr w14:paraId="1C15A6A5">
        <w:tblPrEx>
          <w:tblCellMar>
            <w:top w:w="0" w:type="dxa"/>
            <w:left w:w="108" w:type="dxa"/>
            <w:bottom w:w="0" w:type="dxa"/>
            <w:right w:w="108" w:type="dxa"/>
          </w:tblCellMar>
        </w:tblPrEx>
        <w:trPr>
          <w:trHeight w:val="633" w:hRule="atLeast"/>
          <w:jc w:val="center"/>
        </w:trPr>
        <w:tc>
          <w:tcPr>
            <w:tcW w:w="656" w:type="dxa"/>
            <w:vMerge w:val="continue"/>
            <w:tcBorders>
              <w:top w:val="nil"/>
              <w:left w:val="single" w:color="auto" w:sz="4" w:space="0"/>
              <w:bottom w:val="nil"/>
              <w:right w:val="single" w:color="auto" w:sz="4" w:space="0"/>
            </w:tcBorders>
            <w:noWrap w:val="0"/>
            <w:vAlign w:val="center"/>
          </w:tcPr>
          <w:p w14:paraId="2A897AC4">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14:paraId="67D7574A">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0CF11CD5">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1B946B3C">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0D022F41">
            <w:pPr>
              <w:widowControl/>
              <w:spacing w:line="280" w:lineRule="exact"/>
              <w:rPr>
                <w:rFonts w:ascii="仿宋_GB2312" w:hAnsi="宋体"/>
                <w:color w:val="000000"/>
                <w:kern w:val="0"/>
                <w:sz w:val="20"/>
                <w:szCs w:val="20"/>
              </w:rPr>
            </w:pPr>
            <w:r>
              <w:rPr>
                <w:rFonts w:ascii="仿宋_GB2312" w:hAnsi="宋体"/>
                <w:color w:val="000000"/>
                <w:kern w:val="0"/>
                <w:sz w:val="20"/>
                <w:szCs w:val="20"/>
              </w:rPr>
              <w:t>②业务管理制度是否合法、合规、完整。</w:t>
            </w:r>
          </w:p>
        </w:tc>
        <w:tc>
          <w:tcPr>
            <w:tcW w:w="385" w:type="dxa"/>
            <w:tcBorders>
              <w:top w:val="nil"/>
              <w:left w:val="nil"/>
              <w:bottom w:val="single" w:color="auto" w:sz="4" w:space="0"/>
              <w:right w:val="single" w:color="auto" w:sz="4" w:space="0"/>
            </w:tcBorders>
            <w:noWrap w:val="0"/>
            <w:vAlign w:val="top"/>
          </w:tcPr>
          <w:p w14:paraId="1511F961">
            <w:pPr>
              <w:widowControl/>
              <w:spacing w:line="280" w:lineRule="exact"/>
              <w:rPr>
                <w:rFonts w:ascii="宋体" w:hAnsi="宋体"/>
                <w:color w:val="000000"/>
                <w:kern w:val="0"/>
                <w:sz w:val="24"/>
              </w:rPr>
            </w:pPr>
          </w:p>
        </w:tc>
      </w:tr>
      <w:tr w14:paraId="3047E534">
        <w:trPr>
          <w:jc w:val="center"/>
        </w:trPr>
        <w:tc>
          <w:tcPr>
            <w:tcW w:w="656" w:type="dxa"/>
            <w:vMerge w:val="continue"/>
            <w:tcBorders>
              <w:top w:val="nil"/>
              <w:left w:val="single" w:color="auto" w:sz="4" w:space="0"/>
              <w:bottom w:val="nil"/>
              <w:right w:val="single" w:color="auto" w:sz="4" w:space="0"/>
            </w:tcBorders>
            <w:noWrap w:val="0"/>
            <w:vAlign w:val="center"/>
          </w:tcPr>
          <w:p w14:paraId="3356962D">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14:paraId="3C58F4D1">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14:paraId="712326EA">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制度执行有效性</w:t>
            </w:r>
          </w:p>
          <w:p w14:paraId="7BB1D737">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（3分）</w:t>
            </w:r>
          </w:p>
        </w:tc>
        <w:tc>
          <w:tcPr>
            <w:tcW w:w="3080" w:type="dxa"/>
            <w:vMerge w:val="restart"/>
            <w:tcBorders>
              <w:top w:val="nil"/>
              <w:left w:val="nil"/>
              <w:bottom w:val="single" w:color="000000" w:sz="4" w:space="0"/>
              <w:right w:val="single" w:color="auto" w:sz="4" w:space="0"/>
            </w:tcBorders>
            <w:noWrap w:val="0"/>
            <w:vAlign w:val="center"/>
          </w:tcPr>
          <w:p w14:paraId="6024B297">
            <w:pPr>
              <w:widowControl/>
              <w:spacing w:line="280" w:lineRule="exact"/>
              <w:rPr>
                <w:rFonts w:ascii="仿宋_GB2312" w:hAnsi="宋体"/>
                <w:color w:val="000000"/>
                <w:kern w:val="0"/>
                <w:sz w:val="20"/>
                <w:szCs w:val="20"/>
              </w:rPr>
            </w:pPr>
            <w:r>
              <w:rPr>
                <w:rFonts w:ascii="仿宋_GB2312" w:hAnsi="宋体"/>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noWrap w:val="0"/>
            <w:vAlign w:val="center"/>
          </w:tcPr>
          <w:p w14:paraId="0969E3F8">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14:paraId="53968E57">
            <w:pPr>
              <w:widowControl/>
              <w:spacing w:line="280" w:lineRule="exact"/>
              <w:rPr>
                <w:rFonts w:ascii="宋体" w:hAnsi="宋体"/>
                <w:color w:val="000000"/>
                <w:kern w:val="0"/>
                <w:sz w:val="24"/>
              </w:rPr>
            </w:pPr>
          </w:p>
        </w:tc>
      </w:tr>
      <w:tr w14:paraId="65B425C5">
        <w:trPr>
          <w:jc w:val="center"/>
        </w:trPr>
        <w:tc>
          <w:tcPr>
            <w:tcW w:w="656" w:type="dxa"/>
            <w:vMerge w:val="continue"/>
            <w:tcBorders>
              <w:top w:val="nil"/>
              <w:left w:val="single" w:color="auto" w:sz="4" w:space="0"/>
              <w:bottom w:val="nil"/>
              <w:right w:val="single" w:color="auto" w:sz="4" w:space="0"/>
            </w:tcBorders>
            <w:noWrap w:val="0"/>
            <w:vAlign w:val="center"/>
          </w:tcPr>
          <w:p w14:paraId="6474CD5E">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14:paraId="41220371">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17E18FCD">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04C77DA1">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46408C8B">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①是否遵守相关法律法规和业务管理规定；</w:t>
            </w:r>
          </w:p>
        </w:tc>
        <w:tc>
          <w:tcPr>
            <w:tcW w:w="385" w:type="dxa"/>
            <w:tcBorders>
              <w:top w:val="nil"/>
              <w:left w:val="nil"/>
              <w:bottom w:val="nil"/>
              <w:right w:val="single" w:color="auto" w:sz="4" w:space="0"/>
            </w:tcBorders>
            <w:noWrap w:val="0"/>
            <w:vAlign w:val="top"/>
          </w:tcPr>
          <w:p w14:paraId="6A0AE3A7">
            <w:pPr>
              <w:widowControl/>
              <w:spacing w:line="280" w:lineRule="exact"/>
              <w:rPr>
                <w:rFonts w:ascii="宋体" w:hAnsi="宋体"/>
                <w:color w:val="000000"/>
                <w:kern w:val="0"/>
                <w:sz w:val="24"/>
              </w:rPr>
            </w:pPr>
          </w:p>
        </w:tc>
      </w:tr>
      <w:tr w14:paraId="3C33A0E2">
        <w:trPr>
          <w:jc w:val="center"/>
        </w:trPr>
        <w:tc>
          <w:tcPr>
            <w:tcW w:w="656" w:type="dxa"/>
            <w:vMerge w:val="continue"/>
            <w:tcBorders>
              <w:top w:val="nil"/>
              <w:left w:val="single" w:color="auto" w:sz="4" w:space="0"/>
              <w:bottom w:val="nil"/>
              <w:right w:val="single" w:color="auto" w:sz="4" w:space="0"/>
            </w:tcBorders>
            <w:noWrap w:val="0"/>
            <w:vAlign w:val="center"/>
          </w:tcPr>
          <w:p w14:paraId="3A2BBEF9">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14:paraId="73C6AEA3">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55DA0031">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0ED98640">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1E8F1E5C">
            <w:pPr>
              <w:widowControl/>
              <w:spacing w:line="280" w:lineRule="exact"/>
              <w:rPr>
                <w:rFonts w:ascii="仿宋_GB2312" w:hAnsi="宋体"/>
                <w:color w:val="000000"/>
                <w:kern w:val="0"/>
                <w:sz w:val="20"/>
                <w:szCs w:val="20"/>
              </w:rPr>
            </w:pPr>
            <w:r>
              <w:rPr>
                <w:rFonts w:ascii="仿宋_GB2312" w:hAnsi="宋体"/>
                <w:color w:val="000000"/>
                <w:kern w:val="0"/>
                <w:sz w:val="20"/>
                <w:szCs w:val="20"/>
              </w:rPr>
              <w:t>②项目调整及支出调整手续是否完备；</w:t>
            </w:r>
          </w:p>
        </w:tc>
        <w:tc>
          <w:tcPr>
            <w:tcW w:w="385" w:type="dxa"/>
            <w:tcBorders>
              <w:top w:val="nil"/>
              <w:left w:val="nil"/>
              <w:bottom w:val="nil"/>
              <w:right w:val="single" w:color="auto" w:sz="4" w:space="0"/>
            </w:tcBorders>
            <w:noWrap w:val="0"/>
            <w:vAlign w:val="top"/>
          </w:tcPr>
          <w:p w14:paraId="11417054">
            <w:pPr>
              <w:widowControl/>
              <w:spacing w:line="280" w:lineRule="exac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3</w:t>
            </w:r>
          </w:p>
        </w:tc>
      </w:tr>
      <w:tr w14:paraId="4C4EBFED">
        <w:trPr>
          <w:jc w:val="center"/>
        </w:trPr>
        <w:tc>
          <w:tcPr>
            <w:tcW w:w="656" w:type="dxa"/>
            <w:vMerge w:val="continue"/>
            <w:tcBorders>
              <w:top w:val="nil"/>
              <w:left w:val="single" w:color="auto" w:sz="4" w:space="0"/>
              <w:bottom w:val="nil"/>
              <w:right w:val="single" w:color="auto" w:sz="4" w:space="0"/>
            </w:tcBorders>
            <w:noWrap w:val="0"/>
            <w:vAlign w:val="center"/>
          </w:tcPr>
          <w:p w14:paraId="7EE9ED62">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14:paraId="5F68E23B">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2A37AF0F">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1ABA6577">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24A53ACB">
            <w:pPr>
              <w:widowControl/>
              <w:spacing w:line="280" w:lineRule="exact"/>
              <w:rPr>
                <w:rFonts w:ascii="仿宋_GB2312" w:hAnsi="宋体"/>
                <w:color w:val="000000"/>
                <w:kern w:val="0"/>
                <w:sz w:val="20"/>
                <w:szCs w:val="20"/>
              </w:rPr>
            </w:pPr>
            <w:r>
              <w:rPr>
                <w:rFonts w:ascii="仿宋_GB2312" w:hAnsi="宋体"/>
                <w:color w:val="000000"/>
                <w:kern w:val="0"/>
                <w:sz w:val="20"/>
                <w:szCs w:val="20"/>
              </w:rPr>
              <w:t>③项目合同书、验收报告、技术审定等资料是否齐全并及时归档;</w:t>
            </w:r>
          </w:p>
        </w:tc>
        <w:tc>
          <w:tcPr>
            <w:tcW w:w="385" w:type="dxa"/>
            <w:tcBorders>
              <w:top w:val="nil"/>
              <w:left w:val="nil"/>
              <w:bottom w:val="nil"/>
              <w:right w:val="single" w:color="auto" w:sz="4" w:space="0"/>
            </w:tcBorders>
            <w:noWrap w:val="0"/>
            <w:vAlign w:val="top"/>
          </w:tcPr>
          <w:p w14:paraId="32408F72">
            <w:pPr>
              <w:widowControl/>
              <w:spacing w:line="280" w:lineRule="exact"/>
              <w:rPr>
                <w:rFonts w:ascii="宋体" w:hAnsi="宋体"/>
                <w:color w:val="000000"/>
                <w:kern w:val="0"/>
                <w:sz w:val="24"/>
              </w:rPr>
            </w:pPr>
          </w:p>
        </w:tc>
      </w:tr>
      <w:tr w14:paraId="220CD01D">
        <w:tblPrEx>
          <w:tblCellMar>
            <w:top w:w="0" w:type="dxa"/>
            <w:left w:w="108" w:type="dxa"/>
            <w:bottom w:w="0" w:type="dxa"/>
            <w:right w:w="108" w:type="dxa"/>
          </w:tblCellMar>
        </w:tblPrEx>
        <w:trPr>
          <w:trHeight w:val="1103" w:hRule="atLeast"/>
          <w:jc w:val="center"/>
        </w:trPr>
        <w:tc>
          <w:tcPr>
            <w:tcW w:w="656" w:type="dxa"/>
            <w:vMerge w:val="continue"/>
            <w:tcBorders>
              <w:top w:val="nil"/>
              <w:left w:val="single" w:color="auto" w:sz="4" w:space="0"/>
              <w:bottom w:val="nil"/>
              <w:right w:val="single" w:color="auto" w:sz="4" w:space="0"/>
            </w:tcBorders>
            <w:noWrap w:val="0"/>
            <w:vAlign w:val="center"/>
          </w:tcPr>
          <w:p w14:paraId="5851EFC0">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14:paraId="76151573">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174983D2">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4B1EB9B6">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11D242EF">
            <w:pPr>
              <w:widowControl/>
              <w:spacing w:line="280" w:lineRule="exact"/>
              <w:rPr>
                <w:rFonts w:ascii="仿宋_GB2312" w:hAnsi="宋体"/>
                <w:color w:val="000000"/>
                <w:kern w:val="0"/>
                <w:sz w:val="20"/>
                <w:szCs w:val="20"/>
              </w:rPr>
            </w:pPr>
            <w:r>
              <w:rPr>
                <w:rFonts w:ascii="仿宋_GB2312" w:hAnsi="宋体"/>
                <w:color w:val="000000"/>
                <w:kern w:val="0"/>
                <w:sz w:val="20"/>
                <w:szCs w:val="20"/>
              </w:rPr>
              <w:t>④项目实施的人员条件、场地设备，信息支撑等是否落实到位。</w:t>
            </w:r>
          </w:p>
        </w:tc>
        <w:tc>
          <w:tcPr>
            <w:tcW w:w="385" w:type="dxa"/>
            <w:tcBorders>
              <w:top w:val="nil"/>
              <w:left w:val="nil"/>
              <w:bottom w:val="single" w:color="auto" w:sz="4" w:space="0"/>
              <w:right w:val="single" w:color="auto" w:sz="4" w:space="0"/>
            </w:tcBorders>
            <w:noWrap w:val="0"/>
            <w:vAlign w:val="top"/>
          </w:tcPr>
          <w:p w14:paraId="0CE18D9F">
            <w:pPr>
              <w:widowControl/>
              <w:spacing w:line="280" w:lineRule="exact"/>
              <w:rPr>
                <w:rFonts w:ascii="宋体" w:hAnsi="宋体"/>
                <w:color w:val="000000"/>
                <w:kern w:val="0"/>
                <w:sz w:val="24"/>
              </w:rPr>
            </w:pPr>
          </w:p>
        </w:tc>
      </w:tr>
      <w:tr w14:paraId="0393CE85">
        <w:trPr>
          <w:jc w:val="center"/>
        </w:trPr>
        <w:tc>
          <w:tcPr>
            <w:tcW w:w="656" w:type="dxa"/>
            <w:vMerge w:val="continue"/>
            <w:tcBorders>
              <w:top w:val="nil"/>
              <w:left w:val="single" w:color="auto" w:sz="4" w:space="0"/>
              <w:bottom w:val="nil"/>
              <w:right w:val="single" w:color="auto" w:sz="4" w:space="0"/>
            </w:tcBorders>
            <w:noWrap w:val="0"/>
            <w:vAlign w:val="center"/>
          </w:tcPr>
          <w:p w14:paraId="6EDF0D56">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14:paraId="21B80BBD">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14:paraId="5BD7ABEF">
            <w:pPr>
              <w:widowControl/>
              <w:jc w:val="center"/>
              <w:rPr>
                <w:rFonts w:ascii="仿宋_GB2312" w:hAnsi="宋体"/>
                <w:color w:val="000000"/>
                <w:kern w:val="0"/>
                <w:sz w:val="20"/>
                <w:szCs w:val="20"/>
              </w:rPr>
            </w:pPr>
            <w:r>
              <w:rPr>
                <w:rFonts w:ascii="仿宋_GB2312" w:hAnsi="宋体"/>
                <w:color w:val="000000"/>
                <w:kern w:val="0"/>
                <w:sz w:val="20"/>
                <w:szCs w:val="20"/>
              </w:rPr>
              <w:t>项目质量可控性</w:t>
            </w:r>
          </w:p>
          <w:p w14:paraId="4F1E6CB1">
            <w:pPr>
              <w:widowControl/>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vMerge w:val="restart"/>
            <w:tcBorders>
              <w:top w:val="nil"/>
              <w:left w:val="nil"/>
              <w:bottom w:val="single" w:color="000000" w:sz="4" w:space="0"/>
              <w:right w:val="single" w:color="auto" w:sz="4" w:space="0"/>
            </w:tcBorders>
            <w:noWrap w:val="0"/>
            <w:vAlign w:val="center"/>
          </w:tcPr>
          <w:p w14:paraId="362C2AD3">
            <w:pPr>
              <w:widowControl/>
              <w:rPr>
                <w:rFonts w:ascii="仿宋_GB2312" w:hAnsi="宋体"/>
                <w:color w:val="000000"/>
                <w:kern w:val="0"/>
                <w:sz w:val="20"/>
                <w:szCs w:val="20"/>
              </w:rPr>
            </w:pPr>
            <w:r>
              <w:rPr>
                <w:rFonts w:ascii="仿宋_GB2312" w:hAnsi="宋体"/>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noWrap w:val="0"/>
            <w:vAlign w:val="center"/>
          </w:tcPr>
          <w:p w14:paraId="4EDAA01B">
            <w:pPr>
              <w:widowControl/>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14:paraId="1F8A5441">
            <w:pPr>
              <w:widowControl/>
              <w:rPr>
                <w:rFonts w:ascii="宋体" w:hAnsi="宋体"/>
                <w:color w:val="000000"/>
                <w:kern w:val="0"/>
                <w:sz w:val="24"/>
              </w:rPr>
            </w:pPr>
          </w:p>
        </w:tc>
      </w:tr>
      <w:tr w14:paraId="1775C5E2">
        <w:trPr>
          <w:jc w:val="center"/>
        </w:trPr>
        <w:tc>
          <w:tcPr>
            <w:tcW w:w="656" w:type="dxa"/>
            <w:vMerge w:val="continue"/>
            <w:tcBorders>
              <w:top w:val="nil"/>
              <w:left w:val="single" w:color="auto" w:sz="4" w:space="0"/>
              <w:bottom w:val="nil"/>
              <w:right w:val="single" w:color="auto" w:sz="4" w:space="0"/>
            </w:tcBorders>
            <w:noWrap w:val="0"/>
            <w:vAlign w:val="center"/>
          </w:tcPr>
          <w:p w14:paraId="75A5B90D">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14:paraId="3CED9CBF">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1FFE731B">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6D2B827A">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2D36FBEC">
            <w:pPr>
              <w:widowControl/>
              <w:rPr>
                <w:rFonts w:ascii="仿宋_GB2312" w:hAnsi="宋体"/>
                <w:color w:val="000000"/>
                <w:kern w:val="0"/>
                <w:sz w:val="20"/>
                <w:szCs w:val="20"/>
              </w:rPr>
            </w:pPr>
            <w:r>
              <w:rPr>
                <w:rFonts w:ascii="仿宋_GB2312" w:hAnsi="宋体"/>
                <w:color w:val="000000"/>
                <w:kern w:val="0"/>
                <w:sz w:val="20"/>
                <w:szCs w:val="20"/>
              </w:rPr>
              <w:t>①是否已制定或其有相应的项目质量要求或标准；</w:t>
            </w:r>
          </w:p>
        </w:tc>
        <w:tc>
          <w:tcPr>
            <w:tcW w:w="385" w:type="dxa"/>
            <w:tcBorders>
              <w:top w:val="nil"/>
              <w:left w:val="nil"/>
              <w:bottom w:val="nil"/>
              <w:right w:val="single" w:color="auto" w:sz="4" w:space="0"/>
            </w:tcBorders>
            <w:noWrap w:val="0"/>
            <w:vAlign w:val="top"/>
          </w:tcPr>
          <w:p w14:paraId="775F1122">
            <w:pPr>
              <w:widowControl/>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4</w:t>
            </w:r>
          </w:p>
        </w:tc>
      </w:tr>
      <w:tr w14:paraId="1947C13B">
        <w:tblPrEx>
          <w:tblCellMar>
            <w:top w:w="0" w:type="dxa"/>
            <w:left w:w="108" w:type="dxa"/>
            <w:bottom w:w="0" w:type="dxa"/>
            <w:right w:w="108" w:type="dxa"/>
          </w:tblCellMar>
        </w:tblPrEx>
        <w:trPr>
          <w:trHeight w:val="1194" w:hRule="atLeast"/>
          <w:jc w:val="center"/>
        </w:trPr>
        <w:tc>
          <w:tcPr>
            <w:tcW w:w="656" w:type="dxa"/>
            <w:vMerge w:val="continue"/>
            <w:tcBorders>
              <w:top w:val="nil"/>
              <w:left w:val="single" w:color="auto" w:sz="4" w:space="0"/>
              <w:bottom w:val="nil"/>
              <w:right w:val="single" w:color="auto" w:sz="4" w:space="0"/>
            </w:tcBorders>
            <w:noWrap w:val="0"/>
            <w:vAlign w:val="center"/>
          </w:tcPr>
          <w:p w14:paraId="4AC7EA21">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0"/>
            <w:vAlign w:val="center"/>
          </w:tcPr>
          <w:p w14:paraId="3A0A6A91">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6D21C2A3">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5C831C36">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64A915F7">
            <w:pPr>
              <w:widowControl/>
              <w:rPr>
                <w:rFonts w:ascii="仿宋_GB2312" w:hAnsi="宋体"/>
                <w:color w:val="000000"/>
                <w:kern w:val="0"/>
                <w:sz w:val="20"/>
                <w:szCs w:val="20"/>
              </w:rPr>
            </w:pPr>
            <w:r>
              <w:rPr>
                <w:rFonts w:ascii="仿宋_GB2312" w:hAnsi="宋体"/>
                <w:color w:val="000000"/>
                <w:kern w:val="0"/>
                <w:sz w:val="20"/>
                <w:szCs w:val="20"/>
              </w:rPr>
              <w:t>②是否采取了相应的项目质量检查、验收等必需的控制措施或手段。</w:t>
            </w:r>
          </w:p>
        </w:tc>
        <w:tc>
          <w:tcPr>
            <w:tcW w:w="385" w:type="dxa"/>
            <w:tcBorders>
              <w:top w:val="nil"/>
              <w:left w:val="nil"/>
              <w:bottom w:val="single" w:color="auto" w:sz="4" w:space="0"/>
              <w:right w:val="single" w:color="auto" w:sz="4" w:space="0"/>
            </w:tcBorders>
            <w:noWrap w:val="0"/>
            <w:vAlign w:val="top"/>
          </w:tcPr>
          <w:p w14:paraId="4A8C9A4C">
            <w:pPr>
              <w:widowControl/>
              <w:rPr>
                <w:rFonts w:ascii="宋体" w:hAnsi="宋体"/>
                <w:color w:val="000000"/>
                <w:kern w:val="0"/>
                <w:sz w:val="24"/>
              </w:rPr>
            </w:pPr>
          </w:p>
        </w:tc>
      </w:tr>
      <w:tr w14:paraId="48C346E9">
        <w:trPr>
          <w:jc w:val="center"/>
        </w:trPr>
        <w:tc>
          <w:tcPr>
            <w:tcW w:w="656" w:type="dxa"/>
            <w:vMerge w:val="continue"/>
            <w:tcBorders>
              <w:top w:val="nil"/>
              <w:left w:val="single" w:color="auto" w:sz="4" w:space="0"/>
              <w:bottom w:val="nil"/>
              <w:right w:val="single" w:color="auto" w:sz="4" w:space="0"/>
            </w:tcBorders>
            <w:noWrap w:val="0"/>
            <w:vAlign w:val="center"/>
          </w:tcPr>
          <w:p w14:paraId="5AFD6FC5">
            <w:pPr>
              <w:widowControl/>
              <w:jc w:val="left"/>
              <w:rPr>
                <w:rFonts w:ascii="仿宋_GB2312" w:hAnsi="宋体"/>
                <w:color w:val="000000"/>
                <w:kern w:val="0"/>
                <w:sz w:val="20"/>
                <w:szCs w:val="20"/>
              </w:rPr>
            </w:pPr>
          </w:p>
        </w:tc>
        <w:tc>
          <w:tcPr>
            <w:tcW w:w="710" w:type="dxa"/>
            <w:vMerge w:val="restart"/>
            <w:tcBorders>
              <w:top w:val="nil"/>
              <w:left w:val="nil"/>
              <w:bottom w:val="single" w:color="000000" w:sz="4" w:space="0"/>
              <w:right w:val="single" w:color="auto" w:sz="4" w:space="0"/>
            </w:tcBorders>
            <w:noWrap w:val="0"/>
            <w:vAlign w:val="center"/>
          </w:tcPr>
          <w:p w14:paraId="2D501ED2">
            <w:pPr>
              <w:widowControl/>
              <w:jc w:val="center"/>
              <w:rPr>
                <w:rFonts w:ascii="仿宋_GB2312" w:hAnsi="宋体"/>
                <w:color w:val="000000"/>
                <w:kern w:val="0"/>
                <w:sz w:val="20"/>
                <w:szCs w:val="20"/>
              </w:rPr>
            </w:pPr>
            <w:r>
              <w:rPr>
                <w:rFonts w:ascii="仿宋_GB2312" w:hAnsi="宋体"/>
                <w:color w:val="000000"/>
                <w:kern w:val="0"/>
                <w:sz w:val="20"/>
                <w:szCs w:val="20"/>
              </w:rPr>
              <w:t>财务管理</w:t>
            </w:r>
          </w:p>
          <w:p w14:paraId="00864ADF">
            <w:pPr>
              <w:widowControl/>
              <w:jc w:val="center"/>
              <w:rPr>
                <w:rFonts w:ascii="仿宋_GB2312" w:hAnsi="宋体"/>
                <w:color w:val="000000"/>
                <w:kern w:val="0"/>
                <w:sz w:val="20"/>
                <w:szCs w:val="20"/>
              </w:rPr>
            </w:pPr>
            <w:r>
              <w:rPr>
                <w:rFonts w:ascii="仿宋_GB2312" w:hAnsi="宋体"/>
                <w:color w:val="000000"/>
                <w:kern w:val="0"/>
                <w:sz w:val="20"/>
                <w:szCs w:val="20"/>
              </w:rPr>
              <w:t>（20分）</w:t>
            </w:r>
          </w:p>
        </w:tc>
        <w:tc>
          <w:tcPr>
            <w:tcW w:w="1275" w:type="dxa"/>
            <w:vMerge w:val="restart"/>
            <w:tcBorders>
              <w:top w:val="nil"/>
              <w:left w:val="nil"/>
              <w:bottom w:val="single" w:color="000000" w:sz="4" w:space="0"/>
              <w:right w:val="single" w:color="auto" w:sz="4" w:space="0"/>
            </w:tcBorders>
            <w:noWrap w:val="0"/>
            <w:vAlign w:val="center"/>
          </w:tcPr>
          <w:p w14:paraId="034108E8">
            <w:pPr>
              <w:widowControl/>
              <w:jc w:val="center"/>
              <w:rPr>
                <w:rFonts w:ascii="仿宋_GB2312" w:hAnsi="宋体"/>
                <w:color w:val="000000"/>
                <w:kern w:val="0"/>
                <w:sz w:val="20"/>
                <w:szCs w:val="20"/>
              </w:rPr>
            </w:pPr>
            <w:r>
              <w:rPr>
                <w:rFonts w:ascii="仿宋_GB2312" w:hAnsi="宋体"/>
                <w:color w:val="000000"/>
                <w:kern w:val="0"/>
                <w:sz w:val="20"/>
                <w:szCs w:val="20"/>
              </w:rPr>
              <w:t>管理制度健全性</w:t>
            </w:r>
          </w:p>
          <w:p w14:paraId="07A280B3">
            <w:pPr>
              <w:widowControl/>
              <w:jc w:val="center"/>
              <w:rPr>
                <w:rFonts w:ascii="仿宋_GB2312" w:hAnsi="宋体"/>
                <w:color w:val="000000"/>
                <w:kern w:val="0"/>
                <w:sz w:val="20"/>
                <w:szCs w:val="20"/>
              </w:rPr>
            </w:pPr>
            <w:r>
              <w:rPr>
                <w:rFonts w:ascii="仿宋_GB2312" w:hAnsi="宋体"/>
                <w:color w:val="000000"/>
                <w:kern w:val="0"/>
                <w:sz w:val="20"/>
                <w:szCs w:val="20"/>
              </w:rPr>
              <w:t>（5分）</w:t>
            </w:r>
          </w:p>
        </w:tc>
        <w:tc>
          <w:tcPr>
            <w:tcW w:w="3080" w:type="dxa"/>
            <w:vMerge w:val="restart"/>
            <w:tcBorders>
              <w:top w:val="nil"/>
              <w:left w:val="nil"/>
              <w:bottom w:val="single" w:color="000000" w:sz="4" w:space="0"/>
              <w:right w:val="single" w:color="auto" w:sz="4" w:space="0"/>
            </w:tcBorders>
            <w:noWrap w:val="0"/>
            <w:vAlign w:val="center"/>
          </w:tcPr>
          <w:p w14:paraId="49564B44">
            <w:pPr>
              <w:widowControl/>
              <w:rPr>
                <w:rFonts w:ascii="仿宋_GB2312" w:hAnsi="宋体"/>
                <w:color w:val="000000"/>
                <w:kern w:val="0"/>
                <w:sz w:val="20"/>
                <w:szCs w:val="20"/>
              </w:rPr>
            </w:pPr>
            <w:r>
              <w:rPr>
                <w:rFonts w:ascii="仿宋_GB2312" w:hAnsi="宋体"/>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noWrap w:val="0"/>
            <w:vAlign w:val="center"/>
          </w:tcPr>
          <w:p w14:paraId="63A62944">
            <w:pPr>
              <w:widowControl/>
              <w:jc w:val="lef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14:paraId="3E006A81">
            <w:pPr>
              <w:widowControl/>
              <w:jc w:val="left"/>
              <w:rPr>
                <w:rFonts w:ascii="宋体" w:hAnsi="宋体"/>
                <w:color w:val="000000"/>
                <w:kern w:val="0"/>
                <w:sz w:val="24"/>
              </w:rPr>
            </w:pPr>
          </w:p>
        </w:tc>
      </w:tr>
      <w:tr w14:paraId="6CF81FC5">
        <w:trPr>
          <w:jc w:val="center"/>
        </w:trPr>
        <w:tc>
          <w:tcPr>
            <w:tcW w:w="656" w:type="dxa"/>
            <w:vMerge w:val="continue"/>
            <w:tcBorders>
              <w:top w:val="nil"/>
              <w:left w:val="single" w:color="auto" w:sz="4" w:space="0"/>
              <w:bottom w:val="nil"/>
              <w:right w:val="single" w:color="auto" w:sz="4" w:space="0"/>
            </w:tcBorders>
            <w:noWrap w:val="0"/>
            <w:vAlign w:val="center"/>
          </w:tcPr>
          <w:p w14:paraId="56BF5B1E">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092BD5A1">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43686E77">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65D4B1A0">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38433E1B">
            <w:pPr>
              <w:widowControl/>
              <w:jc w:val="left"/>
              <w:rPr>
                <w:rFonts w:ascii="仿宋_GB2312" w:hAnsi="宋体"/>
                <w:color w:val="000000"/>
                <w:kern w:val="0"/>
                <w:sz w:val="20"/>
                <w:szCs w:val="20"/>
              </w:rPr>
            </w:pPr>
            <w:r>
              <w:rPr>
                <w:rFonts w:ascii="仿宋_GB2312" w:hAnsi="宋体"/>
                <w:color w:val="000000"/>
                <w:kern w:val="0"/>
                <w:sz w:val="20"/>
                <w:szCs w:val="20"/>
              </w:rPr>
              <w:t>①是否已制定或具有相应的项目资金管理办法；</w:t>
            </w:r>
          </w:p>
        </w:tc>
        <w:tc>
          <w:tcPr>
            <w:tcW w:w="385" w:type="dxa"/>
            <w:tcBorders>
              <w:top w:val="nil"/>
              <w:left w:val="nil"/>
              <w:bottom w:val="nil"/>
              <w:right w:val="single" w:color="auto" w:sz="4" w:space="0"/>
            </w:tcBorders>
            <w:noWrap w:val="0"/>
            <w:vAlign w:val="top"/>
          </w:tcPr>
          <w:p w14:paraId="6DE516CA">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4</w:t>
            </w:r>
          </w:p>
        </w:tc>
      </w:tr>
      <w:tr w14:paraId="3F051BAD">
        <w:tblPrEx>
          <w:tblCellMar>
            <w:top w:w="0" w:type="dxa"/>
            <w:left w:w="108" w:type="dxa"/>
            <w:bottom w:w="0" w:type="dxa"/>
            <w:right w:w="108" w:type="dxa"/>
          </w:tblCellMar>
        </w:tblPrEx>
        <w:trPr>
          <w:trHeight w:val="866" w:hRule="atLeast"/>
          <w:jc w:val="center"/>
        </w:trPr>
        <w:tc>
          <w:tcPr>
            <w:tcW w:w="656" w:type="dxa"/>
            <w:vMerge w:val="continue"/>
            <w:tcBorders>
              <w:top w:val="nil"/>
              <w:left w:val="single" w:color="auto" w:sz="4" w:space="0"/>
              <w:bottom w:val="nil"/>
              <w:right w:val="single" w:color="auto" w:sz="4" w:space="0"/>
            </w:tcBorders>
            <w:noWrap w:val="0"/>
            <w:vAlign w:val="center"/>
          </w:tcPr>
          <w:p w14:paraId="685B56CF">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5EF7414E">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60FE00F6">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7716A108">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1540A31E">
            <w:pPr>
              <w:widowControl/>
              <w:rPr>
                <w:rFonts w:ascii="仿宋_GB2312" w:hAnsi="宋体"/>
                <w:color w:val="000000"/>
                <w:kern w:val="0"/>
                <w:sz w:val="20"/>
                <w:szCs w:val="20"/>
              </w:rPr>
            </w:pPr>
            <w:r>
              <w:rPr>
                <w:rFonts w:ascii="仿宋_GB2312" w:hAnsi="宋体"/>
                <w:color w:val="000000"/>
                <w:kern w:val="0"/>
                <w:sz w:val="20"/>
                <w:szCs w:val="20"/>
              </w:rPr>
              <w:t>②项目资金管理办法是否符合相关财务会计制度的规定。</w:t>
            </w:r>
          </w:p>
        </w:tc>
        <w:tc>
          <w:tcPr>
            <w:tcW w:w="385" w:type="dxa"/>
            <w:tcBorders>
              <w:top w:val="nil"/>
              <w:left w:val="nil"/>
              <w:bottom w:val="single" w:color="auto" w:sz="4" w:space="0"/>
              <w:right w:val="single" w:color="auto" w:sz="4" w:space="0"/>
            </w:tcBorders>
            <w:noWrap w:val="0"/>
            <w:vAlign w:val="top"/>
          </w:tcPr>
          <w:p w14:paraId="706A7A1C">
            <w:pPr>
              <w:widowControl/>
              <w:rPr>
                <w:rFonts w:ascii="宋体" w:hAnsi="宋体"/>
                <w:color w:val="000000"/>
                <w:kern w:val="0"/>
                <w:sz w:val="24"/>
              </w:rPr>
            </w:pPr>
          </w:p>
        </w:tc>
      </w:tr>
      <w:tr w14:paraId="31E7E096">
        <w:trPr>
          <w:jc w:val="center"/>
        </w:trPr>
        <w:tc>
          <w:tcPr>
            <w:tcW w:w="656" w:type="dxa"/>
            <w:vMerge w:val="continue"/>
            <w:tcBorders>
              <w:top w:val="nil"/>
              <w:left w:val="single" w:color="auto" w:sz="4" w:space="0"/>
              <w:bottom w:val="nil"/>
              <w:right w:val="single" w:color="auto" w:sz="4" w:space="0"/>
            </w:tcBorders>
            <w:noWrap w:val="0"/>
            <w:vAlign w:val="center"/>
          </w:tcPr>
          <w:p w14:paraId="23AAEBE8">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4178A1F7">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14:paraId="452596C1">
            <w:pPr>
              <w:widowControl/>
              <w:jc w:val="center"/>
              <w:rPr>
                <w:rFonts w:ascii="仿宋_GB2312" w:hAnsi="宋体"/>
                <w:color w:val="000000"/>
                <w:kern w:val="0"/>
                <w:sz w:val="20"/>
                <w:szCs w:val="20"/>
              </w:rPr>
            </w:pPr>
            <w:r>
              <w:rPr>
                <w:rFonts w:ascii="仿宋_GB2312" w:hAnsi="宋体"/>
                <w:color w:val="000000"/>
                <w:kern w:val="0"/>
                <w:sz w:val="20"/>
                <w:szCs w:val="20"/>
              </w:rPr>
              <w:t>资金使用合规性</w:t>
            </w:r>
          </w:p>
          <w:p w14:paraId="5350588C">
            <w:pPr>
              <w:widowControl/>
              <w:jc w:val="center"/>
              <w:rPr>
                <w:rFonts w:ascii="仿宋_GB2312" w:hAnsi="宋体"/>
                <w:color w:val="000000"/>
                <w:kern w:val="0"/>
                <w:sz w:val="20"/>
                <w:szCs w:val="20"/>
              </w:rPr>
            </w:pPr>
            <w:r>
              <w:rPr>
                <w:rFonts w:ascii="仿宋_GB2312" w:hAnsi="宋体"/>
                <w:color w:val="000000"/>
                <w:kern w:val="0"/>
                <w:sz w:val="20"/>
                <w:szCs w:val="20"/>
              </w:rPr>
              <w:t>（7分）</w:t>
            </w:r>
          </w:p>
        </w:tc>
        <w:tc>
          <w:tcPr>
            <w:tcW w:w="3080" w:type="dxa"/>
            <w:vMerge w:val="restart"/>
            <w:tcBorders>
              <w:top w:val="nil"/>
              <w:left w:val="nil"/>
              <w:bottom w:val="single" w:color="000000" w:sz="4" w:space="0"/>
              <w:right w:val="single" w:color="auto" w:sz="4" w:space="0"/>
            </w:tcBorders>
            <w:noWrap w:val="0"/>
            <w:vAlign w:val="center"/>
          </w:tcPr>
          <w:p w14:paraId="4866103F">
            <w:pPr>
              <w:widowControl/>
              <w:rPr>
                <w:rFonts w:ascii="仿宋_GB2312" w:hAnsi="宋体"/>
                <w:color w:val="000000"/>
                <w:kern w:val="0"/>
                <w:sz w:val="20"/>
                <w:szCs w:val="20"/>
              </w:rPr>
            </w:pPr>
            <w:r>
              <w:rPr>
                <w:rFonts w:ascii="仿宋_GB2312" w:hAnsi="宋体"/>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noWrap w:val="0"/>
            <w:vAlign w:val="center"/>
          </w:tcPr>
          <w:p w14:paraId="5D4E7DDB">
            <w:pPr>
              <w:widowControl/>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14:paraId="0E86BBD1">
            <w:pPr>
              <w:widowControl/>
              <w:rPr>
                <w:rFonts w:ascii="宋体" w:hAnsi="宋体"/>
                <w:color w:val="000000"/>
                <w:kern w:val="0"/>
                <w:sz w:val="24"/>
              </w:rPr>
            </w:pPr>
          </w:p>
        </w:tc>
      </w:tr>
      <w:tr w14:paraId="659993ED">
        <w:trPr>
          <w:jc w:val="center"/>
        </w:trPr>
        <w:tc>
          <w:tcPr>
            <w:tcW w:w="656" w:type="dxa"/>
            <w:vMerge w:val="continue"/>
            <w:tcBorders>
              <w:top w:val="nil"/>
              <w:left w:val="single" w:color="auto" w:sz="4" w:space="0"/>
              <w:bottom w:val="nil"/>
              <w:right w:val="single" w:color="auto" w:sz="4" w:space="0"/>
            </w:tcBorders>
            <w:noWrap w:val="0"/>
            <w:vAlign w:val="center"/>
          </w:tcPr>
          <w:p w14:paraId="7C5A500D">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24B45F28">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59913B42">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4F689832">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1DC30FB8">
            <w:pPr>
              <w:widowControl/>
              <w:rPr>
                <w:rFonts w:ascii="仿宋_GB2312" w:hAnsi="宋体"/>
                <w:color w:val="000000"/>
                <w:kern w:val="0"/>
                <w:sz w:val="20"/>
                <w:szCs w:val="20"/>
              </w:rPr>
            </w:pPr>
            <w:r>
              <w:rPr>
                <w:rFonts w:ascii="仿宋_GB2312" w:hAnsi="宋体"/>
                <w:color w:val="000000"/>
                <w:kern w:val="0"/>
                <w:sz w:val="20"/>
                <w:szCs w:val="20"/>
              </w:rPr>
              <w:t>①是否符合国家财经法规和财务管理以及有关专项资金管理办法的规定；</w:t>
            </w:r>
          </w:p>
        </w:tc>
        <w:tc>
          <w:tcPr>
            <w:tcW w:w="385" w:type="dxa"/>
            <w:tcBorders>
              <w:top w:val="nil"/>
              <w:left w:val="nil"/>
              <w:bottom w:val="nil"/>
              <w:right w:val="single" w:color="auto" w:sz="4" w:space="0"/>
            </w:tcBorders>
            <w:noWrap w:val="0"/>
            <w:vAlign w:val="top"/>
          </w:tcPr>
          <w:p w14:paraId="0A4FDA3E">
            <w:pPr>
              <w:widowControl/>
              <w:rPr>
                <w:rFonts w:ascii="宋体" w:hAnsi="宋体"/>
                <w:color w:val="000000"/>
                <w:kern w:val="0"/>
                <w:sz w:val="24"/>
              </w:rPr>
            </w:pPr>
          </w:p>
        </w:tc>
      </w:tr>
      <w:tr w14:paraId="22955198">
        <w:trPr>
          <w:jc w:val="center"/>
        </w:trPr>
        <w:tc>
          <w:tcPr>
            <w:tcW w:w="656" w:type="dxa"/>
            <w:vMerge w:val="continue"/>
            <w:tcBorders>
              <w:top w:val="nil"/>
              <w:left w:val="single" w:color="auto" w:sz="4" w:space="0"/>
              <w:bottom w:val="nil"/>
              <w:right w:val="single" w:color="auto" w:sz="4" w:space="0"/>
            </w:tcBorders>
            <w:noWrap w:val="0"/>
            <w:vAlign w:val="center"/>
          </w:tcPr>
          <w:p w14:paraId="5A1A04ED">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31AC1B02">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73FE5330">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4792B881">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763B552D">
            <w:pPr>
              <w:widowControl/>
              <w:rPr>
                <w:rFonts w:ascii="仿宋_GB2312" w:hAnsi="宋体"/>
                <w:color w:val="000000"/>
                <w:kern w:val="0"/>
                <w:sz w:val="20"/>
                <w:szCs w:val="20"/>
              </w:rPr>
            </w:pPr>
            <w:r>
              <w:rPr>
                <w:rFonts w:ascii="仿宋_GB2312" w:hAnsi="宋体"/>
                <w:color w:val="000000"/>
                <w:kern w:val="0"/>
                <w:sz w:val="20"/>
                <w:szCs w:val="20"/>
              </w:rPr>
              <w:t>②资金的拨付是否有完整的审批程序和手续；</w:t>
            </w:r>
          </w:p>
        </w:tc>
        <w:tc>
          <w:tcPr>
            <w:tcW w:w="385" w:type="dxa"/>
            <w:tcBorders>
              <w:top w:val="nil"/>
              <w:left w:val="nil"/>
              <w:bottom w:val="nil"/>
              <w:right w:val="single" w:color="auto" w:sz="4" w:space="0"/>
            </w:tcBorders>
            <w:noWrap w:val="0"/>
            <w:vAlign w:val="top"/>
          </w:tcPr>
          <w:p w14:paraId="471818DD">
            <w:pPr>
              <w:widowControl/>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7</w:t>
            </w:r>
          </w:p>
        </w:tc>
      </w:tr>
      <w:tr w14:paraId="307A6D3E">
        <w:trPr>
          <w:jc w:val="center"/>
        </w:trPr>
        <w:tc>
          <w:tcPr>
            <w:tcW w:w="656" w:type="dxa"/>
            <w:vMerge w:val="continue"/>
            <w:tcBorders>
              <w:top w:val="nil"/>
              <w:left w:val="single" w:color="auto" w:sz="4" w:space="0"/>
              <w:bottom w:val="nil"/>
              <w:right w:val="single" w:color="auto" w:sz="4" w:space="0"/>
            </w:tcBorders>
            <w:noWrap w:val="0"/>
            <w:vAlign w:val="center"/>
          </w:tcPr>
          <w:p w14:paraId="6D467FD7">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7F5CB86E">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0AAF1FE5">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60C0B2CE">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2E0C29EF">
            <w:pPr>
              <w:widowControl/>
              <w:rPr>
                <w:rFonts w:ascii="仿宋_GB2312" w:hAnsi="宋体"/>
                <w:color w:val="000000"/>
                <w:kern w:val="0"/>
                <w:sz w:val="20"/>
                <w:szCs w:val="20"/>
              </w:rPr>
            </w:pPr>
            <w:r>
              <w:rPr>
                <w:rFonts w:ascii="仿宋_GB2312" w:hAnsi="宋体"/>
                <w:color w:val="000000"/>
                <w:kern w:val="0"/>
                <w:sz w:val="20"/>
                <w:szCs w:val="20"/>
              </w:rPr>
              <w:t>③项目的重大开支是否经过评估认证；</w:t>
            </w:r>
          </w:p>
        </w:tc>
        <w:tc>
          <w:tcPr>
            <w:tcW w:w="385" w:type="dxa"/>
            <w:tcBorders>
              <w:top w:val="nil"/>
              <w:left w:val="nil"/>
              <w:bottom w:val="nil"/>
              <w:right w:val="single" w:color="auto" w:sz="4" w:space="0"/>
            </w:tcBorders>
            <w:noWrap w:val="0"/>
            <w:vAlign w:val="top"/>
          </w:tcPr>
          <w:p w14:paraId="38033CEA">
            <w:pPr>
              <w:widowControl/>
              <w:rPr>
                <w:rFonts w:ascii="宋体" w:hAnsi="宋体"/>
                <w:color w:val="000000"/>
                <w:kern w:val="0"/>
                <w:sz w:val="24"/>
              </w:rPr>
            </w:pPr>
          </w:p>
        </w:tc>
      </w:tr>
      <w:tr w14:paraId="2C157F5B">
        <w:trPr>
          <w:jc w:val="center"/>
        </w:trPr>
        <w:tc>
          <w:tcPr>
            <w:tcW w:w="656" w:type="dxa"/>
            <w:vMerge w:val="continue"/>
            <w:tcBorders>
              <w:top w:val="nil"/>
              <w:left w:val="single" w:color="auto" w:sz="4" w:space="0"/>
              <w:bottom w:val="nil"/>
              <w:right w:val="single" w:color="auto" w:sz="4" w:space="0"/>
            </w:tcBorders>
            <w:noWrap w:val="0"/>
            <w:vAlign w:val="center"/>
          </w:tcPr>
          <w:p w14:paraId="5F8D448E">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6A5D9A3D">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11E032EF">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51B1AB0E">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18B823E2">
            <w:pPr>
              <w:widowControl/>
              <w:rPr>
                <w:rFonts w:ascii="仿宋_GB2312" w:hAnsi="宋体"/>
                <w:color w:val="000000"/>
                <w:kern w:val="0"/>
                <w:sz w:val="20"/>
                <w:szCs w:val="20"/>
              </w:rPr>
            </w:pPr>
            <w:r>
              <w:rPr>
                <w:rFonts w:ascii="仿宋_GB2312" w:hAnsi="宋体"/>
                <w:color w:val="000000"/>
                <w:kern w:val="0"/>
                <w:sz w:val="20"/>
                <w:szCs w:val="20"/>
              </w:rPr>
              <w:t>④是否符合项目预算批复或合同规定的用途；</w:t>
            </w:r>
          </w:p>
        </w:tc>
        <w:tc>
          <w:tcPr>
            <w:tcW w:w="385" w:type="dxa"/>
            <w:tcBorders>
              <w:top w:val="nil"/>
              <w:left w:val="nil"/>
              <w:bottom w:val="nil"/>
              <w:right w:val="single" w:color="auto" w:sz="4" w:space="0"/>
            </w:tcBorders>
            <w:noWrap w:val="0"/>
            <w:vAlign w:val="top"/>
          </w:tcPr>
          <w:p w14:paraId="402CF165">
            <w:pPr>
              <w:widowControl/>
              <w:rPr>
                <w:rFonts w:ascii="宋体" w:hAnsi="宋体"/>
                <w:color w:val="000000"/>
                <w:kern w:val="0"/>
                <w:sz w:val="24"/>
              </w:rPr>
            </w:pPr>
          </w:p>
        </w:tc>
      </w:tr>
      <w:tr w14:paraId="0B11E6D0">
        <w:tblPrEx>
          <w:tblCellMar>
            <w:top w:w="0" w:type="dxa"/>
            <w:left w:w="108" w:type="dxa"/>
            <w:bottom w:w="0" w:type="dxa"/>
            <w:right w:w="108" w:type="dxa"/>
          </w:tblCellMar>
        </w:tblPrEx>
        <w:trPr>
          <w:trHeight w:val="1027" w:hRule="atLeast"/>
          <w:jc w:val="center"/>
        </w:trPr>
        <w:tc>
          <w:tcPr>
            <w:tcW w:w="656" w:type="dxa"/>
            <w:vMerge w:val="continue"/>
            <w:tcBorders>
              <w:top w:val="nil"/>
              <w:left w:val="single" w:color="auto" w:sz="4" w:space="0"/>
              <w:bottom w:val="nil"/>
              <w:right w:val="single" w:color="auto" w:sz="4" w:space="0"/>
            </w:tcBorders>
            <w:noWrap w:val="0"/>
            <w:vAlign w:val="center"/>
          </w:tcPr>
          <w:p w14:paraId="1E8DC2C4">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1F235FC5">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2CE17FF5">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21C2A44B">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7702688B">
            <w:pPr>
              <w:widowControl/>
              <w:rPr>
                <w:rFonts w:ascii="仿宋_GB2312" w:hAnsi="宋体"/>
                <w:color w:val="000000"/>
                <w:kern w:val="0"/>
                <w:sz w:val="20"/>
                <w:szCs w:val="20"/>
              </w:rPr>
            </w:pPr>
            <w:r>
              <w:rPr>
                <w:rFonts w:ascii="仿宋_GB2312" w:hAnsi="宋体"/>
                <w:color w:val="000000"/>
                <w:kern w:val="0"/>
                <w:sz w:val="20"/>
                <w:szCs w:val="20"/>
              </w:rPr>
              <w:t>⑤是否存在截留、挤占、挪用、虚列支出等情况。</w:t>
            </w:r>
          </w:p>
        </w:tc>
        <w:tc>
          <w:tcPr>
            <w:tcW w:w="385" w:type="dxa"/>
            <w:tcBorders>
              <w:top w:val="nil"/>
              <w:left w:val="nil"/>
              <w:bottom w:val="single" w:color="auto" w:sz="4" w:space="0"/>
              <w:right w:val="single" w:color="auto" w:sz="4" w:space="0"/>
            </w:tcBorders>
            <w:noWrap w:val="0"/>
            <w:vAlign w:val="top"/>
          </w:tcPr>
          <w:p w14:paraId="77850B39">
            <w:pPr>
              <w:widowControl/>
              <w:rPr>
                <w:rFonts w:ascii="宋体" w:hAnsi="宋体"/>
                <w:color w:val="000000"/>
                <w:kern w:val="0"/>
                <w:sz w:val="24"/>
              </w:rPr>
            </w:pPr>
          </w:p>
        </w:tc>
      </w:tr>
      <w:tr w14:paraId="0EA91F54">
        <w:tblPrEx>
          <w:tblCellMar>
            <w:top w:w="0" w:type="dxa"/>
            <w:left w:w="108" w:type="dxa"/>
            <w:bottom w:w="0" w:type="dxa"/>
            <w:right w:w="108" w:type="dxa"/>
          </w:tblCellMar>
        </w:tblPrEx>
        <w:trPr>
          <w:trHeight w:val="377" w:hRule="atLeast"/>
          <w:jc w:val="center"/>
        </w:trPr>
        <w:tc>
          <w:tcPr>
            <w:tcW w:w="656" w:type="dxa"/>
            <w:vMerge w:val="continue"/>
            <w:tcBorders>
              <w:top w:val="nil"/>
              <w:left w:val="single" w:color="auto" w:sz="4" w:space="0"/>
              <w:bottom w:val="nil"/>
              <w:right w:val="single" w:color="auto" w:sz="4" w:space="0"/>
            </w:tcBorders>
            <w:noWrap w:val="0"/>
            <w:vAlign w:val="center"/>
          </w:tcPr>
          <w:p w14:paraId="483EEE59">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468B1B35">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14:paraId="695DDA40">
            <w:pPr>
              <w:widowControl/>
              <w:jc w:val="center"/>
              <w:rPr>
                <w:rFonts w:ascii="仿宋_GB2312" w:hAnsi="宋体"/>
                <w:color w:val="000000"/>
                <w:kern w:val="0"/>
                <w:sz w:val="20"/>
                <w:szCs w:val="20"/>
              </w:rPr>
            </w:pPr>
            <w:r>
              <w:rPr>
                <w:rFonts w:ascii="仿宋_GB2312" w:hAnsi="宋体"/>
                <w:color w:val="000000"/>
                <w:kern w:val="0"/>
                <w:sz w:val="20"/>
                <w:szCs w:val="20"/>
              </w:rPr>
              <w:t>财务监控有效性</w:t>
            </w:r>
          </w:p>
          <w:p w14:paraId="4012F857">
            <w:pPr>
              <w:widowControl/>
              <w:jc w:val="center"/>
              <w:rPr>
                <w:rFonts w:ascii="仿宋_GB2312" w:hAnsi="宋体"/>
                <w:color w:val="000000"/>
                <w:kern w:val="0"/>
                <w:sz w:val="20"/>
                <w:szCs w:val="20"/>
              </w:rPr>
            </w:pPr>
            <w:r>
              <w:rPr>
                <w:rFonts w:ascii="仿宋_GB2312" w:hAnsi="宋体"/>
                <w:color w:val="000000"/>
                <w:kern w:val="0"/>
                <w:sz w:val="20"/>
                <w:szCs w:val="20"/>
              </w:rPr>
              <w:t>（8分）</w:t>
            </w:r>
          </w:p>
        </w:tc>
        <w:tc>
          <w:tcPr>
            <w:tcW w:w="3080" w:type="dxa"/>
            <w:vMerge w:val="restart"/>
            <w:tcBorders>
              <w:top w:val="nil"/>
              <w:left w:val="nil"/>
              <w:bottom w:val="single" w:color="000000" w:sz="4" w:space="0"/>
              <w:right w:val="single" w:color="auto" w:sz="4" w:space="0"/>
            </w:tcBorders>
            <w:noWrap w:val="0"/>
            <w:vAlign w:val="center"/>
          </w:tcPr>
          <w:p w14:paraId="04BCE96A">
            <w:pPr>
              <w:widowControl/>
              <w:jc w:val="left"/>
              <w:rPr>
                <w:rFonts w:ascii="仿宋_GB2312" w:hAnsi="宋体"/>
                <w:color w:val="000000"/>
                <w:kern w:val="0"/>
                <w:sz w:val="20"/>
                <w:szCs w:val="20"/>
              </w:rPr>
            </w:pPr>
            <w:r>
              <w:rPr>
                <w:rFonts w:ascii="仿宋_GB2312" w:hAnsi="宋体"/>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noWrap w:val="0"/>
            <w:vAlign w:val="center"/>
          </w:tcPr>
          <w:p w14:paraId="66D1260F">
            <w:pPr>
              <w:widowControl/>
              <w:jc w:val="lef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noWrap w:val="0"/>
            <w:vAlign w:val="top"/>
          </w:tcPr>
          <w:p w14:paraId="689C9A9C">
            <w:pPr>
              <w:widowControl/>
              <w:jc w:val="left"/>
              <w:rPr>
                <w:rFonts w:ascii="宋体" w:hAnsi="宋体"/>
                <w:color w:val="000000"/>
                <w:kern w:val="0"/>
                <w:sz w:val="24"/>
              </w:rPr>
            </w:pPr>
          </w:p>
        </w:tc>
      </w:tr>
      <w:tr w14:paraId="071EE492">
        <w:trPr>
          <w:jc w:val="center"/>
        </w:trPr>
        <w:tc>
          <w:tcPr>
            <w:tcW w:w="656" w:type="dxa"/>
            <w:vMerge w:val="continue"/>
            <w:tcBorders>
              <w:top w:val="nil"/>
              <w:left w:val="single" w:color="auto" w:sz="4" w:space="0"/>
              <w:bottom w:val="nil"/>
              <w:right w:val="single" w:color="auto" w:sz="4" w:space="0"/>
            </w:tcBorders>
            <w:noWrap w:val="0"/>
            <w:vAlign w:val="center"/>
          </w:tcPr>
          <w:p w14:paraId="70A092F6">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5032EBA2">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299E5D4E">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128616E3">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5F2B813A">
            <w:pPr>
              <w:widowControl/>
              <w:jc w:val="left"/>
              <w:rPr>
                <w:rFonts w:ascii="仿宋_GB2312" w:hAnsi="宋体"/>
                <w:color w:val="000000"/>
                <w:kern w:val="0"/>
                <w:sz w:val="20"/>
                <w:szCs w:val="20"/>
              </w:rPr>
            </w:pPr>
            <w:r>
              <w:rPr>
                <w:rFonts w:ascii="仿宋_GB2312" w:hAnsi="宋体"/>
                <w:color w:val="000000"/>
                <w:kern w:val="0"/>
                <w:sz w:val="20"/>
                <w:szCs w:val="20"/>
              </w:rPr>
              <w:t>①是否已制定或具有相应的监控机制；</w:t>
            </w:r>
          </w:p>
        </w:tc>
        <w:tc>
          <w:tcPr>
            <w:tcW w:w="385" w:type="dxa"/>
            <w:tcBorders>
              <w:top w:val="nil"/>
              <w:left w:val="nil"/>
              <w:bottom w:val="nil"/>
              <w:right w:val="single" w:color="auto" w:sz="4" w:space="0"/>
            </w:tcBorders>
            <w:noWrap w:val="0"/>
            <w:vAlign w:val="top"/>
          </w:tcPr>
          <w:p w14:paraId="5FCE8D8F">
            <w:pPr>
              <w:widowControl/>
              <w:jc w:val="left"/>
              <w:rPr>
                <w:rFonts w:ascii="宋体" w:hAnsi="宋体"/>
                <w:color w:val="000000"/>
                <w:kern w:val="0"/>
                <w:sz w:val="24"/>
              </w:rPr>
            </w:pPr>
          </w:p>
        </w:tc>
      </w:tr>
      <w:tr w14:paraId="5B83ADDF">
        <w:tblPrEx>
          <w:tblCellMar>
            <w:top w:w="0" w:type="dxa"/>
            <w:left w:w="108" w:type="dxa"/>
            <w:bottom w:w="0" w:type="dxa"/>
            <w:right w:w="108" w:type="dxa"/>
          </w:tblCellMar>
        </w:tblPrEx>
        <w:trPr>
          <w:trHeight w:val="1519" w:hRule="atLeast"/>
          <w:jc w:val="center"/>
        </w:trPr>
        <w:tc>
          <w:tcPr>
            <w:tcW w:w="656" w:type="dxa"/>
            <w:vMerge w:val="continue"/>
            <w:tcBorders>
              <w:top w:val="nil"/>
              <w:left w:val="single" w:color="auto" w:sz="4" w:space="0"/>
              <w:bottom w:val="nil"/>
              <w:right w:val="single" w:color="auto" w:sz="4" w:space="0"/>
            </w:tcBorders>
            <w:noWrap w:val="0"/>
            <w:vAlign w:val="center"/>
          </w:tcPr>
          <w:p w14:paraId="4B9DC5E0">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78E5DC09">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7363D431">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73D3FF96">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5758F393">
            <w:pPr>
              <w:widowControl/>
              <w:rPr>
                <w:rFonts w:ascii="仿宋_GB2312" w:hAnsi="宋体"/>
                <w:color w:val="000000"/>
                <w:kern w:val="0"/>
                <w:sz w:val="20"/>
                <w:szCs w:val="20"/>
              </w:rPr>
            </w:pPr>
            <w:r>
              <w:rPr>
                <w:rFonts w:ascii="仿宋_GB2312" w:hAnsi="宋体"/>
                <w:color w:val="000000"/>
                <w:kern w:val="0"/>
                <w:sz w:val="20"/>
                <w:szCs w:val="20"/>
              </w:rPr>
              <w:t>②是否采取了相应的财务检查等必要的监控措施或手段。</w:t>
            </w:r>
          </w:p>
        </w:tc>
        <w:tc>
          <w:tcPr>
            <w:tcW w:w="385" w:type="dxa"/>
            <w:tcBorders>
              <w:top w:val="nil"/>
              <w:left w:val="nil"/>
              <w:bottom w:val="single" w:color="auto" w:sz="4" w:space="0"/>
              <w:right w:val="single" w:color="auto" w:sz="4" w:space="0"/>
            </w:tcBorders>
            <w:noWrap w:val="0"/>
            <w:vAlign w:val="top"/>
          </w:tcPr>
          <w:p w14:paraId="2E4D38D3">
            <w:pPr>
              <w:widowControl/>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8</w:t>
            </w:r>
          </w:p>
        </w:tc>
      </w:tr>
      <w:tr w14:paraId="14B62BCF">
        <w:trPr>
          <w:jc w:val="center"/>
        </w:trPr>
        <w:tc>
          <w:tcPr>
            <w:tcW w:w="656" w:type="dxa"/>
            <w:vMerge w:val="restart"/>
            <w:tcBorders>
              <w:top w:val="nil"/>
              <w:left w:val="single" w:color="auto" w:sz="4" w:space="0"/>
              <w:bottom w:val="single" w:color="000000" w:sz="4" w:space="0"/>
              <w:right w:val="single" w:color="auto" w:sz="4" w:space="0"/>
            </w:tcBorders>
            <w:noWrap w:val="0"/>
            <w:vAlign w:val="center"/>
          </w:tcPr>
          <w:p w14:paraId="16DF4082">
            <w:pPr>
              <w:widowControl/>
              <w:jc w:val="center"/>
              <w:rPr>
                <w:rFonts w:ascii="仿宋_GB2312" w:hAnsi="宋体"/>
                <w:color w:val="000000"/>
                <w:kern w:val="0"/>
                <w:sz w:val="20"/>
                <w:szCs w:val="20"/>
              </w:rPr>
            </w:pPr>
            <w:r>
              <w:rPr>
                <w:rFonts w:ascii="仿宋_GB2312" w:hAnsi="宋体"/>
                <w:color w:val="000000"/>
                <w:kern w:val="0"/>
                <w:sz w:val="20"/>
                <w:szCs w:val="20"/>
              </w:rPr>
              <w:t>产出</w:t>
            </w:r>
          </w:p>
          <w:p w14:paraId="0F174A45">
            <w:pPr>
              <w:widowControl/>
              <w:jc w:val="center"/>
              <w:rPr>
                <w:rFonts w:ascii="仿宋_GB2312" w:hAnsi="宋体"/>
                <w:color w:val="000000"/>
                <w:kern w:val="0"/>
                <w:sz w:val="20"/>
                <w:szCs w:val="20"/>
              </w:rPr>
            </w:pPr>
            <w:r>
              <w:rPr>
                <w:rFonts w:ascii="仿宋_GB2312" w:hAnsi="宋体"/>
                <w:color w:val="000000"/>
                <w:kern w:val="0"/>
                <w:sz w:val="20"/>
                <w:szCs w:val="20"/>
              </w:rPr>
              <w:t>（30分）</w:t>
            </w:r>
          </w:p>
        </w:tc>
        <w:tc>
          <w:tcPr>
            <w:tcW w:w="710" w:type="dxa"/>
            <w:vMerge w:val="restart"/>
            <w:tcBorders>
              <w:top w:val="nil"/>
              <w:left w:val="nil"/>
              <w:bottom w:val="single" w:color="000000" w:sz="4" w:space="0"/>
              <w:right w:val="single" w:color="auto" w:sz="4" w:space="0"/>
            </w:tcBorders>
            <w:noWrap w:val="0"/>
            <w:vAlign w:val="center"/>
          </w:tcPr>
          <w:p w14:paraId="3A378E3F">
            <w:pPr>
              <w:widowControl/>
              <w:jc w:val="center"/>
              <w:rPr>
                <w:rFonts w:ascii="仿宋_GB2312" w:hAnsi="宋体"/>
                <w:color w:val="000000"/>
                <w:kern w:val="0"/>
                <w:sz w:val="20"/>
                <w:szCs w:val="20"/>
              </w:rPr>
            </w:pPr>
            <w:r>
              <w:rPr>
                <w:rFonts w:ascii="仿宋_GB2312" w:hAnsi="宋体"/>
                <w:color w:val="000000"/>
                <w:kern w:val="0"/>
                <w:sz w:val="20"/>
                <w:szCs w:val="20"/>
              </w:rPr>
              <w:t>项目产出</w:t>
            </w:r>
          </w:p>
          <w:p w14:paraId="69940627">
            <w:pPr>
              <w:widowControl/>
              <w:jc w:val="center"/>
              <w:rPr>
                <w:rFonts w:ascii="仿宋_GB2312" w:hAnsi="宋体"/>
                <w:color w:val="000000"/>
                <w:kern w:val="0"/>
                <w:sz w:val="20"/>
                <w:szCs w:val="20"/>
              </w:rPr>
            </w:pPr>
            <w:r>
              <w:rPr>
                <w:rFonts w:ascii="仿宋_GB2312" w:hAnsi="宋体"/>
                <w:color w:val="000000"/>
                <w:kern w:val="0"/>
                <w:sz w:val="20"/>
                <w:szCs w:val="20"/>
              </w:rPr>
              <w:t>（30分）</w:t>
            </w:r>
          </w:p>
        </w:tc>
        <w:tc>
          <w:tcPr>
            <w:tcW w:w="1275" w:type="dxa"/>
            <w:vMerge w:val="restart"/>
            <w:tcBorders>
              <w:top w:val="nil"/>
              <w:left w:val="nil"/>
              <w:bottom w:val="single" w:color="000000" w:sz="4" w:space="0"/>
              <w:right w:val="single" w:color="auto" w:sz="4" w:space="0"/>
            </w:tcBorders>
            <w:noWrap w:val="0"/>
            <w:vAlign w:val="center"/>
          </w:tcPr>
          <w:p w14:paraId="7BC9B861">
            <w:pPr>
              <w:widowControl/>
              <w:jc w:val="center"/>
              <w:rPr>
                <w:rFonts w:ascii="仿宋_GB2312" w:hAnsi="宋体"/>
                <w:color w:val="000000"/>
                <w:kern w:val="0"/>
                <w:sz w:val="20"/>
                <w:szCs w:val="20"/>
              </w:rPr>
            </w:pPr>
            <w:r>
              <w:rPr>
                <w:rFonts w:ascii="仿宋_GB2312" w:hAnsi="宋体"/>
                <w:color w:val="000000"/>
                <w:kern w:val="0"/>
                <w:sz w:val="20"/>
                <w:szCs w:val="20"/>
              </w:rPr>
              <w:t>实际完成率（7分）</w:t>
            </w:r>
          </w:p>
        </w:tc>
        <w:tc>
          <w:tcPr>
            <w:tcW w:w="3080" w:type="dxa"/>
            <w:vMerge w:val="restart"/>
            <w:tcBorders>
              <w:top w:val="nil"/>
              <w:left w:val="nil"/>
              <w:bottom w:val="single" w:color="000000" w:sz="4" w:space="0"/>
              <w:right w:val="single" w:color="auto" w:sz="4" w:space="0"/>
            </w:tcBorders>
            <w:noWrap w:val="0"/>
            <w:vAlign w:val="center"/>
          </w:tcPr>
          <w:p w14:paraId="415329CE">
            <w:pPr>
              <w:widowControl/>
              <w:rPr>
                <w:rFonts w:ascii="仿宋_GB2312" w:hAnsi="宋体"/>
                <w:color w:val="000000"/>
                <w:kern w:val="0"/>
                <w:sz w:val="20"/>
                <w:szCs w:val="20"/>
              </w:rPr>
            </w:pPr>
            <w:r>
              <w:rPr>
                <w:rFonts w:ascii="仿宋_GB2312" w:hAnsi="宋体"/>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noWrap w:val="0"/>
            <w:vAlign w:val="center"/>
          </w:tcPr>
          <w:p w14:paraId="30FBCAC3">
            <w:pPr>
              <w:widowControl/>
              <w:jc w:val="left"/>
              <w:rPr>
                <w:rFonts w:ascii="仿宋_GB2312" w:hAnsi="宋体"/>
                <w:color w:val="000000"/>
                <w:kern w:val="0"/>
                <w:sz w:val="20"/>
                <w:szCs w:val="20"/>
              </w:rPr>
            </w:pPr>
            <w:r>
              <w:rPr>
                <w:rFonts w:ascii="仿宋_GB2312" w:hAnsi="宋体"/>
                <w:color w:val="000000"/>
                <w:kern w:val="0"/>
                <w:sz w:val="20"/>
                <w:szCs w:val="20"/>
              </w:rPr>
              <w:t>实际完成率＝（实际产出数/计划产出数）×100%。</w:t>
            </w:r>
          </w:p>
        </w:tc>
        <w:tc>
          <w:tcPr>
            <w:tcW w:w="385" w:type="dxa"/>
            <w:tcBorders>
              <w:top w:val="nil"/>
              <w:left w:val="nil"/>
              <w:bottom w:val="nil"/>
              <w:right w:val="single" w:color="auto" w:sz="4" w:space="0"/>
            </w:tcBorders>
            <w:noWrap w:val="0"/>
            <w:vAlign w:val="top"/>
          </w:tcPr>
          <w:p w14:paraId="29DEF46D">
            <w:pPr>
              <w:widowControl/>
              <w:jc w:val="left"/>
              <w:rPr>
                <w:rFonts w:ascii="宋体" w:hAnsi="宋体"/>
                <w:color w:val="000000"/>
                <w:kern w:val="0"/>
                <w:sz w:val="24"/>
              </w:rPr>
            </w:pPr>
          </w:p>
        </w:tc>
      </w:tr>
      <w:tr w14:paraId="4AA279ED">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65FE0FAE">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7537C5C9">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0890CE24">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528379B4">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714BBAFB">
            <w:pPr>
              <w:widowControl/>
              <w:jc w:val="left"/>
              <w:rPr>
                <w:rFonts w:ascii="仿宋_GB2312" w:hAnsi="宋体"/>
                <w:color w:val="000000"/>
                <w:kern w:val="0"/>
                <w:sz w:val="20"/>
                <w:szCs w:val="20"/>
              </w:rPr>
            </w:pPr>
            <w:r>
              <w:rPr>
                <w:rFonts w:ascii="仿宋_GB2312" w:hAnsi="宋体"/>
                <w:color w:val="000000"/>
                <w:kern w:val="0"/>
                <w:sz w:val="20"/>
                <w:szCs w:val="20"/>
              </w:rPr>
              <w:t>实际产出数：一定时期（本年度或项目期）内项目实际产出的产品或提供的服务数。</w:t>
            </w:r>
          </w:p>
        </w:tc>
        <w:tc>
          <w:tcPr>
            <w:tcW w:w="385" w:type="dxa"/>
            <w:tcBorders>
              <w:top w:val="nil"/>
              <w:left w:val="nil"/>
              <w:bottom w:val="nil"/>
              <w:right w:val="single" w:color="auto" w:sz="4" w:space="0"/>
            </w:tcBorders>
            <w:noWrap w:val="0"/>
            <w:vAlign w:val="top"/>
          </w:tcPr>
          <w:p w14:paraId="5AB6A841">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7</w:t>
            </w:r>
          </w:p>
        </w:tc>
      </w:tr>
      <w:tr w14:paraId="2C7EC12D">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36371EA3">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6EB2F622">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0D05CCCB">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280C6B9A">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6620978D">
            <w:pPr>
              <w:widowControl/>
              <w:rPr>
                <w:rFonts w:ascii="仿宋_GB2312" w:hAnsi="宋体"/>
                <w:color w:val="000000"/>
                <w:kern w:val="0"/>
                <w:sz w:val="20"/>
                <w:szCs w:val="20"/>
              </w:rPr>
            </w:pPr>
            <w:r>
              <w:rPr>
                <w:rFonts w:ascii="仿宋_GB2312" w:hAnsi="宋体"/>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color="auto" w:sz="4" w:space="0"/>
              <w:right w:val="single" w:color="auto" w:sz="4" w:space="0"/>
            </w:tcBorders>
            <w:noWrap w:val="0"/>
            <w:vAlign w:val="top"/>
          </w:tcPr>
          <w:p w14:paraId="2FD17AA8">
            <w:pPr>
              <w:widowControl/>
              <w:rPr>
                <w:rFonts w:ascii="宋体" w:hAnsi="宋体"/>
                <w:color w:val="000000"/>
                <w:kern w:val="0"/>
                <w:sz w:val="24"/>
              </w:rPr>
            </w:pPr>
          </w:p>
        </w:tc>
      </w:tr>
      <w:tr w14:paraId="5D3C6831">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3328F66C">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6559AEA5">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14:paraId="4CF9C94F">
            <w:pPr>
              <w:widowControl/>
              <w:jc w:val="center"/>
              <w:rPr>
                <w:rFonts w:ascii="仿宋_GB2312" w:hAnsi="宋体"/>
                <w:color w:val="000000"/>
                <w:kern w:val="0"/>
                <w:sz w:val="20"/>
                <w:szCs w:val="20"/>
              </w:rPr>
            </w:pPr>
            <w:r>
              <w:rPr>
                <w:rFonts w:ascii="仿宋_GB2312" w:hAnsi="宋体"/>
                <w:color w:val="000000"/>
                <w:kern w:val="0"/>
                <w:sz w:val="20"/>
                <w:szCs w:val="20"/>
              </w:rPr>
              <w:t>完成及时率</w:t>
            </w:r>
          </w:p>
          <w:p w14:paraId="6F30BBC0">
            <w:pPr>
              <w:widowControl/>
              <w:jc w:val="center"/>
              <w:rPr>
                <w:rFonts w:ascii="仿宋_GB2312" w:hAnsi="宋体"/>
                <w:color w:val="000000"/>
                <w:kern w:val="0"/>
                <w:sz w:val="20"/>
                <w:szCs w:val="20"/>
              </w:rPr>
            </w:pPr>
            <w:r>
              <w:rPr>
                <w:rFonts w:ascii="仿宋_GB2312" w:hAnsi="宋体"/>
                <w:color w:val="000000"/>
                <w:kern w:val="0"/>
                <w:sz w:val="20"/>
                <w:szCs w:val="20"/>
              </w:rPr>
              <w:t>（7分）</w:t>
            </w:r>
          </w:p>
        </w:tc>
        <w:tc>
          <w:tcPr>
            <w:tcW w:w="3080" w:type="dxa"/>
            <w:vMerge w:val="restart"/>
            <w:tcBorders>
              <w:top w:val="nil"/>
              <w:left w:val="nil"/>
              <w:bottom w:val="single" w:color="000000" w:sz="4" w:space="0"/>
              <w:right w:val="single" w:color="auto" w:sz="4" w:space="0"/>
            </w:tcBorders>
            <w:noWrap w:val="0"/>
            <w:vAlign w:val="center"/>
          </w:tcPr>
          <w:p w14:paraId="03305D22">
            <w:pPr>
              <w:widowControl/>
              <w:rPr>
                <w:rFonts w:ascii="仿宋_GB2312" w:hAnsi="宋体"/>
                <w:color w:val="000000"/>
                <w:kern w:val="0"/>
                <w:sz w:val="20"/>
                <w:szCs w:val="20"/>
              </w:rPr>
            </w:pPr>
            <w:r>
              <w:rPr>
                <w:rFonts w:ascii="仿宋_GB2312" w:hAnsi="宋体"/>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noWrap w:val="0"/>
            <w:vAlign w:val="center"/>
          </w:tcPr>
          <w:p w14:paraId="4019CBDC">
            <w:pPr>
              <w:widowControl/>
              <w:jc w:val="left"/>
              <w:rPr>
                <w:rFonts w:ascii="仿宋_GB2312" w:hAnsi="宋体"/>
                <w:color w:val="000000"/>
                <w:kern w:val="0"/>
                <w:sz w:val="20"/>
                <w:szCs w:val="20"/>
              </w:rPr>
            </w:pPr>
            <w:r>
              <w:rPr>
                <w:rFonts w:ascii="仿宋_GB2312" w:hAnsi="宋体"/>
                <w:color w:val="000000"/>
                <w:kern w:val="0"/>
                <w:sz w:val="20"/>
                <w:szCs w:val="20"/>
              </w:rPr>
              <w:t>完成及时率[ (计划完成时间-实际完成时间）/计划完成时间]</w:t>
            </w:r>
            <w:r>
              <w:rPr>
                <w:rFonts w:ascii="宋体" w:hAnsi="宋体"/>
                <w:color w:val="000000"/>
                <w:kern w:val="0"/>
                <w:sz w:val="20"/>
                <w:szCs w:val="20"/>
              </w:rPr>
              <w:t> </w:t>
            </w:r>
            <w:r>
              <w:rPr>
                <w:rFonts w:ascii="仿宋_GB2312" w:hAnsi="宋体"/>
                <w:color w:val="000000"/>
                <w:kern w:val="0"/>
                <w:sz w:val="20"/>
                <w:szCs w:val="20"/>
              </w:rPr>
              <w:t>×100%。</w:t>
            </w:r>
          </w:p>
        </w:tc>
        <w:tc>
          <w:tcPr>
            <w:tcW w:w="385" w:type="dxa"/>
            <w:tcBorders>
              <w:top w:val="nil"/>
              <w:left w:val="nil"/>
              <w:bottom w:val="nil"/>
              <w:right w:val="single" w:color="auto" w:sz="4" w:space="0"/>
            </w:tcBorders>
            <w:noWrap w:val="0"/>
            <w:vAlign w:val="top"/>
          </w:tcPr>
          <w:p w14:paraId="25AB025B">
            <w:pPr>
              <w:widowControl/>
              <w:jc w:val="left"/>
              <w:rPr>
                <w:rFonts w:ascii="宋体" w:hAnsi="宋体"/>
                <w:color w:val="000000"/>
                <w:kern w:val="0"/>
                <w:sz w:val="24"/>
              </w:rPr>
            </w:pPr>
          </w:p>
        </w:tc>
      </w:tr>
      <w:tr w14:paraId="651BDF6F">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354F47F1">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4CBF85B8">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1FE01B35">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31FFEFDB">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7E4C4DA0">
            <w:pPr>
              <w:widowControl/>
              <w:jc w:val="left"/>
              <w:rPr>
                <w:rFonts w:ascii="仿宋_GB2312" w:hAnsi="宋体"/>
                <w:color w:val="000000"/>
                <w:kern w:val="0"/>
                <w:sz w:val="20"/>
                <w:szCs w:val="20"/>
              </w:rPr>
            </w:pPr>
            <w:r>
              <w:rPr>
                <w:rFonts w:ascii="仿宋_GB2312" w:hAnsi="宋体"/>
                <w:color w:val="000000"/>
                <w:kern w:val="0"/>
                <w:sz w:val="20"/>
                <w:szCs w:val="20"/>
              </w:rPr>
              <w:t>实际完成时间：项目实施单位完成该项目实际所耗用的时间。</w:t>
            </w:r>
          </w:p>
        </w:tc>
        <w:tc>
          <w:tcPr>
            <w:tcW w:w="385" w:type="dxa"/>
            <w:tcBorders>
              <w:top w:val="nil"/>
              <w:left w:val="nil"/>
              <w:bottom w:val="nil"/>
              <w:right w:val="single" w:color="auto" w:sz="4" w:space="0"/>
            </w:tcBorders>
            <w:noWrap w:val="0"/>
            <w:vAlign w:val="top"/>
          </w:tcPr>
          <w:p w14:paraId="5E2577C2">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7</w:t>
            </w:r>
          </w:p>
        </w:tc>
      </w:tr>
      <w:tr w14:paraId="1E9747B6">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5FCC7406">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0C00534D">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5B57D535">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1B4EFC17">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2FAB6915">
            <w:pPr>
              <w:widowControl/>
              <w:rPr>
                <w:rFonts w:ascii="仿宋_GB2312" w:hAnsi="宋体"/>
                <w:color w:val="000000"/>
                <w:kern w:val="0"/>
                <w:sz w:val="20"/>
                <w:szCs w:val="20"/>
              </w:rPr>
            </w:pPr>
            <w:r>
              <w:rPr>
                <w:rFonts w:ascii="仿宋_GB2312" w:hAnsi="宋体"/>
                <w:color w:val="000000"/>
                <w:kern w:val="0"/>
                <w:sz w:val="20"/>
                <w:szCs w:val="20"/>
              </w:rPr>
              <w:t>计划完成时间：按照项目实施计划或相关规定完成该项目所需的时间。</w:t>
            </w:r>
          </w:p>
        </w:tc>
        <w:tc>
          <w:tcPr>
            <w:tcW w:w="385" w:type="dxa"/>
            <w:tcBorders>
              <w:top w:val="nil"/>
              <w:left w:val="nil"/>
              <w:bottom w:val="single" w:color="auto" w:sz="4" w:space="0"/>
              <w:right w:val="single" w:color="auto" w:sz="4" w:space="0"/>
            </w:tcBorders>
            <w:noWrap w:val="0"/>
            <w:vAlign w:val="top"/>
          </w:tcPr>
          <w:p w14:paraId="3731A82D">
            <w:pPr>
              <w:widowControl/>
              <w:rPr>
                <w:rFonts w:ascii="宋体" w:hAnsi="宋体"/>
                <w:color w:val="000000"/>
                <w:kern w:val="0"/>
                <w:sz w:val="24"/>
              </w:rPr>
            </w:pPr>
          </w:p>
        </w:tc>
      </w:tr>
      <w:tr w14:paraId="370F768D">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5CBEC643">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4B968087">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14:paraId="562C3865">
            <w:pPr>
              <w:widowControl/>
              <w:jc w:val="center"/>
              <w:rPr>
                <w:rFonts w:ascii="仿宋_GB2312" w:hAnsi="宋体"/>
                <w:color w:val="000000"/>
                <w:kern w:val="0"/>
                <w:sz w:val="20"/>
                <w:szCs w:val="20"/>
              </w:rPr>
            </w:pPr>
            <w:r>
              <w:rPr>
                <w:rFonts w:ascii="仿宋_GB2312" w:hAnsi="宋体"/>
                <w:color w:val="000000"/>
                <w:kern w:val="0"/>
                <w:sz w:val="20"/>
                <w:szCs w:val="20"/>
              </w:rPr>
              <w:t>质量达标率</w:t>
            </w:r>
          </w:p>
          <w:p w14:paraId="327EE4E8">
            <w:pPr>
              <w:widowControl/>
              <w:jc w:val="center"/>
              <w:rPr>
                <w:rFonts w:ascii="仿宋_GB2312" w:hAnsi="宋体"/>
                <w:color w:val="000000"/>
                <w:kern w:val="0"/>
                <w:sz w:val="20"/>
                <w:szCs w:val="20"/>
              </w:rPr>
            </w:pPr>
            <w:r>
              <w:rPr>
                <w:rFonts w:ascii="仿宋_GB2312" w:hAnsi="宋体"/>
                <w:color w:val="000000"/>
                <w:kern w:val="0"/>
                <w:sz w:val="20"/>
                <w:szCs w:val="20"/>
              </w:rPr>
              <w:t>（8分）</w:t>
            </w:r>
          </w:p>
        </w:tc>
        <w:tc>
          <w:tcPr>
            <w:tcW w:w="3080" w:type="dxa"/>
            <w:vMerge w:val="restart"/>
            <w:tcBorders>
              <w:top w:val="nil"/>
              <w:left w:val="nil"/>
              <w:bottom w:val="single" w:color="000000" w:sz="4" w:space="0"/>
              <w:right w:val="single" w:color="auto" w:sz="4" w:space="0"/>
            </w:tcBorders>
            <w:noWrap w:val="0"/>
            <w:vAlign w:val="center"/>
          </w:tcPr>
          <w:p w14:paraId="6F7EF910">
            <w:pPr>
              <w:widowControl/>
              <w:rPr>
                <w:rFonts w:ascii="仿宋_GB2312" w:hAnsi="宋体"/>
                <w:color w:val="000000"/>
                <w:kern w:val="0"/>
                <w:sz w:val="20"/>
                <w:szCs w:val="20"/>
              </w:rPr>
            </w:pPr>
            <w:r>
              <w:rPr>
                <w:rFonts w:ascii="仿宋_GB2312" w:hAnsi="宋体"/>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noWrap w:val="0"/>
            <w:vAlign w:val="center"/>
          </w:tcPr>
          <w:p w14:paraId="44A905C2">
            <w:pPr>
              <w:widowControl/>
              <w:jc w:val="left"/>
              <w:rPr>
                <w:rFonts w:ascii="仿宋_GB2312" w:hAnsi="宋体"/>
                <w:color w:val="000000"/>
                <w:kern w:val="0"/>
                <w:sz w:val="20"/>
                <w:szCs w:val="20"/>
              </w:rPr>
            </w:pPr>
            <w:r>
              <w:rPr>
                <w:rFonts w:ascii="仿宋_GB2312" w:hAnsi="宋体"/>
                <w:color w:val="000000"/>
                <w:kern w:val="0"/>
                <w:sz w:val="20"/>
                <w:szCs w:val="20"/>
              </w:rPr>
              <w:t>质量达标率＝（质量达标产出数/实际产出数）/100%。</w:t>
            </w:r>
          </w:p>
        </w:tc>
        <w:tc>
          <w:tcPr>
            <w:tcW w:w="385" w:type="dxa"/>
            <w:tcBorders>
              <w:top w:val="nil"/>
              <w:left w:val="nil"/>
              <w:bottom w:val="nil"/>
              <w:right w:val="single" w:color="auto" w:sz="4" w:space="0"/>
            </w:tcBorders>
            <w:noWrap w:val="0"/>
            <w:vAlign w:val="top"/>
          </w:tcPr>
          <w:p w14:paraId="05D92DAD">
            <w:pPr>
              <w:widowControl/>
              <w:jc w:val="left"/>
              <w:rPr>
                <w:rFonts w:ascii="宋体" w:hAnsi="宋体"/>
                <w:color w:val="000000"/>
                <w:kern w:val="0"/>
                <w:sz w:val="24"/>
              </w:rPr>
            </w:pPr>
          </w:p>
        </w:tc>
      </w:tr>
      <w:tr w14:paraId="227BF973">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7AC28507">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2EB11F52">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41CC0E9F">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249B4607">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13A0BB50">
            <w:pPr>
              <w:widowControl/>
              <w:jc w:val="left"/>
              <w:rPr>
                <w:rFonts w:ascii="仿宋_GB2312" w:hAnsi="宋体"/>
                <w:color w:val="000000"/>
                <w:kern w:val="0"/>
                <w:sz w:val="20"/>
                <w:szCs w:val="20"/>
              </w:rPr>
            </w:pPr>
            <w:r>
              <w:rPr>
                <w:rFonts w:ascii="仿宋_GB2312" w:hAnsi="宋体"/>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color="auto" w:sz="4" w:space="0"/>
            </w:tcBorders>
            <w:noWrap w:val="0"/>
            <w:vAlign w:val="top"/>
          </w:tcPr>
          <w:p w14:paraId="009C0178">
            <w:pPr>
              <w:widowControl/>
              <w:jc w:val="left"/>
              <w:rPr>
                <w:rFonts w:hint="default" w:ascii="宋体" w:hAnsi="宋体" w:eastAsia="宋体"/>
                <w:color w:val="000000"/>
                <w:kern w:val="0"/>
                <w:sz w:val="24"/>
                <w:lang w:val="en-US" w:eastAsia="zh-CN"/>
              </w:rPr>
            </w:pPr>
            <w:r>
              <w:rPr>
                <w:rFonts w:hint="eastAsia" w:ascii="宋体" w:hAnsi="宋体"/>
                <w:color w:val="000000"/>
                <w:kern w:val="0"/>
                <w:sz w:val="24"/>
                <w:lang w:val="en-US" w:eastAsia="zh-CN"/>
              </w:rPr>
              <w:t>8</w:t>
            </w:r>
          </w:p>
        </w:tc>
      </w:tr>
      <w:tr w14:paraId="44C42A5E">
        <w:tblPrEx>
          <w:tblCellMar>
            <w:top w:w="0" w:type="dxa"/>
            <w:left w:w="108" w:type="dxa"/>
            <w:bottom w:w="0" w:type="dxa"/>
            <w:right w:w="108" w:type="dxa"/>
          </w:tblCellMar>
        </w:tblPrEx>
        <w:trPr>
          <w:trHeight w:val="1006"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0FF22499">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24DFF005">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38614466">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1CD917CC">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3FA07AF4">
            <w:pPr>
              <w:widowControl/>
              <w:rPr>
                <w:rFonts w:ascii="仿宋_GB2312" w:hAnsi="宋体"/>
                <w:color w:val="000000"/>
                <w:kern w:val="0"/>
                <w:sz w:val="20"/>
                <w:szCs w:val="20"/>
              </w:rPr>
            </w:pPr>
            <w:r>
              <w:rPr>
                <w:rFonts w:ascii="仿宋_GB2312" w:hAnsi="宋体"/>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color="auto" w:sz="4" w:space="0"/>
              <w:right w:val="single" w:color="auto" w:sz="4" w:space="0"/>
            </w:tcBorders>
            <w:noWrap w:val="0"/>
            <w:vAlign w:val="top"/>
          </w:tcPr>
          <w:p w14:paraId="43F636A0">
            <w:pPr>
              <w:widowControl/>
              <w:rPr>
                <w:rFonts w:ascii="宋体" w:hAnsi="宋体"/>
                <w:color w:val="000000"/>
                <w:kern w:val="0"/>
                <w:sz w:val="24"/>
              </w:rPr>
            </w:pPr>
          </w:p>
        </w:tc>
      </w:tr>
      <w:tr w14:paraId="4988145E">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1A6A036D">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5A3125F2">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0"/>
            <w:vAlign w:val="center"/>
          </w:tcPr>
          <w:p w14:paraId="19F57936">
            <w:pPr>
              <w:widowControl/>
              <w:jc w:val="center"/>
              <w:rPr>
                <w:rFonts w:ascii="仿宋_GB2312" w:hAnsi="宋体"/>
                <w:color w:val="000000"/>
                <w:kern w:val="0"/>
                <w:sz w:val="20"/>
                <w:szCs w:val="20"/>
              </w:rPr>
            </w:pPr>
            <w:r>
              <w:rPr>
                <w:rFonts w:ascii="仿宋_GB2312" w:hAnsi="宋体"/>
                <w:color w:val="000000"/>
                <w:kern w:val="0"/>
                <w:sz w:val="20"/>
                <w:szCs w:val="20"/>
              </w:rPr>
              <w:t>成本节约率</w:t>
            </w:r>
          </w:p>
          <w:p w14:paraId="37901B4D">
            <w:pPr>
              <w:widowControl/>
              <w:jc w:val="center"/>
              <w:rPr>
                <w:rFonts w:ascii="仿宋_GB2312" w:hAnsi="宋体"/>
                <w:color w:val="000000"/>
                <w:kern w:val="0"/>
                <w:sz w:val="20"/>
                <w:szCs w:val="20"/>
              </w:rPr>
            </w:pPr>
            <w:r>
              <w:rPr>
                <w:rFonts w:ascii="仿宋_GB2312" w:hAnsi="宋体"/>
                <w:color w:val="000000"/>
                <w:kern w:val="0"/>
                <w:sz w:val="20"/>
                <w:szCs w:val="20"/>
              </w:rPr>
              <w:t>（8分）</w:t>
            </w:r>
          </w:p>
        </w:tc>
        <w:tc>
          <w:tcPr>
            <w:tcW w:w="3080" w:type="dxa"/>
            <w:vMerge w:val="restart"/>
            <w:tcBorders>
              <w:top w:val="nil"/>
              <w:left w:val="nil"/>
              <w:bottom w:val="single" w:color="000000" w:sz="4" w:space="0"/>
              <w:right w:val="single" w:color="auto" w:sz="4" w:space="0"/>
            </w:tcBorders>
            <w:noWrap w:val="0"/>
            <w:vAlign w:val="center"/>
          </w:tcPr>
          <w:p w14:paraId="49C5999B">
            <w:pPr>
              <w:widowControl/>
              <w:rPr>
                <w:rFonts w:ascii="仿宋_GB2312" w:hAnsi="宋体"/>
                <w:color w:val="000000"/>
                <w:kern w:val="0"/>
                <w:sz w:val="20"/>
                <w:szCs w:val="20"/>
              </w:rPr>
            </w:pPr>
            <w:r>
              <w:rPr>
                <w:rFonts w:ascii="仿宋_GB2312" w:hAnsi="宋体"/>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noWrap w:val="0"/>
            <w:vAlign w:val="center"/>
          </w:tcPr>
          <w:p w14:paraId="4E0A3A1A">
            <w:pPr>
              <w:widowControl/>
              <w:jc w:val="left"/>
              <w:rPr>
                <w:rFonts w:ascii="仿宋_GB2312" w:hAnsi="宋体"/>
                <w:color w:val="000000"/>
                <w:kern w:val="0"/>
                <w:sz w:val="20"/>
                <w:szCs w:val="20"/>
              </w:rPr>
            </w:pPr>
            <w:r>
              <w:rPr>
                <w:rFonts w:ascii="仿宋_GB2312" w:hAnsi="宋体"/>
                <w:color w:val="000000"/>
                <w:kern w:val="0"/>
                <w:sz w:val="20"/>
                <w:szCs w:val="20"/>
              </w:rPr>
              <w:t>成本节约率＝(计划成本-实际成本)</w:t>
            </w:r>
            <w:r>
              <w:rPr>
                <w:rFonts w:ascii="宋体" w:hAnsi="宋体"/>
                <w:color w:val="000000"/>
                <w:kern w:val="0"/>
                <w:sz w:val="20"/>
                <w:szCs w:val="20"/>
              </w:rPr>
              <w:t> </w:t>
            </w:r>
            <w:r>
              <w:rPr>
                <w:rFonts w:ascii="仿宋_GB2312" w:hAnsi="宋体"/>
                <w:color w:val="000000"/>
                <w:kern w:val="0"/>
                <w:sz w:val="20"/>
                <w:szCs w:val="20"/>
              </w:rPr>
              <w:t>/计划成本×100%。</w:t>
            </w:r>
          </w:p>
        </w:tc>
        <w:tc>
          <w:tcPr>
            <w:tcW w:w="385" w:type="dxa"/>
            <w:tcBorders>
              <w:top w:val="nil"/>
              <w:left w:val="nil"/>
              <w:bottom w:val="nil"/>
              <w:right w:val="single" w:color="auto" w:sz="4" w:space="0"/>
            </w:tcBorders>
            <w:noWrap w:val="0"/>
            <w:vAlign w:val="top"/>
          </w:tcPr>
          <w:p w14:paraId="5C7236DD">
            <w:pPr>
              <w:widowControl/>
              <w:jc w:val="left"/>
              <w:rPr>
                <w:rFonts w:ascii="宋体" w:hAnsi="宋体"/>
                <w:color w:val="000000"/>
                <w:kern w:val="0"/>
                <w:sz w:val="24"/>
              </w:rPr>
            </w:pPr>
          </w:p>
        </w:tc>
      </w:tr>
      <w:tr w14:paraId="28162F13">
        <w:trPr>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61C4986A">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6755C8B4">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4F257201">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5535E64A">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0"/>
            <w:vAlign w:val="center"/>
          </w:tcPr>
          <w:p w14:paraId="6FBD94FF">
            <w:pPr>
              <w:widowControl/>
              <w:jc w:val="left"/>
              <w:rPr>
                <w:rFonts w:ascii="仿宋_GB2312" w:hAnsi="宋体"/>
                <w:color w:val="000000"/>
                <w:kern w:val="0"/>
                <w:sz w:val="20"/>
                <w:szCs w:val="20"/>
              </w:rPr>
            </w:pPr>
            <w:r>
              <w:rPr>
                <w:rFonts w:ascii="仿宋_GB2312" w:hAnsi="宋体"/>
                <w:color w:val="000000"/>
                <w:kern w:val="0"/>
                <w:sz w:val="20"/>
                <w:szCs w:val="20"/>
              </w:rPr>
              <w:t>实际成本：项目实施单位如期、保质、保量完成既定工作目标实际所耗费的支出。</w:t>
            </w:r>
          </w:p>
        </w:tc>
        <w:tc>
          <w:tcPr>
            <w:tcW w:w="385" w:type="dxa"/>
            <w:tcBorders>
              <w:top w:val="nil"/>
              <w:left w:val="nil"/>
              <w:bottom w:val="nil"/>
              <w:right w:val="single" w:color="auto" w:sz="4" w:space="0"/>
            </w:tcBorders>
            <w:noWrap w:val="0"/>
            <w:vAlign w:val="top"/>
          </w:tcPr>
          <w:p w14:paraId="5FBF2BDC">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8</w:t>
            </w:r>
          </w:p>
        </w:tc>
      </w:tr>
      <w:tr w14:paraId="080F620A">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226316D5">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236DA1DF">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0"/>
            <w:vAlign w:val="center"/>
          </w:tcPr>
          <w:p w14:paraId="62CB6B87">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0"/>
            <w:vAlign w:val="center"/>
          </w:tcPr>
          <w:p w14:paraId="04360614">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14:paraId="4F1543C2">
            <w:pPr>
              <w:widowControl/>
              <w:rPr>
                <w:rFonts w:ascii="仿宋_GB2312" w:hAnsi="宋体"/>
                <w:color w:val="000000"/>
                <w:kern w:val="0"/>
                <w:sz w:val="20"/>
                <w:szCs w:val="20"/>
              </w:rPr>
            </w:pPr>
            <w:r>
              <w:rPr>
                <w:rFonts w:ascii="仿宋_GB2312" w:hAnsi="宋体"/>
                <w:color w:val="000000"/>
                <w:kern w:val="0"/>
                <w:sz w:val="20"/>
                <w:szCs w:val="20"/>
              </w:rPr>
              <w:t>计划成本：项目实施单位为完成工作目标计划安排的支出，一般以项目预算为参考。</w:t>
            </w:r>
          </w:p>
        </w:tc>
        <w:tc>
          <w:tcPr>
            <w:tcW w:w="385" w:type="dxa"/>
            <w:tcBorders>
              <w:top w:val="nil"/>
              <w:left w:val="nil"/>
              <w:bottom w:val="single" w:color="auto" w:sz="4" w:space="0"/>
              <w:right w:val="single" w:color="auto" w:sz="4" w:space="0"/>
            </w:tcBorders>
            <w:noWrap w:val="0"/>
            <w:vAlign w:val="top"/>
          </w:tcPr>
          <w:p w14:paraId="6DCC421F">
            <w:pPr>
              <w:widowControl/>
              <w:rPr>
                <w:rFonts w:ascii="宋体" w:hAnsi="宋体"/>
                <w:color w:val="000000"/>
                <w:kern w:val="0"/>
                <w:sz w:val="24"/>
              </w:rPr>
            </w:pPr>
          </w:p>
        </w:tc>
      </w:tr>
      <w:tr w14:paraId="6717ACF0">
        <w:tblPrEx>
          <w:tblCellMar>
            <w:top w:w="0" w:type="dxa"/>
            <w:left w:w="108" w:type="dxa"/>
            <w:bottom w:w="0" w:type="dxa"/>
            <w:right w:w="108" w:type="dxa"/>
          </w:tblCellMar>
        </w:tblPrEx>
        <w:trPr>
          <w:trHeight w:val="667" w:hRule="atLeast"/>
          <w:jc w:val="center"/>
        </w:trPr>
        <w:tc>
          <w:tcPr>
            <w:tcW w:w="656" w:type="dxa"/>
            <w:vMerge w:val="restart"/>
            <w:tcBorders>
              <w:top w:val="nil"/>
              <w:left w:val="single" w:color="auto" w:sz="4" w:space="0"/>
              <w:bottom w:val="single" w:color="000000" w:sz="4" w:space="0"/>
              <w:right w:val="single" w:color="auto" w:sz="4" w:space="0"/>
            </w:tcBorders>
            <w:noWrap w:val="0"/>
            <w:vAlign w:val="center"/>
          </w:tcPr>
          <w:p w14:paraId="2D525CE3">
            <w:pPr>
              <w:widowControl/>
              <w:jc w:val="center"/>
              <w:rPr>
                <w:rFonts w:ascii="仿宋_GB2312" w:hAnsi="宋体"/>
                <w:color w:val="000000"/>
                <w:kern w:val="0"/>
                <w:sz w:val="20"/>
                <w:szCs w:val="20"/>
              </w:rPr>
            </w:pPr>
            <w:r>
              <w:rPr>
                <w:rFonts w:ascii="仿宋_GB2312" w:hAnsi="宋体"/>
                <w:color w:val="000000"/>
                <w:kern w:val="0"/>
                <w:sz w:val="20"/>
                <w:szCs w:val="20"/>
              </w:rPr>
              <w:t>效果</w:t>
            </w:r>
          </w:p>
          <w:p w14:paraId="4F2592EE">
            <w:pPr>
              <w:widowControl/>
              <w:jc w:val="center"/>
              <w:rPr>
                <w:rFonts w:ascii="仿宋_GB2312" w:hAnsi="宋体"/>
                <w:color w:val="000000"/>
                <w:kern w:val="0"/>
                <w:sz w:val="20"/>
                <w:szCs w:val="20"/>
              </w:rPr>
            </w:pPr>
            <w:r>
              <w:rPr>
                <w:rFonts w:ascii="仿宋_GB2312" w:hAnsi="宋体"/>
                <w:color w:val="000000"/>
                <w:kern w:val="0"/>
                <w:sz w:val="20"/>
                <w:szCs w:val="20"/>
              </w:rPr>
              <w:t>（20分）</w:t>
            </w:r>
          </w:p>
        </w:tc>
        <w:tc>
          <w:tcPr>
            <w:tcW w:w="710" w:type="dxa"/>
            <w:vMerge w:val="restart"/>
            <w:tcBorders>
              <w:top w:val="nil"/>
              <w:left w:val="nil"/>
              <w:bottom w:val="single" w:color="000000" w:sz="4" w:space="0"/>
              <w:right w:val="single" w:color="auto" w:sz="4" w:space="0"/>
            </w:tcBorders>
            <w:noWrap w:val="0"/>
            <w:vAlign w:val="center"/>
          </w:tcPr>
          <w:p w14:paraId="004533EE">
            <w:pPr>
              <w:widowControl/>
              <w:jc w:val="center"/>
              <w:rPr>
                <w:rFonts w:ascii="仿宋_GB2312" w:hAnsi="宋体"/>
                <w:color w:val="000000"/>
                <w:kern w:val="0"/>
                <w:sz w:val="20"/>
                <w:szCs w:val="20"/>
              </w:rPr>
            </w:pPr>
            <w:r>
              <w:rPr>
                <w:rFonts w:ascii="仿宋_GB2312" w:hAnsi="宋体"/>
                <w:color w:val="000000"/>
                <w:kern w:val="0"/>
                <w:sz w:val="20"/>
                <w:szCs w:val="20"/>
              </w:rPr>
              <w:t>项目效益</w:t>
            </w:r>
          </w:p>
          <w:p w14:paraId="24F5C87C">
            <w:pPr>
              <w:widowControl/>
              <w:jc w:val="center"/>
              <w:rPr>
                <w:rFonts w:ascii="仿宋_GB2312" w:hAnsi="宋体"/>
                <w:color w:val="000000"/>
                <w:kern w:val="0"/>
                <w:sz w:val="20"/>
                <w:szCs w:val="20"/>
              </w:rPr>
            </w:pPr>
            <w:r>
              <w:rPr>
                <w:rFonts w:ascii="仿宋_GB2312" w:hAnsi="宋体"/>
                <w:color w:val="000000"/>
                <w:kern w:val="0"/>
                <w:sz w:val="20"/>
                <w:szCs w:val="20"/>
              </w:rPr>
              <w:t>（20分）</w:t>
            </w:r>
          </w:p>
        </w:tc>
        <w:tc>
          <w:tcPr>
            <w:tcW w:w="1275" w:type="dxa"/>
            <w:tcBorders>
              <w:top w:val="nil"/>
              <w:left w:val="nil"/>
              <w:bottom w:val="single" w:color="auto" w:sz="4" w:space="0"/>
              <w:right w:val="single" w:color="auto" w:sz="4" w:space="0"/>
            </w:tcBorders>
            <w:noWrap w:val="0"/>
            <w:vAlign w:val="center"/>
          </w:tcPr>
          <w:p w14:paraId="08155722">
            <w:pPr>
              <w:widowControl/>
              <w:jc w:val="center"/>
              <w:rPr>
                <w:rFonts w:ascii="仿宋_GB2312" w:hAnsi="宋体"/>
                <w:color w:val="000000"/>
                <w:kern w:val="0"/>
                <w:sz w:val="20"/>
                <w:szCs w:val="20"/>
              </w:rPr>
            </w:pPr>
            <w:r>
              <w:rPr>
                <w:rFonts w:ascii="仿宋_GB2312" w:hAnsi="宋体"/>
                <w:color w:val="000000"/>
                <w:kern w:val="0"/>
                <w:sz w:val="20"/>
                <w:szCs w:val="20"/>
              </w:rPr>
              <w:t>经济效益</w:t>
            </w:r>
          </w:p>
          <w:p w14:paraId="17BCFEA3">
            <w:pPr>
              <w:widowControl/>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tcBorders>
              <w:top w:val="nil"/>
              <w:left w:val="nil"/>
              <w:bottom w:val="single" w:color="auto" w:sz="4" w:space="0"/>
              <w:right w:val="single" w:color="auto" w:sz="4" w:space="0"/>
            </w:tcBorders>
            <w:noWrap w:val="0"/>
            <w:vAlign w:val="center"/>
          </w:tcPr>
          <w:p w14:paraId="440680F1">
            <w:pPr>
              <w:widowControl/>
              <w:rPr>
                <w:rFonts w:ascii="仿宋_GB2312" w:hAnsi="宋体"/>
                <w:color w:val="000000"/>
                <w:kern w:val="0"/>
                <w:sz w:val="20"/>
                <w:szCs w:val="20"/>
              </w:rPr>
            </w:pPr>
            <w:r>
              <w:rPr>
                <w:rFonts w:ascii="仿宋_GB2312" w:hAnsi="宋体"/>
                <w:color w:val="000000"/>
                <w:kern w:val="0"/>
                <w:sz w:val="20"/>
                <w:szCs w:val="20"/>
              </w:rPr>
              <w:t>项目实施对经济发展所带来的直接或间接影响情况。</w:t>
            </w:r>
          </w:p>
        </w:tc>
        <w:tc>
          <w:tcPr>
            <w:tcW w:w="4502" w:type="dxa"/>
            <w:vMerge w:val="restart"/>
            <w:tcBorders>
              <w:top w:val="nil"/>
              <w:left w:val="nil"/>
              <w:bottom w:val="single" w:color="000000" w:sz="4" w:space="0"/>
              <w:right w:val="single" w:color="auto" w:sz="4" w:space="0"/>
            </w:tcBorders>
            <w:noWrap w:val="0"/>
            <w:vAlign w:val="center"/>
          </w:tcPr>
          <w:p w14:paraId="0F1A957C">
            <w:pPr>
              <w:widowControl/>
              <w:rPr>
                <w:rFonts w:ascii="仿宋_GB2312" w:hAnsi="宋体"/>
                <w:color w:val="000000"/>
                <w:kern w:val="0"/>
                <w:sz w:val="20"/>
                <w:szCs w:val="20"/>
              </w:rPr>
            </w:pPr>
            <w:r>
              <w:rPr>
                <w:rFonts w:ascii="仿宋_GB2312" w:hAnsi="宋体"/>
                <w:color w:val="000000"/>
                <w:kern w:val="0"/>
                <w:sz w:val="20"/>
                <w:szCs w:val="20"/>
              </w:rPr>
              <w:t>此四项指标为设置项目支出</w:t>
            </w:r>
            <w:r>
              <w:rPr>
                <w:rFonts w:hint="eastAsia" w:ascii="仿宋_GB2312" w:hAnsi="宋体"/>
                <w:color w:val="000000"/>
                <w:kern w:val="0"/>
                <w:sz w:val="20"/>
                <w:szCs w:val="20"/>
              </w:rPr>
              <w:t>績</w:t>
            </w:r>
            <w:r>
              <w:rPr>
                <w:rFonts w:ascii="仿宋_GB2312" w:hAnsi="宋体"/>
                <w:color w:val="000000"/>
                <w:kern w:val="0"/>
                <w:sz w:val="20"/>
                <w:szCs w:val="20"/>
              </w:rPr>
              <w:t>效评价指标时必须考虑的共性要素，可根据项目实际并结合绩效目标设立情况有选择的进行设置，并将其细化为相应的个性化指标。</w:t>
            </w:r>
          </w:p>
        </w:tc>
        <w:tc>
          <w:tcPr>
            <w:tcW w:w="385" w:type="dxa"/>
            <w:tcBorders>
              <w:top w:val="nil"/>
              <w:left w:val="nil"/>
              <w:bottom w:val="single" w:color="000000" w:sz="4" w:space="0"/>
              <w:right w:val="single" w:color="auto" w:sz="4" w:space="0"/>
            </w:tcBorders>
            <w:noWrap w:val="0"/>
            <w:vAlign w:val="top"/>
          </w:tcPr>
          <w:p w14:paraId="36AC9697">
            <w:pPr>
              <w:widowControl/>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3</w:t>
            </w:r>
          </w:p>
        </w:tc>
      </w:tr>
      <w:tr w14:paraId="36EC3E70">
        <w:tblPrEx>
          <w:tblCellMar>
            <w:top w:w="0" w:type="dxa"/>
            <w:left w:w="108" w:type="dxa"/>
            <w:bottom w:w="0" w:type="dxa"/>
            <w:right w:w="108" w:type="dxa"/>
          </w:tblCellMar>
        </w:tblPrEx>
        <w:trPr>
          <w:trHeight w:val="604"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7802666E">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626706F4">
            <w:pPr>
              <w:widowControl/>
              <w:jc w:val="left"/>
              <w:rPr>
                <w:rFonts w:ascii="仿宋_GB2312" w:hAnsi="宋体"/>
                <w:color w:val="000000"/>
                <w:kern w:val="0"/>
                <w:sz w:val="20"/>
                <w:szCs w:val="20"/>
              </w:rPr>
            </w:pPr>
          </w:p>
        </w:tc>
        <w:tc>
          <w:tcPr>
            <w:tcW w:w="1275" w:type="dxa"/>
            <w:tcBorders>
              <w:top w:val="nil"/>
              <w:left w:val="nil"/>
              <w:bottom w:val="single" w:color="auto" w:sz="4" w:space="0"/>
              <w:right w:val="single" w:color="auto" w:sz="4" w:space="0"/>
            </w:tcBorders>
            <w:noWrap w:val="0"/>
            <w:vAlign w:val="center"/>
          </w:tcPr>
          <w:p w14:paraId="1AC97FC6">
            <w:pPr>
              <w:widowControl/>
              <w:jc w:val="center"/>
              <w:rPr>
                <w:rFonts w:ascii="仿宋_GB2312" w:hAnsi="宋体"/>
                <w:color w:val="000000"/>
                <w:kern w:val="0"/>
                <w:sz w:val="20"/>
                <w:szCs w:val="20"/>
              </w:rPr>
            </w:pPr>
            <w:r>
              <w:rPr>
                <w:rFonts w:ascii="仿宋_GB2312" w:hAnsi="宋体"/>
                <w:color w:val="000000"/>
                <w:kern w:val="0"/>
                <w:sz w:val="20"/>
                <w:szCs w:val="20"/>
              </w:rPr>
              <w:t>社会效益</w:t>
            </w:r>
          </w:p>
          <w:p w14:paraId="37E6636F">
            <w:pPr>
              <w:widowControl/>
              <w:jc w:val="center"/>
              <w:rPr>
                <w:rFonts w:ascii="仿宋_GB2312" w:hAnsi="宋体"/>
                <w:color w:val="000000"/>
                <w:kern w:val="0"/>
                <w:sz w:val="20"/>
                <w:szCs w:val="20"/>
              </w:rPr>
            </w:pPr>
            <w:r>
              <w:rPr>
                <w:rFonts w:ascii="仿宋_GB2312" w:hAnsi="宋体"/>
                <w:color w:val="000000"/>
                <w:kern w:val="0"/>
                <w:sz w:val="20"/>
                <w:szCs w:val="20"/>
              </w:rPr>
              <w:t>（3分）</w:t>
            </w:r>
          </w:p>
        </w:tc>
        <w:tc>
          <w:tcPr>
            <w:tcW w:w="3080" w:type="dxa"/>
            <w:tcBorders>
              <w:top w:val="nil"/>
              <w:left w:val="nil"/>
              <w:bottom w:val="single" w:color="auto" w:sz="4" w:space="0"/>
              <w:right w:val="single" w:color="auto" w:sz="4" w:space="0"/>
            </w:tcBorders>
            <w:noWrap w:val="0"/>
            <w:vAlign w:val="center"/>
          </w:tcPr>
          <w:p w14:paraId="591D58D4">
            <w:pPr>
              <w:widowControl/>
              <w:rPr>
                <w:rFonts w:ascii="仿宋_GB2312" w:hAnsi="宋体"/>
                <w:color w:val="000000"/>
                <w:kern w:val="0"/>
                <w:sz w:val="20"/>
                <w:szCs w:val="20"/>
              </w:rPr>
            </w:pPr>
            <w:r>
              <w:rPr>
                <w:rFonts w:ascii="仿宋_GB2312" w:hAnsi="宋体"/>
                <w:color w:val="000000"/>
                <w:kern w:val="0"/>
                <w:sz w:val="20"/>
                <w:szCs w:val="20"/>
              </w:rPr>
              <w:t>项目实施对社会发展所带来的直接或间接影响情况。</w:t>
            </w:r>
          </w:p>
        </w:tc>
        <w:tc>
          <w:tcPr>
            <w:tcW w:w="4502" w:type="dxa"/>
            <w:vMerge w:val="continue"/>
            <w:tcBorders>
              <w:top w:val="nil"/>
              <w:left w:val="nil"/>
              <w:bottom w:val="single" w:color="000000" w:sz="4" w:space="0"/>
              <w:right w:val="single" w:color="auto" w:sz="4" w:space="0"/>
            </w:tcBorders>
            <w:noWrap w:val="0"/>
            <w:vAlign w:val="center"/>
          </w:tcPr>
          <w:p w14:paraId="40BB5957">
            <w:pPr>
              <w:widowControl/>
              <w:jc w:val="left"/>
              <w:rPr>
                <w:rFonts w:ascii="仿宋_GB2312" w:hAnsi="宋体"/>
                <w:color w:val="000000"/>
                <w:kern w:val="0"/>
                <w:sz w:val="20"/>
                <w:szCs w:val="20"/>
              </w:rPr>
            </w:pPr>
          </w:p>
        </w:tc>
        <w:tc>
          <w:tcPr>
            <w:tcW w:w="385" w:type="dxa"/>
            <w:tcBorders>
              <w:top w:val="nil"/>
              <w:left w:val="nil"/>
              <w:bottom w:val="single" w:color="000000" w:sz="4" w:space="0"/>
              <w:right w:val="single" w:color="auto" w:sz="4" w:space="0"/>
            </w:tcBorders>
            <w:noWrap w:val="0"/>
            <w:vAlign w:val="top"/>
          </w:tcPr>
          <w:p w14:paraId="5B16F575">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3</w:t>
            </w:r>
          </w:p>
        </w:tc>
      </w:tr>
      <w:tr w14:paraId="03ED2D49">
        <w:tblPrEx>
          <w:tblCellMar>
            <w:top w:w="0" w:type="dxa"/>
            <w:left w:w="108" w:type="dxa"/>
            <w:bottom w:w="0" w:type="dxa"/>
            <w:right w:w="108" w:type="dxa"/>
          </w:tblCellMar>
        </w:tblPrEx>
        <w:trPr>
          <w:trHeight w:val="755"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2D9F4990">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6410075F">
            <w:pPr>
              <w:widowControl/>
              <w:jc w:val="left"/>
              <w:rPr>
                <w:rFonts w:ascii="仿宋_GB2312" w:hAnsi="宋体"/>
                <w:color w:val="000000"/>
                <w:kern w:val="0"/>
                <w:sz w:val="20"/>
                <w:szCs w:val="20"/>
              </w:rPr>
            </w:pPr>
          </w:p>
        </w:tc>
        <w:tc>
          <w:tcPr>
            <w:tcW w:w="1275" w:type="dxa"/>
            <w:tcBorders>
              <w:top w:val="nil"/>
              <w:left w:val="nil"/>
              <w:bottom w:val="single" w:color="auto" w:sz="4" w:space="0"/>
              <w:right w:val="single" w:color="auto" w:sz="4" w:space="0"/>
            </w:tcBorders>
            <w:noWrap w:val="0"/>
            <w:vAlign w:val="center"/>
          </w:tcPr>
          <w:p w14:paraId="0EF8DDA1">
            <w:pPr>
              <w:widowControl/>
              <w:jc w:val="center"/>
              <w:rPr>
                <w:rFonts w:ascii="仿宋_GB2312" w:hAnsi="宋体"/>
                <w:color w:val="000000"/>
                <w:kern w:val="0"/>
                <w:sz w:val="20"/>
                <w:szCs w:val="20"/>
              </w:rPr>
            </w:pPr>
            <w:r>
              <w:rPr>
                <w:rFonts w:ascii="仿宋_GB2312" w:hAnsi="宋体"/>
                <w:color w:val="000000"/>
                <w:kern w:val="0"/>
                <w:sz w:val="20"/>
                <w:szCs w:val="20"/>
              </w:rPr>
              <w:t>生态效益</w:t>
            </w:r>
          </w:p>
          <w:p w14:paraId="011D95C0">
            <w:pPr>
              <w:widowControl/>
              <w:jc w:val="center"/>
              <w:rPr>
                <w:rFonts w:ascii="仿宋_GB2312" w:hAnsi="宋体"/>
                <w:color w:val="000000"/>
                <w:kern w:val="0"/>
                <w:sz w:val="20"/>
                <w:szCs w:val="20"/>
              </w:rPr>
            </w:pPr>
            <w:r>
              <w:rPr>
                <w:rFonts w:ascii="仿宋_GB2312" w:hAnsi="宋体"/>
                <w:color w:val="000000"/>
                <w:kern w:val="0"/>
                <w:sz w:val="20"/>
                <w:szCs w:val="20"/>
              </w:rPr>
              <w:t>（3分）</w:t>
            </w:r>
          </w:p>
        </w:tc>
        <w:tc>
          <w:tcPr>
            <w:tcW w:w="3080" w:type="dxa"/>
            <w:tcBorders>
              <w:top w:val="nil"/>
              <w:left w:val="nil"/>
              <w:bottom w:val="single" w:color="auto" w:sz="4" w:space="0"/>
              <w:right w:val="single" w:color="auto" w:sz="4" w:space="0"/>
            </w:tcBorders>
            <w:noWrap w:val="0"/>
            <w:vAlign w:val="center"/>
          </w:tcPr>
          <w:p w14:paraId="59DEBA0B">
            <w:pPr>
              <w:widowControl/>
              <w:rPr>
                <w:rFonts w:ascii="仿宋_GB2312" w:hAnsi="宋体"/>
                <w:color w:val="000000"/>
                <w:kern w:val="0"/>
                <w:sz w:val="20"/>
                <w:szCs w:val="20"/>
              </w:rPr>
            </w:pPr>
            <w:r>
              <w:rPr>
                <w:rFonts w:ascii="仿宋_GB2312" w:hAnsi="宋体"/>
                <w:color w:val="000000"/>
                <w:kern w:val="0"/>
                <w:sz w:val="20"/>
                <w:szCs w:val="20"/>
              </w:rPr>
              <w:t>项目实施对生态环境所带来的直接或间接影响情况。</w:t>
            </w:r>
          </w:p>
        </w:tc>
        <w:tc>
          <w:tcPr>
            <w:tcW w:w="4502" w:type="dxa"/>
            <w:vMerge w:val="continue"/>
            <w:tcBorders>
              <w:top w:val="nil"/>
              <w:left w:val="nil"/>
              <w:bottom w:val="single" w:color="000000" w:sz="4" w:space="0"/>
              <w:right w:val="single" w:color="auto" w:sz="4" w:space="0"/>
            </w:tcBorders>
            <w:noWrap w:val="0"/>
            <w:vAlign w:val="center"/>
          </w:tcPr>
          <w:p w14:paraId="217FE46E">
            <w:pPr>
              <w:widowControl/>
              <w:jc w:val="left"/>
              <w:rPr>
                <w:rFonts w:ascii="仿宋_GB2312" w:hAnsi="宋体"/>
                <w:color w:val="000000"/>
                <w:kern w:val="0"/>
                <w:sz w:val="20"/>
                <w:szCs w:val="20"/>
              </w:rPr>
            </w:pPr>
          </w:p>
        </w:tc>
        <w:tc>
          <w:tcPr>
            <w:tcW w:w="385" w:type="dxa"/>
            <w:tcBorders>
              <w:top w:val="nil"/>
              <w:left w:val="nil"/>
              <w:bottom w:val="single" w:color="000000" w:sz="4" w:space="0"/>
              <w:right w:val="single" w:color="auto" w:sz="4" w:space="0"/>
            </w:tcBorders>
            <w:noWrap w:val="0"/>
            <w:vAlign w:val="top"/>
          </w:tcPr>
          <w:p w14:paraId="4F50D90E">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3</w:t>
            </w:r>
          </w:p>
        </w:tc>
      </w:tr>
      <w:tr w14:paraId="3E1850D5">
        <w:tblPrEx>
          <w:tblCellMar>
            <w:top w:w="0" w:type="dxa"/>
            <w:left w:w="108" w:type="dxa"/>
            <w:bottom w:w="0" w:type="dxa"/>
            <w:right w:w="108" w:type="dxa"/>
          </w:tblCellMar>
        </w:tblPrEx>
        <w:trPr>
          <w:trHeight w:val="596"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14:paraId="00B20267">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0"/>
            <w:vAlign w:val="center"/>
          </w:tcPr>
          <w:p w14:paraId="25A889EE">
            <w:pPr>
              <w:widowControl/>
              <w:jc w:val="left"/>
              <w:rPr>
                <w:rFonts w:ascii="仿宋_GB2312" w:hAnsi="宋体"/>
                <w:color w:val="000000"/>
                <w:kern w:val="0"/>
                <w:sz w:val="20"/>
                <w:szCs w:val="20"/>
              </w:rPr>
            </w:pPr>
          </w:p>
        </w:tc>
        <w:tc>
          <w:tcPr>
            <w:tcW w:w="1275" w:type="dxa"/>
            <w:tcBorders>
              <w:top w:val="nil"/>
              <w:left w:val="nil"/>
              <w:bottom w:val="single" w:color="auto" w:sz="4" w:space="0"/>
              <w:right w:val="single" w:color="auto" w:sz="4" w:space="0"/>
            </w:tcBorders>
            <w:noWrap w:val="0"/>
            <w:vAlign w:val="center"/>
          </w:tcPr>
          <w:p w14:paraId="35E63E93">
            <w:pPr>
              <w:widowControl/>
              <w:jc w:val="center"/>
              <w:rPr>
                <w:rFonts w:ascii="仿宋_GB2312" w:hAnsi="宋体"/>
                <w:color w:val="000000"/>
                <w:kern w:val="0"/>
                <w:sz w:val="20"/>
                <w:szCs w:val="20"/>
              </w:rPr>
            </w:pPr>
            <w:r>
              <w:rPr>
                <w:rFonts w:ascii="仿宋_GB2312" w:hAnsi="宋体"/>
                <w:color w:val="000000"/>
                <w:kern w:val="0"/>
                <w:sz w:val="20"/>
                <w:szCs w:val="20"/>
              </w:rPr>
              <w:t>可持续影响（4分）</w:t>
            </w:r>
          </w:p>
        </w:tc>
        <w:tc>
          <w:tcPr>
            <w:tcW w:w="3080" w:type="dxa"/>
            <w:tcBorders>
              <w:top w:val="nil"/>
              <w:left w:val="nil"/>
              <w:bottom w:val="single" w:color="auto" w:sz="4" w:space="0"/>
              <w:right w:val="single" w:color="auto" w:sz="4" w:space="0"/>
            </w:tcBorders>
            <w:noWrap w:val="0"/>
            <w:vAlign w:val="center"/>
          </w:tcPr>
          <w:p w14:paraId="485E02BC">
            <w:pPr>
              <w:widowControl/>
              <w:rPr>
                <w:rFonts w:ascii="仿宋_GB2312" w:hAnsi="宋体"/>
                <w:color w:val="000000"/>
                <w:kern w:val="0"/>
                <w:sz w:val="20"/>
                <w:szCs w:val="20"/>
              </w:rPr>
            </w:pPr>
            <w:r>
              <w:rPr>
                <w:rFonts w:ascii="仿宋_GB2312" w:hAnsi="宋体"/>
                <w:color w:val="000000"/>
                <w:kern w:val="0"/>
                <w:sz w:val="20"/>
                <w:szCs w:val="20"/>
              </w:rPr>
              <w:t>项目后续运行及成效发挥的可持续影响情况。</w:t>
            </w:r>
          </w:p>
        </w:tc>
        <w:tc>
          <w:tcPr>
            <w:tcW w:w="4502" w:type="dxa"/>
            <w:vMerge w:val="continue"/>
            <w:tcBorders>
              <w:top w:val="nil"/>
              <w:left w:val="nil"/>
              <w:bottom w:val="single" w:color="000000" w:sz="4" w:space="0"/>
              <w:right w:val="single" w:color="auto" w:sz="4" w:space="0"/>
            </w:tcBorders>
            <w:noWrap w:val="0"/>
            <w:vAlign w:val="center"/>
          </w:tcPr>
          <w:p w14:paraId="73E28AEB">
            <w:pPr>
              <w:widowControl/>
              <w:jc w:val="left"/>
              <w:rPr>
                <w:rFonts w:ascii="仿宋_GB2312" w:hAnsi="宋体"/>
                <w:color w:val="000000"/>
                <w:kern w:val="0"/>
                <w:sz w:val="20"/>
                <w:szCs w:val="20"/>
              </w:rPr>
            </w:pPr>
          </w:p>
        </w:tc>
        <w:tc>
          <w:tcPr>
            <w:tcW w:w="385" w:type="dxa"/>
            <w:tcBorders>
              <w:top w:val="nil"/>
              <w:left w:val="nil"/>
              <w:bottom w:val="single" w:color="000000" w:sz="4" w:space="0"/>
              <w:right w:val="single" w:color="auto" w:sz="4" w:space="0"/>
            </w:tcBorders>
            <w:noWrap w:val="0"/>
            <w:vAlign w:val="top"/>
          </w:tcPr>
          <w:p w14:paraId="1ED3F034">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4</w:t>
            </w:r>
          </w:p>
        </w:tc>
      </w:tr>
      <w:tr w14:paraId="02FE8A8D">
        <w:tblPrEx>
          <w:tblCellMar>
            <w:top w:w="0" w:type="dxa"/>
            <w:left w:w="108" w:type="dxa"/>
            <w:bottom w:w="0" w:type="dxa"/>
            <w:right w:w="108" w:type="dxa"/>
          </w:tblCellMar>
        </w:tblPrEx>
        <w:trPr>
          <w:trHeight w:val="90" w:hRule="atLeast"/>
          <w:jc w:val="center"/>
        </w:trPr>
        <w:tc>
          <w:tcPr>
            <w:tcW w:w="656" w:type="dxa"/>
            <w:vMerge w:val="continue"/>
            <w:tcBorders>
              <w:top w:val="nil"/>
              <w:left w:val="single" w:color="auto" w:sz="4" w:space="0"/>
              <w:bottom w:val="single" w:color="auto" w:sz="4" w:space="0"/>
              <w:right w:val="single" w:color="auto" w:sz="4" w:space="0"/>
            </w:tcBorders>
            <w:noWrap w:val="0"/>
            <w:vAlign w:val="center"/>
          </w:tcPr>
          <w:p w14:paraId="2C7A677E">
            <w:pPr>
              <w:widowControl/>
              <w:jc w:val="left"/>
              <w:rPr>
                <w:rFonts w:ascii="仿宋_GB2312" w:hAnsi="宋体"/>
                <w:color w:val="000000"/>
                <w:kern w:val="0"/>
                <w:sz w:val="20"/>
                <w:szCs w:val="20"/>
              </w:rPr>
            </w:pPr>
          </w:p>
        </w:tc>
        <w:tc>
          <w:tcPr>
            <w:tcW w:w="710" w:type="dxa"/>
            <w:vMerge w:val="continue"/>
            <w:tcBorders>
              <w:top w:val="nil"/>
              <w:left w:val="nil"/>
              <w:bottom w:val="single" w:color="auto" w:sz="4" w:space="0"/>
              <w:right w:val="single" w:color="auto" w:sz="4" w:space="0"/>
            </w:tcBorders>
            <w:noWrap w:val="0"/>
            <w:vAlign w:val="center"/>
          </w:tcPr>
          <w:p w14:paraId="65EBA59D">
            <w:pPr>
              <w:widowControl/>
              <w:jc w:val="left"/>
              <w:rPr>
                <w:rFonts w:ascii="仿宋_GB2312" w:hAnsi="宋体"/>
                <w:color w:val="000000"/>
                <w:kern w:val="0"/>
                <w:sz w:val="20"/>
                <w:szCs w:val="20"/>
              </w:rPr>
            </w:pPr>
          </w:p>
        </w:tc>
        <w:tc>
          <w:tcPr>
            <w:tcW w:w="1275" w:type="dxa"/>
            <w:tcBorders>
              <w:top w:val="nil"/>
              <w:left w:val="nil"/>
              <w:bottom w:val="single" w:color="auto" w:sz="4" w:space="0"/>
              <w:right w:val="single" w:color="auto" w:sz="4" w:space="0"/>
            </w:tcBorders>
            <w:noWrap w:val="0"/>
            <w:vAlign w:val="center"/>
          </w:tcPr>
          <w:p w14:paraId="44CF7273">
            <w:pPr>
              <w:widowControl/>
              <w:jc w:val="center"/>
              <w:rPr>
                <w:rFonts w:ascii="仿宋_GB2312" w:hAnsi="宋体"/>
                <w:color w:val="000000"/>
                <w:kern w:val="0"/>
                <w:sz w:val="18"/>
                <w:szCs w:val="18"/>
              </w:rPr>
            </w:pPr>
            <w:r>
              <w:rPr>
                <w:rFonts w:ascii="仿宋_GB2312" w:hAnsi="宋体"/>
                <w:color w:val="000000"/>
                <w:kern w:val="0"/>
                <w:sz w:val="18"/>
                <w:szCs w:val="18"/>
              </w:rPr>
              <w:t>社会公众或服务对象满意度（6分）</w:t>
            </w:r>
          </w:p>
        </w:tc>
        <w:tc>
          <w:tcPr>
            <w:tcW w:w="3080" w:type="dxa"/>
            <w:tcBorders>
              <w:top w:val="nil"/>
              <w:left w:val="nil"/>
              <w:bottom w:val="single" w:color="auto" w:sz="4" w:space="0"/>
              <w:right w:val="single" w:color="auto" w:sz="4" w:space="0"/>
            </w:tcBorders>
            <w:noWrap w:val="0"/>
            <w:vAlign w:val="center"/>
          </w:tcPr>
          <w:p w14:paraId="130AEC84">
            <w:pPr>
              <w:widowControl/>
              <w:rPr>
                <w:rFonts w:ascii="仿宋_GB2312" w:hAnsi="宋体"/>
                <w:color w:val="000000"/>
                <w:kern w:val="0"/>
                <w:sz w:val="20"/>
                <w:szCs w:val="20"/>
              </w:rPr>
            </w:pPr>
            <w:r>
              <w:rPr>
                <w:rFonts w:ascii="仿宋_GB2312" w:hAnsi="宋体"/>
                <w:color w:val="000000"/>
                <w:kern w:val="0"/>
                <w:sz w:val="20"/>
                <w:szCs w:val="20"/>
              </w:rPr>
              <w:t>社会公众或服务对象对项目实施效策的满意程度</w:t>
            </w:r>
          </w:p>
        </w:tc>
        <w:tc>
          <w:tcPr>
            <w:tcW w:w="4502" w:type="dxa"/>
            <w:tcBorders>
              <w:top w:val="nil"/>
              <w:left w:val="nil"/>
              <w:bottom w:val="single" w:color="auto" w:sz="4" w:space="0"/>
              <w:right w:val="single" w:color="auto" w:sz="4" w:space="0"/>
            </w:tcBorders>
            <w:noWrap w:val="0"/>
            <w:vAlign w:val="center"/>
          </w:tcPr>
          <w:p w14:paraId="34C33590">
            <w:pPr>
              <w:widowControl/>
              <w:rPr>
                <w:rFonts w:ascii="仿宋_GB2312" w:hAnsi="宋体"/>
                <w:color w:val="000000"/>
                <w:kern w:val="0"/>
                <w:sz w:val="18"/>
                <w:szCs w:val="18"/>
              </w:rPr>
            </w:pPr>
            <w:r>
              <w:rPr>
                <w:rFonts w:ascii="仿宋_GB2312" w:hAnsi="宋体"/>
                <w:color w:val="000000"/>
                <w:kern w:val="0"/>
                <w:sz w:val="18"/>
                <w:szCs w:val="18"/>
              </w:rPr>
              <w:t>社会公众或服务对象是指因该项目实施而受到影响的部门(单位)、群体或个人。一般采取社会调查的方式。</w:t>
            </w:r>
          </w:p>
        </w:tc>
        <w:tc>
          <w:tcPr>
            <w:tcW w:w="385" w:type="dxa"/>
            <w:tcBorders>
              <w:top w:val="nil"/>
              <w:left w:val="nil"/>
              <w:bottom w:val="single" w:color="auto" w:sz="4" w:space="0"/>
              <w:right w:val="single" w:color="auto" w:sz="4" w:space="0"/>
            </w:tcBorders>
            <w:noWrap w:val="0"/>
            <w:vAlign w:val="top"/>
          </w:tcPr>
          <w:p w14:paraId="6EBC4F7C">
            <w:pPr>
              <w:widowControl/>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6</w:t>
            </w:r>
          </w:p>
        </w:tc>
      </w:tr>
      <w:tr w14:paraId="171D7A6E">
        <w:tblPrEx>
          <w:tblCellMar>
            <w:top w:w="0" w:type="dxa"/>
            <w:left w:w="108" w:type="dxa"/>
            <w:bottom w:w="0" w:type="dxa"/>
            <w:right w:w="108" w:type="dxa"/>
          </w:tblCellMar>
        </w:tblPrEx>
        <w:trPr>
          <w:trHeight w:val="90" w:hRule="atLeast"/>
          <w:jc w:val="center"/>
        </w:trPr>
        <w:tc>
          <w:tcPr>
            <w:tcW w:w="1366" w:type="dxa"/>
            <w:gridSpan w:val="2"/>
            <w:tcBorders>
              <w:top w:val="single" w:color="auto" w:sz="4" w:space="0"/>
              <w:left w:val="single" w:color="auto" w:sz="4" w:space="0"/>
              <w:bottom w:val="single" w:color="auto" w:sz="4" w:space="0"/>
              <w:right w:val="single" w:color="auto" w:sz="4" w:space="0"/>
            </w:tcBorders>
            <w:noWrap w:val="0"/>
            <w:vAlign w:val="top"/>
          </w:tcPr>
          <w:p w14:paraId="14B64E58">
            <w:pPr>
              <w:widowControl/>
              <w:jc w:val="left"/>
              <w:rPr>
                <w:rFonts w:ascii="仿宋_GB2312" w:hAnsi="宋体"/>
                <w:color w:val="000000"/>
                <w:kern w:val="0"/>
                <w:sz w:val="20"/>
                <w:szCs w:val="20"/>
              </w:rPr>
            </w:pPr>
            <w:r>
              <w:rPr>
                <w:rFonts w:hint="eastAsia" w:ascii="仿宋_GB2312" w:hAnsi="宋体"/>
                <w:color w:val="000000"/>
                <w:kern w:val="0"/>
                <w:sz w:val="20"/>
                <w:szCs w:val="20"/>
              </w:rPr>
              <w:t>合计(分)</w:t>
            </w:r>
          </w:p>
        </w:tc>
        <w:tc>
          <w:tcPr>
            <w:tcW w:w="9242" w:type="dxa"/>
            <w:gridSpan w:val="4"/>
            <w:tcBorders>
              <w:top w:val="single" w:color="auto" w:sz="4" w:space="0"/>
              <w:left w:val="nil"/>
              <w:bottom w:val="single" w:color="auto" w:sz="4" w:space="0"/>
              <w:right w:val="single" w:color="auto" w:sz="4" w:space="0"/>
            </w:tcBorders>
            <w:noWrap w:val="0"/>
            <w:vAlign w:val="center"/>
          </w:tcPr>
          <w:p w14:paraId="55EA1956">
            <w:pPr>
              <w:widowControl/>
              <w:rPr>
                <w:rFonts w:hint="default" w:ascii="宋体" w:hAnsi="宋体" w:eastAsia="宋体"/>
                <w:color w:val="000000"/>
                <w:kern w:val="0"/>
                <w:sz w:val="24"/>
                <w:lang w:val="en-US" w:eastAsia="zh-CN"/>
              </w:rPr>
            </w:pPr>
            <w:r>
              <w:rPr>
                <w:rFonts w:hint="eastAsia" w:ascii="宋体" w:hAnsi="宋体"/>
                <w:color w:val="000000"/>
                <w:kern w:val="0"/>
                <w:sz w:val="24"/>
                <w:lang w:val="en-US" w:eastAsia="zh-CN"/>
              </w:rPr>
              <w:t>97</w:t>
            </w:r>
          </w:p>
        </w:tc>
      </w:tr>
    </w:tbl>
    <w:p w14:paraId="27BD0843">
      <w:pPr>
        <w:pStyle w:val="2"/>
        <w:sectPr>
          <w:pgSz w:w="11906" w:h="16838"/>
          <w:pgMar w:top="1440" w:right="1800" w:bottom="1440" w:left="1800" w:header="851" w:footer="992" w:gutter="0"/>
          <w:cols w:space="720" w:num="1"/>
          <w:docGrid w:type="lines" w:linePitch="312" w:charSpace="0"/>
        </w:sectPr>
      </w:pPr>
      <w:bookmarkStart w:id="0" w:name="_GoBack"/>
      <w:bookmarkEnd w:id="0"/>
    </w:p>
    <w:p w14:paraId="678D6A6B">
      <w:pPr>
        <w:widowControl/>
        <w:rPr>
          <w:rFonts w:hint="eastAsia" w:ascii="黑体" w:hAnsi="宋体" w:eastAsia="黑体"/>
          <w:kern w:val="0"/>
          <w:sz w:val="32"/>
          <w:szCs w:val="32"/>
        </w:rPr>
      </w:pPr>
    </w:p>
    <w:p w14:paraId="0052D1F9">
      <w:pPr>
        <w:spacing w:line="600" w:lineRule="exact"/>
        <w:ind w:right="600"/>
        <w:rPr>
          <w:rFonts w:hint="eastAsia" w:ascii="黑体" w:hAnsi="黑体" w:eastAsia="黑体"/>
          <w:kern w:val="0"/>
          <w:sz w:val="36"/>
          <w:szCs w:val="36"/>
        </w:rPr>
      </w:pPr>
    </w:p>
    <w:p w14:paraId="4607ABCB">
      <w:pPr>
        <w:sectPr>
          <w:pgSz w:w="11906" w:h="16838"/>
          <w:pgMar w:top="1440" w:right="1800" w:bottom="1440" w:left="1800" w:header="851" w:footer="992" w:gutter="0"/>
          <w:cols w:space="720" w:num="1"/>
          <w:docGrid w:type="lines" w:linePitch="312" w:charSpace="0"/>
        </w:sectPr>
      </w:pPr>
    </w:p>
    <w:p w14:paraId="40599A4E">
      <w:pPr>
        <w:pStyle w:val="2"/>
        <w:sectPr>
          <w:pgSz w:w="11906" w:h="16838"/>
          <w:pgMar w:top="1440" w:right="1800" w:bottom="1440" w:left="1800" w:header="851" w:footer="992" w:gutter="0"/>
          <w:cols w:space="720" w:num="1"/>
          <w:docGrid w:type="lines" w:linePitch="312" w:charSpace="0"/>
        </w:sectPr>
      </w:pPr>
    </w:p>
    <w:p w14:paraId="07A1E837"/>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25F119"/>
    <w:multiLevelType w:val="singleLevel"/>
    <w:tmpl w:val="F125F119"/>
    <w:lvl w:ilvl="0" w:tentative="0">
      <w:start w:val="1"/>
      <w:numFmt w:val="chineseCounting"/>
      <w:suff w:val="nothing"/>
      <w:lvlText w:val="（%1）"/>
      <w:lvlJc w:val="left"/>
      <w:pPr>
        <w:ind w:left="320" w:firstLine="0"/>
      </w:pPr>
      <w:rPr>
        <w:rFonts w:hint="eastAsia"/>
      </w:rPr>
    </w:lvl>
  </w:abstractNum>
  <w:abstractNum w:abstractNumId="1">
    <w:nsid w:val="F199ED5D"/>
    <w:multiLevelType w:val="singleLevel"/>
    <w:tmpl w:val="F199ED5D"/>
    <w:lvl w:ilvl="0" w:tentative="0">
      <w:start w:val="1"/>
      <w:numFmt w:val="chineseCounting"/>
      <w:suff w:val="nothing"/>
      <w:lvlText w:val="（%1）"/>
      <w:lvlJc w:val="left"/>
      <w:rPr>
        <w:rFonts w:hint="eastAsia"/>
      </w:rPr>
    </w:lvl>
  </w:abstractNum>
  <w:abstractNum w:abstractNumId="2">
    <w:nsid w:val="557FDF22"/>
    <w:multiLevelType w:val="singleLevel"/>
    <w:tmpl w:val="557FDF22"/>
    <w:lvl w:ilvl="0" w:tentative="0">
      <w:start w:val="1"/>
      <w:numFmt w:val="chineseCounting"/>
      <w:suff w:val="nothing"/>
      <w:lvlText w:val="%1、"/>
      <w:lvlJc w:val="left"/>
    </w:lvl>
  </w:abstractNum>
  <w:abstractNum w:abstractNumId="3">
    <w:nsid w:val="557FDF85"/>
    <w:multiLevelType w:val="singleLevel"/>
    <w:tmpl w:val="557FDF85"/>
    <w:lvl w:ilvl="0" w:tentative="0">
      <w:start w:val="2"/>
      <w:numFmt w:val="chineseCounting"/>
      <w:suff w:val="nothing"/>
      <w:lvlText w:val="%1、"/>
      <w:lvlJc w:val="left"/>
    </w:lvl>
  </w:abstractNum>
  <w:abstractNum w:abstractNumId="4">
    <w:nsid w:val="557FDFBB"/>
    <w:multiLevelType w:val="singleLevel"/>
    <w:tmpl w:val="557FDFBB"/>
    <w:lvl w:ilvl="0" w:tentative="0">
      <w:start w:val="1"/>
      <w:numFmt w:val="chineseCounting"/>
      <w:suff w:val="nothing"/>
      <w:lvlText w:val="（%1）"/>
      <w:lvlJc w:val="left"/>
    </w:lvl>
  </w:abstractNum>
  <w:abstractNum w:abstractNumId="5">
    <w:nsid w:val="557FE056"/>
    <w:multiLevelType w:val="singleLevel"/>
    <w:tmpl w:val="557FE056"/>
    <w:lvl w:ilvl="0" w:tentative="0">
      <w:start w:val="3"/>
      <w:numFmt w:val="chineseCounting"/>
      <w:suff w:val="nothing"/>
      <w:lvlText w:val="%1、"/>
      <w:lvlJc w:val="left"/>
    </w:lvl>
  </w:abstractNum>
  <w:abstractNum w:abstractNumId="6">
    <w:nsid w:val="557FE13B"/>
    <w:multiLevelType w:val="singleLevel"/>
    <w:tmpl w:val="557FE13B"/>
    <w:lvl w:ilvl="0" w:tentative="0">
      <w:start w:val="4"/>
      <w:numFmt w:val="chineseCounting"/>
      <w:suff w:val="nothing"/>
      <w:lvlText w:val="%1、"/>
      <w:lvlJc w:val="left"/>
    </w:lvl>
  </w:abstractNum>
  <w:num w:numId="1">
    <w:abstractNumId w:val="2"/>
  </w:num>
  <w:num w:numId="2">
    <w:abstractNumId w:val="3"/>
  </w:num>
  <w:num w:numId="3">
    <w:abstractNumId w:val="4"/>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4ZTI1ZDA5ODgxN2E5MDBkMGEzYzdmMDFkZWZiMzYifQ=="/>
  </w:docVars>
  <w:rsids>
    <w:rsidRoot w:val="00172A27"/>
    <w:rsid w:val="00941682"/>
    <w:rsid w:val="00B119FF"/>
    <w:rsid w:val="0E214E29"/>
    <w:rsid w:val="18CF64FF"/>
    <w:rsid w:val="43367324"/>
    <w:rsid w:val="45613847"/>
    <w:rsid w:val="47F04C06"/>
    <w:rsid w:val="494F3EF9"/>
    <w:rsid w:val="52946939"/>
    <w:rsid w:val="57D15DC0"/>
    <w:rsid w:val="5B806531"/>
    <w:rsid w:val="5EC241DC"/>
    <w:rsid w:val="61A372D3"/>
    <w:rsid w:val="646B1264"/>
    <w:rsid w:val="6BC6567A"/>
    <w:rsid w:val="EBFB38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customStyle="1" w:styleId="8">
    <w:name w:val="页脚 Char"/>
    <w:basedOn w:val="7"/>
    <w:link w:val="3"/>
    <w:qFormat/>
    <w:uiPriority w:val="0"/>
    <w:rPr>
      <w:rFonts w:ascii="Times New Roman" w:hAnsi="Times New Roman"/>
      <w:kern w:val="2"/>
      <w:sz w:val="18"/>
      <w:szCs w:val="18"/>
    </w:rPr>
  </w:style>
  <w:style w:type="character" w:customStyle="1" w:styleId="9">
    <w:name w:val="页眉 Char"/>
    <w:basedOn w:val="7"/>
    <w:link w:val="4"/>
    <w:qFormat/>
    <w:uiPriority w:val="0"/>
    <w:rPr>
      <w:rFonts w:ascii="Times New Roman" w:hAnsi="Times New Roman"/>
      <w:kern w:val="2"/>
      <w:sz w:val="18"/>
      <w:szCs w:val="18"/>
    </w:rPr>
  </w:style>
  <w:style w:type="paragraph" w:styleId="10">
    <w:name w:val="List Paragraph"/>
    <w:basedOn w:val="1"/>
    <w:qFormat/>
    <w:uiPriority w:val="99"/>
    <w:pPr>
      <w:ind w:firstLine="420" w:firstLineChars="200"/>
    </w:pPr>
    <w:rPr>
      <w:rFonts w:ascii="Calibri" w:hAnsi="Calibri" w:eastAsia="宋体" w:cs="Times New Roman"/>
      <w:szCs w:val="22"/>
    </w:rPr>
  </w:style>
  <w:style w:type="paragraph" w:customStyle="1" w:styleId="11">
    <w:name w:val="msolistparagraph"/>
    <w:basedOn w:val="1"/>
    <w:qFormat/>
    <w:uiPriority w:val="0"/>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image" Target="media/image10.emf"/><Relationship Id="rId22" Type="http://schemas.openxmlformats.org/officeDocument/2006/relationships/oleObject" Target="embeddings/oleObject10.bin"/><Relationship Id="rId21" Type="http://schemas.openxmlformats.org/officeDocument/2006/relationships/image" Target="media/image9.e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oleObject" Target="embeddings/oleObject8.bin"/><Relationship Id="rId17" Type="http://schemas.openxmlformats.org/officeDocument/2006/relationships/image" Target="media/image7.emf"/><Relationship Id="rId16" Type="http://schemas.openxmlformats.org/officeDocument/2006/relationships/oleObject" Target="embeddings/oleObject7.bin"/><Relationship Id="rId15" Type="http://schemas.openxmlformats.org/officeDocument/2006/relationships/image" Target="media/image6.emf"/><Relationship Id="rId14" Type="http://schemas.openxmlformats.org/officeDocument/2006/relationships/oleObject" Target="embeddings/oleObject6.bin"/><Relationship Id="rId13" Type="http://schemas.openxmlformats.org/officeDocument/2006/relationships/image" Target="media/image5.emf"/><Relationship Id="rId12" Type="http://schemas.openxmlformats.org/officeDocument/2006/relationships/oleObject" Target="embeddings/oleObject5.bin"/><Relationship Id="rId11" Type="http://schemas.openxmlformats.org/officeDocument/2006/relationships/image" Target="media/image4.e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31</Pages>
  <Words>8450</Words>
  <Characters>8791</Characters>
  <Lines>10</Lines>
  <Paragraphs>3</Paragraphs>
  <TotalTime>10</TotalTime>
  <ScaleCrop>false</ScaleCrop>
  <LinksUpToDate>false</LinksUpToDate>
  <CharactersWithSpaces>9123</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2024-01-12T09:44:00Z</dcterms:created>
  <dc:creator>Administrator</dc:creator>
  <cp:lastModifiedBy>greatwall</cp:lastModifiedBy>
  <cp:lastPrinted>2026-03-30T09:54:00Z</cp:lastPrinted>
  <dcterms:modified xsi:type="dcterms:W3CDTF">2026-05-19T10:10:20Z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3AE9B51E682B47EFB00F9EF19F836DC4_13</vt:lpwstr>
  </property>
  <property fmtid="{D5CDD505-2E9C-101B-9397-08002B2CF9AE}" pid="4" name="KSOTemplateDocerSaveRecord">
    <vt:lpwstr>eyJoZGlkIjoiM2M4ZTI1ZDA5ODgxN2E5MDBkMGEzYzdmMDFkZWZiMzYiLCJ1c2VySWQiOiI0MzI2MzI4NDIifQ==</vt:lpwstr>
  </property>
</Properties>
</file>