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hint="eastAsia"/>
          <w:color w:val="000000"/>
        </w:rPr>
      </w:pPr>
    </w:p>
    <w:p>
      <w:pPr>
        <w:adjustRightInd w:val="0"/>
        <w:snapToGrid w:val="0"/>
        <w:spacing w:after="240" w:line="360" w:lineRule="auto"/>
        <w:ind w:firstLine="0" w:firstLineChars="0"/>
        <w:jc w:val="center"/>
        <w:rPr>
          <w:rFonts w:hint="eastAsia" w:ascii="宋体" w:hAnsi="宋体" w:eastAsia="宋体" w:cs="宋体"/>
          <w:b/>
          <w:bCs/>
          <w:color w:val="000000"/>
          <w:sz w:val="48"/>
          <w:szCs w:val="48"/>
          <w:lang w:eastAsia="zh-CN"/>
        </w:rPr>
      </w:pPr>
      <w:r>
        <w:rPr>
          <w:rFonts w:hint="eastAsia" w:ascii="宋体" w:hAnsi="宋体" w:cs="宋体"/>
          <w:b/>
          <w:bCs/>
          <w:color w:val="000000"/>
          <w:sz w:val="48"/>
          <w:szCs w:val="48"/>
          <w:lang w:eastAsia="zh-CN"/>
        </w:rPr>
        <w:t>湖南湘铝科技有限公司</w:t>
      </w:r>
    </w:p>
    <w:p>
      <w:pPr>
        <w:adjustRightInd w:val="0"/>
        <w:snapToGrid w:val="0"/>
        <w:spacing w:after="240" w:line="360" w:lineRule="auto"/>
        <w:ind w:firstLine="0" w:firstLineChars="0"/>
        <w:jc w:val="center"/>
        <w:rPr>
          <w:rFonts w:hint="eastAsia" w:ascii="宋体" w:hAnsi="宋体" w:eastAsia="宋体" w:cs="宋体"/>
          <w:b/>
          <w:bCs/>
          <w:color w:val="000000"/>
          <w:sz w:val="48"/>
          <w:szCs w:val="48"/>
          <w:lang w:eastAsia="zh-CN"/>
        </w:rPr>
      </w:pPr>
      <w:r>
        <w:rPr>
          <w:rFonts w:hint="eastAsia" w:ascii="宋体" w:hAnsi="宋体" w:cs="宋体"/>
          <w:b/>
          <w:bCs/>
          <w:color w:val="000000"/>
          <w:sz w:val="48"/>
          <w:szCs w:val="48"/>
          <w:lang w:eastAsia="zh-CN"/>
        </w:rPr>
        <w:t>江永新能源汽车大型零部件一体化成型及精密加工制造项目</w:t>
      </w:r>
    </w:p>
    <w:p>
      <w:pPr>
        <w:adjustRightInd w:val="0"/>
        <w:snapToGrid w:val="0"/>
        <w:spacing w:after="240" w:line="360" w:lineRule="auto"/>
        <w:ind w:firstLine="0" w:firstLineChars="0"/>
        <w:jc w:val="center"/>
        <w:rPr>
          <w:rFonts w:hint="eastAsia" w:ascii="宋体" w:hAnsi="宋体" w:cs="宋体"/>
          <w:b/>
          <w:bCs/>
          <w:color w:val="000000"/>
          <w:sz w:val="52"/>
          <w:szCs w:val="52"/>
          <w:highlight w:val="yellow"/>
        </w:rPr>
      </w:pPr>
      <w:r>
        <w:rPr>
          <w:rFonts w:hint="eastAsia" w:ascii="宋体" w:hAnsi="宋体" w:cs="宋体"/>
          <w:b/>
          <w:bCs/>
          <w:color w:val="000000"/>
          <w:sz w:val="52"/>
          <w:szCs w:val="52"/>
        </w:rPr>
        <w:t>大气专项评价</w:t>
      </w: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1040"/>
        <w:rPr>
          <w:rFonts w:hint="eastAsia" w:ascii="宋体" w:hAnsi="宋体" w:cs="宋体"/>
          <w:color w:val="000000"/>
          <w:sz w:val="52"/>
          <w:szCs w:val="52"/>
        </w:rPr>
      </w:pPr>
    </w:p>
    <w:p>
      <w:pPr>
        <w:ind w:firstLine="0" w:firstLineChars="0"/>
        <w:jc w:val="center"/>
        <w:rPr>
          <w:rFonts w:hint="eastAsia" w:ascii="宋体" w:hAnsi="宋体" w:cs="宋体"/>
          <w:bCs/>
          <w:color w:val="000000"/>
          <w:sz w:val="32"/>
          <w:szCs w:val="32"/>
          <w:lang w:eastAsia="zh-CN"/>
        </w:rPr>
      </w:pPr>
      <w:r>
        <w:rPr>
          <w:rFonts w:hint="eastAsia" w:ascii="宋体" w:hAnsi="宋体" w:cs="宋体"/>
          <w:bCs/>
          <w:color w:val="000000"/>
          <w:sz w:val="32"/>
          <w:szCs w:val="32"/>
          <w:lang w:eastAsia="zh-CN"/>
        </w:rPr>
        <w:t>建设单位：湖南湘铝科技有限公司</w:t>
      </w:r>
    </w:p>
    <w:p>
      <w:pPr>
        <w:ind w:firstLine="0" w:firstLineChars="0"/>
        <w:jc w:val="center"/>
        <w:rPr>
          <w:rFonts w:hint="eastAsia" w:ascii="宋体" w:hAnsi="宋体" w:cs="宋体"/>
          <w:bCs/>
          <w:color w:val="000000"/>
          <w:sz w:val="32"/>
          <w:szCs w:val="32"/>
          <w:lang w:eastAsia="zh-CN"/>
        </w:rPr>
      </w:pPr>
      <w:r>
        <w:rPr>
          <w:rFonts w:hint="eastAsia" w:ascii="宋体" w:hAnsi="宋体" w:cs="宋体"/>
          <w:bCs/>
          <w:color w:val="000000"/>
          <w:sz w:val="32"/>
          <w:szCs w:val="32"/>
          <w:lang w:eastAsia="zh-CN"/>
        </w:rPr>
        <w:t>二零二五年九月</w:t>
      </w:r>
    </w:p>
    <w:p>
      <w:pPr>
        <w:ind w:firstLine="1600" w:firstLineChars="500"/>
        <w:rPr>
          <w:rFonts w:hint="eastAsia" w:ascii="宋体" w:hAnsi="宋体" w:cs="宋体"/>
          <w:bCs/>
          <w:color w:val="000000"/>
          <w:sz w:val="32"/>
          <w:szCs w:val="32"/>
        </w:rPr>
      </w:pPr>
    </w:p>
    <w:p>
      <w:pPr>
        <w:adjustRightInd w:val="0"/>
        <w:snapToGrid w:val="0"/>
        <w:ind w:firstLine="643"/>
        <w:jc w:val="center"/>
        <w:rPr>
          <w:rFonts w:hint="eastAsia" w:ascii="宋体" w:hAnsi="宋体" w:cs="宋体"/>
          <w:b/>
          <w:color w:val="000000"/>
          <w:sz w:val="32"/>
          <w:szCs w:val="32"/>
        </w:rPr>
      </w:pPr>
      <w:bookmarkStart w:id="0" w:name="_Toc41310086"/>
    </w:p>
    <w:p>
      <w:pPr>
        <w:ind w:firstLine="643"/>
        <w:jc w:val="center"/>
        <w:rPr>
          <w:rFonts w:hint="eastAsia" w:ascii="宋体" w:hAnsi="宋体" w:cs="宋体"/>
          <w:b/>
          <w:bCs/>
          <w:color w:val="000000"/>
          <w:sz w:val="32"/>
          <w:szCs w:val="32"/>
        </w:rPr>
      </w:pPr>
      <w:r>
        <w:rPr>
          <w:rFonts w:hint="eastAsia" w:ascii="宋体" w:hAnsi="宋体" w:cs="宋体"/>
          <w:b/>
          <w:bCs/>
          <w:color w:val="000000"/>
          <w:sz w:val="32"/>
          <w:szCs w:val="32"/>
        </w:rPr>
        <w:t>目 录</w:t>
      </w:r>
    </w:p>
    <w:p>
      <w:pPr>
        <w:pStyle w:val="30"/>
        <w:tabs>
          <w:tab w:val="right" w:leader="dot" w:pos="8306"/>
        </w:tabs>
      </w:pPr>
      <w:r>
        <w:rPr>
          <w:rFonts w:hint="eastAsia" w:ascii="宋体" w:hAnsi="宋体" w:cs="宋体"/>
          <w:b/>
          <w:color w:val="000000"/>
        </w:rPr>
        <w:fldChar w:fldCharType="begin"/>
      </w:r>
      <w:r>
        <w:rPr>
          <w:rFonts w:hint="eastAsia" w:ascii="宋体" w:hAnsi="宋体" w:cs="宋体"/>
          <w:b/>
          <w:color w:val="000000"/>
        </w:rPr>
        <w:instrText xml:space="preserve">TOC \o "1-2" \h \u </w:instrText>
      </w:r>
      <w:r>
        <w:rPr>
          <w:rFonts w:hint="eastAsia" w:ascii="宋体" w:hAnsi="宋体" w:cs="宋体"/>
          <w:b/>
          <w:color w:val="000000"/>
        </w:rPr>
        <w:fldChar w:fldCharType="separate"/>
      </w:r>
      <w:r>
        <w:rPr>
          <w:rFonts w:hint="eastAsia" w:ascii="宋体" w:hAnsi="宋体" w:cs="宋体"/>
          <w:color w:val="000000"/>
        </w:rPr>
        <w:fldChar w:fldCharType="begin"/>
      </w:r>
      <w:r>
        <w:rPr>
          <w:rFonts w:hint="eastAsia" w:ascii="宋体" w:hAnsi="宋体" w:cs="宋体"/>
        </w:rPr>
        <w:instrText xml:space="preserve"> HYPERLINK \l _Toc1496 </w:instrText>
      </w:r>
      <w:r>
        <w:rPr>
          <w:rFonts w:hint="eastAsia" w:ascii="宋体" w:hAnsi="宋体" w:cs="宋体"/>
        </w:rPr>
        <w:fldChar w:fldCharType="separate"/>
      </w:r>
      <w:r>
        <w:rPr>
          <w:rFonts w:hint="default"/>
        </w:rPr>
        <w:t xml:space="preserve">1. </w:t>
      </w:r>
      <w:r>
        <w:rPr>
          <w:rFonts w:hint="eastAsia"/>
        </w:rPr>
        <w:t>概述</w:t>
      </w:r>
      <w:r>
        <w:tab/>
      </w:r>
      <w:r>
        <w:fldChar w:fldCharType="begin"/>
      </w:r>
      <w:r>
        <w:instrText xml:space="preserve"> PAGEREF _Toc1496 \h </w:instrText>
      </w:r>
      <w:r>
        <w:fldChar w:fldCharType="separate"/>
      </w:r>
      <w:r>
        <w:t>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_Toc31173 </w:instrText>
      </w:r>
      <w:r>
        <w:rPr>
          <w:rFonts w:hint="eastAsia" w:ascii="宋体" w:hAnsi="宋体" w:cs="宋体"/>
        </w:rPr>
        <w:fldChar w:fldCharType="separate"/>
      </w:r>
      <w:r>
        <w:rPr>
          <w:rFonts w:hint="default"/>
        </w:rPr>
        <w:t xml:space="preserve">1.1. </w:t>
      </w:r>
      <w:r>
        <w:rPr>
          <w:rFonts w:hint="eastAsia"/>
        </w:rPr>
        <w:t>项目由来</w:t>
      </w:r>
      <w:r>
        <w:tab/>
      </w:r>
      <w:r>
        <w:fldChar w:fldCharType="begin"/>
      </w:r>
      <w:r>
        <w:instrText xml:space="preserve"> PAGEREF _Toc31173 \h </w:instrText>
      </w:r>
      <w:r>
        <w:fldChar w:fldCharType="separate"/>
      </w:r>
      <w:r>
        <w:t>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_Toc2223 </w:instrText>
      </w:r>
      <w:r>
        <w:rPr>
          <w:rFonts w:hint="eastAsia" w:ascii="宋体" w:hAnsi="宋体" w:cs="宋体"/>
        </w:rPr>
        <w:fldChar w:fldCharType="separate"/>
      </w:r>
      <w:r>
        <w:rPr>
          <w:rFonts w:hint="default"/>
        </w:rPr>
        <w:t xml:space="preserve">1.2. </w:t>
      </w:r>
      <w:r>
        <w:rPr>
          <w:rFonts w:hint="eastAsia"/>
        </w:rPr>
        <w:t>编制依据</w:t>
      </w:r>
      <w:r>
        <w:tab/>
      </w:r>
      <w:r>
        <w:fldChar w:fldCharType="begin"/>
      </w:r>
      <w:r>
        <w:instrText xml:space="preserve"> PAGEREF _Toc2223 \h </w:instrText>
      </w:r>
      <w:r>
        <w:fldChar w:fldCharType="separate"/>
      </w:r>
      <w:r>
        <w:t>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_Toc8843 </w:instrText>
      </w:r>
      <w:r>
        <w:rPr>
          <w:rFonts w:hint="eastAsia" w:ascii="宋体" w:hAnsi="宋体" w:cs="宋体"/>
        </w:rPr>
        <w:fldChar w:fldCharType="separate"/>
      </w:r>
      <w:r>
        <w:rPr>
          <w:rFonts w:hint="default"/>
        </w:rPr>
        <w:t xml:space="preserve">1.3. </w:t>
      </w:r>
      <w:r>
        <w:rPr>
          <w:rFonts w:hint="eastAsia"/>
        </w:rPr>
        <w:t>评价因子与评价标准</w:t>
      </w:r>
      <w:r>
        <w:tab/>
      </w:r>
      <w:r>
        <w:fldChar w:fldCharType="begin"/>
      </w:r>
      <w:r>
        <w:instrText xml:space="preserve"> PAGEREF _Toc8843 \h </w:instrText>
      </w:r>
      <w:r>
        <w:fldChar w:fldCharType="separate"/>
      </w:r>
      <w:r>
        <w:t>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_Toc11544 </w:instrText>
      </w:r>
      <w:r>
        <w:rPr>
          <w:rFonts w:hint="eastAsia" w:ascii="宋体" w:hAnsi="宋体" w:cs="宋体"/>
        </w:rPr>
        <w:fldChar w:fldCharType="separate"/>
      </w:r>
      <w:r>
        <w:rPr>
          <w:rFonts w:hint="default"/>
        </w:rPr>
        <w:t xml:space="preserve">1.4. </w:t>
      </w:r>
      <w:r>
        <w:rPr>
          <w:rFonts w:hint="eastAsia"/>
        </w:rPr>
        <w:t>评价的目的和评价重点</w:t>
      </w:r>
      <w:r>
        <w:tab/>
      </w:r>
      <w:r>
        <w:fldChar w:fldCharType="begin"/>
      </w:r>
      <w:r>
        <w:instrText xml:space="preserve"> PAGEREF _Toc11544 \h </w:instrText>
      </w:r>
      <w:r>
        <w:fldChar w:fldCharType="separate"/>
      </w:r>
      <w:r>
        <w:t>3</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_Toc16702 </w:instrText>
      </w:r>
      <w:r>
        <w:rPr>
          <w:rFonts w:hint="eastAsia" w:ascii="宋体" w:hAnsi="宋体" w:cs="宋体"/>
        </w:rPr>
        <w:fldChar w:fldCharType="separate"/>
      </w:r>
      <w:r>
        <w:rPr>
          <w:rFonts w:hint="default"/>
        </w:rPr>
        <w:t xml:space="preserve">1.5. </w:t>
      </w:r>
      <w:r>
        <w:rPr>
          <w:rFonts w:hint="eastAsia"/>
        </w:rPr>
        <w:t>评价工作等级</w:t>
      </w:r>
      <w:r>
        <w:rPr>
          <w:rFonts w:hint="eastAsia"/>
          <w:lang w:eastAsia="zh-CN"/>
        </w:rPr>
        <w:t>和评价范围</w:t>
      </w:r>
      <w:r>
        <w:tab/>
      </w:r>
      <w:r>
        <w:fldChar w:fldCharType="begin"/>
      </w:r>
      <w:r>
        <w:instrText xml:space="preserve"> PAGEREF _Toc16702 \h </w:instrText>
      </w:r>
      <w:r>
        <w:fldChar w:fldCharType="separate"/>
      </w:r>
      <w:r>
        <w:t>3</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_Toc29913 </w:instrText>
      </w:r>
      <w:r>
        <w:rPr>
          <w:rFonts w:hint="eastAsia" w:ascii="宋体" w:hAnsi="宋体" w:cs="宋体"/>
        </w:rPr>
        <w:fldChar w:fldCharType="separate"/>
      </w:r>
      <w:r>
        <w:rPr>
          <w:rFonts w:hint="default"/>
        </w:rPr>
        <w:t xml:space="preserve">1.6. </w:t>
      </w:r>
      <w:r>
        <w:rPr>
          <w:rFonts w:hint="eastAsia"/>
        </w:rPr>
        <w:t>大气环境保护目标</w:t>
      </w:r>
      <w:r>
        <w:tab/>
      </w:r>
      <w:r>
        <w:fldChar w:fldCharType="begin"/>
      </w:r>
      <w:r>
        <w:instrText xml:space="preserve"> PAGEREF _Toc29913 \h </w:instrText>
      </w:r>
      <w:r>
        <w:fldChar w:fldCharType="separate"/>
      </w:r>
      <w:r>
        <w:t>5</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_Toc10131 </w:instrText>
      </w:r>
      <w:r>
        <w:rPr>
          <w:rFonts w:hint="eastAsia" w:ascii="宋体" w:hAnsi="宋体" w:cs="宋体"/>
        </w:rPr>
        <w:fldChar w:fldCharType="separate"/>
      </w:r>
      <w:r>
        <w:rPr>
          <w:rFonts w:hint="default"/>
        </w:rPr>
        <w:t xml:space="preserve">2. </w:t>
      </w:r>
      <w:r>
        <w:rPr>
          <w:rFonts w:hint="eastAsia"/>
        </w:rPr>
        <w:t>项目基本情况及工程分析</w:t>
      </w:r>
      <w:r>
        <w:tab/>
      </w:r>
      <w:r>
        <w:fldChar w:fldCharType="begin"/>
      </w:r>
      <w:r>
        <w:instrText xml:space="preserve"> PAGEREF _Toc10131 \h </w:instrText>
      </w:r>
      <w:r>
        <w:fldChar w:fldCharType="separate"/>
      </w:r>
      <w:r>
        <w:t>6</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_Toc3502 </w:instrText>
      </w:r>
      <w:r>
        <w:rPr>
          <w:rFonts w:hint="eastAsia" w:ascii="宋体" w:hAnsi="宋体" w:cs="宋体"/>
        </w:rPr>
        <w:fldChar w:fldCharType="separate"/>
      </w:r>
      <w:r>
        <w:rPr>
          <w:rFonts w:hint="default"/>
        </w:rPr>
        <w:t xml:space="preserve">2.1. </w:t>
      </w:r>
      <w:r>
        <w:rPr>
          <w:rFonts w:hint="eastAsia"/>
        </w:rPr>
        <w:t>项目工程组成情况</w:t>
      </w:r>
      <w:r>
        <w:tab/>
      </w:r>
      <w:r>
        <w:fldChar w:fldCharType="begin"/>
      </w:r>
      <w:r>
        <w:instrText xml:space="preserve"> PAGEREF _Toc3502 \h </w:instrText>
      </w:r>
      <w:r>
        <w:fldChar w:fldCharType="separate"/>
      </w:r>
      <w:r>
        <w:t>6</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_Toc27570 </w:instrText>
      </w:r>
      <w:r>
        <w:rPr>
          <w:rFonts w:hint="eastAsia" w:ascii="宋体" w:hAnsi="宋体" w:cs="宋体"/>
        </w:rPr>
        <w:fldChar w:fldCharType="separate"/>
      </w:r>
      <w:r>
        <w:rPr>
          <w:rFonts w:hint="default"/>
        </w:rPr>
        <w:t xml:space="preserve">2.2. </w:t>
      </w:r>
      <w:r>
        <w:rPr>
          <w:rFonts w:hint="eastAsia"/>
        </w:rPr>
        <w:t>项目工程分析</w:t>
      </w:r>
      <w:r>
        <w:tab/>
      </w:r>
      <w:r>
        <w:fldChar w:fldCharType="begin"/>
      </w:r>
      <w:r>
        <w:instrText xml:space="preserve"> PAGEREF _Toc27570 \h </w:instrText>
      </w:r>
      <w:r>
        <w:fldChar w:fldCharType="separate"/>
      </w:r>
      <w:r>
        <w:t>8</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_Toc16152 </w:instrText>
      </w:r>
      <w:r>
        <w:rPr>
          <w:rFonts w:hint="eastAsia" w:ascii="宋体" w:hAnsi="宋体" w:cs="宋体"/>
        </w:rPr>
        <w:fldChar w:fldCharType="separate"/>
      </w:r>
      <w:r>
        <w:rPr>
          <w:rFonts w:hint="default"/>
          <w:lang w:val="en-US" w:eastAsia="zh-CN"/>
        </w:rPr>
        <w:t xml:space="preserve">3. </w:t>
      </w:r>
      <w:r>
        <w:rPr>
          <w:rFonts w:hint="eastAsia"/>
          <w:lang w:val="en-US" w:eastAsia="zh-CN"/>
        </w:rPr>
        <w:t>环境空气质量现状调查与评价</w:t>
      </w:r>
      <w:r>
        <w:tab/>
      </w:r>
      <w:r>
        <w:fldChar w:fldCharType="begin"/>
      </w:r>
      <w:r>
        <w:instrText xml:space="preserve"> PAGEREF _Toc16152 \h </w:instrText>
      </w:r>
      <w:r>
        <w:fldChar w:fldCharType="separate"/>
      </w:r>
      <w:r>
        <w:t>14</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_Toc24899 </w:instrText>
      </w:r>
      <w:r>
        <w:rPr>
          <w:rFonts w:hint="eastAsia" w:ascii="宋体" w:hAnsi="宋体" w:cs="宋体"/>
        </w:rPr>
        <w:fldChar w:fldCharType="separate"/>
      </w:r>
      <w:r>
        <w:rPr>
          <w:rFonts w:hint="default"/>
          <w:lang w:eastAsia="zh-CN"/>
        </w:rPr>
        <w:t xml:space="preserve">4. </w:t>
      </w:r>
      <w:r>
        <w:rPr>
          <w:rFonts w:hint="eastAsia"/>
          <w:lang w:eastAsia="zh-CN"/>
        </w:rPr>
        <w:t>污染源调查</w:t>
      </w:r>
      <w:r>
        <w:tab/>
      </w:r>
      <w:r>
        <w:fldChar w:fldCharType="begin"/>
      </w:r>
      <w:r>
        <w:instrText xml:space="preserve"> PAGEREF _Toc24899 \h </w:instrText>
      </w:r>
      <w:r>
        <w:fldChar w:fldCharType="separate"/>
      </w:r>
      <w:r>
        <w:t>14</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_Toc14238 </w:instrText>
      </w:r>
      <w:r>
        <w:rPr>
          <w:rFonts w:hint="eastAsia" w:ascii="宋体" w:hAnsi="宋体" w:cs="宋体"/>
        </w:rPr>
        <w:fldChar w:fldCharType="separate"/>
      </w:r>
      <w:r>
        <w:rPr>
          <w:rFonts w:hint="default" w:eastAsia="宋体"/>
          <w:lang w:eastAsia="zh-CN"/>
        </w:rPr>
        <w:t xml:space="preserve">5. </w:t>
      </w:r>
      <w:r>
        <w:rPr>
          <w:rFonts w:hint="eastAsia" w:eastAsia="宋体"/>
          <w:lang w:eastAsia="zh-CN"/>
        </w:rPr>
        <w:t>环境监测计划</w:t>
      </w:r>
      <w:r>
        <w:tab/>
      </w:r>
      <w:r>
        <w:fldChar w:fldCharType="begin"/>
      </w:r>
      <w:r>
        <w:instrText xml:space="preserve"> PAGEREF _Toc14238 \h </w:instrText>
      </w:r>
      <w:r>
        <w:fldChar w:fldCharType="separate"/>
      </w:r>
      <w:r>
        <w:t>14</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_Toc2086 </w:instrText>
      </w:r>
      <w:r>
        <w:rPr>
          <w:rFonts w:hint="eastAsia" w:ascii="宋体" w:hAnsi="宋体" w:cs="宋体"/>
        </w:rPr>
        <w:fldChar w:fldCharType="separate"/>
      </w:r>
      <w:r>
        <w:rPr>
          <w:rFonts w:hint="default"/>
        </w:rPr>
        <w:t xml:space="preserve">6. </w:t>
      </w:r>
      <w:r>
        <w:rPr>
          <w:rFonts w:hint="eastAsia"/>
        </w:rPr>
        <w:t>大气环境影响评价</w:t>
      </w:r>
      <w:r>
        <w:tab/>
      </w:r>
      <w:r>
        <w:fldChar w:fldCharType="begin"/>
      </w:r>
      <w:r>
        <w:instrText xml:space="preserve"> PAGEREF _Toc2086 \h </w:instrText>
      </w:r>
      <w:r>
        <w:fldChar w:fldCharType="separate"/>
      </w:r>
      <w:r>
        <w:t>15</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_Toc15667 </w:instrText>
      </w:r>
      <w:r>
        <w:rPr>
          <w:rFonts w:hint="eastAsia" w:ascii="宋体" w:hAnsi="宋体" w:cs="宋体"/>
        </w:rPr>
        <w:fldChar w:fldCharType="separate"/>
      </w:r>
      <w:r>
        <w:rPr>
          <w:rFonts w:hint="default"/>
        </w:rPr>
        <w:t xml:space="preserve">6.1. </w:t>
      </w:r>
      <w:r>
        <w:rPr>
          <w:rFonts w:hint="eastAsia"/>
          <w:lang w:eastAsia="zh-CN"/>
        </w:rPr>
        <w:t>大气环境影响预测分析</w:t>
      </w:r>
      <w:r>
        <w:tab/>
      </w:r>
      <w:r>
        <w:fldChar w:fldCharType="begin"/>
      </w:r>
      <w:r>
        <w:instrText xml:space="preserve"> PAGEREF _Toc15667 \h </w:instrText>
      </w:r>
      <w:r>
        <w:fldChar w:fldCharType="separate"/>
      </w:r>
      <w:r>
        <w:t>15</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_Toc1488 </w:instrText>
      </w:r>
      <w:r>
        <w:rPr>
          <w:rFonts w:hint="eastAsia" w:ascii="宋体" w:hAnsi="宋体" w:cs="宋体"/>
        </w:rPr>
        <w:fldChar w:fldCharType="separate"/>
      </w:r>
      <w:r>
        <w:rPr>
          <w:rFonts w:hint="default"/>
        </w:rPr>
        <w:t xml:space="preserve">6.2. </w:t>
      </w:r>
      <w:r>
        <w:rPr>
          <w:rFonts w:hint="eastAsia"/>
        </w:rPr>
        <w:t>污染物排放量核算</w:t>
      </w:r>
      <w:r>
        <w:tab/>
      </w:r>
      <w:r>
        <w:fldChar w:fldCharType="begin"/>
      </w:r>
      <w:r>
        <w:instrText xml:space="preserve"> PAGEREF _Toc1488 \h </w:instrText>
      </w:r>
      <w:r>
        <w:fldChar w:fldCharType="separate"/>
      </w:r>
      <w:r>
        <w:t>17</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_Toc8598 </w:instrText>
      </w:r>
      <w:r>
        <w:rPr>
          <w:rFonts w:hint="eastAsia" w:ascii="宋体" w:hAnsi="宋体" w:cs="宋体"/>
        </w:rPr>
        <w:fldChar w:fldCharType="separate"/>
      </w:r>
      <w:r>
        <w:rPr>
          <w:rFonts w:hint="default"/>
        </w:rPr>
        <w:t xml:space="preserve">6.3. </w:t>
      </w:r>
      <w:r>
        <w:rPr>
          <w:rFonts w:hint="eastAsia"/>
        </w:rPr>
        <w:t>防护距离的确定</w:t>
      </w:r>
      <w:r>
        <w:tab/>
      </w:r>
      <w:r>
        <w:fldChar w:fldCharType="begin"/>
      </w:r>
      <w:r>
        <w:instrText xml:space="preserve"> PAGEREF _Toc8598 \h </w:instrText>
      </w:r>
      <w:r>
        <w:fldChar w:fldCharType="separate"/>
      </w:r>
      <w:r>
        <w:t>19</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_Toc9886 </w:instrText>
      </w:r>
      <w:r>
        <w:rPr>
          <w:rFonts w:hint="eastAsia" w:ascii="宋体" w:hAnsi="宋体" w:cs="宋体"/>
        </w:rPr>
        <w:fldChar w:fldCharType="separate"/>
      </w:r>
      <w:r>
        <w:rPr>
          <w:rFonts w:hint="default"/>
        </w:rPr>
        <w:t xml:space="preserve">6.4. </w:t>
      </w:r>
      <w:r>
        <w:t>废气治理措施</w:t>
      </w:r>
      <w:r>
        <w:rPr>
          <w:rFonts w:hint="eastAsia"/>
        </w:rPr>
        <w:t>可行性分析</w:t>
      </w:r>
      <w:r>
        <w:tab/>
      </w:r>
      <w:r>
        <w:fldChar w:fldCharType="begin"/>
      </w:r>
      <w:r>
        <w:instrText xml:space="preserve"> PAGEREF _Toc9886 \h </w:instrText>
      </w:r>
      <w:r>
        <w:fldChar w:fldCharType="separate"/>
      </w:r>
      <w:r>
        <w:t>19</w:t>
      </w:r>
      <w:r>
        <w:fldChar w:fldCharType="end"/>
      </w:r>
      <w:r>
        <w:rPr>
          <w:rFonts w:hint="eastAsia" w:ascii="宋体" w:hAnsi="宋体" w:cs="宋体"/>
          <w:color w:val="000000"/>
        </w:rPr>
        <w:fldChar w:fldCharType="end"/>
      </w:r>
    </w:p>
    <w:p>
      <w:pPr>
        <w:pStyle w:val="30"/>
        <w:tabs>
          <w:tab w:val="right" w:leader="dot" w:pos="8306"/>
        </w:tabs>
      </w:pPr>
      <w:r>
        <w:rPr>
          <w:rFonts w:hint="eastAsia" w:ascii="宋体" w:hAnsi="宋体" w:cs="宋体"/>
          <w:color w:val="000000"/>
        </w:rPr>
        <w:fldChar w:fldCharType="begin"/>
      </w:r>
      <w:r>
        <w:rPr>
          <w:rFonts w:hint="eastAsia" w:ascii="宋体" w:hAnsi="宋体" w:cs="宋体"/>
        </w:rPr>
        <w:instrText xml:space="preserve"> HYPERLINK \l _Toc8936 </w:instrText>
      </w:r>
      <w:r>
        <w:rPr>
          <w:rFonts w:hint="eastAsia" w:ascii="宋体" w:hAnsi="宋体" w:cs="宋体"/>
        </w:rPr>
        <w:fldChar w:fldCharType="separate"/>
      </w:r>
      <w:r>
        <w:rPr>
          <w:rFonts w:hint="default"/>
        </w:rPr>
        <w:t xml:space="preserve">7. </w:t>
      </w:r>
      <w:r>
        <w:rPr>
          <w:rFonts w:hint="eastAsia"/>
          <w:lang w:eastAsia="zh-CN"/>
        </w:rPr>
        <w:t>大气环境影响评价</w:t>
      </w:r>
      <w:r>
        <w:rPr>
          <w:rFonts w:hint="eastAsia"/>
        </w:rPr>
        <w:t>结论与建议</w:t>
      </w:r>
      <w:r>
        <w:tab/>
      </w:r>
      <w:r>
        <w:fldChar w:fldCharType="begin"/>
      </w:r>
      <w:r>
        <w:instrText xml:space="preserve"> PAGEREF _Toc8936 \h </w:instrText>
      </w:r>
      <w:r>
        <w:fldChar w:fldCharType="separate"/>
      </w:r>
      <w:r>
        <w:t>21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_Toc3736 </w:instrText>
      </w:r>
      <w:r>
        <w:rPr>
          <w:rFonts w:hint="eastAsia" w:ascii="宋体" w:hAnsi="宋体" w:cs="宋体"/>
        </w:rPr>
        <w:fldChar w:fldCharType="separate"/>
      </w:r>
      <w:r>
        <w:rPr>
          <w:rFonts w:hint="default"/>
        </w:rPr>
        <w:t xml:space="preserve">7.1. </w:t>
      </w:r>
      <w:r>
        <w:rPr>
          <w:rFonts w:hint="eastAsia"/>
        </w:rPr>
        <w:t>评价结论</w:t>
      </w:r>
      <w:r>
        <w:tab/>
      </w:r>
      <w:r>
        <w:fldChar w:fldCharType="begin"/>
      </w:r>
      <w:r>
        <w:instrText xml:space="preserve"> PAGEREF _Toc3736 \h </w:instrText>
      </w:r>
      <w:r>
        <w:fldChar w:fldCharType="separate"/>
      </w:r>
      <w:r>
        <w:t>21</w:t>
      </w:r>
      <w:r>
        <w:fldChar w:fldCharType="end"/>
      </w:r>
      <w:r>
        <w:rPr>
          <w:rFonts w:hint="eastAsia" w:ascii="宋体" w:hAnsi="宋体" w:cs="宋体"/>
          <w:color w:val="000000"/>
        </w:rPr>
        <w:fldChar w:fldCharType="end"/>
      </w:r>
    </w:p>
    <w:p>
      <w:pPr>
        <w:pStyle w:val="32"/>
        <w:tabs>
          <w:tab w:val="right" w:leader="dot" w:pos="8306"/>
          <w:tab w:val="clear" w:pos="426"/>
          <w:tab w:val="clear" w:pos="567"/>
          <w:tab w:val="clear" w:pos="8607"/>
        </w:tabs>
      </w:pPr>
      <w:r>
        <w:rPr>
          <w:rFonts w:hint="eastAsia" w:ascii="宋体" w:hAnsi="宋体" w:cs="宋体"/>
          <w:color w:val="000000"/>
        </w:rPr>
        <w:fldChar w:fldCharType="begin"/>
      </w:r>
      <w:r>
        <w:rPr>
          <w:rFonts w:hint="eastAsia" w:ascii="宋体" w:hAnsi="宋体" w:cs="宋体"/>
        </w:rPr>
        <w:instrText xml:space="preserve"> HYPERLINK \l _Toc25041 </w:instrText>
      </w:r>
      <w:r>
        <w:rPr>
          <w:rFonts w:hint="eastAsia" w:ascii="宋体" w:hAnsi="宋体" w:cs="宋体"/>
        </w:rPr>
        <w:fldChar w:fldCharType="separate"/>
      </w:r>
      <w:r>
        <w:rPr>
          <w:rFonts w:hint="default"/>
        </w:rPr>
        <w:t xml:space="preserve">7.2. </w:t>
      </w:r>
      <w:r>
        <w:rPr>
          <w:rFonts w:hint="eastAsia"/>
        </w:rPr>
        <w:t>建议</w:t>
      </w:r>
      <w:r>
        <w:tab/>
      </w:r>
      <w:r>
        <w:fldChar w:fldCharType="begin"/>
      </w:r>
      <w:r>
        <w:instrText xml:space="preserve"> PAGEREF _Toc25041 \h </w:instrText>
      </w:r>
      <w:r>
        <w:fldChar w:fldCharType="separate"/>
      </w:r>
      <w:r>
        <w:t>21</w:t>
      </w:r>
      <w:r>
        <w:fldChar w:fldCharType="end"/>
      </w:r>
      <w:r>
        <w:rPr>
          <w:rFonts w:hint="eastAsia" w:ascii="宋体" w:hAnsi="宋体" w:cs="宋体"/>
          <w:color w:val="000000"/>
        </w:rPr>
        <w:fldChar w:fldCharType="end"/>
      </w:r>
    </w:p>
    <w:p>
      <w:pPr>
        <w:adjustRightInd w:val="0"/>
        <w:snapToGrid w:val="0"/>
        <w:ind w:firstLine="480"/>
        <w:jc w:val="center"/>
        <w:rPr>
          <w:rFonts w:hint="eastAsia" w:ascii="宋体" w:hAnsi="宋体" w:cs="宋体"/>
          <w:color w:val="000000"/>
        </w:rPr>
      </w:pPr>
      <w:r>
        <w:rPr>
          <w:rFonts w:hint="eastAsia" w:ascii="宋体" w:hAnsi="宋体" w:cs="宋体"/>
          <w:color w:val="000000"/>
        </w:rPr>
        <w:fldChar w:fldCharType="end"/>
      </w:r>
      <w:bookmarkStart w:id="1" w:name="_Toc19864"/>
      <w:bookmarkStart w:id="2" w:name="_Toc7770"/>
      <w:bookmarkStart w:id="3" w:name="_Toc1175"/>
      <w:bookmarkStart w:id="4" w:name="_Toc31085"/>
      <w:bookmarkStart w:id="5" w:name="_Toc14524"/>
      <w:bookmarkStart w:id="6" w:name="_Toc28724"/>
    </w:p>
    <w:p>
      <w:pPr>
        <w:pStyle w:val="16"/>
        <w:ind w:firstLine="480"/>
        <w:rPr>
          <w:rFonts w:hint="eastAsia" w:ascii="宋体" w:hAnsi="宋体" w:cs="宋体"/>
          <w:color w:val="000000"/>
        </w:rPr>
      </w:pPr>
    </w:p>
    <w:p>
      <w:pPr>
        <w:ind w:firstLine="480"/>
        <w:rPr>
          <w:rFonts w:hint="eastAsia" w:ascii="宋体" w:hAnsi="宋体" w:cs="宋体"/>
          <w:color w:val="000000"/>
        </w:rPr>
      </w:pPr>
    </w:p>
    <w:p>
      <w:pPr>
        <w:pStyle w:val="16"/>
        <w:ind w:firstLine="480"/>
        <w:rPr>
          <w:rFonts w:hint="eastAsia" w:ascii="宋体" w:hAnsi="宋体" w:cs="宋体"/>
          <w:color w:val="000000"/>
        </w:rPr>
      </w:pPr>
    </w:p>
    <w:p>
      <w:pPr>
        <w:ind w:firstLine="480"/>
        <w:rPr>
          <w:rFonts w:hint="eastAsia" w:ascii="宋体" w:hAnsi="宋体" w:cs="宋体"/>
          <w:color w:val="000000"/>
        </w:rPr>
      </w:pPr>
    </w:p>
    <w:p>
      <w:pPr>
        <w:pStyle w:val="16"/>
        <w:ind w:firstLine="480"/>
        <w:rPr>
          <w:rFonts w:hint="eastAsia" w:ascii="宋体" w:hAnsi="宋体" w:cs="宋体"/>
          <w:color w:val="000000"/>
        </w:rPr>
      </w:pPr>
    </w:p>
    <w:p>
      <w:pPr>
        <w:ind w:firstLine="480"/>
        <w:rPr>
          <w:rFonts w:hint="eastAsia"/>
          <w:color w:val="000000"/>
        </w:rPr>
        <w:sectPr>
          <w:footerReference r:id="rId5"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4"/>
        <w:rPr>
          <w:rFonts w:hint="eastAsia"/>
          <w:color w:val="000000"/>
        </w:rPr>
      </w:pPr>
      <w:bookmarkStart w:id="7" w:name="_Toc1496"/>
      <w:r>
        <w:rPr>
          <w:rFonts w:hint="eastAsia"/>
          <w:color w:val="000000"/>
        </w:rPr>
        <w:t>概述</w:t>
      </w:r>
      <w:bookmarkEnd w:id="0"/>
      <w:bookmarkEnd w:id="1"/>
      <w:bookmarkEnd w:id="2"/>
      <w:bookmarkEnd w:id="3"/>
      <w:bookmarkEnd w:id="4"/>
      <w:bookmarkEnd w:id="5"/>
      <w:bookmarkEnd w:id="6"/>
      <w:bookmarkEnd w:id="7"/>
    </w:p>
    <w:p>
      <w:pPr>
        <w:pStyle w:val="5"/>
        <w:rPr>
          <w:rFonts w:hint="eastAsia"/>
          <w:color w:val="000000"/>
        </w:rPr>
      </w:pPr>
      <w:bookmarkStart w:id="8" w:name="_Toc565"/>
      <w:bookmarkStart w:id="9" w:name="_Toc31173"/>
      <w:bookmarkStart w:id="10" w:name="_Toc32041"/>
      <w:bookmarkStart w:id="11" w:name="_Toc23102"/>
      <w:bookmarkStart w:id="12" w:name="_Toc16169"/>
      <w:r>
        <w:rPr>
          <w:rFonts w:hint="eastAsia"/>
          <w:color w:val="000000"/>
        </w:rPr>
        <w:t>项目由来</w:t>
      </w:r>
      <w:bookmarkEnd w:id="8"/>
      <w:bookmarkEnd w:id="9"/>
      <w:bookmarkEnd w:id="10"/>
      <w:bookmarkEnd w:id="11"/>
      <w:bookmarkEnd w:id="12"/>
    </w:p>
    <w:p>
      <w:pPr>
        <w:ind w:firstLine="48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湖南湘铝科技有限公司成立于2023年12月18日，公司坐落在湖南省永州市江永县；主要从事汽车零部件及配件制造；通用零部件制造；摩托车零配件制造等。</w:t>
      </w:r>
    </w:p>
    <w:p>
      <w:pPr>
        <w:ind w:firstLine="480"/>
        <w:rPr>
          <w:rFonts w:hint="eastAsia" w:ascii="Times New Roman" w:hAnsi="Times New Roman" w:eastAsia="宋体" w:cs="Times New Roman"/>
          <w:color w:val="000000"/>
          <w:lang w:val="en-US" w:eastAsia="zh-CN"/>
        </w:rPr>
      </w:pPr>
      <w:r>
        <w:rPr>
          <w:rFonts w:hint="eastAsia" w:ascii="Times New Roman" w:hAnsi="Times New Roman" w:eastAsia="宋体" w:cs="Times New Roman"/>
          <w:color w:val="000000"/>
          <w:lang w:val="en-US" w:eastAsia="zh-CN"/>
        </w:rPr>
        <w:t>湖南湘铝科技有限公司投资建设的</w:t>
      </w:r>
      <w:r>
        <w:rPr>
          <w:rFonts w:hint="eastAsia" w:ascii="Times New Roman" w:hAnsi="Times New Roman" w:eastAsia="宋体" w:cs="Times New Roman"/>
          <w:color w:val="auto"/>
          <w:sz w:val="24"/>
          <w:szCs w:val="24"/>
          <w:highlight w:val="none"/>
          <w:lang w:eastAsia="zh-CN"/>
        </w:rPr>
        <w:t>江永新能源汽车大型零部件一体化成型及精密加工制造项目，根据</w:t>
      </w:r>
      <w:r>
        <w:rPr>
          <w:rFonts w:hint="eastAsia"/>
          <w:lang w:val="en-US" w:eastAsia="zh-CN"/>
        </w:rPr>
        <w:t>《建设项目环境影响评价分类管理名录》（2021 版），属于“三十、金属制品业33-68铸造及其他金属制品制造339 其他（仅分割、焊接、组装的除外）</w:t>
      </w:r>
      <w:r>
        <w:rPr>
          <w:rFonts w:hint="eastAsia"/>
        </w:rPr>
        <w:t>”，</w:t>
      </w:r>
      <w:r>
        <w:rPr>
          <w:rFonts w:hint="eastAsia"/>
          <w:lang w:eastAsia="zh-CN"/>
        </w:rPr>
        <w:t>需</w:t>
      </w:r>
      <w:r>
        <w:rPr>
          <w:rFonts w:hint="eastAsia"/>
        </w:rPr>
        <w:t>编制环境影响报告表</w:t>
      </w:r>
      <w:r>
        <w:rPr>
          <w:rFonts w:hint="eastAsia"/>
          <w:lang w:eastAsia="zh-CN"/>
        </w:rPr>
        <w:t>，</w:t>
      </w:r>
    </w:p>
    <w:p>
      <w:pPr>
        <w:ind w:firstLine="480"/>
        <w:rPr>
          <w:rFonts w:hint="eastAsia" w:eastAsia="宋体"/>
          <w:color w:val="000000"/>
          <w:lang w:eastAsia="zh-CN"/>
        </w:rPr>
      </w:pPr>
      <w:r>
        <w:rPr>
          <w:rFonts w:hint="eastAsia"/>
          <w:color w:val="000000"/>
        </w:rPr>
        <w:t>本项目涉及</w:t>
      </w:r>
      <w:r>
        <w:rPr>
          <w:rFonts w:hint="eastAsia"/>
          <w:color w:val="000000"/>
          <w:lang w:eastAsia="zh-CN"/>
        </w:rPr>
        <w:t>甲醛</w:t>
      </w:r>
      <w:r>
        <w:rPr>
          <w:rFonts w:hint="eastAsia"/>
          <w:color w:val="000000"/>
        </w:rPr>
        <w:t>污染物，根据《建设项目环境影响报告表编制技术指南（污染影响类）</w:t>
      </w:r>
      <w:bookmarkStart w:id="102" w:name="_GoBack"/>
      <w:bookmarkEnd w:id="102"/>
      <w:r>
        <w:rPr>
          <w:rFonts w:hint="eastAsia"/>
          <w:color w:val="000000"/>
          <w:lang w:eastAsia="zh-CN"/>
        </w:rPr>
        <w:t>（试行）》</w:t>
      </w:r>
      <w:r>
        <w:rPr>
          <w:rFonts w:hint="eastAsia"/>
          <w:color w:val="000000"/>
        </w:rPr>
        <w:t>中的专项评价设置原则，排放废气含有有毒有害污染物、二噁英等需编制大气专项评价。《</w:t>
      </w:r>
      <w:r>
        <w:rPr>
          <w:rFonts w:hint="eastAsia"/>
          <w:color w:val="000000"/>
          <w:lang w:eastAsia="zh-CN"/>
        </w:rPr>
        <w:t>湖南湘铝科技有限公司江永新能源汽车大型零部件一体化成型及精密加工制造项目</w:t>
      </w:r>
      <w:r>
        <w:rPr>
          <w:rFonts w:hint="eastAsia"/>
          <w:color w:val="000000"/>
        </w:rPr>
        <w:t>大气专项评价》根据《环境影响评价技术导则 大气环境》（HJ2.2-2018）进行编制，</w:t>
      </w:r>
      <w:r>
        <w:rPr>
          <w:color w:val="000000"/>
        </w:rPr>
        <w:t>供</w:t>
      </w:r>
      <w:r>
        <w:rPr>
          <w:rFonts w:hint="eastAsia"/>
          <w:color w:val="000000"/>
        </w:rPr>
        <w:t>环境</w:t>
      </w:r>
      <w:r>
        <w:rPr>
          <w:color w:val="000000"/>
        </w:rPr>
        <w:t>主管部门审查批准</w:t>
      </w:r>
      <w:r>
        <w:rPr>
          <w:rFonts w:hint="eastAsia"/>
          <w:color w:val="000000"/>
          <w:lang w:eastAsia="zh-CN"/>
        </w:rPr>
        <w:t>。</w:t>
      </w:r>
    </w:p>
    <w:p>
      <w:pPr>
        <w:pStyle w:val="5"/>
        <w:rPr>
          <w:rFonts w:hint="eastAsia"/>
          <w:color w:val="000000"/>
        </w:rPr>
      </w:pPr>
      <w:bookmarkStart w:id="13" w:name="_Toc8938"/>
      <w:bookmarkStart w:id="14" w:name="_Toc2223"/>
      <w:bookmarkStart w:id="15" w:name="_Toc13982"/>
      <w:bookmarkStart w:id="16" w:name="_Toc2"/>
      <w:bookmarkStart w:id="17" w:name="_Toc7940"/>
      <w:r>
        <w:rPr>
          <w:rFonts w:hint="eastAsia"/>
          <w:color w:val="000000"/>
        </w:rPr>
        <w:t>编制依据</w:t>
      </w:r>
      <w:bookmarkEnd w:id="13"/>
      <w:bookmarkEnd w:id="14"/>
      <w:bookmarkEnd w:id="15"/>
      <w:bookmarkEnd w:id="16"/>
      <w:bookmarkEnd w:id="17"/>
    </w:p>
    <w:p>
      <w:pPr>
        <w:adjustRightInd w:val="0"/>
        <w:ind w:firstLine="480"/>
        <w:rPr>
          <w:rFonts w:hint="eastAsia" w:eastAsia="宋体"/>
          <w:color w:val="000000"/>
          <w:lang w:eastAsia="zh-CN"/>
        </w:rPr>
      </w:pPr>
      <w:r>
        <w:rPr>
          <w:rFonts w:hint="eastAsia"/>
          <w:color w:val="000000"/>
          <w:lang w:eastAsia="zh-CN"/>
        </w:rPr>
        <w:t>（</w:t>
      </w:r>
      <w:r>
        <w:rPr>
          <w:rFonts w:hint="eastAsia"/>
          <w:color w:val="000000"/>
          <w:lang w:val="en-US" w:eastAsia="zh-CN"/>
        </w:rPr>
        <w:t>1）</w:t>
      </w:r>
      <w:r>
        <w:rPr>
          <w:rFonts w:hint="eastAsia"/>
          <w:color w:val="000000"/>
        </w:rPr>
        <w:t>《建设项目环境影响报告表编制技术指南（污染影响类）</w:t>
      </w:r>
      <w:r>
        <w:rPr>
          <w:rFonts w:hint="eastAsia"/>
          <w:color w:val="000000"/>
          <w:lang w:eastAsia="zh-CN"/>
        </w:rPr>
        <w:t>（试行）》；</w:t>
      </w:r>
    </w:p>
    <w:p>
      <w:pPr>
        <w:adjustRightInd w:val="0"/>
        <w:ind w:firstLine="480"/>
        <w:rPr>
          <w:rFonts w:hint="eastAsia"/>
          <w:color w:val="000000"/>
        </w:rPr>
      </w:pPr>
      <w:r>
        <w:rPr>
          <w:rFonts w:hint="eastAsia"/>
          <w:color w:val="000000"/>
        </w:rPr>
        <w:t>（</w:t>
      </w:r>
      <w:r>
        <w:rPr>
          <w:rFonts w:hint="eastAsia"/>
          <w:color w:val="000000"/>
          <w:lang w:val="en-US" w:eastAsia="zh-CN"/>
        </w:rPr>
        <w:t>2</w:t>
      </w:r>
      <w:r>
        <w:rPr>
          <w:rFonts w:hint="eastAsia"/>
          <w:color w:val="000000"/>
        </w:rPr>
        <w:t>）《建设项目环境影响评价技术导则  总纲》（HJ2.1-2016）；</w:t>
      </w:r>
    </w:p>
    <w:p>
      <w:pPr>
        <w:adjustRightInd w:val="0"/>
        <w:ind w:firstLine="480"/>
        <w:rPr>
          <w:rFonts w:hint="eastAsia"/>
          <w:color w:val="000000"/>
        </w:rPr>
      </w:pPr>
      <w:r>
        <w:rPr>
          <w:rFonts w:hint="eastAsia"/>
          <w:color w:val="000000"/>
        </w:rPr>
        <w:t>（</w:t>
      </w:r>
      <w:r>
        <w:rPr>
          <w:rFonts w:hint="eastAsia"/>
          <w:color w:val="000000"/>
          <w:lang w:val="en-US" w:eastAsia="zh-CN"/>
        </w:rPr>
        <w:t>3</w:t>
      </w:r>
      <w:r>
        <w:rPr>
          <w:rFonts w:hint="eastAsia"/>
          <w:color w:val="000000"/>
        </w:rPr>
        <w:t>）《环境影响评价技术导则  大气环境》（HJ2.2-2018）；</w:t>
      </w:r>
    </w:p>
    <w:p>
      <w:pPr>
        <w:adjustRightInd w:val="0"/>
        <w:ind w:firstLine="480"/>
        <w:rPr>
          <w:color w:val="000000"/>
        </w:rPr>
      </w:pPr>
      <w:r>
        <w:rPr>
          <w:color w:val="000000"/>
        </w:rPr>
        <w:t>（</w:t>
      </w:r>
      <w:r>
        <w:rPr>
          <w:rFonts w:hint="eastAsia"/>
          <w:color w:val="000000"/>
          <w:lang w:val="en-US" w:eastAsia="zh-CN"/>
        </w:rPr>
        <w:t>4</w:t>
      </w:r>
      <w:r>
        <w:rPr>
          <w:color w:val="000000"/>
        </w:rPr>
        <w:t>）</w:t>
      </w:r>
      <w:r>
        <w:rPr>
          <w:rFonts w:hint="eastAsia"/>
          <w:color w:val="000000"/>
        </w:rPr>
        <w:t>《铸造工业大气污染物排放标准》（GB39726-2020）</w:t>
      </w:r>
      <w:r>
        <w:rPr>
          <w:color w:val="000000"/>
        </w:rPr>
        <w:t>；</w:t>
      </w:r>
    </w:p>
    <w:p>
      <w:pPr>
        <w:adjustRightInd w:val="0"/>
        <w:ind w:firstLine="480"/>
        <w:rPr>
          <w:color w:val="000000"/>
        </w:rPr>
      </w:pPr>
      <w:r>
        <w:rPr>
          <w:color w:val="000000"/>
        </w:rPr>
        <w:t>（</w:t>
      </w:r>
      <w:r>
        <w:rPr>
          <w:rFonts w:hint="eastAsia"/>
          <w:color w:val="000000"/>
          <w:lang w:val="en-US" w:eastAsia="zh-CN"/>
        </w:rPr>
        <w:t>5</w:t>
      </w:r>
      <w:r>
        <w:rPr>
          <w:color w:val="000000"/>
        </w:rPr>
        <w:t>）</w:t>
      </w:r>
      <w:r>
        <w:rPr>
          <w:rFonts w:hint="eastAsia"/>
          <w:color w:val="000000"/>
        </w:rPr>
        <w:t>《排污许可证申请与核发技术规范 金属铸造工业》（HJ1115-2020）</w:t>
      </w:r>
      <w:r>
        <w:rPr>
          <w:color w:val="000000"/>
        </w:rPr>
        <w:t>。</w:t>
      </w:r>
    </w:p>
    <w:p>
      <w:pPr>
        <w:pStyle w:val="5"/>
        <w:bidi w:val="0"/>
        <w:rPr>
          <w:rFonts w:hint="eastAsia"/>
        </w:rPr>
      </w:pPr>
      <w:bookmarkStart w:id="18" w:name="_Toc8843"/>
      <w:r>
        <w:rPr>
          <w:rFonts w:hint="eastAsia"/>
        </w:rPr>
        <w:t>评价因子与评价标准</w:t>
      </w:r>
      <w:bookmarkEnd w:id="18"/>
    </w:p>
    <w:p>
      <w:pPr>
        <w:pStyle w:val="6"/>
        <w:bidi w:val="0"/>
        <w:rPr>
          <w:rFonts w:hint="eastAsia"/>
        </w:rPr>
      </w:pPr>
      <w:r>
        <w:rPr>
          <w:rFonts w:hint="eastAsia"/>
        </w:rPr>
        <w:t>环境影响识别与评价因子筛选</w:t>
      </w:r>
    </w:p>
    <w:p>
      <w:pPr>
        <w:bidi w:val="0"/>
        <w:rPr>
          <w:rFonts w:hint="eastAsia"/>
        </w:rPr>
      </w:pPr>
      <w:r>
        <w:rPr>
          <w:rFonts w:hint="eastAsia"/>
        </w:rPr>
        <w:t>根据工程污染物排放特征，结合厂址所在区域的环境质量现状，通过对工程实施后主要环境影响因素的识别分析，并对相关影响因素中各类污染因子的识别筛选，确定本次评价的现状及影响评价因子。</w:t>
      </w:r>
    </w:p>
    <w:p>
      <w:pPr>
        <w:bidi w:val="0"/>
        <w:rPr>
          <w:rFonts w:hint="eastAsia"/>
        </w:rPr>
      </w:pPr>
      <w:r>
        <w:rPr>
          <w:rFonts w:hint="eastAsia"/>
        </w:rPr>
        <w:t>本项目运营期产生的废气主要来自于</w:t>
      </w:r>
      <w:r>
        <w:rPr>
          <w:rFonts w:hint="eastAsia"/>
          <w:lang w:eastAsia="zh-CN"/>
        </w:rPr>
        <w:t>铝合金熔化</w:t>
      </w:r>
      <w:r>
        <w:rPr>
          <w:rFonts w:hint="eastAsia"/>
        </w:rPr>
        <w:t>、制芯、浇注、喷砂</w:t>
      </w:r>
      <w:r>
        <w:rPr>
          <w:rFonts w:hint="eastAsia"/>
          <w:lang w:eastAsia="zh-CN"/>
        </w:rPr>
        <w:t>工艺</w:t>
      </w:r>
      <w:r>
        <w:rPr>
          <w:rFonts w:hint="eastAsia"/>
        </w:rPr>
        <w:t>废气。本项目运行过程中主要污染因子为颗粒物</w:t>
      </w:r>
      <w:r>
        <w:rPr>
          <w:rFonts w:hint="eastAsia"/>
          <w:lang w:eastAsia="zh-CN"/>
        </w:rPr>
        <w:t>、</w:t>
      </w:r>
      <w:r>
        <w:rPr>
          <w:rFonts w:hint="eastAsia"/>
          <w:lang w:val="en-US" w:eastAsia="zh-CN"/>
        </w:rPr>
        <w:t>VOCs、</w:t>
      </w:r>
      <w:r>
        <w:rPr>
          <w:rFonts w:hint="eastAsia"/>
        </w:rPr>
        <w:t>甲醛等。</w:t>
      </w:r>
    </w:p>
    <w:p>
      <w:pPr>
        <w:pStyle w:val="6"/>
        <w:bidi w:val="0"/>
        <w:rPr>
          <w:rFonts w:hint="eastAsia"/>
        </w:rPr>
      </w:pPr>
      <w:r>
        <w:rPr>
          <w:rFonts w:hint="eastAsia"/>
        </w:rPr>
        <w:t>评价标准确定</w:t>
      </w:r>
    </w:p>
    <w:p>
      <w:pPr>
        <w:bidi w:val="0"/>
        <w:rPr>
          <w:rFonts w:hint="eastAsia"/>
        </w:rPr>
      </w:pPr>
      <w:r>
        <w:rPr>
          <w:rFonts w:hint="eastAsia"/>
          <w:lang w:eastAsia="zh-CN"/>
        </w:rPr>
        <w:t>（</w:t>
      </w:r>
      <w:r>
        <w:rPr>
          <w:rFonts w:hint="eastAsia"/>
          <w:lang w:val="en-US" w:eastAsia="zh-CN"/>
        </w:rPr>
        <w:t>1）</w:t>
      </w:r>
      <w:r>
        <w:rPr>
          <w:rFonts w:hint="eastAsia"/>
        </w:rPr>
        <w:t>环境质量标准</w:t>
      </w:r>
    </w:p>
    <w:p>
      <w:pPr>
        <w:bidi w:val="0"/>
        <w:rPr>
          <w:rFonts w:hint="eastAsia"/>
        </w:rPr>
      </w:pPr>
      <w:r>
        <w:rPr>
          <w:rFonts w:hint="eastAsia"/>
        </w:rPr>
        <w:t>颗粒物执行《环境空气质量标准》(GB3095-2012)及其修改单中二级标准要求</w:t>
      </w:r>
      <w:r>
        <w:rPr>
          <w:rFonts w:hint="eastAsia"/>
          <w:lang w:eastAsia="zh-CN"/>
        </w:rPr>
        <w:t>，</w:t>
      </w:r>
      <w:r>
        <w:rPr>
          <w:rFonts w:hint="eastAsia"/>
          <w:lang w:val="en-US" w:eastAsia="zh-CN"/>
        </w:rPr>
        <w:t>VOCs、甲醛等</w:t>
      </w:r>
      <w:r>
        <w:rPr>
          <w:rFonts w:hint="eastAsia"/>
          <w:lang w:eastAsia="zh-CN"/>
        </w:rPr>
        <w:t>有机废气参照</w:t>
      </w:r>
      <w:r>
        <w:rPr>
          <w:rFonts w:hint="eastAsia"/>
        </w:rPr>
        <w:t>执行《环境影响评价技术导则大气环境》(HJ2.2-2018)中附录D</w:t>
      </w:r>
      <w:r>
        <w:rPr>
          <w:rFonts w:hint="eastAsia"/>
          <w:lang w:eastAsia="zh-CN"/>
        </w:rPr>
        <w:t>中</w:t>
      </w:r>
      <w:r>
        <w:rPr>
          <w:rFonts w:hint="eastAsia"/>
          <w:lang w:val="en-US" w:eastAsia="zh-CN"/>
        </w:rPr>
        <w:t>的环境质量</w:t>
      </w:r>
      <w:r>
        <w:rPr>
          <w:rFonts w:hint="eastAsia"/>
        </w:rPr>
        <w:t>标准要求，环境质量标准见表</w:t>
      </w:r>
      <w:r>
        <w:rPr>
          <w:rFonts w:hint="eastAsia"/>
          <w:lang w:val="en-US" w:eastAsia="zh-CN"/>
        </w:rPr>
        <w:t>1.3</w:t>
      </w:r>
      <w:r>
        <w:rPr>
          <w:rFonts w:hint="eastAsia"/>
        </w:rPr>
        <w:t>-1。</w:t>
      </w:r>
    </w:p>
    <w:p>
      <w:pPr>
        <w:spacing w:line="480" w:lineRule="exact"/>
        <w:ind w:firstLine="306" w:firstLineChars="145"/>
        <w:jc w:val="center"/>
        <w:rPr>
          <w:b/>
          <w:color w:val="000000" w:themeColor="text1"/>
          <w:sz w:val="21"/>
          <w14:textFill>
            <w14:solidFill>
              <w14:schemeClr w14:val="tx1"/>
            </w14:solidFill>
          </w14:textFill>
        </w:rPr>
      </w:pPr>
      <w:r>
        <w:rPr>
          <w:rFonts w:hint="eastAsia"/>
          <w:b/>
          <w:color w:val="000000" w:themeColor="text1"/>
          <w:sz w:val="21"/>
          <w14:textFill>
            <w14:solidFill>
              <w14:schemeClr w14:val="tx1"/>
            </w14:solidFill>
          </w14:textFill>
        </w:rPr>
        <w:t>表</w:t>
      </w:r>
      <w:r>
        <w:rPr>
          <w:rFonts w:hint="eastAsia"/>
          <w:b/>
          <w:color w:val="000000" w:themeColor="text1"/>
          <w:sz w:val="21"/>
          <w:lang w:val="en-US" w:eastAsia="zh-CN"/>
          <w14:textFill>
            <w14:solidFill>
              <w14:schemeClr w14:val="tx1"/>
            </w14:solidFill>
          </w14:textFill>
        </w:rPr>
        <w:t>1.3</w:t>
      </w:r>
      <w:r>
        <w:rPr>
          <w:rFonts w:hint="eastAsia"/>
          <w:b/>
          <w:color w:val="000000" w:themeColor="text1"/>
          <w:sz w:val="21"/>
          <w14:textFill>
            <w14:solidFill>
              <w14:schemeClr w14:val="tx1"/>
            </w14:solidFill>
          </w14:textFill>
        </w:rPr>
        <w:t>-</w:t>
      </w:r>
      <w:r>
        <w:rPr>
          <w:rFonts w:hint="eastAsia"/>
          <w:b/>
          <w:color w:val="000000" w:themeColor="text1"/>
          <w:sz w:val="21"/>
          <w:lang w:val="en-US" w:eastAsia="zh-CN"/>
          <w14:textFill>
            <w14:solidFill>
              <w14:schemeClr w14:val="tx1"/>
            </w14:solidFill>
          </w14:textFill>
        </w:rPr>
        <w:t xml:space="preserve">1 </w:t>
      </w:r>
      <w:r>
        <w:rPr>
          <w:rFonts w:hint="eastAsia"/>
          <w:b/>
          <w:color w:val="000000" w:themeColor="text1"/>
          <w:sz w:val="21"/>
          <w14:textFill>
            <w14:solidFill>
              <w14:schemeClr w14:val="tx1"/>
            </w14:solidFill>
          </w14:textFill>
        </w:rPr>
        <w:t>环境空气质量评价指标限值</w:t>
      </w:r>
    </w:p>
    <w:tbl>
      <w:tblPr>
        <w:tblStyle w:val="36"/>
        <w:tblW w:w="4998"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042"/>
        <w:gridCol w:w="1771"/>
        <w:gridCol w:w="1260"/>
        <w:gridCol w:w="793"/>
        <w:gridCol w:w="3653"/>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污染物</w:t>
            </w:r>
          </w:p>
        </w:tc>
        <w:tc>
          <w:tcPr>
            <w:tcW w:w="1039" w:type="pc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平均时间</w:t>
            </w:r>
          </w:p>
        </w:tc>
        <w:tc>
          <w:tcPr>
            <w:tcW w:w="739" w:type="pct"/>
            <w:vAlign w:val="center"/>
          </w:tcPr>
          <w:p>
            <w:pPr>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浓度限值</w:t>
            </w:r>
          </w:p>
        </w:tc>
        <w:tc>
          <w:tcPr>
            <w:tcW w:w="465" w:type="pc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单位</w:t>
            </w:r>
          </w:p>
        </w:tc>
        <w:tc>
          <w:tcPr>
            <w:tcW w:w="2143" w:type="pct"/>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标准来源</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Merge w:val="restart"/>
            <w:tcBorders>
              <w:top w:val="single" w:color="auto" w:sz="4" w:space="0"/>
            </w:tcBorders>
            <w:shd w:val="clear" w:color="auto" w:fill="auto"/>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r>
              <w:rPr>
                <w:color w:val="000000" w:themeColor="text1"/>
                <w:sz w:val="21"/>
                <w:szCs w:val="21"/>
                <w14:textFill>
                  <w14:solidFill>
                    <w14:schemeClr w14:val="tx1"/>
                  </w14:solidFill>
                </w14:textFill>
              </w:rPr>
              <w:t>PM</w:t>
            </w:r>
            <w:r>
              <w:rPr>
                <w:color w:val="000000" w:themeColor="text1"/>
                <w:sz w:val="21"/>
                <w:szCs w:val="21"/>
                <w:vertAlign w:val="subscript"/>
                <w14:textFill>
                  <w14:solidFill>
                    <w14:schemeClr w14:val="tx1"/>
                  </w14:solidFill>
                </w14:textFill>
              </w:rPr>
              <w:t>10</w:t>
            </w:r>
          </w:p>
        </w:tc>
        <w:tc>
          <w:tcPr>
            <w:tcW w:w="1039" w:type="pct"/>
            <w:tcBorders>
              <w:top w:val="single" w:color="auto" w:sz="4" w:space="0"/>
            </w:tcBorders>
            <w:shd w:val="clear" w:color="auto" w:fill="auto"/>
            <w:vAlign w:val="center"/>
          </w:tcPr>
          <w:p>
            <w:pPr>
              <w:autoSpaceDE w:val="0"/>
              <w:autoSpaceDN w:val="0"/>
              <w:adjustRightInd w:val="0"/>
              <w:spacing w:line="240" w:lineRule="auto"/>
              <w:ind w:firstLine="0" w:firstLineChars="0"/>
              <w:jc w:val="center"/>
              <w:rPr>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14:textFill>
                  <w14:solidFill>
                    <w14:schemeClr w14:val="tx1"/>
                  </w14:solidFill>
                </w14:textFill>
              </w:rPr>
              <w:t>年平均</w:t>
            </w:r>
          </w:p>
        </w:tc>
        <w:tc>
          <w:tcPr>
            <w:tcW w:w="739" w:type="pct"/>
            <w:tcBorders>
              <w:top w:val="single" w:color="000000" w:sz="4" w:space="0"/>
              <w:bottom w:val="single" w:color="000000" w:sz="6" w:space="0"/>
            </w:tcBorders>
            <w:shd w:val="clear" w:color="auto" w:fill="auto"/>
            <w:vAlign w:val="center"/>
          </w:tcPr>
          <w:p>
            <w:pPr>
              <w:autoSpaceDE w:val="0"/>
              <w:autoSpaceDN w:val="0"/>
              <w:adjustRightInd w:val="0"/>
              <w:spacing w:line="240" w:lineRule="auto"/>
              <w:ind w:firstLine="0" w:firstLineChars="0"/>
              <w:jc w:val="center"/>
              <w:rPr>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14:textFill>
                  <w14:solidFill>
                    <w14:schemeClr w14:val="tx1"/>
                  </w14:solidFill>
                </w14:textFill>
              </w:rPr>
              <w:t>70</w:t>
            </w:r>
          </w:p>
        </w:tc>
        <w:tc>
          <w:tcPr>
            <w:tcW w:w="465" w:type="pct"/>
            <w:vMerge w:val="restart"/>
            <w:tcBorders>
              <w:top w:val="single" w:color="000000" w:sz="4" w:space="0"/>
            </w:tcBorders>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µg/m</w:t>
            </w:r>
            <w:r>
              <w:rPr>
                <w:rFonts w:hint="eastAsia"/>
                <w:color w:val="000000" w:themeColor="text1"/>
                <w:sz w:val="21"/>
                <w:szCs w:val="21"/>
                <w:vertAlign w:val="superscript"/>
                <w14:textFill>
                  <w14:solidFill>
                    <w14:schemeClr w14:val="tx1"/>
                  </w14:solidFill>
                </w14:textFill>
              </w:rPr>
              <w:t>3</w:t>
            </w:r>
          </w:p>
        </w:tc>
        <w:tc>
          <w:tcPr>
            <w:tcW w:w="2143" w:type="pct"/>
            <w:vMerge w:val="restart"/>
            <w:tcBorders>
              <w:top w:val="single" w:color="000000" w:sz="4" w:space="0"/>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《环境空气质量标准》（GB3095-2012）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Merge w:val="continue"/>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1039" w:type="pct"/>
            <w:tcBorders>
              <w:top w:val="single" w:color="000000" w:sz="6" w:space="0"/>
              <w:bottom w:val="single" w:color="000000" w:sz="6" w:space="0"/>
            </w:tcBorders>
            <w:shd w:val="clear" w:color="auto" w:fill="auto"/>
            <w:vAlign w:val="center"/>
          </w:tcPr>
          <w:p>
            <w:pPr>
              <w:autoSpaceDE w:val="0"/>
              <w:autoSpaceDN w:val="0"/>
              <w:adjustRightInd w:val="0"/>
              <w:spacing w:line="240" w:lineRule="auto"/>
              <w:ind w:firstLine="0" w:firstLineChars="0"/>
              <w:jc w:val="center"/>
              <w:rPr>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14:textFill>
                  <w14:solidFill>
                    <w14:schemeClr w14:val="tx1"/>
                  </w14:solidFill>
                </w14:textFill>
              </w:rPr>
              <w:t>24小时平均</w:t>
            </w:r>
          </w:p>
        </w:tc>
        <w:tc>
          <w:tcPr>
            <w:tcW w:w="739" w:type="pct"/>
            <w:tcBorders>
              <w:top w:val="single" w:color="000000" w:sz="6" w:space="0"/>
              <w:bottom w:val="single" w:color="000000" w:sz="6" w:space="0"/>
            </w:tcBorders>
            <w:shd w:val="clear" w:color="auto" w:fill="auto"/>
            <w:vAlign w:val="center"/>
          </w:tcPr>
          <w:p>
            <w:pPr>
              <w:autoSpaceDE w:val="0"/>
              <w:autoSpaceDN w:val="0"/>
              <w:adjustRightInd w:val="0"/>
              <w:spacing w:line="240" w:lineRule="auto"/>
              <w:ind w:firstLine="0" w:firstLineChars="0"/>
              <w:jc w:val="center"/>
              <w:rPr>
                <w:color w:val="000000" w:themeColor="text1"/>
                <w:kern w:val="2"/>
                <w:sz w:val="21"/>
                <w:szCs w:val="21"/>
                <w:lang w:val="en-US" w:eastAsia="zh-CN" w:bidi="ar-SA"/>
                <w14:textFill>
                  <w14:solidFill>
                    <w14:schemeClr w14:val="tx1"/>
                  </w14:solidFill>
                </w14:textFill>
              </w:rPr>
            </w:pPr>
            <w:r>
              <w:rPr>
                <w:rFonts w:hint="eastAsia"/>
                <w:color w:val="000000" w:themeColor="text1"/>
                <w:sz w:val="21"/>
                <w:szCs w:val="21"/>
                <w14:textFill>
                  <w14:solidFill>
                    <w14:schemeClr w14:val="tx1"/>
                  </w14:solidFill>
                </w14:textFill>
              </w:rPr>
              <w:t>150</w:t>
            </w:r>
          </w:p>
        </w:tc>
        <w:tc>
          <w:tcPr>
            <w:tcW w:w="465" w:type="pct"/>
            <w:vMerge w:val="continue"/>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2143" w:type="pct"/>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Merge w:val="restart"/>
            <w:vAlign w:val="center"/>
          </w:tcPr>
          <w:p>
            <w:pPr>
              <w:autoSpaceDE w:val="0"/>
              <w:autoSpaceDN w:val="0"/>
              <w:adjustRightInd w:val="0"/>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TSP</w:t>
            </w:r>
          </w:p>
        </w:tc>
        <w:tc>
          <w:tcPr>
            <w:tcW w:w="1039" w:type="pct"/>
            <w:tcBorders>
              <w:top w:val="single" w:color="000000" w:sz="6" w:space="0"/>
              <w:bottom w:val="single" w:color="auto" w:sz="4" w:space="0"/>
            </w:tcBorders>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年平均</w:t>
            </w:r>
          </w:p>
        </w:tc>
        <w:tc>
          <w:tcPr>
            <w:tcW w:w="739" w:type="pct"/>
            <w:tcBorders>
              <w:top w:val="single" w:color="000000" w:sz="6" w:space="0"/>
              <w:bottom w:val="single" w:color="auto" w:sz="4" w:space="0"/>
            </w:tcBorders>
            <w:vAlign w:val="center"/>
          </w:tcPr>
          <w:p>
            <w:pPr>
              <w:autoSpaceDE w:val="0"/>
              <w:autoSpaceDN w:val="0"/>
              <w:adjustRightInd w:val="0"/>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200</w:t>
            </w:r>
          </w:p>
        </w:tc>
        <w:tc>
          <w:tcPr>
            <w:tcW w:w="465" w:type="pct"/>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2143" w:type="pct"/>
            <w:vMerge w:val="continue"/>
            <w:vAlign w:val="center"/>
          </w:tcPr>
          <w:p>
            <w:pPr>
              <w:spacing w:line="240" w:lineRule="auto"/>
              <w:ind w:firstLine="0" w:firstLineChars="0"/>
              <w:jc w:val="center"/>
              <w:rPr>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Merge w:val="continue"/>
            <w:tcBorders>
              <w:bottom w:val="single" w:color="auto" w:sz="4" w:space="0"/>
            </w:tcBorders>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1039" w:type="pct"/>
            <w:tcBorders>
              <w:top w:val="single" w:color="auto" w:sz="4" w:space="0"/>
              <w:bottom w:val="single" w:color="auto" w:sz="4" w:space="0"/>
            </w:tcBorders>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24小时平均</w:t>
            </w:r>
          </w:p>
        </w:tc>
        <w:tc>
          <w:tcPr>
            <w:tcW w:w="739" w:type="pct"/>
            <w:tcBorders>
              <w:top w:val="single" w:color="auto" w:sz="4" w:space="0"/>
              <w:bottom w:val="single" w:color="auto" w:sz="4" w:space="0"/>
            </w:tcBorders>
            <w:vAlign w:val="center"/>
          </w:tcPr>
          <w:p>
            <w:pPr>
              <w:autoSpaceDE w:val="0"/>
              <w:autoSpaceDN w:val="0"/>
              <w:adjustRightInd w:val="0"/>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300</w:t>
            </w:r>
          </w:p>
        </w:tc>
        <w:tc>
          <w:tcPr>
            <w:tcW w:w="465" w:type="pct"/>
            <w:vMerge w:val="continue"/>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2143" w:type="pct"/>
            <w:vMerge w:val="continue"/>
            <w:tcBorders>
              <w:bottom w:val="single" w:color="000000" w:sz="4" w:space="0"/>
            </w:tcBorders>
            <w:vAlign w:val="center"/>
          </w:tcPr>
          <w:p>
            <w:pPr>
              <w:spacing w:line="240" w:lineRule="auto"/>
              <w:ind w:firstLine="0" w:firstLineChars="0"/>
              <w:jc w:val="center"/>
              <w:rPr>
                <w:color w:val="000000" w:themeColor="text1"/>
                <w:sz w:val="21"/>
                <w:szCs w:val="21"/>
                <w14:textFill>
                  <w14:solidFill>
                    <w14:schemeClr w14:val="tx1"/>
                  </w14:solidFill>
                </w14:textFill>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Align w:val="center"/>
          </w:tcPr>
          <w:p>
            <w:pPr>
              <w:autoSpaceDE w:val="0"/>
              <w:autoSpaceDN w:val="0"/>
              <w:adjustRightInd w:val="0"/>
              <w:spacing w:line="240" w:lineRule="auto"/>
              <w:ind w:firstLine="0" w:firstLineChars="0"/>
              <w:jc w:val="center"/>
              <w:rPr>
                <w:rFonts w:hint="default" w:eastAsia="宋体"/>
                <w:color w:val="000000" w:themeColor="text1"/>
                <w:sz w:val="21"/>
                <w:szCs w:val="21"/>
                <w:u w:val="none"/>
                <w:lang w:val="en-US" w:eastAsia="zh-CN"/>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TVOC</w:t>
            </w:r>
          </w:p>
        </w:tc>
        <w:tc>
          <w:tcPr>
            <w:tcW w:w="1039" w:type="pct"/>
            <w:tcBorders>
              <w:top w:val="single" w:color="auto" w:sz="4" w:space="0"/>
              <w:bottom w:val="single" w:color="auto" w:sz="4" w:space="0"/>
            </w:tcBorders>
            <w:vAlign w:val="center"/>
          </w:tcPr>
          <w:p>
            <w:pPr>
              <w:autoSpaceDE w:val="0"/>
              <w:autoSpaceDN w:val="0"/>
              <w:adjustRightInd w:val="0"/>
              <w:spacing w:line="240" w:lineRule="auto"/>
              <w:ind w:firstLine="0" w:firstLineChars="0"/>
              <w:jc w:val="center"/>
              <w:rPr>
                <w:color w:val="000000" w:themeColor="text1"/>
                <w:sz w:val="21"/>
                <w:szCs w:val="21"/>
                <w:u w:val="none"/>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8</w:t>
            </w:r>
            <w:r>
              <w:rPr>
                <w:rFonts w:hint="eastAsia"/>
                <w:color w:val="000000" w:themeColor="text1"/>
                <w:sz w:val="21"/>
                <w:szCs w:val="21"/>
                <w:u w:val="none"/>
                <w14:textFill>
                  <w14:solidFill>
                    <w14:schemeClr w14:val="tx1"/>
                  </w14:solidFill>
                </w14:textFill>
              </w:rPr>
              <w:t>小时平均</w:t>
            </w:r>
          </w:p>
        </w:tc>
        <w:tc>
          <w:tcPr>
            <w:tcW w:w="739" w:type="pct"/>
            <w:tcBorders>
              <w:top w:val="single" w:color="auto" w:sz="4" w:space="0"/>
              <w:bottom w:val="single" w:color="auto" w:sz="4" w:space="0"/>
            </w:tcBorders>
            <w:vAlign w:val="center"/>
          </w:tcPr>
          <w:p>
            <w:pPr>
              <w:autoSpaceDE w:val="0"/>
              <w:autoSpaceDN w:val="0"/>
              <w:adjustRightInd w:val="0"/>
              <w:spacing w:line="240" w:lineRule="auto"/>
              <w:ind w:firstLine="0" w:firstLineChars="0"/>
              <w:jc w:val="center"/>
              <w:rPr>
                <w:rFonts w:hint="default" w:eastAsia="宋体"/>
                <w:color w:val="000000" w:themeColor="text1"/>
                <w:sz w:val="21"/>
                <w:szCs w:val="21"/>
                <w:u w:val="none"/>
                <w:lang w:val="en-US" w:eastAsia="zh-CN"/>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600</w:t>
            </w:r>
          </w:p>
        </w:tc>
        <w:tc>
          <w:tcPr>
            <w:tcW w:w="465" w:type="pct"/>
            <w:vMerge w:val="continue"/>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2143" w:type="pct"/>
            <w:vMerge w:val="restart"/>
            <w:tcBorders>
              <w:top w:val="single" w:color="000000" w:sz="4" w:space="0"/>
            </w:tcBorders>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《环境影响评价技术导则—大气环境（HJ2.2-2018）》中附录D其他污染物空气质量浓度参考限值</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trPr>
        <w:tc>
          <w:tcPr>
            <w:tcW w:w="612" w:type="pct"/>
            <w:vAlign w:val="center"/>
          </w:tcPr>
          <w:p>
            <w:pPr>
              <w:autoSpaceDE w:val="0"/>
              <w:autoSpaceDN w:val="0"/>
              <w:adjustRightInd w:val="0"/>
              <w:spacing w:line="240" w:lineRule="auto"/>
              <w:ind w:firstLine="0" w:firstLineChars="0"/>
              <w:jc w:val="center"/>
              <w:rPr>
                <w:rFonts w:hint="eastAsia"/>
                <w:color w:val="000000" w:themeColor="text1"/>
                <w:sz w:val="21"/>
                <w:szCs w:val="21"/>
                <w:u w:val="none"/>
                <w:lang w:val="en-US" w:eastAsia="zh-CN"/>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甲醛</w:t>
            </w:r>
          </w:p>
        </w:tc>
        <w:tc>
          <w:tcPr>
            <w:tcW w:w="1039" w:type="pct"/>
            <w:tcBorders>
              <w:top w:val="single" w:color="auto" w:sz="4" w:space="0"/>
            </w:tcBorders>
            <w:vAlign w:val="center"/>
          </w:tcPr>
          <w:p>
            <w:pPr>
              <w:autoSpaceDE w:val="0"/>
              <w:autoSpaceDN w:val="0"/>
              <w:adjustRightInd w:val="0"/>
              <w:spacing w:line="240" w:lineRule="auto"/>
              <w:ind w:firstLine="0" w:firstLineChars="0"/>
              <w:jc w:val="center"/>
              <w:rPr>
                <w:rFonts w:hint="default"/>
                <w:color w:val="000000" w:themeColor="text1"/>
                <w:sz w:val="21"/>
                <w:szCs w:val="21"/>
                <w:u w:val="none"/>
                <w:lang w:val="en-US" w:eastAsia="zh-CN"/>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1</w:t>
            </w:r>
            <w:r>
              <w:rPr>
                <w:rFonts w:hint="eastAsia"/>
                <w:color w:val="000000" w:themeColor="text1"/>
                <w:sz w:val="21"/>
                <w:szCs w:val="21"/>
                <w:u w:val="none"/>
                <w14:textFill>
                  <w14:solidFill>
                    <w14:schemeClr w14:val="tx1"/>
                  </w14:solidFill>
                </w14:textFill>
              </w:rPr>
              <w:t>小时平均</w:t>
            </w:r>
          </w:p>
        </w:tc>
        <w:tc>
          <w:tcPr>
            <w:tcW w:w="739" w:type="pct"/>
            <w:tcBorders>
              <w:top w:val="single" w:color="auto" w:sz="4" w:space="0"/>
            </w:tcBorders>
            <w:vAlign w:val="center"/>
          </w:tcPr>
          <w:p>
            <w:pPr>
              <w:autoSpaceDE w:val="0"/>
              <w:autoSpaceDN w:val="0"/>
              <w:adjustRightInd w:val="0"/>
              <w:spacing w:line="240" w:lineRule="auto"/>
              <w:ind w:firstLine="0" w:firstLineChars="0"/>
              <w:jc w:val="center"/>
              <w:rPr>
                <w:rFonts w:hint="default"/>
                <w:color w:val="000000" w:themeColor="text1"/>
                <w:sz w:val="21"/>
                <w:szCs w:val="21"/>
                <w:u w:val="none"/>
                <w:lang w:val="en-US" w:eastAsia="zh-CN"/>
                <w14:textFill>
                  <w14:solidFill>
                    <w14:schemeClr w14:val="tx1"/>
                  </w14:solidFill>
                </w14:textFill>
              </w:rPr>
            </w:pPr>
            <w:r>
              <w:rPr>
                <w:rFonts w:hint="eastAsia"/>
                <w:color w:val="000000" w:themeColor="text1"/>
                <w:sz w:val="21"/>
                <w:szCs w:val="21"/>
                <w:u w:val="none"/>
                <w:lang w:val="en-US" w:eastAsia="zh-CN"/>
                <w14:textFill>
                  <w14:solidFill>
                    <w14:schemeClr w14:val="tx1"/>
                  </w14:solidFill>
                </w14:textFill>
              </w:rPr>
              <w:t>50</w:t>
            </w:r>
          </w:p>
        </w:tc>
        <w:tc>
          <w:tcPr>
            <w:tcW w:w="465" w:type="pct"/>
            <w:vMerge w:val="continue"/>
            <w:tcBorders>
              <w:bottom w:val="single" w:color="000000" w:sz="4" w:space="0"/>
            </w:tcBorders>
            <w:vAlign w:val="center"/>
          </w:tcPr>
          <w:p>
            <w:pPr>
              <w:autoSpaceDE w:val="0"/>
              <w:autoSpaceDN w:val="0"/>
              <w:adjustRightInd w:val="0"/>
              <w:spacing w:line="240" w:lineRule="auto"/>
              <w:ind w:firstLine="0" w:firstLineChars="0"/>
              <w:jc w:val="center"/>
              <w:rPr>
                <w:color w:val="000000" w:themeColor="text1"/>
                <w:sz w:val="21"/>
                <w:szCs w:val="21"/>
                <w14:textFill>
                  <w14:solidFill>
                    <w14:schemeClr w14:val="tx1"/>
                  </w14:solidFill>
                </w14:textFill>
              </w:rPr>
            </w:pPr>
          </w:p>
        </w:tc>
        <w:tc>
          <w:tcPr>
            <w:tcW w:w="2143" w:type="pct"/>
            <w:vMerge w:val="continue"/>
            <w:tcBorders>
              <w:bottom w:val="single" w:color="000000" w:sz="4" w:space="0"/>
            </w:tcBorders>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r>
    </w:tbl>
    <w:p>
      <w:pPr>
        <w:pStyle w:val="16"/>
        <w:rPr>
          <w:rFonts w:hint="default" w:eastAsia="宋体"/>
          <w:lang w:val="en-US" w:eastAsia="zh-CN"/>
        </w:rPr>
      </w:pPr>
      <w:r>
        <w:rPr>
          <w:rFonts w:hint="eastAsia"/>
          <w:lang w:eastAsia="zh-CN"/>
        </w:rPr>
        <w:t>（</w:t>
      </w:r>
      <w:r>
        <w:rPr>
          <w:rFonts w:hint="eastAsia"/>
          <w:lang w:val="en-US" w:eastAsia="zh-CN"/>
        </w:rPr>
        <w:t>2）污染物排放标准</w:t>
      </w:r>
    </w:p>
    <w:p>
      <w:pPr>
        <w:bidi w:val="0"/>
        <w:rPr>
          <w:rFonts w:hint="eastAsia"/>
          <w:lang w:val="en-US" w:eastAsia="zh-CN"/>
        </w:rPr>
      </w:pPr>
      <w:r>
        <w:rPr>
          <w:rFonts w:hint="eastAsia"/>
          <w:lang w:val="en-US" w:eastAsia="zh-CN"/>
        </w:rPr>
        <w:t>营运期颗粒物有组织排放、污染物厂房外执行《铸造工业大气污染物排放标准》(GB39726-2020)中大气污染物排放限值标准，甲醛、VOCs（以非甲烷总烃表征）有组织排放、无组织厂界排放标准执行《大气污染物综合排放标准》</w:t>
      </w:r>
      <w:r>
        <w:rPr>
          <w:rFonts w:hint="eastAsia"/>
          <w:color w:val="000000" w:themeColor="text1"/>
          <w14:textFill>
            <w14:solidFill>
              <w14:schemeClr w14:val="tx1"/>
            </w14:solidFill>
          </w14:textFill>
        </w:rPr>
        <w:t>（GB16297-1996）表2中</w:t>
      </w:r>
      <w:r>
        <w:rPr>
          <w:rFonts w:hint="eastAsia"/>
          <w:color w:val="000000" w:themeColor="text1"/>
          <w:lang w:eastAsia="zh-CN"/>
          <w14:textFill>
            <w14:solidFill>
              <w14:schemeClr w14:val="tx1"/>
            </w14:solidFill>
          </w14:textFill>
        </w:rPr>
        <w:t>标准限值</w:t>
      </w:r>
      <w:r>
        <w:rPr>
          <w:rFonts w:hint="eastAsia"/>
          <w:lang w:val="en-US" w:eastAsia="zh-CN"/>
        </w:rPr>
        <w:t>。</w:t>
      </w:r>
    </w:p>
    <w:p>
      <w:pPr>
        <w:bidi w:val="0"/>
        <w:spacing w:line="240" w:lineRule="auto"/>
        <w:jc w:val="center"/>
        <w:rPr>
          <w:rFonts w:hint="default" w:ascii="Times New Roman" w:hAnsi="Times New Roman" w:eastAsia="宋体"/>
          <w:b/>
          <w:color w:val="000000" w:themeColor="text1"/>
          <w:kern w:val="2"/>
          <w:sz w:val="21"/>
          <w:szCs w:val="22"/>
          <w:lang w:val="en-US" w:eastAsia="zh-CN" w:bidi="ar-SA"/>
          <w14:textFill>
            <w14:solidFill>
              <w14:schemeClr w14:val="tx1"/>
            </w14:solidFill>
          </w14:textFill>
        </w:rPr>
      </w:pPr>
      <w:r>
        <w:rPr>
          <w:rFonts w:hint="eastAsia" w:ascii="Times New Roman" w:hAnsi="Times New Roman" w:eastAsia="宋体"/>
          <w:b/>
          <w:color w:val="000000" w:themeColor="text1"/>
          <w:kern w:val="2"/>
          <w:sz w:val="21"/>
          <w:szCs w:val="22"/>
          <w:lang w:val="en-US" w:eastAsia="zh-CN" w:bidi="ar-SA"/>
          <w14:textFill>
            <w14:solidFill>
              <w14:schemeClr w14:val="tx1"/>
            </w14:solidFill>
          </w14:textFill>
        </w:rPr>
        <w:t>表1.</w:t>
      </w:r>
      <w:r>
        <w:rPr>
          <w:rFonts w:hint="eastAsia"/>
          <w:b/>
          <w:color w:val="000000" w:themeColor="text1"/>
          <w:kern w:val="2"/>
          <w:sz w:val="21"/>
          <w:szCs w:val="22"/>
          <w:lang w:val="en-US" w:eastAsia="zh-CN" w:bidi="ar-SA"/>
          <w14:textFill>
            <w14:solidFill>
              <w14:schemeClr w14:val="tx1"/>
            </w14:solidFill>
          </w14:textFill>
        </w:rPr>
        <w:t>3</w:t>
      </w:r>
      <w:r>
        <w:rPr>
          <w:rFonts w:hint="eastAsia" w:ascii="Times New Roman" w:hAnsi="Times New Roman" w:eastAsia="宋体"/>
          <w:b/>
          <w:color w:val="000000" w:themeColor="text1"/>
          <w:kern w:val="2"/>
          <w:sz w:val="21"/>
          <w:szCs w:val="22"/>
          <w:lang w:val="en-US" w:eastAsia="zh-CN" w:bidi="ar-SA"/>
          <w14:textFill>
            <w14:solidFill>
              <w14:schemeClr w14:val="tx1"/>
            </w14:solidFill>
          </w14:textFill>
        </w:rPr>
        <w:t>-2  铸造工业大气污染物排放标准 单位mg/m</w:t>
      </w:r>
      <w:r>
        <w:rPr>
          <w:rFonts w:hint="eastAsia" w:ascii="Times New Roman" w:hAnsi="Times New Roman" w:eastAsia="宋体"/>
          <w:b/>
          <w:color w:val="000000" w:themeColor="text1"/>
          <w:kern w:val="2"/>
          <w:sz w:val="21"/>
          <w:szCs w:val="22"/>
          <w:vertAlign w:val="superscript"/>
          <w:lang w:val="en-US" w:eastAsia="zh-CN" w:bidi="ar-SA"/>
          <w14:textFill>
            <w14:solidFill>
              <w14:schemeClr w14:val="tx1"/>
            </w14:solidFill>
          </w14:textFill>
        </w:rPr>
        <w:t>3</w:t>
      </w:r>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978"/>
        <w:gridCol w:w="1164"/>
        <w:gridCol w:w="857"/>
        <w:gridCol w:w="1672"/>
        <w:gridCol w:w="2132"/>
        <w:gridCol w:w="1716"/>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74" w:type="pct"/>
            <w:vMerge w:val="restart"/>
            <w:noWrap w:val="0"/>
            <w:vAlign w:val="center"/>
          </w:tcPr>
          <w:p>
            <w:pPr>
              <w:pStyle w:val="78"/>
              <w:bidi w:val="0"/>
              <w:rPr>
                <w:rFonts w:hint="eastAsia" w:ascii="Times New Roman" w:hAnsi="Times New Roman"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生产过程</w:t>
            </w:r>
          </w:p>
        </w:tc>
        <w:tc>
          <w:tcPr>
            <w:tcW w:w="1186" w:type="pct"/>
            <w:gridSpan w:val="2"/>
            <w:tcBorders>
              <w:right w:val="single" w:color="auto" w:sz="4" w:space="0"/>
            </w:tcBorders>
            <w:noWrap w:val="0"/>
            <w:vAlign w:val="center"/>
          </w:tcPr>
          <w:p>
            <w:pPr>
              <w:pStyle w:val="78"/>
              <w:bidi w:val="0"/>
              <w:rPr>
                <w:rFonts w:hint="eastAsia" w:ascii="Times New Roman" w:hAnsi="Times New Roman" w:eastAsia="宋体"/>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有组织</w:t>
            </w:r>
            <w:r>
              <w:rPr>
                <w:rFonts w:hint="eastAsia" w:ascii="Times New Roman" w:hAnsi="Times New Roman" w:eastAsia="宋体"/>
                <w:color w:val="000000" w:themeColor="text1"/>
                <w:lang w:eastAsia="zh-CN"/>
                <w14:textFill>
                  <w14:solidFill>
                    <w14:schemeClr w14:val="tx1"/>
                  </w14:solidFill>
                </w14:textFill>
              </w:rPr>
              <w:t>排放限值</w:t>
            </w:r>
          </w:p>
        </w:tc>
        <w:tc>
          <w:tcPr>
            <w:tcW w:w="3239" w:type="pct"/>
            <w:gridSpan w:val="3"/>
            <w:tcBorders>
              <w:left w:val="single" w:color="auto" w:sz="4" w:space="0"/>
              <w:right w:val="single" w:color="auto" w:sz="4" w:space="0"/>
            </w:tcBorders>
            <w:noWrap w:val="0"/>
            <w:vAlign w:val="center"/>
          </w:tcPr>
          <w:p>
            <w:pPr>
              <w:pStyle w:val="78"/>
              <w:bidi w:val="0"/>
              <w:rPr>
                <w:rFonts w:hint="eastAsia"/>
                <w:color w:val="000000" w:themeColor="text1"/>
                <w:lang w:eastAsia="zh-CN"/>
                <w14:textFill>
                  <w14:solidFill>
                    <w14:schemeClr w14:val="tx1"/>
                  </w14:solidFill>
                </w14:textFill>
              </w:rPr>
            </w:pPr>
            <w:r>
              <w:rPr>
                <w:rFonts w:hint="eastAsia"/>
                <w:color w:val="000000" w:themeColor="text1"/>
                <w:lang w:eastAsia="zh-CN"/>
                <w14:textFill>
                  <w14:solidFill>
                    <w14:schemeClr w14:val="tx1"/>
                  </w14:solidFill>
                </w14:textFill>
              </w:rPr>
              <w:t>无组织</w:t>
            </w:r>
            <w:r>
              <w:rPr>
                <w:rFonts w:hint="eastAsia" w:ascii="Times New Roman" w:hAnsi="Times New Roman" w:eastAsia="宋体"/>
                <w:color w:val="000000" w:themeColor="text1"/>
                <w:lang w:eastAsia="zh-CN"/>
                <w14:textFill>
                  <w14:solidFill>
                    <w14:schemeClr w14:val="tx1"/>
                  </w14:solidFill>
                </w14:textFill>
              </w:rPr>
              <w:t>排放限值</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74" w:type="pct"/>
            <w:vMerge w:val="continue"/>
            <w:noWrap w:val="0"/>
            <w:vAlign w:val="center"/>
          </w:tcPr>
          <w:p>
            <w:pPr>
              <w:pStyle w:val="78"/>
              <w:bidi w:val="0"/>
              <w:rPr>
                <w:rFonts w:hint="eastAsia" w:ascii="Times New Roman" w:hAnsi="Times New Roman" w:eastAsia="宋体"/>
                <w:color w:val="000000" w:themeColor="text1"/>
                <w:lang w:eastAsia="zh-CN"/>
                <w14:textFill>
                  <w14:solidFill>
                    <w14:schemeClr w14:val="tx1"/>
                  </w14:solidFill>
                </w14:textFill>
              </w:rPr>
            </w:pPr>
          </w:p>
        </w:tc>
        <w:tc>
          <w:tcPr>
            <w:tcW w:w="683" w:type="pct"/>
            <w:noWrap w:val="0"/>
            <w:vAlign w:val="center"/>
          </w:tcPr>
          <w:p>
            <w:pPr>
              <w:pStyle w:val="78"/>
              <w:bidi w:val="0"/>
              <w:rPr>
                <w:rFonts w:hint="eastAsia" w:ascii="Times New Roman" w:hAnsi="Times New Roman" w:eastAsia="宋体"/>
                <w:color w:val="auto"/>
                <w:lang w:eastAsia="zh-CN"/>
              </w:rPr>
            </w:pPr>
            <w:r>
              <w:rPr>
                <w:rFonts w:hint="eastAsia"/>
                <w:color w:val="auto"/>
                <w:lang w:eastAsia="zh-CN"/>
              </w:rPr>
              <w:t>颗粒物</w:t>
            </w:r>
          </w:p>
        </w:tc>
        <w:tc>
          <w:tcPr>
            <w:tcW w:w="502" w:type="pct"/>
            <w:tcBorders>
              <w:right w:val="single" w:color="auto" w:sz="4" w:space="0"/>
            </w:tcBorders>
            <w:noWrap w:val="0"/>
            <w:vAlign w:val="center"/>
          </w:tcPr>
          <w:p>
            <w:pPr>
              <w:pStyle w:val="78"/>
              <w:bidi w:val="0"/>
              <w:rPr>
                <w:rFonts w:hint="default" w:ascii="Times New Roman" w:hAnsi="Times New Roman" w:eastAsia="宋体"/>
                <w:color w:val="auto"/>
                <w:lang w:val="en-US" w:eastAsia="zh-CN"/>
              </w:rPr>
            </w:pPr>
            <w:r>
              <w:rPr>
                <w:rFonts w:hint="eastAsia"/>
                <w:color w:val="auto"/>
                <w:lang w:val="en-US" w:eastAsia="zh-CN"/>
              </w:rPr>
              <w:t>NMHC</w:t>
            </w:r>
          </w:p>
        </w:tc>
        <w:tc>
          <w:tcPr>
            <w:tcW w:w="981" w:type="pct"/>
            <w:tcBorders>
              <w:left w:val="single" w:color="auto" w:sz="4" w:space="0"/>
              <w:right w:val="single" w:color="auto" w:sz="4" w:space="0"/>
            </w:tcBorders>
            <w:noWrap w:val="0"/>
            <w:vAlign w:val="center"/>
          </w:tcPr>
          <w:p>
            <w:pPr>
              <w:pStyle w:val="78"/>
              <w:bidi w:val="0"/>
              <w:ind w:firstLine="0" w:firstLineChars="0"/>
              <w:rPr>
                <w:rFonts w:hint="eastAsia" w:ascii="Times New Roman" w:hAnsi="Times New Roman" w:eastAsia="宋体" w:cstheme="minorBidi"/>
                <w:color w:val="auto"/>
                <w:spacing w:val="2"/>
                <w:kern w:val="2"/>
                <w:sz w:val="21"/>
                <w:szCs w:val="22"/>
                <w:lang w:val="en-US" w:eastAsia="zh-CN" w:bidi="ar-SA"/>
              </w:rPr>
            </w:pPr>
            <w:r>
              <w:rPr>
                <w:rFonts w:hint="eastAsia"/>
                <w:color w:val="auto"/>
                <w:lang w:eastAsia="zh-CN"/>
              </w:rPr>
              <w:t>颗粒物</w:t>
            </w:r>
          </w:p>
        </w:tc>
        <w:tc>
          <w:tcPr>
            <w:tcW w:w="1251" w:type="pct"/>
            <w:tcBorders>
              <w:left w:val="single" w:color="auto" w:sz="4" w:space="0"/>
              <w:right w:val="single" w:color="auto" w:sz="4" w:space="0"/>
            </w:tcBorders>
            <w:noWrap w:val="0"/>
            <w:vAlign w:val="center"/>
          </w:tcPr>
          <w:p>
            <w:pPr>
              <w:pStyle w:val="78"/>
              <w:bidi w:val="0"/>
              <w:ind w:firstLine="0" w:firstLineChars="0"/>
              <w:rPr>
                <w:rFonts w:hint="default" w:ascii="Times New Roman" w:hAnsi="Times New Roman" w:eastAsia="宋体" w:cstheme="minorBidi"/>
                <w:color w:val="auto"/>
                <w:spacing w:val="2"/>
                <w:kern w:val="2"/>
                <w:sz w:val="21"/>
                <w:szCs w:val="22"/>
                <w:lang w:val="en-US" w:eastAsia="zh-CN" w:bidi="ar-SA"/>
              </w:rPr>
            </w:pPr>
            <w:r>
              <w:rPr>
                <w:rFonts w:hint="eastAsia"/>
                <w:color w:val="auto"/>
                <w:lang w:val="en-US" w:eastAsia="zh-CN"/>
              </w:rPr>
              <w:t>NMHC</w:t>
            </w:r>
          </w:p>
        </w:tc>
        <w:tc>
          <w:tcPr>
            <w:tcW w:w="1007" w:type="pct"/>
            <w:tcBorders>
              <w:left w:val="single" w:color="auto" w:sz="4" w:space="0"/>
              <w:right w:val="single" w:color="auto" w:sz="4" w:space="0"/>
            </w:tcBorders>
            <w:noWrap w:val="0"/>
            <w:vAlign w:val="center"/>
          </w:tcPr>
          <w:p>
            <w:pPr>
              <w:pStyle w:val="78"/>
              <w:bidi w:val="0"/>
              <w:ind w:firstLine="0" w:firstLineChars="0"/>
              <w:rPr>
                <w:rFonts w:hint="eastAsia"/>
                <w:color w:val="auto"/>
                <w:lang w:val="en-US" w:eastAsia="zh-CN"/>
              </w:rPr>
            </w:pPr>
            <w:r>
              <w:rPr>
                <w:rFonts w:hint="eastAsia"/>
                <w:color w:val="auto"/>
                <w:lang w:val="en-US" w:eastAsia="zh-CN"/>
              </w:rPr>
              <w:t>无组织排放监控位置</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cantSplit/>
          <w:trHeight w:val="340" w:hRule="atLeast"/>
          <w:jc w:val="center"/>
        </w:trPr>
        <w:tc>
          <w:tcPr>
            <w:tcW w:w="574" w:type="pct"/>
            <w:noWrap w:val="0"/>
            <w:vAlign w:val="center"/>
          </w:tcPr>
          <w:p>
            <w:pPr>
              <w:pStyle w:val="78"/>
              <w:bidi w:val="0"/>
              <w:rPr>
                <w:rFonts w:hint="eastAsia" w:ascii="Times New Roman" w:hAnsi="Times New Roman" w:eastAsia="宋体"/>
                <w:color w:val="000000" w:themeColor="text1"/>
                <w:lang w:eastAsia="zh-CN"/>
                <w14:textFill>
                  <w14:solidFill>
                    <w14:schemeClr w14:val="tx1"/>
                  </w14:solidFill>
                </w14:textFill>
              </w:rPr>
            </w:pPr>
            <w:r>
              <w:rPr>
                <w:rFonts w:hint="eastAsia" w:ascii="Times New Roman" w:hAnsi="Times New Roman" w:eastAsia="宋体"/>
                <w:color w:val="000000" w:themeColor="text1"/>
                <w:lang w:eastAsia="zh-CN"/>
                <w14:textFill>
                  <w14:solidFill>
                    <w14:schemeClr w14:val="tx1"/>
                  </w14:solidFill>
                </w14:textFill>
              </w:rPr>
              <w:t>金属熔化</w:t>
            </w:r>
            <w:r>
              <w:rPr>
                <w:rFonts w:hint="eastAsia"/>
                <w:color w:val="000000" w:themeColor="text1"/>
                <w:lang w:eastAsia="zh-CN"/>
                <w14:textFill>
                  <w14:solidFill>
                    <w14:schemeClr w14:val="tx1"/>
                  </w14:solidFill>
                </w14:textFill>
              </w:rPr>
              <w:t>、浇注</w:t>
            </w:r>
          </w:p>
        </w:tc>
        <w:tc>
          <w:tcPr>
            <w:tcW w:w="683" w:type="pct"/>
            <w:noWrap w:val="0"/>
            <w:vAlign w:val="center"/>
          </w:tcPr>
          <w:p>
            <w:pPr>
              <w:pStyle w:val="78"/>
              <w:bidi w:val="0"/>
              <w:rPr>
                <w:rFonts w:hint="eastAsia" w:ascii="Times New Roman" w:hAnsi="Times New Roman" w:eastAsia="宋体"/>
                <w:color w:val="auto"/>
                <w:lang w:eastAsia="zh-CN"/>
              </w:rPr>
            </w:pPr>
            <w:r>
              <w:rPr>
                <w:rFonts w:hint="eastAsia"/>
                <w:color w:val="auto"/>
                <w:lang w:val="en-US" w:eastAsia="zh-CN"/>
              </w:rPr>
              <w:t>3</w:t>
            </w:r>
            <w:r>
              <w:rPr>
                <w:rFonts w:hint="eastAsia" w:ascii="Times New Roman" w:hAnsi="Times New Roman" w:eastAsia="宋体"/>
                <w:color w:val="auto"/>
                <w:lang w:eastAsia="zh-CN"/>
              </w:rPr>
              <w:t>0</w:t>
            </w:r>
          </w:p>
        </w:tc>
        <w:tc>
          <w:tcPr>
            <w:tcW w:w="502" w:type="pct"/>
            <w:noWrap w:val="0"/>
            <w:vAlign w:val="center"/>
          </w:tcPr>
          <w:p>
            <w:pPr>
              <w:pStyle w:val="78"/>
              <w:bidi w:val="0"/>
              <w:rPr>
                <w:rFonts w:hint="eastAsia" w:ascii="Times New Roman" w:hAnsi="Times New Roman" w:eastAsia="宋体"/>
                <w:color w:val="auto"/>
                <w:lang w:eastAsia="zh-CN"/>
              </w:rPr>
            </w:pPr>
            <w:r>
              <w:rPr>
                <w:rFonts w:hint="eastAsia"/>
                <w:color w:val="auto"/>
                <w:lang w:val="en-US" w:eastAsia="zh-CN"/>
              </w:rPr>
              <w:t>/</w:t>
            </w:r>
          </w:p>
        </w:tc>
        <w:tc>
          <w:tcPr>
            <w:tcW w:w="981" w:type="pct"/>
            <w:tcBorders>
              <w:right w:val="single" w:color="auto" w:sz="4" w:space="0"/>
            </w:tcBorders>
            <w:noWrap w:val="0"/>
            <w:vAlign w:val="center"/>
          </w:tcPr>
          <w:p>
            <w:pPr>
              <w:pStyle w:val="78"/>
              <w:bidi w:val="0"/>
              <w:ind w:firstLine="0" w:firstLineChars="0"/>
              <w:rPr>
                <w:rFonts w:hint="eastAsia" w:ascii="Times New Roman" w:hAnsi="Times New Roman" w:eastAsia="宋体" w:cstheme="minorBidi"/>
                <w:color w:val="auto"/>
                <w:spacing w:val="2"/>
                <w:kern w:val="2"/>
                <w:sz w:val="21"/>
                <w:szCs w:val="22"/>
                <w:lang w:val="en-US" w:eastAsia="zh-CN" w:bidi="ar-SA"/>
              </w:rPr>
            </w:pPr>
            <w:r>
              <w:rPr>
                <w:rFonts w:hint="eastAsia"/>
                <w:color w:val="auto"/>
                <w:lang w:val="en-US" w:eastAsia="zh-CN"/>
              </w:rPr>
              <w:t>5（监控点处1 h平均浓度值）</w:t>
            </w:r>
          </w:p>
        </w:tc>
        <w:tc>
          <w:tcPr>
            <w:tcW w:w="1251" w:type="pct"/>
            <w:tcBorders>
              <w:left w:val="single" w:color="auto" w:sz="4" w:space="0"/>
            </w:tcBorders>
            <w:noWrap w:val="0"/>
            <w:vAlign w:val="center"/>
          </w:tcPr>
          <w:p>
            <w:pPr>
              <w:pStyle w:val="78"/>
              <w:bidi w:val="0"/>
              <w:ind w:firstLine="0" w:firstLineChars="0"/>
              <w:rPr>
                <w:rFonts w:hint="default" w:ascii="Times New Roman" w:hAnsi="Times New Roman" w:eastAsia="宋体" w:cstheme="minorBidi"/>
                <w:color w:val="auto"/>
                <w:spacing w:val="2"/>
                <w:kern w:val="2"/>
                <w:sz w:val="21"/>
                <w:szCs w:val="22"/>
                <w:lang w:val="en-US" w:eastAsia="zh-CN" w:bidi="ar-SA"/>
              </w:rPr>
            </w:pPr>
            <w:r>
              <w:rPr>
                <w:rFonts w:hint="eastAsia"/>
                <w:color w:val="auto"/>
                <w:lang w:val="en-US" w:eastAsia="zh-CN"/>
              </w:rPr>
              <w:t>10（监控点处1 h平均浓度值）；30（监控点处任意一次浓度值）</w:t>
            </w:r>
          </w:p>
        </w:tc>
        <w:tc>
          <w:tcPr>
            <w:tcW w:w="1007" w:type="pct"/>
            <w:tcBorders>
              <w:left w:val="single" w:color="auto" w:sz="4" w:space="0"/>
            </w:tcBorders>
            <w:noWrap w:val="0"/>
            <w:vAlign w:val="center"/>
          </w:tcPr>
          <w:p>
            <w:pPr>
              <w:pStyle w:val="78"/>
              <w:bidi w:val="0"/>
              <w:ind w:firstLine="0" w:firstLineChars="0"/>
              <w:rPr>
                <w:rFonts w:hint="eastAsia"/>
                <w:color w:val="auto"/>
                <w:lang w:val="en-US" w:eastAsia="zh-CN"/>
              </w:rPr>
            </w:pPr>
            <w:r>
              <w:rPr>
                <w:rFonts w:hint="eastAsia"/>
                <w:color w:val="auto"/>
                <w:lang w:val="en-US" w:eastAsia="zh-CN"/>
              </w:rPr>
              <w:t>在厂房外设置监控点</w:t>
            </w:r>
          </w:p>
        </w:tc>
      </w:tr>
    </w:tbl>
    <w:p>
      <w:pPr>
        <w:pStyle w:val="79"/>
        <w:spacing w:before="120" w:beforeLines="5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表</w:t>
      </w:r>
      <w:r>
        <w:rPr>
          <w:rFonts w:hint="eastAsia"/>
          <w:color w:val="000000" w:themeColor="text1"/>
          <w:lang w:val="en-US" w:eastAsia="zh-CN"/>
          <w14:textFill>
            <w14:solidFill>
              <w14:schemeClr w14:val="tx1"/>
            </w14:solidFill>
          </w14:textFill>
        </w:rPr>
        <w:t>1.3-3</w:t>
      </w:r>
      <w:r>
        <w:rPr>
          <w:rFonts w:hint="eastAsia"/>
          <w:color w:val="000000" w:themeColor="text1"/>
          <w14:textFill>
            <w14:solidFill>
              <w14:schemeClr w14:val="tx1"/>
            </w14:solidFill>
          </w14:textFill>
        </w:rPr>
        <w:t>大气污染物排放标准</w:t>
      </w:r>
    </w:p>
    <w:tbl>
      <w:tblPr>
        <w:tblStyle w:val="36"/>
        <w:tblW w:w="4998" w:type="pct"/>
        <w:jc w:val="center"/>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Layout w:type="autofit"/>
        <w:tblCellMar>
          <w:top w:w="0" w:type="dxa"/>
          <w:left w:w="108" w:type="dxa"/>
          <w:bottom w:w="0" w:type="dxa"/>
          <w:right w:w="108" w:type="dxa"/>
        </w:tblCellMar>
      </w:tblPr>
      <w:tblGrid>
        <w:gridCol w:w="794"/>
        <w:gridCol w:w="1237"/>
        <w:gridCol w:w="1179"/>
        <w:gridCol w:w="1401"/>
        <w:gridCol w:w="1194"/>
        <w:gridCol w:w="2714"/>
      </w:tblGrid>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PrEx>
        <w:trPr>
          <w:trHeight w:val="340" w:hRule="atLeast"/>
          <w:jc w:val="center"/>
        </w:trPr>
        <w:tc>
          <w:tcPr>
            <w:tcW w:w="466" w:type="pct"/>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污染源</w:t>
            </w:r>
          </w:p>
        </w:tc>
        <w:tc>
          <w:tcPr>
            <w:tcW w:w="726" w:type="pct"/>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污染物名称</w:t>
            </w:r>
          </w:p>
        </w:tc>
        <w:tc>
          <w:tcPr>
            <w:tcW w:w="692" w:type="pct"/>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排放浓度</w:t>
            </w:r>
          </w:p>
        </w:tc>
        <w:tc>
          <w:tcPr>
            <w:tcW w:w="822" w:type="pct"/>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排放速率</w:t>
            </w:r>
          </w:p>
        </w:tc>
        <w:tc>
          <w:tcPr>
            <w:tcW w:w="700" w:type="pct"/>
            <w:vAlign w:val="center"/>
          </w:tcPr>
          <w:p>
            <w:pPr>
              <w:pStyle w:val="74"/>
              <w:rPr>
                <w:rFonts w:hint="eastAsia"/>
                <w:color w:val="000000" w:themeColor="text1"/>
                <w:szCs w:val="21"/>
                <w:u w:val="none"/>
                <w:lang w:val="en-US" w:eastAsia="zh-CN"/>
                <w14:textFill>
                  <w14:solidFill>
                    <w14:schemeClr w14:val="tx1"/>
                  </w14:solidFill>
                </w14:textFill>
              </w:rPr>
            </w:pPr>
            <w:r>
              <w:rPr>
                <w:rFonts w:hint="default"/>
                <w:color w:val="000000" w:themeColor="text1"/>
                <w:szCs w:val="21"/>
                <w:u w:val="none"/>
                <w:lang w:val="en-US" w:eastAsia="zh-CN"/>
                <w14:textFill>
                  <w14:solidFill>
                    <w14:schemeClr w14:val="tx1"/>
                  </w14:solidFill>
                </w14:textFill>
              </w:rPr>
              <w:t>企业边界无组织排放监控点浓度限值</w:t>
            </w:r>
          </w:p>
        </w:tc>
        <w:tc>
          <w:tcPr>
            <w:tcW w:w="1592" w:type="pct"/>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标准名称</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6" w:type="pct"/>
            <w:vMerge w:val="restart"/>
            <w:tcBorders>
              <w:top w:val="single" w:color="auto" w:sz="4" w:space="0"/>
            </w:tcBorders>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制芯、浇注</w:t>
            </w:r>
          </w:p>
        </w:tc>
        <w:tc>
          <w:tcPr>
            <w:tcW w:w="726" w:type="pct"/>
            <w:tcBorders>
              <w:top w:val="single" w:color="auto" w:sz="4" w:space="0"/>
              <w:bottom w:val="single" w:color="auto" w:sz="4" w:space="0"/>
            </w:tcBorders>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甲醛</w:t>
            </w:r>
          </w:p>
        </w:tc>
        <w:tc>
          <w:tcPr>
            <w:tcW w:w="692" w:type="pct"/>
            <w:tcBorders>
              <w:top w:val="single" w:color="auto" w:sz="4" w:space="0"/>
              <w:bottom w:val="single" w:color="auto" w:sz="4" w:space="0"/>
            </w:tcBorders>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25</w:t>
            </w:r>
          </w:p>
        </w:tc>
        <w:tc>
          <w:tcPr>
            <w:tcW w:w="822" w:type="pct"/>
            <w:tcBorders>
              <w:top w:val="single" w:color="auto" w:sz="4" w:space="0"/>
              <w:bottom w:val="single" w:color="auto" w:sz="4" w:space="0"/>
            </w:tcBorders>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0.26kg/h(15m高排气筒)</w:t>
            </w:r>
          </w:p>
        </w:tc>
        <w:tc>
          <w:tcPr>
            <w:tcW w:w="700" w:type="pct"/>
            <w:tcBorders>
              <w:top w:val="single" w:color="auto" w:sz="4" w:space="0"/>
              <w:bottom w:val="single" w:color="auto" w:sz="4" w:space="0"/>
            </w:tcBorders>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0.2mg/m</w:t>
            </w:r>
            <w:r>
              <w:rPr>
                <w:rFonts w:hint="eastAsia"/>
                <w:color w:val="000000" w:themeColor="text1"/>
                <w:szCs w:val="21"/>
                <w:u w:val="none"/>
                <w:vertAlign w:val="superscript"/>
                <w:lang w:val="en-US" w:eastAsia="zh-CN"/>
                <w14:textFill>
                  <w14:solidFill>
                    <w14:schemeClr w14:val="tx1"/>
                  </w14:solidFill>
                </w14:textFill>
              </w:rPr>
              <w:t>3</w:t>
            </w:r>
          </w:p>
        </w:tc>
        <w:tc>
          <w:tcPr>
            <w:tcW w:w="1592" w:type="pct"/>
            <w:vMerge w:val="restart"/>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《大气污染物综合排放标准》（GB16297-1996）表2中二级标准限值</w:t>
            </w:r>
          </w:p>
        </w:tc>
      </w:tr>
      <w:tr>
        <w:tblPrEx>
          <w:tblBorders>
            <w:top w:val="single" w:color="auto" w:sz="2" w:space="0"/>
            <w:left w:val="single" w:color="auto" w:sz="2" w:space="0"/>
            <w:bottom w:val="single" w:color="auto" w:sz="2" w:space="0"/>
            <w:right w:val="single" w:color="auto" w:sz="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466" w:type="pct"/>
            <w:vMerge w:val="continue"/>
            <w:tcBorders>
              <w:bottom w:val="single" w:color="auto" w:sz="4" w:space="0"/>
            </w:tcBorders>
            <w:vAlign w:val="center"/>
          </w:tcPr>
          <w:p>
            <w:pPr>
              <w:pStyle w:val="74"/>
              <w:rPr>
                <w:rFonts w:hint="eastAsia"/>
                <w:color w:val="000000" w:themeColor="text1"/>
                <w:szCs w:val="21"/>
                <w:u w:val="none"/>
                <w:lang w:val="en-US" w:eastAsia="zh-CN"/>
                <w14:textFill>
                  <w14:solidFill>
                    <w14:schemeClr w14:val="tx1"/>
                  </w14:solidFill>
                </w14:textFill>
              </w:rPr>
            </w:pPr>
          </w:p>
        </w:tc>
        <w:tc>
          <w:tcPr>
            <w:tcW w:w="726" w:type="pct"/>
            <w:tcBorders>
              <w:top w:val="single" w:color="auto" w:sz="4" w:space="0"/>
              <w:bottom w:val="single" w:color="auto" w:sz="4" w:space="0"/>
            </w:tcBorders>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非甲烷总烃</w:t>
            </w:r>
          </w:p>
        </w:tc>
        <w:tc>
          <w:tcPr>
            <w:tcW w:w="692" w:type="pct"/>
            <w:tcBorders>
              <w:top w:val="single" w:color="auto" w:sz="4" w:space="0"/>
              <w:bottom w:val="single" w:color="auto" w:sz="4" w:space="0"/>
            </w:tcBorders>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120</w:t>
            </w:r>
          </w:p>
        </w:tc>
        <w:tc>
          <w:tcPr>
            <w:tcW w:w="822" w:type="pct"/>
            <w:tcBorders>
              <w:top w:val="single" w:color="auto" w:sz="4" w:space="0"/>
              <w:bottom w:val="single" w:color="auto" w:sz="4" w:space="0"/>
            </w:tcBorders>
            <w:vAlign w:val="center"/>
          </w:tcPr>
          <w:p>
            <w:pPr>
              <w:pStyle w:val="74"/>
              <w:rPr>
                <w:rFonts w:hint="eastAsia"/>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10kg/h(15m高排气筒)</w:t>
            </w:r>
          </w:p>
        </w:tc>
        <w:tc>
          <w:tcPr>
            <w:tcW w:w="700" w:type="pct"/>
            <w:tcBorders>
              <w:top w:val="single" w:color="auto" w:sz="4" w:space="0"/>
              <w:bottom w:val="single" w:color="auto" w:sz="4" w:space="0"/>
            </w:tcBorders>
            <w:vAlign w:val="center"/>
          </w:tcPr>
          <w:p>
            <w:pPr>
              <w:pStyle w:val="74"/>
              <w:rPr>
                <w:rFonts w:hint="default"/>
                <w:color w:val="000000" w:themeColor="text1"/>
                <w:szCs w:val="21"/>
                <w:u w:val="none"/>
                <w:lang w:val="en-US" w:eastAsia="zh-CN"/>
                <w14:textFill>
                  <w14:solidFill>
                    <w14:schemeClr w14:val="tx1"/>
                  </w14:solidFill>
                </w14:textFill>
              </w:rPr>
            </w:pPr>
            <w:r>
              <w:rPr>
                <w:rFonts w:hint="eastAsia"/>
                <w:color w:val="000000" w:themeColor="text1"/>
                <w:szCs w:val="21"/>
                <w:u w:val="none"/>
                <w:lang w:val="en-US" w:eastAsia="zh-CN"/>
                <w14:textFill>
                  <w14:solidFill>
                    <w14:schemeClr w14:val="tx1"/>
                  </w14:solidFill>
                </w14:textFill>
              </w:rPr>
              <w:t>4.0mg/m</w:t>
            </w:r>
            <w:r>
              <w:rPr>
                <w:rFonts w:hint="eastAsia"/>
                <w:color w:val="000000" w:themeColor="text1"/>
                <w:szCs w:val="21"/>
                <w:u w:val="none"/>
                <w:vertAlign w:val="superscript"/>
                <w:lang w:val="en-US" w:eastAsia="zh-CN"/>
                <w14:textFill>
                  <w14:solidFill>
                    <w14:schemeClr w14:val="tx1"/>
                  </w14:solidFill>
                </w14:textFill>
              </w:rPr>
              <w:t>3</w:t>
            </w:r>
          </w:p>
        </w:tc>
        <w:tc>
          <w:tcPr>
            <w:tcW w:w="1592" w:type="pct"/>
            <w:vMerge w:val="continue"/>
            <w:vAlign w:val="center"/>
          </w:tcPr>
          <w:p>
            <w:pPr>
              <w:pStyle w:val="74"/>
              <w:rPr>
                <w:rFonts w:hint="eastAsia"/>
                <w:color w:val="000000" w:themeColor="text1"/>
                <w:szCs w:val="21"/>
                <w:u w:val="none"/>
                <w:lang w:val="en-US" w:eastAsia="zh-CN"/>
                <w14:textFill>
                  <w14:solidFill>
                    <w14:schemeClr w14:val="tx1"/>
                  </w14:solidFill>
                </w14:textFill>
              </w:rPr>
            </w:pPr>
          </w:p>
        </w:tc>
      </w:tr>
    </w:tbl>
    <w:p>
      <w:pPr>
        <w:pStyle w:val="5"/>
        <w:rPr>
          <w:rFonts w:hint="eastAsia"/>
          <w:color w:val="000000"/>
        </w:rPr>
      </w:pPr>
      <w:bookmarkStart w:id="19" w:name="_Toc11544"/>
      <w:bookmarkStart w:id="20" w:name="_Toc22893"/>
      <w:bookmarkStart w:id="21" w:name="_Toc31518"/>
      <w:bookmarkStart w:id="22" w:name="_Toc22186"/>
      <w:bookmarkStart w:id="23" w:name="_Toc21408"/>
      <w:r>
        <w:rPr>
          <w:rFonts w:hint="eastAsia"/>
          <w:color w:val="000000"/>
        </w:rPr>
        <w:t>评价的目的和评价重点</w:t>
      </w:r>
      <w:bookmarkEnd w:id="19"/>
      <w:bookmarkEnd w:id="20"/>
      <w:bookmarkEnd w:id="21"/>
      <w:bookmarkEnd w:id="22"/>
      <w:bookmarkEnd w:id="23"/>
    </w:p>
    <w:p>
      <w:pPr>
        <w:pStyle w:val="6"/>
        <w:rPr>
          <w:rFonts w:hint="eastAsia"/>
          <w:color w:val="000000"/>
        </w:rPr>
      </w:pPr>
      <w:r>
        <w:rPr>
          <w:rFonts w:hint="eastAsia"/>
          <w:color w:val="000000"/>
        </w:rPr>
        <w:t>评价目的</w:t>
      </w:r>
    </w:p>
    <w:p>
      <w:pPr>
        <w:ind w:firstLine="480"/>
        <w:rPr>
          <w:rFonts w:hint="eastAsia" w:ascii="宋体" w:hAnsi="宋体" w:cs="宋体"/>
          <w:color w:val="000000"/>
        </w:rPr>
      </w:pPr>
      <w:r>
        <w:rPr>
          <w:rFonts w:hint="eastAsia" w:ascii="宋体" w:hAnsi="宋体" w:cs="宋体"/>
          <w:color w:val="000000"/>
        </w:rPr>
        <w:t>根据指南要求，排放废气含有有毒有害污染物等需进行大气专项评价，通过判定大气环境评价等级，确定评价的内容。</w:t>
      </w:r>
    </w:p>
    <w:p>
      <w:pPr>
        <w:pStyle w:val="6"/>
        <w:rPr>
          <w:rFonts w:hint="eastAsia"/>
          <w:color w:val="000000"/>
        </w:rPr>
      </w:pPr>
      <w:r>
        <w:rPr>
          <w:rFonts w:hint="eastAsia"/>
          <w:color w:val="000000"/>
        </w:rPr>
        <w:t>评价重点</w:t>
      </w:r>
    </w:p>
    <w:p>
      <w:pPr>
        <w:ind w:firstLine="480"/>
        <w:rPr>
          <w:rFonts w:hint="eastAsia" w:ascii="宋体" w:hAnsi="宋体" w:cs="宋体"/>
          <w:color w:val="000000"/>
          <w:sz w:val="28"/>
          <w:szCs w:val="28"/>
        </w:rPr>
      </w:pPr>
      <w:r>
        <w:rPr>
          <w:rFonts w:hint="eastAsia" w:ascii="宋体" w:hAnsi="宋体" w:cs="宋体"/>
          <w:color w:val="000000"/>
        </w:rPr>
        <w:t>分析评估</w:t>
      </w:r>
      <w:r>
        <w:rPr>
          <w:rFonts w:hint="eastAsia" w:ascii="宋体" w:hAnsi="宋体" w:cs="宋体"/>
          <w:color w:val="000000"/>
          <w:lang w:eastAsia="zh-CN"/>
        </w:rPr>
        <w:t>项目</w:t>
      </w:r>
      <w:r>
        <w:rPr>
          <w:rFonts w:hint="eastAsia" w:ascii="宋体" w:hAnsi="宋体" w:cs="宋体"/>
          <w:color w:val="000000"/>
        </w:rPr>
        <w:t>废气排放对大气环境的影响程度和范围，论证废气处理措施的可行性。</w:t>
      </w:r>
    </w:p>
    <w:p>
      <w:pPr>
        <w:pStyle w:val="5"/>
        <w:rPr>
          <w:rFonts w:hint="eastAsia"/>
          <w:color w:val="000000"/>
        </w:rPr>
      </w:pPr>
      <w:bookmarkStart w:id="24" w:name="_Toc17583"/>
      <w:bookmarkStart w:id="25" w:name="_Toc31219"/>
      <w:bookmarkStart w:id="26" w:name="_Toc7883"/>
      <w:bookmarkStart w:id="27" w:name="_Toc13477"/>
      <w:bookmarkStart w:id="28" w:name="_Toc16702"/>
      <w:r>
        <w:rPr>
          <w:rFonts w:hint="eastAsia"/>
          <w:color w:val="000000"/>
        </w:rPr>
        <w:t>评价工作等级</w:t>
      </w:r>
      <w:bookmarkEnd w:id="24"/>
      <w:bookmarkEnd w:id="25"/>
      <w:bookmarkEnd w:id="26"/>
      <w:bookmarkEnd w:id="27"/>
      <w:r>
        <w:rPr>
          <w:rFonts w:hint="eastAsia"/>
          <w:color w:val="000000"/>
          <w:lang w:eastAsia="zh-CN"/>
        </w:rPr>
        <w:t>和评价范围</w:t>
      </w:r>
      <w:bookmarkEnd w:id="28"/>
      <w:r>
        <w:rPr>
          <w:rFonts w:hint="eastAsia"/>
          <w:color w:val="000000"/>
        </w:rPr>
        <w:t xml:space="preserve"> </w:t>
      </w:r>
    </w:p>
    <w:p>
      <w:pPr>
        <w:pStyle w:val="6"/>
        <w:bidi w:val="0"/>
        <w:rPr>
          <w:rFonts w:hint="default"/>
        </w:rPr>
      </w:pPr>
      <w:r>
        <w:rPr>
          <w:rFonts w:hint="eastAsia"/>
          <w:lang w:eastAsia="zh-CN"/>
        </w:rPr>
        <w:t>评价工作等级</w:t>
      </w:r>
    </w:p>
    <w:p>
      <w:pPr>
        <w:spacing w:line="360" w:lineRule="auto"/>
        <w:ind w:firstLine="480"/>
        <w:rPr>
          <w:rFonts w:hint="default" w:ascii="Times New Roman" w:hAnsi="Times New Roman" w:eastAsia="宋体" w:cs="Times New Roman"/>
          <w:color w:val="auto"/>
          <w:highlight w:val="none"/>
          <w:u w:val="none" w:color="auto"/>
          <w:lang w:val="en-US" w:eastAsia="zh-CN"/>
        </w:rPr>
      </w:pPr>
      <w:r>
        <w:rPr>
          <w:rFonts w:hint="eastAsia" w:ascii="Times New Roman" w:hAnsi="Times New Roman" w:cs="Times New Roman"/>
          <w:color w:val="auto"/>
          <w:highlight w:val="none"/>
          <w:u w:val="none" w:color="auto"/>
          <w:lang w:val="en-US" w:eastAsia="zh-CN"/>
        </w:rPr>
        <w:t>（1）等级判定方案</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根据工程分析结果，本项目排放的污染物包含颗粒物、</w:t>
      </w:r>
      <w:r>
        <w:rPr>
          <w:rFonts w:hint="eastAsia" w:ascii="Times New Roman" w:hAnsi="Times New Roman" w:cs="Times New Roman"/>
          <w:color w:val="auto"/>
          <w:highlight w:val="none"/>
          <w:u w:val="none" w:color="auto"/>
          <w:lang w:val="en-US" w:eastAsia="zh-CN"/>
        </w:rPr>
        <w:t>VOCs、甲醛</w:t>
      </w:r>
      <w:r>
        <w:rPr>
          <w:rFonts w:hint="default" w:ascii="Times New Roman" w:hAnsi="Times New Roman" w:cs="Times New Roman"/>
          <w:color w:val="auto"/>
          <w:highlight w:val="none"/>
          <w:u w:val="none" w:color="auto"/>
        </w:rPr>
        <w:t>，按照《环境影响评价技术导则大气环境》（HJ2.2-2018）规定，分别计算每一种污染物的最大地面浓度占标率P</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（第i个污染物），及第i个污染物的地面浓度达标准限值10%时所对应的最远距离D</w:t>
      </w:r>
      <w:r>
        <w:rPr>
          <w:rFonts w:hint="default" w:ascii="Times New Roman" w:hAnsi="Times New Roman" w:cs="Times New Roman"/>
          <w:color w:val="auto"/>
          <w:highlight w:val="none"/>
          <w:u w:val="none" w:color="auto"/>
          <w:vertAlign w:val="subscript"/>
        </w:rPr>
        <w:t>10%</w:t>
      </w:r>
      <w:r>
        <w:rPr>
          <w:rFonts w:hint="default" w:ascii="Times New Roman" w:hAnsi="Times New Roman" w:cs="Times New Roman"/>
          <w:color w:val="auto"/>
          <w:highlight w:val="none"/>
          <w:u w:val="none" w:color="auto"/>
        </w:rPr>
        <w:t>，其中P</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定义为：</w:t>
      </w:r>
    </w:p>
    <w:p>
      <w:pPr>
        <w:spacing w:line="360" w:lineRule="auto"/>
        <w:ind w:firstLine="480"/>
        <w:jc w:val="center"/>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P</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＝（C</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/C</w:t>
      </w:r>
      <w:r>
        <w:rPr>
          <w:rFonts w:hint="default" w:ascii="Times New Roman" w:hAnsi="Times New Roman" w:cs="Times New Roman"/>
          <w:color w:val="auto"/>
          <w:highlight w:val="none"/>
          <w:u w:val="none" w:color="auto"/>
          <w:vertAlign w:val="subscript"/>
        </w:rPr>
        <w:t>0i</w:t>
      </w:r>
      <w:r>
        <w:rPr>
          <w:rFonts w:hint="default" w:ascii="Times New Roman" w:hAnsi="Times New Roman" w:cs="Times New Roman"/>
          <w:color w:val="auto"/>
          <w:highlight w:val="none"/>
          <w:u w:val="none" w:color="auto"/>
        </w:rPr>
        <w:t>）×100%</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式中：P</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－第i个污染物的最大地面浓度占标率，%；</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C</w:t>
      </w:r>
      <w:r>
        <w:rPr>
          <w:rFonts w:hint="default" w:ascii="Times New Roman" w:hAnsi="Times New Roman" w:cs="Times New Roman"/>
          <w:color w:val="auto"/>
          <w:highlight w:val="none"/>
          <w:u w:val="none" w:color="auto"/>
          <w:vertAlign w:val="subscript"/>
        </w:rPr>
        <w:t>i</w:t>
      </w:r>
      <w:r>
        <w:rPr>
          <w:rFonts w:hint="default" w:ascii="Times New Roman" w:hAnsi="Times New Roman" w:cs="Times New Roman"/>
          <w:color w:val="auto"/>
          <w:highlight w:val="none"/>
          <w:u w:val="none" w:color="auto"/>
        </w:rPr>
        <w:t>－采用估算模式计算出的第i个污染物的最大地面浓度，mg/m</w:t>
      </w:r>
      <w:r>
        <w:rPr>
          <w:rFonts w:hint="default" w:ascii="Times New Roman" w:hAnsi="Times New Roman" w:cs="Times New Roman"/>
          <w:color w:val="auto"/>
          <w:highlight w:val="none"/>
          <w:u w:val="none" w:color="auto"/>
          <w:vertAlign w:val="superscript"/>
        </w:rPr>
        <w:t>3</w:t>
      </w:r>
      <w:r>
        <w:rPr>
          <w:rFonts w:hint="default" w:ascii="Times New Roman" w:hAnsi="Times New Roman" w:cs="Times New Roman"/>
          <w:color w:val="auto"/>
          <w:highlight w:val="none"/>
          <w:u w:val="none" w:color="auto"/>
        </w:rPr>
        <w:t>；</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C</w:t>
      </w:r>
      <w:r>
        <w:rPr>
          <w:rFonts w:hint="default" w:ascii="Times New Roman" w:hAnsi="Times New Roman" w:cs="Times New Roman"/>
          <w:color w:val="auto"/>
          <w:highlight w:val="none"/>
          <w:u w:val="none" w:color="auto"/>
          <w:vertAlign w:val="subscript"/>
        </w:rPr>
        <w:t>0i</w:t>
      </w:r>
      <w:r>
        <w:rPr>
          <w:rFonts w:hint="default" w:ascii="Times New Roman" w:hAnsi="Times New Roman" w:cs="Times New Roman"/>
          <w:color w:val="auto"/>
          <w:highlight w:val="none"/>
          <w:u w:val="none" w:color="auto"/>
        </w:rPr>
        <w:t>－第i个污染物的环境空气质量标准，mg/m</w:t>
      </w:r>
      <w:r>
        <w:rPr>
          <w:rFonts w:hint="default" w:ascii="Times New Roman" w:hAnsi="Times New Roman" w:cs="Times New Roman"/>
          <w:color w:val="auto"/>
          <w:highlight w:val="none"/>
          <w:u w:val="none" w:color="auto"/>
          <w:vertAlign w:val="superscript"/>
        </w:rPr>
        <w:t>3</w:t>
      </w:r>
      <w:r>
        <w:rPr>
          <w:rFonts w:hint="default" w:ascii="Times New Roman" w:hAnsi="Times New Roman" w:cs="Times New Roman"/>
          <w:color w:val="auto"/>
          <w:highlight w:val="none"/>
          <w:u w:val="none" w:color="auto"/>
        </w:rPr>
        <w:t>。</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C</w:t>
      </w:r>
      <w:r>
        <w:rPr>
          <w:rFonts w:hint="default" w:ascii="Times New Roman" w:hAnsi="Times New Roman" w:cs="Times New Roman"/>
          <w:color w:val="auto"/>
          <w:highlight w:val="none"/>
          <w:u w:val="none" w:color="auto"/>
          <w:vertAlign w:val="subscript"/>
        </w:rPr>
        <w:t>0i</w:t>
      </w:r>
      <w:r>
        <w:rPr>
          <w:rFonts w:hint="default" w:ascii="Times New Roman" w:hAnsi="Times New Roman" w:cs="Times New Roman"/>
          <w:color w:val="auto"/>
          <w:highlight w:val="none"/>
          <w:u w:val="none" w:color="auto"/>
        </w:rPr>
        <w:t>一般选用《环境空气质量标准》（GB3095-2012）中1小时平均取样时间的二级标准的浓度限值；对于没有小时浓度限值的污染物，取日平均浓度限值的三倍值。</w:t>
      </w:r>
    </w:p>
    <w:p>
      <w:pPr>
        <w:spacing w:line="360" w:lineRule="auto"/>
        <w:ind w:firstLine="480"/>
        <w:rPr>
          <w:rFonts w:hint="default" w:ascii="Times New Roman" w:hAnsi="Times New Roman" w:cs="Times New Roman"/>
          <w:color w:val="auto"/>
          <w:highlight w:val="none"/>
          <w:u w:val="none" w:color="auto"/>
        </w:rPr>
      </w:pPr>
      <w:r>
        <w:rPr>
          <w:rFonts w:hint="default" w:ascii="Times New Roman" w:hAnsi="Times New Roman" w:cs="Times New Roman"/>
          <w:color w:val="auto"/>
          <w:highlight w:val="none"/>
          <w:u w:val="none" w:color="auto"/>
        </w:rPr>
        <w:t>评价工作等级的判定依据见表1.</w:t>
      </w:r>
      <w:r>
        <w:rPr>
          <w:rFonts w:hint="eastAsia" w:ascii="Times New Roman" w:hAnsi="Times New Roman" w:cs="Times New Roman"/>
          <w:color w:val="auto"/>
          <w:highlight w:val="none"/>
          <w:u w:val="none" w:color="auto"/>
          <w:lang w:val="en-US" w:eastAsia="zh-CN"/>
        </w:rPr>
        <w:t>5</w:t>
      </w:r>
      <w:r>
        <w:rPr>
          <w:rFonts w:hint="default" w:ascii="Times New Roman" w:hAnsi="Times New Roman" w:cs="Times New Roman"/>
          <w:color w:val="auto"/>
          <w:highlight w:val="none"/>
          <w:u w:val="none" w:color="auto"/>
        </w:rPr>
        <w:t>-</w:t>
      </w:r>
      <w:r>
        <w:rPr>
          <w:rFonts w:hint="eastAsia" w:ascii="Times New Roman" w:hAnsi="Times New Roman" w:cs="Times New Roman"/>
          <w:color w:val="auto"/>
          <w:highlight w:val="none"/>
          <w:u w:val="none" w:color="auto"/>
          <w:lang w:val="en-US" w:eastAsia="zh-CN"/>
        </w:rPr>
        <w:t>1</w:t>
      </w:r>
      <w:r>
        <w:rPr>
          <w:rFonts w:hint="default" w:ascii="Times New Roman" w:hAnsi="Times New Roman" w:cs="Times New Roman"/>
          <w:color w:val="auto"/>
          <w:highlight w:val="none"/>
          <w:u w:val="none" w:color="auto"/>
        </w:rPr>
        <w:t>。</w:t>
      </w:r>
    </w:p>
    <w:p>
      <w:pPr>
        <w:spacing w:line="240" w:lineRule="auto"/>
        <w:ind w:firstLine="0" w:firstLineChars="0"/>
        <w:jc w:val="center"/>
        <w:rPr>
          <w:rFonts w:hint="default" w:ascii="Times New Roman" w:hAnsi="Times New Roman" w:cs="Times New Roman"/>
          <w:b/>
          <w:bCs/>
          <w:color w:val="auto"/>
          <w:sz w:val="21"/>
          <w:szCs w:val="21"/>
          <w:highlight w:val="none"/>
          <w:u w:val="none" w:color="auto"/>
        </w:rPr>
      </w:pPr>
      <w:bookmarkStart w:id="29" w:name="_Ref498285494"/>
      <w:bookmarkStart w:id="30" w:name="_Ref500606777"/>
      <w:r>
        <w:rPr>
          <w:rFonts w:hint="default" w:ascii="Times New Roman" w:hAnsi="Times New Roman" w:cs="Times New Roman"/>
          <w:b/>
          <w:bCs/>
          <w:color w:val="auto"/>
          <w:sz w:val="21"/>
          <w:szCs w:val="21"/>
          <w:highlight w:val="none"/>
          <w:u w:val="none" w:color="auto"/>
        </w:rPr>
        <w:t>表1.</w:t>
      </w:r>
      <w:bookmarkEnd w:id="29"/>
      <w:r>
        <w:rPr>
          <w:rFonts w:hint="eastAsia" w:ascii="Times New Roman" w:hAnsi="Times New Roman" w:cs="Times New Roman"/>
          <w:b/>
          <w:bCs/>
          <w:color w:val="auto"/>
          <w:sz w:val="21"/>
          <w:szCs w:val="21"/>
          <w:highlight w:val="none"/>
          <w:u w:val="none" w:color="auto"/>
          <w:lang w:val="en-US" w:eastAsia="zh-CN"/>
        </w:rPr>
        <w:t>5</w:t>
      </w:r>
      <w:r>
        <w:rPr>
          <w:rFonts w:hint="default" w:ascii="Times New Roman" w:hAnsi="Times New Roman" w:cs="Times New Roman"/>
          <w:b/>
          <w:bCs/>
          <w:color w:val="auto"/>
          <w:sz w:val="21"/>
          <w:szCs w:val="21"/>
          <w:highlight w:val="none"/>
          <w:u w:val="none" w:color="auto"/>
        </w:rPr>
        <w:t>-</w:t>
      </w:r>
      <w:r>
        <w:rPr>
          <w:rFonts w:hint="eastAsia" w:ascii="Times New Roman" w:hAnsi="Times New Roman" w:cs="Times New Roman"/>
          <w:b/>
          <w:bCs/>
          <w:color w:val="auto"/>
          <w:sz w:val="21"/>
          <w:szCs w:val="21"/>
          <w:highlight w:val="none"/>
          <w:u w:val="none" w:color="auto"/>
          <w:lang w:val="en-US" w:eastAsia="zh-CN"/>
        </w:rPr>
        <w:t>1</w:t>
      </w:r>
      <w:r>
        <w:rPr>
          <w:rFonts w:hint="default" w:ascii="Times New Roman" w:hAnsi="Times New Roman" w:cs="Times New Roman"/>
          <w:b/>
          <w:bCs/>
          <w:color w:val="auto"/>
          <w:sz w:val="21"/>
          <w:szCs w:val="21"/>
          <w:highlight w:val="none"/>
          <w:u w:val="none" w:color="auto"/>
          <w:lang w:val="en-US" w:eastAsia="zh-CN"/>
        </w:rPr>
        <w:t xml:space="preserve"> </w:t>
      </w:r>
      <w:r>
        <w:rPr>
          <w:rFonts w:hint="eastAsia" w:ascii="Times New Roman" w:hAnsi="Times New Roman" w:cs="Times New Roman"/>
          <w:b/>
          <w:bCs/>
          <w:color w:val="auto"/>
          <w:sz w:val="21"/>
          <w:szCs w:val="21"/>
          <w:highlight w:val="none"/>
          <w:u w:val="none" w:color="auto"/>
          <w:lang w:val="en-US" w:eastAsia="zh-CN"/>
        </w:rPr>
        <w:t xml:space="preserve"> </w:t>
      </w:r>
      <w:r>
        <w:rPr>
          <w:rFonts w:hint="default" w:ascii="Times New Roman" w:hAnsi="Times New Roman" w:cs="Times New Roman"/>
          <w:b/>
          <w:bCs/>
          <w:color w:val="auto"/>
          <w:sz w:val="21"/>
          <w:szCs w:val="21"/>
          <w:highlight w:val="none"/>
          <w:u w:val="none" w:color="auto"/>
        </w:rPr>
        <w:t>评价工作等级判据</w:t>
      </w:r>
      <w:bookmarkEnd w:id="30"/>
    </w:p>
    <w:tbl>
      <w:tblPr>
        <w:tblStyle w:val="36"/>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28" w:type="dxa"/>
          <w:left w:w="108" w:type="dxa"/>
          <w:bottom w:w="28" w:type="dxa"/>
          <w:right w:w="108" w:type="dxa"/>
        </w:tblCellMar>
      </w:tblPr>
      <w:tblGrid>
        <w:gridCol w:w="2811"/>
        <w:gridCol w:w="5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649" w:type="pct"/>
            <w:tcBorders>
              <w:tl2br w:val="nil"/>
              <w:tr2bl w:val="nil"/>
            </w:tcBorders>
            <w:noWrap w:val="0"/>
            <w:vAlign w:val="center"/>
          </w:tcPr>
          <w:p>
            <w:pPr>
              <w:pStyle w:val="48"/>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评价工作等级</w:t>
            </w:r>
          </w:p>
        </w:tc>
        <w:tc>
          <w:tcPr>
            <w:tcW w:w="3351" w:type="pct"/>
            <w:tcBorders>
              <w:tl2br w:val="nil"/>
              <w:tr2bl w:val="nil"/>
            </w:tcBorders>
            <w:noWrap w:val="0"/>
            <w:vAlign w:val="center"/>
          </w:tcPr>
          <w:p>
            <w:pPr>
              <w:pStyle w:val="48"/>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评价工作等级判据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649"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一级</w:t>
            </w:r>
          </w:p>
        </w:tc>
        <w:tc>
          <w:tcPr>
            <w:tcW w:w="3351"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Pmax≥10%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649"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二级</w:t>
            </w:r>
          </w:p>
        </w:tc>
        <w:tc>
          <w:tcPr>
            <w:tcW w:w="3351"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1%≤Pmax&lt;10%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28" w:type="dxa"/>
            <w:left w:w="108" w:type="dxa"/>
            <w:bottom w:w="28" w:type="dxa"/>
            <w:right w:w="108" w:type="dxa"/>
          </w:tblCellMar>
        </w:tblPrEx>
        <w:trPr>
          <w:trHeight w:val="340" w:hRule="atLeast"/>
          <w:jc w:val="center"/>
        </w:trPr>
        <w:tc>
          <w:tcPr>
            <w:tcW w:w="1649"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三级</w:t>
            </w:r>
          </w:p>
        </w:tc>
        <w:tc>
          <w:tcPr>
            <w:tcW w:w="3351" w:type="pct"/>
            <w:tcBorders>
              <w:tl2br w:val="nil"/>
              <w:tr2bl w:val="nil"/>
            </w:tcBorders>
            <w:noWrap w:val="0"/>
            <w:vAlign w:val="center"/>
          </w:tcPr>
          <w:p>
            <w:pPr>
              <w:pStyle w:val="48"/>
              <w:rPr>
                <w:rFonts w:hint="default" w:ascii="Times New Roman" w:hAnsi="Times New Roman" w:cs="Times New Roman"/>
                <w:color w:val="auto"/>
                <w:sz w:val="21"/>
                <w:szCs w:val="21"/>
                <w:highlight w:val="none"/>
                <w:u w:val="none" w:color="auto"/>
              </w:rPr>
            </w:pPr>
            <w:r>
              <w:rPr>
                <w:rFonts w:hint="default" w:ascii="Times New Roman" w:hAnsi="Times New Roman" w:cs="Times New Roman"/>
                <w:color w:val="auto"/>
                <w:sz w:val="21"/>
                <w:szCs w:val="21"/>
                <w:highlight w:val="none"/>
                <w:u w:val="none" w:color="auto"/>
              </w:rPr>
              <w:t>Pmax&lt;1%</w:t>
            </w:r>
          </w:p>
        </w:tc>
      </w:tr>
    </w:tbl>
    <w:p>
      <w:pPr>
        <w:ind w:firstLine="480"/>
        <w:rPr>
          <w:rFonts w:hint="default" w:ascii="Times New Roman" w:hAnsi="Times New Roman" w:cs="Times New Roman"/>
          <w:color w:val="auto"/>
          <w:highlight w:val="none"/>
          <w:u w:val="none" w:color="auto"/>
        </w:rPr>
      </w:pPr>
      <w:bookmarkStart w:id="31" w:name="_Ref498285505"/>
      <w:bookmarkStart w:id="32" w:name="_Ref501026224"/>
      <w:bookmarkStart w:id="33" w:name="_Ref313462827"/>
      <w:r>
        <w:rPr>
          <w:rFonts w:hint="default" w:ascii="Times New Roman" w:hAnsi="Times New Roman" w:cs="Times New Roman"/>
          <w:color w:val="auto"/>
          <w:highlight w:val="none"/>
          <w:u w:val="none" w:color="auto"/>
        </w:rPr>
        <w:t>采用导则中推荐的AERSCREEN估算模型分别对主要污染物进行计算，AERSCREEN估算模型参数见表1.5-2。</w:t>
      </w:r>
    </w:p>
    <w:p>
      <w:pPr>
        <w:spacing w:before="120" w:beforeLines="50" w:line="240" w:lineRule="auto"/>
        <w:ind w:firstLine="0" w:firstLineChars="0"/>
        <w:jc w:val="center"/>
        <w:rPr>
          <w:rFonts w:hint="default" w:ascii="Times New Roman" w:hAnsi="Times New Roman" w:cs="Times New Roman"/>
          <w:b/>
          <w:bCs/>
          <w:color w:val="auto"/>
          <w:sz w:val="21"/>
          <w:szCs w:val="21"/>
          <w:highlight w:val="none"/>
          <w:u w:val="none" w:color="auto"/>
        </w:rPr>
      </w:pPr>
      <w:r>
        <w:rPr>
          <w:rFonts w:hint="default" w:ascii="Times New Roman" w:hAnsi="Times New Roman" w:cs="Times New Roman"/>
          <w:b/>
          <w:bCs/>
          <w:color w:val="auto"/>
          <w:sz w:val="21"/>
          <w:szCs w:val="21"/>
          <w:highlight w:val="none"/>
          <w:u w:val="none" w:color="auto"/>
        </w:rPr>
        <w:t>表1.</w:t>
      </w:r>
      <w:r>
        <w:rPr>
          <w:rFonts w:hint="eastAsia" w:ascii="Times New Roman" w:hAnsi="Times New Roman" w:cs="Times New Roman"/>
          <w:b/>
          <w:bCs/>
          <w:color w:val="auto"/>
          <w:sz w:val="21"/>
          <w:szCs w:val="21"/>
          <w:highlight w:val="none"/>
          <w:u w:val="none" w:color="auto"/>
          <w:lang w:val="en-US" w:eastAsia="zh-CN"/>
        </w:rPr>
        <w:t>5</w:t>
      </w:r>
      <w:r>
        <w:rPr>
          <w:rFonts w:hint="default" w:ascii="Times New Roman" w:hAnsi="Times New Roman" w:cs="Times New Roman"/>
          <w:b/>
          <w:bCs/>
          <w:color w:val="auto"/>
          <w:sz w:val="21"/>
          <w:szCs w:val="21"/>
          <w:highlight w:val="none"/>
          <w:u w:val="none" w:color="auto"/>
        </w:rPr>
        <w:t>-</w:t>
      </w:r>
      <w:r>
        <w:rPr>
          <w:rFonts w:hint="eastAsia" w:ascii="Times New Roman" w:hAnsi="Times New Roman" w:cs="Times New Roman"/>
          <w:b/>
          <w:bCs/>
          <w:color w:val="auto"/>
          <w:sz w:val="21"/>
          <w:szCs w:val="21"/>
          <w:highlight w:val="none"/>
          <w:u w:val="none" w:color="auto"/>
          <w:lang w:val="en-US" w:eastAsia="zh-CN"/>
        </w:rPr>
        <w:t>2</w:t>
      </w:r>
      <w:r>
        <w:rPr>
          <w:rFonts w:hint="default" w:ascii="Times New Roman" w:hAnsi="Times New Roman" w:cs="Times New Roman"/>
          <w:b/>
          <w:bCs/>
          <w:color w:val="auto"/>
          <w:sz w:val="21"/>
          <w:szCs w:val="21"/>
          <w:highlight w:val="none"/>
          <w:u w:val="none" w:color="auto"/>
          <w:lang w:val="en-US" w:eastAsia="zh-CN"/>
        </w:rPr>
        <w:t xml:space="preserve"> </w:t>
      </w:r>
      <w:r>
        <w:rPr>
          <w:rFonts w:hint="eastAsia" w:ascii="Times New Roman" w:hAnsi="Times New Roman" w:cs="Times New Roman"/>
          <w:b/>
          <w:bCs/>
          <w:color w:val="auto"/>
          <w:sz w:val="21"/>
          <w:szCs w:val="21"/>
          <w:highlight w:val="none"/>
          <w:u w:val="none" w:color="auto"/>
          <w:lang w:val="en-US" w:eastAsia="zh-CN"/>
        </w:rPr>
        <w:t xml:space="preserve"> </w:t>
      </w:r>
      <w:r>
        <w:rPr>
          <w:rFonts w:hint="default" w:ascii="Times New Roman" w:hAnsi="Times New Roman" w:cs="Times New Roman"/>
          <w:b/>
          <w:bCs/>
          <w:color w:val="auto"/>
          <w:sz w:val="21"/>
          <w:szCs w:val="21"/>
          <w:highlight w:val="none"/>
          <w:u w:val="none" w:color="auto"/>
        </w:rPr>
        <w:t>估算模型参数表</w:t>
      </w:r>
    </w:p>
    <w:tbl>
      <w:tblPr>
        <w:tblStyle w:val="36"/>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39"/>
        <w:gridCol w:w="2841"/>
        <w:gridCol w:w="28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33" w:type="pct"/>
            <w:gridSpan w:val="2"/>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参数</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取值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restar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城市/农村选项</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城市/农村</w:t>
            </w:r>
          </w:p>
        </w:tc>
        <w:tc>
          <w:tcPr>
            <w:tcW w:w="1666" w:type="pct"/>
            <w:tcBorders>
              <w:tl2br w:val="nil"/>
              <w:tr2bl w:val="nil"/>
            </w:tcBorders>
            <w:noWrap w:val="0"/>
            <w:vAlign w:val="center"/>
          </w:tcPr>
          <w:p>
            <w:pPr>
              <w:spacing w:line="240" w:lineRule="auto"/>
              <w:ind w:firstLine="0" w:firstLineChars="0"/>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continue"/>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人口数（城市选项时）</w:t>
            </w:r>
          </w:p>
        </w:tc>
        <w:tc>
          <w:tcPr>
            <w:tcW w:w="1666" w:type="pct"/>
            <w:tcBorders>
              <w:tl2br w:val="nil"/>
              <w:tr2bl w:val="nil"/>
            </w:tcBorders>
            <w:noWrap w:val="0"/>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9.66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33" w:type="pct"/>
            <w:gridSpan w:val="2"/>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最高环境温度/℃</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39.3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33" w:type="pct"/>
            <w:gridSpan w:val="2"/>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最低环境温度/℃</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33" w:type="pct"/>
            <w:gridSpan w:val="2"/>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土地利用类型</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333" w:type="pct"/>
            <w:gridSpan w:val="2"/>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区域湿度条件</w:t>
            </w:r>
          </w:p>
        </w:tc>
        <w:tc>
          <w:tcPr>
            <w:tcW w:w="1666" w:type="pct"/>
            <w:tcBorders>
              <w:tl2br w:val="nil"/>
              <w:tr2bl w:val="nil"/>
            </w:tcBorders>
            <w:noWrap w:val="0"/>
            <w:vAlign w:val="center"/>
          </w:tcPr>
          <w:p>
            <w:pPr>
              <w:spacing w:line="240" w:lineRule="auto"/>
              <w:ind w:firstLine="0" w:firstLineChars="0"/>
              <w:jc w:val="center"/>
              <w:rPr>
                <w:rFonts w:hint="eastAsia" w:eastAsia="宋体"/>
                <w:color w:val="000000" w:themeColor="text1"/>
                <w:sz w:val="21"/>
                <w:szCs w:val="21"/>
                <w:lang w:eastAsia="zh-CN"/>
                <w14:textFill>
                  <w14:solidFill>
                    <w14:schemeClr w14:val="tx1"/>
                  </w14:solidFill>
                </w14:textFill>
              </w:rPr>
            </w:pPr>
            <w:r>
              <w:rPr>
                <w:rFonts w:hint="eastAsia"/>
                <w:color w:val="auto"/>
                <w:sz w:val="21"/>
                <w:szCs w:val="21"/>
                <w:u w:val="none"/>
                <w:lang w:eastAsia="zh-CN"/>
              </w:rPr>
              <w:t>湿润区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restar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是否考虑地形</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考虑地形</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不</w:t>
            </w:r>
            <w:r>
              <w:rPr>
                <w:rFonts w:hint="default"/>
                <w:color w:val="000000" w:themeColor="text1"/>
                <w:sz w:val="21"/>
                <w:szCs w:val="21"/>
                <w14:textFill>
                  <w14:solidFill>
                    <w14:schemeClr w14:val="tx1"/>
                  </w14:solidFill>
                </w14:textFill>
              </w:rPr>
              <w:t>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continue"/>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地形数据分辨率/m</w:t>
            </w:r>
          </w:p>
        </w:tc>
        <w:tc>
          <w:tcPr>
            <w:tcW w:w="1666" w:type="pct"/>
            <w:tcBorders>
              <w:tl2br w:val="nil"/>
              <w:tr2bl w:val="nil"/>
            </w:tcBorders>
            <w:noWrap w:val="0"/>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r>
              <w:rPr>
                <w:rFonts w:hint="default"/>
                <w:color w:val="000000" w:themeColor="text1"/>
                <w:sz w:val="21"/>
                <w:szCs w:val="21"/>
                <w14:textFill>
                  <w14:solidFill>
                    <w14:schemeClr w14:val="tx1"/>
                  </w14:solidFill>
                </w14:textFill>
              </w:rPr>
              <w:t>90</w:t>
            </w:r>
            <w:r>
              <w:rPr>
                <w:rFonts w:hint="eastAsia"/>
                <w:color w:val="000000" w:themeColor="text1"/>
                <w:sz w:val="21"/>
                <w:szCs w:val="21"/>
                <w:lang w:val="en-US" w:eastAsia="zh-CN"/>
                <w14:textFill>
                  <w14:solidFill>
                    <w14:schemeClr w14:val="tx1"/>
                  </w14:solidFill>
                </w14:textFill>
              </w:rPr>
              <w:t>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restar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是否考虑岸线熏烟</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考虑岸线熏烟</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不考虑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continue"/>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岸线距离/km</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666" w:type="pct"/>
            <w:vMerge w:val="continue"/>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岸线方向/°</w:t>
            </w:r>
          </w:p>
        </w:tc>
        <w:tc>
          <w:tcPr>
            <w:tcW w:w="1666" w:type="pct"/>
            <w:tcBorders>
              <w:tl2br w:val="nil"/>
              <w:tr2bl w:val="nil"/>
            </w:tcBorders>
            <w:noWrap w:val="0"/>
            <w:vAlign w:val="center"/>
          </w:tcPr>
          <w:p>
            <w:pPr>
              <w:spacing w:line="240" w:lineRule="auto"/>
              <w:ind w:firstLine="0" w:firstLineChars="0"/>
              <w:jc w:val="center"/>
              <w:rPr>
                <w:rFonts w:hint="default"/>
                <w:color w:val="000000" w:themeColor="text1"/>
                <w:sz w:val="21"/>
                <w:szCs w:val="21"/>
                <w14:textFill>
                  <w14:solidFill>
                    <w14:schemeClr w14:val="tx1"/>
                  </w14:solidFill>
                </w14:textFill>
              </w:rPr>
            </w:pPr>
            <w:r>
              <w:rPr>
                <w:rFonts w:hint="default"/>
                <w:color w:val="000000" w:themeColor="text1"/>
                <w:sz w:val="21"/>
                <w:szCs w:val="21"/>
                <w14:textFill>
                  <w14:solidFill>
                    <w14:schemeClr w14:val="tx1"/>
                  </w14:solidFill>
                </w14:textFill>
              </w:rPr>
              <w:t>/</w:t>
            </w:r>
          </w:p>
        </w:tc>
      </w:tr>
    </w:tbl>
    <w:p>
      <w:pPr>
        <w:pStyle w:val="16"/>
        <w:ind w:firstLine="48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（2）污染源强</w:t>
      </w:r>
    </w:p>
    <w:p>
      <w:pPr>
        <w:pStyle w:val="16"/>
        <w:ind w:firstLine="480"/>
        <w:rPr>
          <w:rFonts w:hint="default" w:eastAsia="宋体"/>
          <w:color w:val="000000" w:themeColor="text1"/>
          <w:lang w:val="en-US" w:eastAsia="zh-CN"/>
          <w14:textFill>
            <w14:solidFill>
              <w14:schemeClr w14:val="tx1"/>
            </w14:solidFill>
          </w14:textFill>
        </w:rPr>
      </w:pPr>
      <w:r>
        <w:rPr>
          <w:rFonts w:hint="default" w:ascii="Times New Roman" w:hAnsi="Times New Roman" w:cs="Times New Roman"/>
          <w:color w:val="000000"/>
          <w:lang w:val="en-US" w:eastAsia="zh-CN"/>
        </w:rPr>
        <w:t>污染源强计算参数见</w:t>
      </w:r>
      <w:r>
        <w:rPr>
          <w:rFonts w:hint="eastAsia" w:ascii="Times New Roman" w:hAnsi="Times New Roman" w:cs="Times New Roman"/>
          <w:color w:val="000000"/>
          <w:lang w:val="en-US" w:eastAsia="zh-CN"/>
        </w:rPr>
        <w:t>下</w:t>
      </w:r>
      <w:r>
        <w:rPr>
          <w:rFonts w:hint="default" w:ascii="Times New Roman" w:hAnsi="Times New Roman" w:cs="Times New Roman"/>
          <w:color w:val="000000"/>
          <w:lang w:val="en-US" w:eastAsia="zh-CN"/>
        </w:rPr>
        <w:t>表</w:t>
      </w:r>
      <w:r>
        <w:rPr>
          <w:rFonts w:hint="eastAsia" w:ascii="Times New Roman" w:hAnsi="Times New Roman" w:cs="Times New Roman"/>
          <w:color w:val="000000"/>
          <w:lang w:val="en-US" w:eastAsia="zh-CN"/>
        </w:rPr>
        <w:t>1.5-3</w:t>
      </w:r>
      <w:r>
        <w:rPr>
          <w:rFonts w:hint="eastAsia"/>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1.5-4</w:t>
      </w:r>
      <w:r>
        <w:rPr>
          <w:rFonts w:hint="eastAsia"/>
          <w:color w:val="000000" w:themeColor="text1"/>
          <w14:textFill>
            <w14:solidFill>
              <w14:schemeClr w14:val="tx1"/>
            </w14:solidFill>
          </w14:textFill>
        </w:rPr>
        <w:t>。</w:t>
      </w:r>
    </w:p>
    <w:p>
      <w:pPr>
        <w:spacing w:line="240" w:lineRule="auto"/>
        <w:ind w:firstLine="422"/>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表</w:t>
      </w:r>
      <w:r>
        <w:rPr>
          <w:rFonts w:hint="eastAsia"/>
          <w:b/>
          <w:bCs/>
          <w:color w:val="000000" w:themeColor="text1"/>
          <w:sz w:val="21"/>
          <w:szCs w:val="21"/>
          <w:lang w:val="en-US" w:eastAsia="zh-CN"/>
          <w14:textFill>
            <w14:solidFill>
              <w14:schemeClr w14:val="tx1"/>
            </w14:solidFill>
          </w14:textFill>
        </w:rPr>
        <w:t xml:space="preserve">1.5-3 </w:t>
      </w:r>
      <w:r>
        <w:rPr>
          <w:rFonts w:hint="eastAsia"/>
          <w:b/>
          <w:bCs/>
          <w:color w:val="000000" w:themeColor="text1"/>
          <w:sz w:val="21"/>
          <w:szCs w:val="21"/>
          <w14:textFill>
            <w14:solidFill>
              <w14:schemeClr w14:val="tx1"/>
            </w14:solidFill>
          </w14:textFill>
        </w:rPr>
        <w:t>有组织废气排气口排放参数表</w:t>
      </w:r>
    </w:p>
    <w:tbl>
      <w:tblPr>
        <w:tblStyle w:val="36"/>
        <w:tblW w:w="4995" w:type="pct"/>
        <w:tblInd w:w="0" w:type="dxa"/>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Layout w:type="fixed"/>
        <w:tblCellMar>
          <w:top w:w="0" w:type="dxa"/>
          <w:left w:w="0" w:type="dxa"/>
          <w:bottom w:w="0" w:type="dxa"/>
          <w:right w:w="0" w:type="dxa"/>
        </w:tblCellMar>
      </w:tblPr>
      <w:tblGrid>
        <w:gridCol w:w="745"/>
        <w:gridCol w:w="614"/>
        <w:gridCol w:w="553"/>
        <w:gridCol w:w="779"/>
        <w:gridCol w:w="583"/>
        <w:gridCol w:w="644"/>
        <w:gridCol w:w="764"/>
        <w:gridCol w:w="766"/>
        <w:gridCol w:w="664"/>
        <w:gridCol w:w="658"/>
        <w:gridCol w:w="774"/>
        <w:gridCol w:w="785"/>
      </w:tblGrid>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447"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排气筒名称</w:t>
            </w:r>
          </w:p>
        </w:tc>
        <w:tc>
          <w:tcPr>
            <w:tcW w:w="700" w:type="pct"/>
            <w:gridSpan w:val="2"/>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排气筒底部中心坐标/m</w:t>
            </w:r>
          </w:p>
        </w:tc>
        <w:tc>
          <w:tcPr>
            <w:tcW w:w="467"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排气筒底部海拔高度/m</w:t>
            </w:r>
          </w:p>
        </w:tc>
        <w:tc>
          <w:tcPr>
            <w:tcW w:w="349"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排气筒高度/m</w:t>
            </w:r>
          </w:p>
        </w:tc>
        <w:tc>
          <w:tcPr>
            <w:tcW w:w="386"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排气筒出口内径/m</w:t>
            </w:r>
          </w:p>
        </w:tc>
        <w:tc>
          <w:tcPr>
            <w:tcW w:w="458"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烟气流速/（m/s）</w:t>
            </w:r>
          </w:p>
        </w:tc>
        <w:tc>
          <w:tcPr>
            <w:tcW w:w="459"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烟气温度/℃</w:t>
            </w:r>
          </w:p>
        </w:tc>
        <w:tc>
          <w:tcPr>
            <w:tcW w:w="398"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年排放小时数/h</w:t>
            </w:r>
          </w:p>
        </w:tc>
        <w:tc>
          <w:tcPr>
            <w:tcW w:w="395"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排放工况</w:t>
            </w:r>
          </w:p>
        </w:tc>
        <w:tc>
          <w:tcPr>
            <w:tcW w:w="935" w:type="pct"/>
            <w:gridSpan w:val="2"/>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污染物及排放速率/（</w:t>
            </w:r>
            <w:r>
              <w:rPr>
                <w:rFonts w:hint="eastAsia"/>
                <w:bCs/>
                <w:color w:val="000000" w:themeColor="text1"/>
                <w:sz w:val="21"/>
                <w:szCs w:val="21"/>
                <w:lang w:val="en-US" w:eastAsia="zh-CN"/>
                <w14:textFill>
                  <w14:solidFill>
                    <w14:schemeClr w14:val="tx1"/>
                  </w14:solidFill>
                </w14:textFill>
              </w:rPr>
              <w:t>kg</w:t>
            </w:r>
            <w:r>
              <w:rPr>
                <w:rFonts w:hint="eastAsia"/>
                <w:bCs/>
                <w:color w:val="000000" w:themeColor="text1"/>
                <w:sz w:val="21"/>
                <w:szCs w:val="21"/>
                <w14:textFill>
                  <w14:solidFill>
                    <w14:schemeClr w14:val="tx1"/>
                  </w14:solidFill>
                </w14:textFill>
              </w:rPr>
              <w:t>/</w:t>
            </w:r>
            <w:r>
              <w:rPr>
                <w:rFonts w:hint="eastAsia"/>
                <w:bCs/>
                <w:color w:val="000000" w:themeColor="text1"/>
                <w:sz w:val="21"/>
                <w:szCs w:val="21"/>
                <w:lang w:val="en-US" w:eastAsia="zh-CN"/>
                <w14:textFill>
                  <w14:solidFill>
                    <w14:schemeClr w14:val="tx1"/>
                  </w14:solidFill>
                </w14:textFill>
              </w:rPr>
              <w:t>h</w:t>
            </w:r>
            <w:r>
              <w:rPr>
                <w:rFonts w:hint="eastAsia"/>
                <w:color w:val="000000" w:themeColor="text1"/>
                <w:sz w:val="21"/>
                <w:szCs w:val="21"/>
                <w14:textFill>
                  <w14:solidFill>
                    <w14:schemeClr w14:val="tx1"/>
                  </w14:solidFill>
                </w14:textFill>
              </w:rPr>
              <w:t>)</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40"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368" w:type="pc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经度</w:t>
            </w:r>
          </w:p>
        </w:tc>
        <w:tc>
          <w:tcPr>
            <w:tcW w:w="331" w:type="pc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纬度</w:t>
            </w: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349"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386"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395" w:type="pct"/>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c>
          <w:tcPr>
            <w:tcW w:w="935" w:type="pct"/>
            <w:gridSpan w:val="2"/>
            <w:vMerge w:val="continue"/>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71" w:hRule="atLeast"/>
        </w:trPr>
        <w:tc>
          <w:tcPr>
            <w:tcW w:w="447"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eastAsia" w:eastAsia="宋体"/>
                <w:color w:val="000000" w:themeColor="text1"/>
                <w:sz w:val="21"/>
                <w:szCs w:val="21"/>
                <w:lang w:eastAsia="zh-CN"/>
                <w14:textFill>
                  <w14:solidFill>
                    <w14:schemeClr w14:val="tx1"/>
                  </w14:solidFill>
                </w14:textFill>
              </w:rPr>
            </w:pPr>
            <w:r>
              <w:rPr>
                <w:rFonts w:hint="eastAsia"/>
                <w:color w:val="000000" w:themeColor="text1"/>
                <w:sz w:val="21"/>
                <w:szCs w:val="21"/>
                <w:lang w:eastAsia="zh-CN"/>
                <w14:textFill>
                  <w14:solidFill>
                    <w14:schemeClr w14:val="tx1"/>
                  </w14:solidFill>
                </w14:textFill>
              </w:rPr>
              <w:t>熔铸废气排气筒</w:t>
            </w:r>
          </w:p>
        </w:tc>
        <w:tc>
          <w:tcPr>
            <w:tcW w:w="368"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111.362199</w:t>
            </w:r>
          </w:p>
        </w:tc>
        <w:tc>
          <w:tcPr>
            <w:tcW w:w="331"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25.226983</w:t>
            </w:r>
          </w:p>
        </w:tc>
        <w:tc>
          <w:tcPr>
            <w:tcW w:w="467"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301</w:t>
            </w:r>
          </w:p>
        </w:tc>
        <w:tc>
          <w:tcPr>
            <w:tcW w:w="349"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15</w:t>
            </w:r>
          </w:p>
        </w:tc>
        <w:tc>
          <w:tcPr>
            <w:tcW w:w="386"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0.5</w:t>
            </w:r>
          </w:p>
        </w:tc>
        <w:tc>
          <w:tcPr>
            <w:tcW w:w="458"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10.6</w:t>
            </w:r>
          </w:p>
        </w:tc>
        <w:tc>
          <w:tcPr>
            <w:tcW w:w="459"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50</w:t>
            </w:r>
          </w:p>
        </w:tc>
        <w:tc>
          <w:tcPr>
            <w:tcW w:w="398"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r>
              <w:rPr>
                <w:rFonts w:hint="eastAsia"/>
                <w:color w:val="000000" w:themeColor="text1"/>
                <w:sz w:val="21"/>
                <w:szCs w:val="21"/>
                <w:lang w:val="en-US" w:eastAsia="zh-CN"/>
                <w14:textFill>
                  <w14:solidFill>
                    <w14:schemeClr w14:val="tx1"/>
                  </w14:solidFill>
                </w14:textFill>
              </w:rPr>
              <w:t>7200</w:t>
            </w:r>
          </w:p>
        </w:tc>
        <w:tc>
          <w:tcPr>
            <w:tcW w:w="395" w:type="pct"/>
            <w:vMerge w:val="restart"/>
            <w:tcBorders>
              <w:tl2br w:val="nil"/>
              <w:tr2bl w:val="nil"/>
            </w:tcBorders>
            <w:tcMar>
              <w:top w:w="15" w:type="dxa"/>
              <w:left w:w="15" w:type="dxa"/>
              <w:right w:w="15" w:type="dxa"/>
            </w:tcMar>
            <w:vAlign w:val="center"/>
          </w:tcPr>
          <w:p>
            <w:pPr>
              <w:spacing w:line="240" w:lineRule="auto"/>
              <w:ind w:firstLine="0" w:firstLineChars="0"/>
              <w:jc w:val="center"/>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正常排放</w:t>
            </w:r>
          </w:p>
        </w:tc>
        <w:tc>
          <w:tcPr>
            <w:tcW w:w="464" w:type="pc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PM</w:t>
            </w:r>
            <w:r>
              <w:rPr>
                <w:rFonts w:hint="eastAsia" w:cs="Times New Roman"/>
                <w:color w:val="000000" w:themeColor="text1"/>
                <w:sz w:val="21"/>
                <w:szCs w:val="21"/>
                <w:vertAlign w:val="subscript"/>
                <w:lang w:val="en-US" w:eastAsia="zh-CN"/>
                <w14:textFill>
                  <w14:solidFill>
                    <w14:schemeClr w14:val="tx1"/>
                  </w14:solidFill>
                </w14:textFill>
              </w:rPr>
              <w:t>10</w:t>
            </w:r>
          </w:p>
        </w:tc>
        <w:tc>
          <w:tcPr>
            <w:tcW w:w="471" w:type="pct"/>
            <w:tcBorders>
              <w:tl2br w:val="nil"/>
              <w:tr2bl w:val="nil"/>
            </w:tcBorders>
            <w:tcMar>
              <w:top w:w="15" w:type="dxa"/>
              <w:left w:w="15" w:type="dxa"/>
              <w:right w:w="15" w:type="dxa"/>
            </w:tcMar>
            <w:vAlign w:val="center"/>
          </w:tcPr>
          <w:p>
            <w:pPr>
              <w:pStyle w:val="13"/>
              <w:tabs>
                <w:tab w:val="left" w:pos="1021"/>
              </w:tabs>
              <w:spacing w:line="240" w:lineRule="auto"/>
              <w:ind w:firstLine="0" w:firstLineChars="0"/>
              <w:jc w:val="center"/>
              <w:rPr>
                <w:rFonts w:hint="default"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0.036</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171"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eastAsia="zh-CN"/>
                <w14:textFill>
                  <w14:solidFill>
                    <w14:schemeClr w14:val="tx1"/>
                  </w14:solidFill>
                </w14:textFill>
              </w:rPr>
            </w:pPr>
          </w:p>
        </w:tc>
        <w:tc>
          <w:tcPr>
            <w:tcW w:w="36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31"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4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86"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95"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4" w:type="pct"/>
            <w:tcBorders>
              <w:bottom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甲醛</w:t>
            </w:r>
          </w:p>
        </w:tc>
        <w:tc>
          <w:tcPr>
            <w:tcW w:w="471" w:type="pct"/>
            <w:tcBorders>
              <w:bottom w:val="single" w:color="000000" w:sz="4" w:space="0"/>
              <w:tl2br w:val="nil"/>
              <w:tr2bl w:val="nil"/>
            </w:tcBorders>
            <w:tcMar>
              <w:top w:w="15" w:type="dxa"/>
              <w:left w:w="15" w:type="dxa"/>
              <w:right w:w="15" w:type="dxa"/>
            </w:tcMar>
            <w:vAlign w:val="center"/>
          </w:tcPr>
          <w:p>
            <w:pPr>
              <w:pStyle w:val="13"/>
              <w:tabs>
                <w:tab w:val="left" w:pos="1021"/>
              </w:tabs>
              <w:spacing w:line="240" w:lineRule="auto"/>
              <w:ind w:firstLine="0" w:firstLineChars="0"/>
              <w:jc w:val="center"/>
              <w:rPr>
                <w:rFonts w:hint="default"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0.00067</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205"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eastAsia="zh-CN"/>
                <w14:textFill>
                  <w14:solidFill>
                    <w14:schemeClr w14:val="tx1"/>
                  </w14:solidFill>
                </w14:textFill>
              </w:rPr>
            </w:pPr>
          </w:p>
        </w:tc>
        <w:tc>
          <w:tcPr>
            <w:tcW w:w="36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31"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4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86"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95"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4" w:type="pct"/>
            <w:tcBorders>
              <w:top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VOCs</w:t>
            </w:r>
          </w:p>
        </w:tc>
        <w:tc>
          <w:tcPr>
            <w:tcW w:w="471" w:type="pct"/>
            <w:tcBorders>
              <w:top w:val="single" w:color="000000" w:sz="4" w:space="0"/>
              <w:tl2br w:val="nil"/>
              <w:tr2bl w:val="nil"/>
            </w:tcBorders>
            <w:tcMar>
              <w:top w:w="15" w:type="dxa"/>
              <w:left w:w="15" w:type="dxa"/>
              <w:right w:w="15" w:type="dxa"/>
            </w:tcMar>
            <w:vAlign w:val="center"/>
          </w:tcPr>
          <w:p>
            <w:pPr>
              <w:pStyle w:val="13"/>
              <w:tabs>
                <w:tab w:val="left" w:pos="1021"/>
              </w:tabs>
              <w:spacing w:line="240" w:lineRule="auto"/>
              <w:ind w:firstLine="0" w:firstLineChars="0"/>
              <w:jc w:val="center"/>
              <w:rPr>
                <w:rFonts w:hint="default"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0.021</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586"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p>
        </w:tc>
        <w:tc>
          <w:tcPr>
            <w:tcW w:w="36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p>
        </w:tc>
        <w:tc>
          <w:tcPr>
            <w:tcW w:w="331"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p>
        </w:tc>
        <w:tc>
          <w:tcPr>
            <w:tcW w:w="349"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386"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eastAsia="宋体"/>
                <w:color w:val="000000" w:themeColor="text1"/>
                <w:sz w:val="21"/>
                <w:szCs w:val="21"/>
                <w:lang w:val="en-US" w:eastAsia="zh-CN"/>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default"/>
                <w:color w:val="000000" w:themeColor="text1"/>
                <w:sz w:val="21"/>
                <w:szCs w:val="21"/>
                <w:lang w:val="en-US" w:eastAsia="zh-CN"/>
                <w14:textFill>
                  <w14:solidFill>
                    <w14:schemeClr w14:val="tx1"/>
                  </w14:solidFill>
                </w14:textFill>
              </w:rPr>
            </w:pPr>
          </w:p>
        </w:tc>
        <w:tc>
          <w:tcPr>
            <w:tcW w:w="395" w:type="pct"/>
            <w:vMerge w:val="restart"/>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r>
              <w:rPr>
                <w:rFonts w:hint="eastAsia"/>
                <w:color w:val="000000" w:themeColor="text1"/>
                <w:sz w:val="21"/>
                <w:szCs w:val="21"/>
                <w:lang w:eastAsia="zh-CN"/>
                <w14:textFill>
                  <w14:solidFill>
                    <w14:schemeClr w14:val="tx1"/>
                  </w14:solidFill>
                </w14:textFill>
              </w:rPr>
              <w:t>非</w:t>
            </w:r>
            <w:r>
              <w:rPr>
                <w:rFonts w:hint="eastAsia"/>
                <w:color w:val="000000" w:themeColor="text1"/>
                <w:sz w:val="21"/>
                <w:szCs w:val="21"/>
                <w14:textFill>
                  <w14:solidFill>
                    <w14:schemeClr w14:val="tx1"/>
                  </w14:solidFill>
                </w14:textFill>
              </w:rPr>
              <w:t>正常排放</w:t>
            </w:r>
          </w:p>
        </w:tc>
        <w:tc>
          <w:tcPr>
            <w:tcW w:w="464" w:type="pct"/>
            <w:tcBorders>
              <w:bottom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颗粒物</w:t>
            </w:r>
          </w:p>
        </w:tc>
        <w:tc>
          <w:tcPr>
            <w:tcW w:w="471" w:type="pct"/>
            <w:tcBorders>
              <w:bottom w:val="single" w:color="000000" w:sz="4" w:space="0"/>
              <w:tl2br w:val="nil"/>
              <w:tr2bl w:val="nil"/>
            </w:tcBorders>
            <w:tcMar>
              <w:top w:w="15" w:type="dxa"/>
              <w:left w:w="15" w:type="dxa"/>
              <w:right w:w="15" w:type="dxa"/>
            </w:tcMar>
            <w:vAlign w:val="center"/>
          </w:tcPr>
          <w:p>
            <w:pPr>
              <w:pStyle w:val="13"/>
              <w:tabs>
                <w:tab w:val="left" w:pos="1021"/>
              </w:tabs>
              <w:spacing w:line="240" w:lineRule="auto"/>
              <w:ind w:firstLine="0" w:firstLineChars="0"/>
              <w:jc w:val="center"/>
              <w:rPr>
                <w:rFonts w:hint="default"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0.721</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266"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6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31"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4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86"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95"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4" w:type="pct"/>
            <w:tcBorders>
              <w:top w:val="single" w:color="000000" w:sz="4" w:space="0"/>
              <w:bottom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甲醛</w:t>
            </w:r>
          </w:p>
        </w:tc>
        <w:tc>
          <w:tcPr>
            <w:tcW w:w="471" w:type="pct"/>
            <w:tcBorders>
              <w:top w:val="single" w:color="000000" w:sz="4" w:space="0"/>
              <w:bottom w:val="single" w:color="000000" w:sz="4" w:space="0"/>
              <w:tl2br w:val="nil"/>
              <w:tr2bl w:val="nil"/>
            </w:tcBorders>
            <w:shd w:val="clear" w:color="auto" w:fill="auto"/>
            <w:tcMar>
              <w:top w:w="15" w:type="dxa"/>
              <w:left w:w="15" w:type="dxa"/>
              <w:right w:w="15" w:type="dxa"/>
            </w:tcMar>
            <w:vAlign w:val="center"/>
          </w:tcPr>
          <w:p>
            <w:pPr>
              <w:pStyle w:val="13"/>
              <w:tabs>
                <w:tab w:val="left" w:pos="1021"/>
              </w:tabs>
              <w:spacing w:line="240" w:lineRule="auto"/>
              <w:ind w:firstLine="0" w:firstLineChars="0"/>
              <w:jc w:val="center"/>
              <w:rPr>
                <w:rFonts w:hint="eastAsia"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0.00067</w:t>
            </w:r>
          </w:p>
        </w:tc>
      </w:tr>
      <w:tr>
        <w:tblPrEx>
          <w:tblBorders>
            <w:top w:val="single" w:color="000000" w:sz="8" w:space="0"/>
            <w:left w:val="single" w:color="000000" w:sz="6" w:space="0"/>
            <w:bottom w:val="single" w:color="000000" w:sz="6" w:space="0"/>
            <w:right w:val="single" w:color="000000" w:sz="8" w:space="0"/>
            <w:insideH w:val="single" w:color="000000" w:sz="6" w:space="0"/>
            <w:insideV w:val="single" w:color="000000" w:sz="6" w:space="0"/>
          </w:tblBorders>
          <w:tblCellMar>
            <w:top w:w="0" w:type="dxa"/>
            <w:left w:w="0" w:type="dxa"/>
            <w:bottom w:w="0" w:type="dxa"/>
            <w:right w:w="0" w:type="dxa"/>
          </w:tblCellMar>
        </w:tblPrEx>
        <w:trPr>
          <w:trHeight w:val="327" w:hRule="atLeast"/>
        </w:trPr>
        <w:tc>
          <w:tcPr>
            <w:tcW w:w="44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6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31"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7"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4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86"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59"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398"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lang w:val="en-US" w:eastAsia="zh-CN"/>
                <w14:textFill>
                  <w14:solidFill>
                    <w14:schemeClr w14:val="tx1"/>
                  </w14:solidFill>
                </w14:textFill>
              </w:rPr>
            </w:pPr>
          </w:p>
        </w:tc>
        <w:tc>
          <w:tcPr>
            <w:tcW w:w="395" w:type="pct"/>
            <w:vMerge w:val="continue"/>
            <w:tcBorders>
              <w:tl2br w:val="nil"/>
              <w:tr2bl w:val="nil"/>
            </w:tcBorders>
            <w:tcMar>
              <w:top w:w="15" w:type="dxa"/>
              <w:left w:w="15" w:type="dxa"/>
              <w:right w:w="15" w:type="dxa"/>
            </w:tcMar>
            <w:vAlign w:val="center"/>
          </w:tcPr>
          <w:p>
            <w:pPr>
              <w:spacing w:line="240" w:lineRule="auto"/>
              <w:ind w:firstLine="0" w:firstLineChars="0"/>
              <w:jc w:val="center"/>
              <w:rPr>
                <w:rFonts w:hint="eastAsia"/>
                <w:color w:val="000000" w:themeColor="text1"/>
                <w:sz w:val="21"/>
                <w:szCs w:val="21"/>
                <w14:textFill>
                  <w14:solidFill>
                    <w14:schemeClr w14:val="tx1"/>
                  </w14:solidFill>
                </w14:textFill>
              </w:rPr>
            </w:pPr>
          </w:p>
        </w:tc>
        <w:tc>
          <w:tcPr>
            <w:tcW w:w="464" w:type="pct"/>
            <w:tcBorders>
              <w:top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VOCs</w:t>
            </w:r>
          </w:p>
        </w:tc>
        <w:tc>
          <w:tcPr>
            <w:tcW w:w="471" w:type="pct"/>
            <w:tcBorders>
              <w:top w:val="single" w:color="000000" w:sz="4" w:space="0"/>
              <w:tl2br w:val="nil"/>
              <w:tr2bl w:val="nil"/>
            </w:tcBorders>
            <w:shd w:val="clear" w:color="auto" w:fill="auto"/>
            <w:tcMar>
              <w:top w:w="15" w:type="dxa"/>
              <w:left w:w="15" w:type="dxa"/>
              <w:right w:w="15" w:type="dxa"/>
            </w:tcMar>
            <w:vAlign w:val="center"/>
          </w:tcPr>
          <w:p>
            <w:pPr>
              <w:pStyle w:val="13"/>
              <w:tabs>
                <w:tab w:val="left" w:pos="1021"/>
              </w:tabs>
              <w:spacing w:line="240" w:lineRule="auto"/>
              <w:ind w:firstLine="0" w:firstLineChars="0"/>
              <w:jc w:val="center"/>
              <w:rPr>
                <w:rFonts w:hint="eastAsia" w:ascii="Times New Roman" w:hAnsi="Times New Roman" w:eastAsia="宋体" w:cs="Times New Roman"/>
                <w:i w:val="0"/>
                <w:iCs w:val="0"/>
                <w:color w:val="auto"/>
                <w:kern w:val="2"/>
                <w:sz w:val="21"/>
                <w:szCs w:val="21"/>
                <w:u w:val="none"/>
                <w:lang w:val="en-US" w:eastAsia="zh-CN" w:bidi="ar"/>
              </w:rPr>
            </w:pPr>
            <w:r>
              <w:rPr>
                <w:rFonts w:hint="eastAsia" w:ascii="Times New Roman" w:hAnsi="Times New Roman" w:eastAsia="宋体" w:cs="Times New Roman"/>
                <w:i w:val="0"/>
                <w:iCs w:val="0"/>
                <w:color w:val="auto"/>
                <w:kern w:val="2"/>
                <w:sz w:val="21"/>
                <w:szCs w:val="21"/>
                <w:u w:val="none"/>
                <w:lang w:val="en-US" w:eastAsia="zh-CN" w:bidi="ar"/>
              </w:rPr>
              <w:t>0.021</w:t>
            </w:r>
          </w:p>
        </w:tc>
      </w:tr>
    </w:tbl>
    <w:p>
      <w:pPr>
        <w:spacing w:line="240" w:lineRule="auto"/>
        <w:ind w:firstLine="422"/>
        <w:jc w:val="center"/>
        <w:rPr>
          <w:b/>
          <w:bCs/>
          <w:color w:val="000000" w:themeColor="text1"/>
          <w:sz w:val="21"/>
          <w:szCs w:val="21"/>
          <w14:textFill>
            <w14:solidFill>
              <w14:schemeClr w14:val="tx1"/>
            </w14:solidFill>
          </w14:textFill>
        </w:rPr>
      </w:pPr>
      <w:r>
        <w:rPr>
          <w:rFonts w:hint="eastAsia"/>
          <w:b/>
          <w:bCs/>
          <w:color w:val="000000" w:themeColor="text1"/>
          <w:sz w:val="21"/>
          <w:szCs w:val="21"/>
          <w14:textFill>
            <w14:solidFill>
              <w14:schemeClr w14:val="tx1"/>
            </w14:solidFill>
          </w14:textFill>
        </w:rPr>
        <w:t>表</w:t>
      </w:r>
      <w:r>
        <w:rPr>
          <w:rFonts w:hint="eastAsia"/>
          <w:b/>
          <w:bCs/>
          <w:color w:val="000000" w:themeColor="text1"/>
          <w:sz w:val="21"/>
          <w:szCs w:val="21"/>
          <w:lang w:val="en-US" w:eastAsia="zh-CN"/>
          <w14:textFill>
            <w14:solidFill>
              <w14:schemeClr w14:val="tx1"/>
            </w14:solidFill>
          </w14:textFill>
        </w:rPr>
        <w:t xml:space="preserve">1.5-4 </w:t>
      </w:r>
      <w:r>
        <w:rPr>
          <w:rFonts w:hint="eastAsia"/>
          <w:b/>
          <w:bCs/>
          <w:color w:val="000000" w:themeColor="text1"/>
          <w:sz w:val="21"/>
          <w:szCs w:val="21"/>
          <w14:textFill>
            <w14:solidFill>
              <w14:schemeClr w14:val="tx1"/>
            </w14:solidFill>
          </w14:textFill>
        </w:rPr>
        <w:t>无组织废气面源参数表</w:t>
      </w:r>
    </w:p>
    <w:tbl>
      <w:tblPr>
        <w:tblStyle w:val="36"/>
        <w:tblW w:w="4995"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558"/>
        <w:gridCol w:w="1012"/>
        <w:gridCol w:w="926"/>
        <w:gridCol w:w="674"/>
        <w:gridCol w:w="594"/>
        <w:gridCol w:w="495"/>
        <w:gridCol w:w="619"/>
        <w:gridCol w:w="774"/>
        <w:gridCol w:w="787"/>
        <w:gridCol w:w="485"/>
        <w:gridCol w:w="619"/>
        <w:gridCol w:w="785"/>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15" w:hRule="atLeast"/>
        </w:trPr>
        <w:tc>
          <w:tcPr>
            <w:tcW w:w="335"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名称</w:t>
            </w:r>
          </w:p>
        </w:tc>
        <w:tc>
          <w:tcPr>
            <w:tcW w:w="1163" w:type="pct"/>
            <w:gridSpan w:val="2"/>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面源起点坐标/m</w:t>
            </w:r>
          </w:p>
        </w:tc>
        <w:tc>
          <w:tcPr>
            <w:tcW w:w="404"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面源海拔高度/m</w:t>
            </w:r>
          </w:p>
        </w:tc>
        <w:tc>
          <w:tcPr>
            <w:tcW w:w="356"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面源长度/m</w:t>
            </w:r>
          </w:p>
        </w:tc>
        <w:tc>
          <w:tcPr>
            <w:tcW w:w="297"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面源宽度/m</w:t>
            </w:r>
          </w:p>
        </w:tc>
        <w:tc>
          <w:tcPr>
            <w:tcW w:w="371"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与正北向夹角/°</w:t>
            </w:r>
          </w:p>
        </w:tc>
        <w:tc>
          <w:tcPr>
            <w:tcW w:w="464"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面源有效排放高度/m</w:t>
            </w:r>
          </w:p>
        </w:tc>
        <w:tc>
          <w:tcPr>
            <w:tcW w:w="472"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年排放小时数/h</w:t>
            </w:r>
          </w:p>
        </w:tc>
        <w:tc>
          <w:tcPr>
            <w:tcW w:w="291"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排放工况</w:t>
            </w:r>
          </w:p>
        </w:tc>
        <w:tc>
          <w:tcPr>
            <w:tcW w:w="842" w:type="pct"/>
            <w:gridSpan w:val="2"/>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污染物排放速率/（kg/h)</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54" w:hRule="atLeast"/>
        </w:trPr>
        <w:tc>
          <w:tcPr>
            <w:tcW w:w="335"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607" w:type="pc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经度</w:t>
            </w:r>
          </w:p>
        </w:tc>
        <w:tc>
          <w:tcPr>
            <w:tcW w:w="555" w:type="pc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纬度</w:t>
            </w:r>
          </w:p>
        </w:tc>
        <w:tc>
          <w:tcPr>
            <w:tcW w:w="40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56"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7"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7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6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72"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842" w:type="pct"/>
            <w:gridSpan w:val="2"/>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455" w:hRule="atLeast"/>
        </w:trPr>
        <w:tc>
          <w:tcPr>
            <w:tcW w:w="335"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生产车间</w:t>
            </w:r>
          </w:p>
        </w:tc>
        <w:tc>
          <w:tcPr>
            <w:tcW w:w="607"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111.362869</w:t>
            </w:r>
          </w:p>
        </w:tc>
        <w:tc>
          <w:tcPr>
            <w:tcW w:w="555"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25.226107</w:t>
            </w:r>
          </w:p>
        </w:tc>
        <w:tc>
          <w:tcPr>
            <w:tcW w:w="404"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301</w:t>
            </w:r>
          </w:p>
        </w:tc>
        <w:tc>
          <w:tcPr>
            <w:tcW w:w="356"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108</w:t>
            </w:r>
          </w:p>
        </w:tc>
        <w:tc>
          <w:tcPr>
            <w:tcW w:w="297"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77</w:t>
            </w:r>
          </w:p>
        </w:tc>
        <w:tc>
          <w:tcPr>
            <w:tcW w:w="371"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5</w:t>
            </w:r>
          </w:p>
        </w:tc>
        <w:tc>
          <w:tcPr>
            <w:tcW w:w="464"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8</w:t>
            </w:r>
          </w:p>
        </w:tc>
        <w:tc>
          <w:tcPr>
            <w:tcW w:w="472"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5200</w:t>
            </w:r>
          </w:p>
        </w:tc>
        <w:tc>
          <w:tcPr>
            <w:tcW w:w="291" w:type="pct"/>
            <w:vMerge w:val="restar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正常排放</w:t>
            </w:r>
          </w:p>
        </w:tc>
        <w:tc>
          <w:tcPr>
            <w:tcW w:w="371" w:type="pct"/>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颗粒物</w:t>
            </w:r>
          </w:p>
        </w:tc>
        <w:tc>
          <w:tcPr>
            <w:tcW w:w="470" w:type="pct"/>
            <w:tcBorders>
              <w:tl2br w:val="nil"/>
              <w:tr2bl w:val="nil"/>
            </w:tcBorders>
            <w:shd w:val="clear" w:color="auto" w:fill="auto"/>
            <w:tcMar>
              <w:top w:w="15" w:type="dxa"/>
              <w:left w:w="15" w:type="dxa"/>
              <w:right w:w="15" w:type="dxa"/>
            </w:tcMar>
            <w:vAlign w:val="center"/>
          </w:tcPr>
          <w:p>
            <w:pPr>
              <w:pStyle w:val="13"/>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247" w:hRule="atLeast"/>
        </w:trPr>
        <w:tc>
          <w:tcPr>
            <w:tcW w:w="335"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607"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555"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0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56"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7"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7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6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72"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71" w:type="pct"/>
            <w:tcBorders>
              <w:bottom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甲醛</w:t>
            </w:r>
          </w:p>
        </w:tc>
        <w:tc>
          <w:tcPr>
            <w:tcW w:w="470" w:type="pct"/>
            <w:tcBorders>
              <w:bottom w:val="single" w:color="000000" w:sz="4" w:space="0"/>
              <w:tl2br w:val="nil"/>
              <w:tr2bl w:val="nil"/>
            </w:tcBorders>
            <w:shd w:val="clear" w:color="auto" w:fill="auto"/>
            <w:tcMar>
              <w:top w:w="15" w:type="dxa"/>
              <w:left w:w="15" w:type="dxa"/>
              <w:right w:w="15" w:type="dxa"/>
            </w:tcMar>
            <w:vAlign w:val="center"/>
          </w:tcPr>
          <w:p>
            <w:pPr>
              <w:pStyle w:val="13"/>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0.00004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20" w:hRule="atLeast"/>
        </w:trPr>
        <w:tc>
          <w:tcPr>
            <w:tcW w:w="335"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607"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555"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0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56"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7"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7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64"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472"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291" w:type="pct"/>
            <w:vMerge w:val="continue"/>
            <w:tcBorders>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p>
        </w:tc>
        <w:tc>
          <w:tcPr>
            <w:tcW w:w="371" w:type="pct"/>
            <w:tcBorders>
              <w:top w:val="single" w:color="000000" w:sz="4" w:space="0"/>
              <w:tl2br w:val="nil"/>
              <w:tr2bl w:val="nil"/>
            </w:tcBorders>
            <w:shd w:val="clear" w:color="auto" w:fill="auto"/>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VOCs</w:t>
            </w:r>
          </w:p>
        </w:tc>
        <w:tc>
          <w:tcPr>
            <w:tcW w:w="470" w:type="pct"/>
            <w:tcBorders>
              <w:top w:val="single" w:color="000000" w:sz="4" w:space="0"/>
              <w:tl2br w:val="nil"/>
              <w:tr2bl w:val="nil"/>
            </w:tcBorders>
            <w:shd w:val="clear" w:color="auto" w:fill="auto"/>
            <w:tcMar>
              <w:top w:w="15" w:type="dxa"/>
              <w:left w:w="15" w:type="dxa"/>
              <w:right w:w="15" w:type="dxa"/>
            </w:tcMar>
            <w:vAlign w:val="center"/>
          </w:tcPr>
          <w:p>
            <w:pPr>
              <w:pStyle w:val="13"/>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cs="Times New Roman"/>
                <w:color w:val="auto"/>
                <w:sz w:val="21"/>
                <w:szCs w:val="21"/>
                <w:u w:val="none"/>
                <w:lang w:val="en-US" w:eastAsia="zh-CN"/>
              </w:rPr>
              <w:t>0.0011</w:t>
            </w:r>
          </w:p>
        </w:tc>
      </w:tr>
    </w:tbl>
    <w:p>
      <w:pPr>
        <w:bidi w:val="0"/>
        <w:rPr>
          <w:rFonts w:hint="default"/>
          <w:lang w:val="en-US" w:eastAsia="zh-CN"/>
        </w:rPr>
      </w:pPr>
      <w:r>
        <w:rPr>
          <w:rFonts w:hint="default"/>
          <w:lang w:val="en-US" w:eastAsia="zh-CN"/>
        </w:rPr>
        <w:t>（</w:t>
      </w:r>
      <w:r>
        <w:rPr>
          <w:rFonts w:hint="eastAsia"/>
          <w:lang w:val="en-US" w:eastAsia="zh-CN"/>
        </w:rPr>
        <w:t>2</w:t>
      </w:r>
      <w:r>
        <w:rPr>
          <w:rFonts w:hint="default"/>
          <w:lang w:val="en-US" w:eastAsia="zh-CN"/>
        </w:rPr>
        <w:t>）估算结果</w:t>
      </w:r>
    </w:p>
    <w:p>
      <w:pPr>
        <w:bidi w:val="0"/>
        <w:rPr>
          <w:rFonts w:hint="default"/>
          <w:lang w:val="en-US" w:eastAsia="zh-CN"/>
        </w:rPr>
      </w:pPr>
      <w:r>
        <w:rPr>
          <w:rFonts w:hint="default"/>
          <w:lang w:val="en-US" w:eastAsia="zh-CN"/>
        </w:rPr>
        <w:t>本项目大气预测估算结果见表1.</w:t>
      </w:r>
      <w:r>
        <w:rPr>
          <w:rFonts w:hint="eastAsia"/>
          <w:lang w:val="en-US" w:eastAsia="zh-CN"/>
        </w:rPr>
        <w:t>5</w:t>
      </w:r>
      <w:r>
        <w:rPr>
          <w:rFonts w:hint="default"/>
          <w:lang w:val="en-US" w:eastAsia="zh-CN"/>
        </w:rPr>
        <w:t>-</w:t>
      </w:r>
      <w:r>
        <w:rPr>
          <w:rFonts w:hint="eastAsia"/>
          <w:lang w:val="en-US" w:eastAsia="zh-CN"/>
        </w:rPr>
        <w:t>5</w:t>
      </w:r>
      <w:r>
        <w:rPr>
          <w:rFonts w:hint="default"/>
          <w:lang w:val="en-US" w:eastAsia="zh-CN"/>
        </w:rPr>
        <w:t>。</w:t>
      </w:r>
    </w:p>
    <w:p>
      <w:pPr>
        <w:pStyle w:val="16"/>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default" w:ascii="Times New Roman" w:hAnsi="Times New Roman" w:eastAsia="宋体" w:cs="Times New Roman"/>
          <w:b/>
          <w:bCs/>
          <w:color w:val="auto"/>
          <w:kern w:val="2"/>
          <w:sz w:val="21"/>
          <w:szCs w:val="21"/>
          <w:highlight w:val="none"/>
          <w:u w:val="none" w:color="auto"/>
          <w:lang w:val="en-US" w:eastAsia="zh-CN" w:bidi="ar-SA"/>
        </w:rPr>
      </w:pPr>
      <w:r>
        <w:rPr>
          <w:rFonts w:hint="default" w:ascii="Times New Roman" w:hAnsi="Times New Roman" w:eastAsia="宋体" w:cs="Times New Roman"/>
          <w:b/>
          <w:bCs/>
          <w:color w:val="auto"/>
          <w:kern w:val="2"/>
          <w:sz w:val="21"/>
          <w:szCs w:val="21"/>
          <w:highlight w:val="none"/>
          <w:u w:val="none" w:color="auto"/>
          <w:lang w:val="en-US" w:eastAsia="zh-CN" w:bidi="ar-SA"/>
        </w:rPr>
        <w:t>表1.</w:t>
      </w:r>
      <w:r>
        <w:rPr>
          <w:rFonts w:hint="eastAsia" w:ascii="Times New Roman" w:hAnsi="Times New Roman" w:eastAsia="宋体" w:cs="Times New Roman"/>
          <w:b/>
          <w:bCs/>
          <w:color w:val="auto"/>
          <w:kern w:val="2"/>
          <w:sz w:val="21"/>
          <w:szCs w:val="21"/>
          <w:highlight w:val="none"/>
          <w:u w:val="none" w:color="auto"/>
          <w:lang w:val="en-US" w:eastAsia="zh-CN" w:bidi="ar-SA"/>
        </w:rPr>
        <w:t>5</w:t>
      </w:r>
      <w:r>
        <w:rPr>
          <w:rFonts w:hint="default" w:ascii="Times New Roman" w:hAnsi="Times New Roman" w:eastAsia="宋体" w:cs="Times New Roman"/>
          <w:b/>
          <w:bCs/>
          <w:color w:val="auto"/>
          <w:kern w:val="2"/>
          <w:sz w:val="21"/>
          <w:szCs w:val="21"/>
          <w:highlight w:val="none"/>
          <w:u w:val="none" w:color="auto"/>
          <w:lang w:val="en-US" w:eastAsia="zh-CN" w:bidi="ar-SA"/>
        </w:rPr>
        <w:t>-</w:t>
      </w:r>
      <w:r>
        <w:rPr>
          <w:rFonts w:hint="eastAsia" w:ascii="Times New Roman" w:hAnsi="Times New Roman" w:eastAsia="宋体" w:cs="Times New Roman"/>
          <w:b/>
          <w:bCs/>
          <w:color w:val="auto"/>
          <w:kern w:val="2"/>
          <w:sz w:val="21"/>
          <w:szCs w:val="21"/>
          <w:highlight w:val="none"/>
          <w:u w:val="none" w:color="auto"/>
          <w:lang w:val="en-US" w:eastAsia="zh-CN" w:bidi="ar-SA"/>
        </w:rPr>
        <w:t xml:space="preserve">5 </w:t>
      </w:r>
      <w:r>
        <w:rPr>
          <w:rFonts w:hint="default" w:ascii="Times New Roman" w:hAnsi="Times New Roman" w:eastAsia="宋体" w:cs="Times New Roman"/>
          <w:b/>
          <w:bCs/>
          <w:color w:val="auto"/>
          <w:kern w:val="2"/>
          <w:sz w:val="21"/>
          <w:szCs w:val="21"/>
          <w:highlight w:val="none"/>
          <w:u w:val="none" w:color="auto"/>
          <w:lang w:val="en-US" w:eastAsia="zh-CN" w:bidi="ar-SA"/>
        </w:rPr>
        <w:t xml:space="preserve"> 各污染物最大浓度、出现距离及占标率</w:t>
      </w:r>
    </w:p>
    <w:tbl>
      <w:tblPr>
        <w:tblStyle w:val="3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90"/>
        <w:gridCol w:w="1176"/>
        <w:gridCol w:w="994"/>
        <w:gridCol w:w="964"/>
        <w:gridCol w:w="964"/>
        <w:gridCol w:w="915"/>
        <w:gridCol w:w="1014"/>
        <w:gridCol w:w="953"/>
        <w:gridCol w:w="10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8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序号</w:t>
            </w:r>
          </w:p>
        </w:tc>
        <w:tc>
          <w:tcPr>
            <w:tcW w:w="68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污染源名称</w:t>
            </w:r>
          </w:p>
        </w:tc>
        <w:tc>
          <w:tcPr>
            <w:tcW w:w="583"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 xml:space="preserve">方位角度(度) </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离源距离(m)</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相对源高(m)</w:t>
            </w:r>
          </w:p>
        </w:tc>
        <w:tc>
          <w:tcPr>
            <w:tcW w:w="536"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TSP|D10(m)</w:t>
            </w:r>
          </w:p>
        </w:tc>
        <w:tc>
          <w:tcPr>
            <w:tcW w:w="594"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PM10|D10(m)</w:t>
            </w:r>
          </w:p>
        </w:tc>
        <w:tc>
          <w:tcPr>
            <w:tcW w:w="55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甲醛|D10(m)</w:t>
            </w:r>
          </w:p>
        </w:tc>
        <w:tc>
          <w:tcPr>
            <w:tcW w:w="61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TVOC|D10(m)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trPr>
        <w:tc>
          <w:tcPr>
            <w:tcW w:w="28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1</w:t>
            </w:r>
          </w:p>
        </w:tc>
        <w:tc>
          <w:tcPr>
            <w:tcW w:w="68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熔铸废气排气筒</w:t>
            </w:r>
          </w:p>
        </w:tc>
        <w:tc>
          <w:tcPr>
            <w:tcW w:w="583"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21</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w:t>
            </w:r>
          </w:p>
        </w:tc>
        <w:tc>
          <w:tcPr>
            <w:tcW w:w="536"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0.00|0</w:t>
            </w:r>
          </w:p>
        </w:tc>
        <w:tc>
          <w:tcPr>
            <w:tcW w:w="594"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0.30|0</w:t>
            </w:r>
          </w:p>
        </w:tc>
        <w:tc>
          <w:tcPr>
            <w:tcW w:w="55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0.05|0</w:t>
            </w:r>
          </w:p>
        </w:tc>
        <w:tc>
          <w:tcPr>
            <w:tcW w:w="61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0" w:hRule="atLeast"/>
        </w:trPr>
        <w:tc>
          <w:tcPr>
            <w:tcW w:w="28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2</w:t>
            </w:r>
          </w:p>
        </w:tc>
        <w:tc>
          <w:tcPr>
            <w:tcW w:w="68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面源</w:t>
            </w:r>
          </w:p>
        </w:tc>
        <w:tc>
          <w:tcPr>
            <w:tcW w:w="583"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5</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56</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w:t>
            </w:r>
          </w:p>
        </w:tc>
        <w:tc>
          <w:tcPr>
            <w:tcW w:w="536"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0.00|0</w:t>
            </w:r>
          </w:p>
        </w:tc>
        <w:tc>
          <w:tcPr>
            <w:tcW w:w="594"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0.00|0</w:t>
            </w:r>
          </w:p>
        </w:tc>
        <w:tc>
          <w:tcPr>
            <w:tcW w:w="55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0.04|0</w:t>
            </w:r>
          </w:p>
        </w:tc>
        <w:tc>
          <w:tcPr>
            <w:tcW w:w="61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28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p>
        </w:tc>
        <w:tc>
          <w:tcPr>
            <w:tcW w:w="68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各源最大值</w:t>
            </w:r>
          </w:p>
        </w:tc>
        <w:tc>
          <w:tcPr>
            <w:tcW w:w="583"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w:t>
            </w:r>
          </w:p>
        </w:tc>
        <w:tc>
          <w:tcPr>
            <w:tcW w:w="565"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w:t>
            </w:r>
          </w:p>
        </w:tc>
        <w:tc>
          <w:tcPr>
            <w:tcW w:w="536"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2.99</w:t>
            </w:r>
          </w:p>
        </w:tc>
        <w:tc>
          <w:tcPr>
            <w:tcW w:w="594"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0.3</w:t>
            </w:r>
          </w:p>
        </w:tc>
        <w:tc>
          <w:tcPr>
            <w:tcW w:w="559"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0.05</w:t>
            </w:r>
          </w:p>
        </w:tc>
        <w:tc>
          <w:tcPr>
            <w:tcW w:w="617" w:type="pct"/>
            <w:tcBorders>
              <w:tl2br w:val="nil"/>
              <w:tr2bl w:val="nil"/>
            </w:tcBorders>
            <w:shd w:val="clear" w:color="auto" w:fill="auto"/>
            <w:noWrap/>
            <w:vAlign w:val="center"/>
          </w:tcPr>
          <w:p>
            <w:pPr>
              <w:spacing w:line="240" w:lineRule="auto"/>
              <w:ind w:firstLine="0" w:firstLineChars="0"/>
              <w:jc w:val="center"/>
              <w:rPr>
                <w:rFonts w:hint="eastAsia" w:eastAsia="宋体" w:cs="Times New Roman"/>
                <w:color w:val="000000" w:themeColor="text1"/>
                <w:sz w:val="21"/>
                <w:szCs w:val="21"/>
                <w:lang w:val="en-US" w:eastAsia="zh-CN"/>
                <w14:textFill>
                  <w14:solidFill>
                    <w14:schemeClr w14:val="tx1"/>
                  </w14:solidFill>
                </w14:textFill>
              </w:rPr>
            </w:pPr>
            <w:r>
              <w:rPr>
                <w:rFonts w:hint="eastAsia" w:eastAsia="宋体" w:cs="Times New Roman"/>
                <w:color w:val="000000" w:themeColor="text1"/>
                <w:sz w:val="21"/>
                <w:szCs w:val="21"/>
                <w:lang w:val="en-US" w:eastAsia="zh-CN"/>
                <w14:textFill>
                  <w14:solidFill>
                    <w14:schemeClr w14:val="tx1"/>
                  </w14:solidFill>
                </w14:textFill>
              </w:rPr>
              <w:t>0.07</w:t>
            </w:r>
          </w:p>
        </w:tc>
      </w:tr>
    </w:tbl>
    <w:p>
      <w:pPr>
        <w:bidi w:val="0"/>
        <w:rPr>
          <w:rFonts w:hint="default"/>
          <w:lang w:val="en-US" w:eastAsia="zh-CN"/>
        </w:rPr>
      </w:pPr>
      <w:r>
        <w:rPr>
          <w:rFonts w:hint="default"/>
          <w:lang w:val="en-US" w:eastAsia="zh-CN"/>
        </w:rPr>
        <w:t>（</w:t>
      </w:r>
      <w:r>
        <w:rPr>
          <w:rFonts w:hint="eastAsia"/>
          <w:lang w:val="en-US" w:eastAsia="zh-CN"/>
        </w:rPr>
        <w:t>3</w:t>
      </w:r>
      <w:r>
        <w:rPr>
          <w:rFonts w:hint="default"/>
          <w:lang w:val="en-US" w:eastAsia="zh-CN"/>
        </w:rPr>
        <w:t>）等级确定</w:t>
      </w:r>
    </w:p>
    <w:p>
      <w:pPr>
        <w:bidi w:val="0"/>
        <w:rPr>
          <w:rFonts w:hint="eastAsia"/>
          <w:lang w:val="en-US" w:eastAsia="zh-CN"/>
        </w:rPr>
      </w:pPr>
      <w:r>
        <w:rPr>
          <w:rFonts w:hint="default"/>
          <w:lang w:val="en-US" w:eastAsia="zh-CN"/>
        </w:rPr>
        <w:t>由表1.5-</w:t>
      </w:r>
      <w:r>
        <w:rPr>
          <w:rFonts w:hint="eastAsia"/>
          <w:lang w:val="en-US" w:eastAsia="zh-CN"/>
        </w:rPr>
        <w:t>5</w:t>
      </w:r>
      <w:r>
        <w:rPr>
          <w:rFonts w:hint="default"/>
          <w:lang w:val="en-US" w:eastAsia="zh-CN"/>
        </w:rPr>
        <w:t>等级筛选结果可知，Pmax=</w:t>
      </w:r>
      <w:r>
        <w:rPr>
          <w:rFonts w:hint="eastAsia"/>
          <w:lang w:val="en-US" w:eastAsia="zh-CN"/>
        </w:rPr>
        <w:t>0.3%</w:t>
      </w:r>
      <w:r>
        <w:rPr>
          <w:rFonts w:hint="default"/>
          <w:lang w:val="en-US" w:eastAsia="zh-CN"/>
        </w:rPr>
        <w:t>&lt;1%，根据表1.5-1判定，环境空气影响评价工作等级应为</w:t>
      </w:r>
      <w:r>
        <w:rPr>
          <w:rFonts w:hint="eastAsia"/>
          <w:lang w:val="en-US" w:eastAsia="zh-CN"/>
        </w:rPr>
        <w:t>三</w:t>
      </w:r>
      <w:r>
        <w:rPr>
          <w:rFonts w:hint="default"/>
          <w:lang w:val="en-US" w:eastAsia="zh-CN"/>
        </w:rPr>
        <w:t>级</w:t>
      </w:r>
      <w:r>
        <w:rPr>
          <w:rFonts w:hint="eastAsia"/>
          <w:lang w:val="en-US" w:eastAsia="zh-CN"/>
        </w:rPr>
        <w:t>。</w:t>
      </w:r>
    </w:p>
    <w:bookmarkEnd w:id="31"/>
    <w:bookmarkEnd w:id="32"/>
    <w:bookmarkEnd w:id="33"/>
    <w:p>
      <w:pPr>
        <w:pStyle w:val="6"/>
        <w:bidi w:val="0"/>
        <w:rPr>
          <w:rFonts w:hint="eastAsia"/>
        </w:rPr>
      </w:pPr>
      <w:bookmarkStart w:id="34" w:name="_Toc30008"/>
      <w:bookmarkStart w:id="35" w:name="_Toc26976"/>
      <w:bookmarkStart w:id="36" w:name="_Toc12592"/>
      <w:bookmarkStart w:id="37" w:name="_Toc8653"/>
      <w:r>
        <w:rPr>
          <w:rFonts w:hint="eastAsia"/>
        </w:rPr>
        <w:t>评价范围</w:t>
      </w:r>
      <w:bookmarkEnd w:id="34"/>
      <w:bookmarkEnd w:id="35"/>
      <w:bookmarkEnd w:id="36"/>
      <w:bookmarkEnd w:id="37"/>
    </w:p>
    <w:p>
      <w:pPr>
        <w:bidi w:val="0"/>
        <w:rPr>
          <w:rFonts w:hint="eastAsia"/>
        </w:rPr>
      </w:pPr>
      <w:r>
        <w:rPr>
          <w:rFonts w:hint="eastAsia"/>
        </w:rPr>
        <w:t>本项目大气</w:t>
      </w:r>
      <w:r>
        <w:rPr>
          <w:rFonts w:hint="eastAsia"/>
          <w:lang w:eastAsia="zh-CN"/>
        </w:rPr>
        <w:t>三</w:t>
      </w:r>
      <w:r>
        <w:rPr>
          <w:rFonts w:hint="eastAsia"/>
        </w:rPr>
        <w:t>级评价，</w:t>
      </w:r>
      <w:r>
        <w:rPr>
          <w:rFonts w:hint="eastAsia"/>
          <w:lang w:eastAsia="zh-CN"/>
        </w:rPr>
        <w:t>根据《环境影响评价技术导则-大气环境HJ2.2-2018》</w:t>
      </w:r>
      <w:r>
        <w:rPr>
          <w:rFonts w:hint="eastAsia"/>
          <w:lang w:val="en-US" w:eastAsia="zh-CN"/>
        </w:rPr>
        <w:t>5.4.3，三级评价项目不需设置大气环境影响评价范围</w:t>
      </w:r>
      <w:r>
        <w:rPr>
          <w:rFonts w:hint="eastAsia"/>
        </w:rPr>
        <w:t>。</w:t>
      </w:r>
    </w:p>
    <w:p>
      <w:pPr>
        <w:pStyle w:val="5"/>
        <w:rPr>
          <w:rFonts w:hint="eastAsia"/>
          <w:color w:val="000000"/>
        </w:rPr>
      </w:pPr>
      <w:bookmarkStart w:id="38" w:name="_Toc18736"/>
      <w:bookmarkStart w:id="39" w:name="_Toc10253"/>
      <w:bookmarkStart w:id="40" w:name="_Toc26315"/>
      <w:bookmarkStart w:id="41" w:name="_Toc14998"/>
      <w:bookmarkStart w:id="42" w:name="_Toc29913"/>
      <w:r>
        <w:rPr>
          <w:rFonts w:hint="eastAsia"/>
          <w:color w:val="000000"/>
        </w:rPr>
        <w:t>大气环境保护目标</w:t>
      </w:r>
      <w:bookmarkEnd w:id="38"/>
      <w:bookmarkEnd w:id="39"/>
      <w:bookmarkEnd w:id="40"/>
      <w:bookmarkEnd w:id="41"/>
      <w:bookmarkEnd w:id="42"/>
    </w:p>
    <w:p>
      <w:pPr>
        <w:ind w:firstLine="480"/>
        <w:rPr>
          <w:bCs/>
          <w:color w:val="000000"/>
        </w:rPr>
      </w:pPr>
      <w:r>
        <w:rPr>
          <w:rFonts w:hint="eastAsia"/>
          <w:color w:val="000000"/>
          <w:lang w:eastAsia="zh-CN"/>
        </w:rPr>
        <w:t>评价</w:t>
      </w:r>
      <w:r>
        <w:rPr>
          <w:rFonts w:hint="eastAsia"/>
          <w:color w:val="000000"/>
        </w:rPr>
        <w:t>确定</w:t>
      </w:r>
      <w:r>
        <w:rPr>
          <w:rFonts w:hint="eastAsia"/>
          <w:color w:val="000000"/>
          <w:lang w:eastAsia="zh-CN"/>
        </w:rPr>
        <w:t>以厂区</w:t>
      </w:r>
      <w:r>
        <w:rPr>
          <w:rFonts w:hint="eastAsia"/>
          <w:bCs/>
          <w:color w:val="000000"/>
        </w:rPr>
        <w:t>边界</w:t>
      </w:r>
      <w:r>
        <w:rPr>
          <w:rFonts w:hint="eastAsia"/>
          <w:bCs/>
          <w:color w:val="000000"/>
          <w:lang w:eastAsia="zh-CN"/>
        </w:rPr>
        <w:t>外扩</w:t>
      </w:r>
      <w:r>
        <w:rPr>
          <w:rFonts w:hint="eastAsia"/>
          <w:bCs/>
          <w:color w:val="000000"/>
        </w:rPr>
        <w:t>2500m范围内</w:t>
      </w:r>
      <w:r>
        <w:rPr>
          <w:rFonts w:hint="eastAsia"/>
          <w:bCs/>
          <w:color w:val="000000"/>
          <w:lang w:eastAsia="zh-CN"/>
        </w:rPr>
        <w:t>的</w:t>
      </w:r>
      <w:r>
        <w:rPr>
          <w:rFonts w:hint="eastAsia"/>
          <w:bCs/>
          <w:color w:val="000000"/>
        </w:rPr>
        <w:t>居民点</w:t>
      </w:r>
      <w:r>
        <w:rPr>
          <w:rFonts w:hint="eastAsia"/>
          <w:color w:val="000000"/>
        </w:rPr>
        <w:t>纳入</w:t>
      </w:r>
      <w:r>
        <w:rPr>
          <w:color w:val="000000"/>
        </w:rPr>
        <w:t>环境保护目标</w:t>
      </w:r>
      <w:r>
        <w:rPr>
          <w:rFonts w:hint="eastAsia"/>
          <w:color w:val="000000"/>
        </w:rPr>
        <w:t>，如</w:t>
      </w:r>
      <w:r>
        <w:rPr>
          <w:rFonts w:hint="eastAsia"/>
          <w:bCs/>
          <w:color w:val="000000"/>
        </w:rPr>
        <w:t>下表所示。</w:t>
      </w:r>
    </w:p>
    <w:p>
      <w:pPr>
        <w:spacing w:line="400" w:lineRule="exact"/>
        <w:ind w:firstLine="422"/>
        <w:jc w:val="center"/>
        <w:rPr>
          <w:b/>
          <w:color w:val="000000"/>
          <w:sz w:val="21"/>
          <w:szCs w:val="21"/>
        </w:rPr>
      </w:pPr>
      <w:r>
        <w:rPr>
          <w:b/>
          <w:color w:val="000000"/>
          <w:sz w:val="21"/>
          <w:szCs w:val="21"/>
        </w:rPr>
        <w:t>表</w:t>
      </w:r>
      <w:r>
        <w:rPr>
          <w:rFonts w:hint="eastAsia"/>
          <w:b/>
          <w:color w:val="000000"/>
          <w:sz w:val="21"/>
          <w:szCs w:val="21"/>
        </w:rPr>
        <w:t>1.</w:t>
      </w:r>
      <w:r>
        <w:rPr>
          <w:rFonts w:hint="eastAsia"/>
          <w:b/>
          <w:color w:val="000000"/>
          <w:sz w:val="21"/>
          <w:szCs w:val="21"/>
          <w:lang w:val="en-US" w:eastAsia="zh-CN"/>
        </w:rPr>
        <w:t>6</w:t>
      </w:r>
      <w:r>
        <w:rPr>
          <w:b/>
          <w:color w:val="000000"/>
          <w:sz w:val="21"/>
          <w:szCs w:val="21"/>
        </w:rPr>
        <w:t xml:space="preserve">-1  </w:t>
      </w:r>
      <w:r>
        <w:rPr>
          <w:rFonts w:hint="eastAsia"/>
          <w:b/>
          <w:color w:val="000000"/>
          <w:sz w:val="21"/>
          <w:szCs w:val="21"/>
        </w:rPr>
        <w:t>大气</w:t>
      </w:r>
      <w:r>
        <w:rPr>
          <w:b/>
          <w:color w:val="000000"/>
          <w:sz w:val="21"/>
          <w:szCs w:val="21"/>
        </w:rPr>
        <w:t>环境保护目标</w:t>
      </w:r>
    </w:p>
    <w:tbl>
      <w:tblPr>
        <w:tblStyle w:val="36"/>
        <w:tblW w:w="4998" w:type="pct"/>
        <w:jc w:val="center"/>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Layout w:type="fixed"/>
        <w:tblCellMar>
          <w:top w:w="0" w:type="dxa"/>
          <w:left w:w="0" w:type="dxa"/>
          <w:bottom w:w="0" w:type="dxa"/>
          <w:right w:w="0" w:type="dxa"/>
        </w:tblCellMar>
      </w:tblPr>
      <w:tblGrid>
        <w:gridCol w:w="903"/>
        <w:gridCol w:w="1012"/>
        <w:gridCol w:w="924"/>
        <w:gridCol w:w="2438"/>
        <w:gridCol w:w="720"/>
        <w:gridCol w:w="870"/>
        <w:gridCol w:w="1466"/>
      </w:tblGrid>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541"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环境要素</w:t>
            </w:r>
          </w:p>
        </w:tc>
        <w:tc>
          <w:tcPr>
            <w:tcW w:w="1161" w:type="pct"/>
            <w:gridSpan w:val="2"/>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坐标</w:t>
            </w:r>
          </w:p>
        </w:tc>
        <w:tc>
          <w:tcPr>
            <w:tcW w:w="1462"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保护对象</w:t>
            </w:r>
          </w:p>
        </w:tc>
        <w:tc>
          <w:tcPr>
            <w:tcW w:w="432"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保护内容</w:t>
            </w:r>
          </w:p>
        </w:tc>
        <w:tc>
          <w:tcPr>
            <w:tcW w:w="522"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环境功能区</w:t>
            </w:r>
          </w:p>
        </w:tc>
        <w:tc>
          <w:tcPr>
            <w:tcW w:w="879"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color w:val="000000"/>
                <w:kern w:val="0"/>
                <w:sz w:val="21"/>
                <w:szCs w:val="21"/>
              </w:rPr>
              <w:t>方位及距离</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97"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经度</w:t>
            </w:r>
          </w:p>
        </w:tc>
        <w:tc>
          <w:tcPr>
            <w:tcW w:w="554" w:type="pc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纬度</w:t>
            </w:r>
          </w:p>
        </w:tc>
        <w:tc>
          <w:tcPr>
            <w:tcW w:w="1462"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432"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522"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879"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14" w:hRule="atLeast"/>
          <w:jc w:val="center"/>
        </w:trPr>
        <w:tc>
          <w:tcPr>
            <w:tcW w:w="541" w:type="pct"/>
            <w:vMerge w:val="restart"/>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lang w:val="en-US" w:eastAsia="zh-CN"/>
              </w:rPr>
            </w:pPr>
            <w:r>
              <w:rPr>
                <w:rFonts w:hint="eastAsia" w:ascii="Times New Roman" w:hAnsi="Times New Roman" w:eastAsia="宋体" w:cs="Times New Roman"/>
                <w:color w:val="auto"/>
                <w:sz w:val="21"/>
                <w:szCs w:val="21"/>
                <w:highlight w:val="none"/>
                <w:u w:val="none" w:color="auto"/>
              </w:rPr>
              <w:t>大气环境</w:t>
            </w:r>
          </w:p>
        </w:tc>
        <w:tc>
          <w:tcPr>
            <w:tcW w:w="607" w:type="pct"/>
            <w:tcBorders>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14:textFill>
                  <w14:solidFill>
                    <w14:schemeClr w14:val="tx1"/>
                  </w14:solidFill>
                </w14:textFill>
              </w:rPr>
              <w:t>111.</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3</w:t>
            </w:r>
            <w:r>
              <w:rPr>
                <w:rFonts w:hint="eastAsia" w:cs="Times New Roman"/>
                <w:color w:val="000000" w:themeColor="text1"/>
                <w:sz w:val="21"/>
                <w:szCs w:val="21"/>
                <w:highlight w:val="none"/>
                <w:u w:val="none" w:color="auto"/>
                <w:lang w:val="en-US" w:eastAsia="zh-CN"/>
                <w14:textFill>
                  <w14:solidFill>
                    <w14:schemeClr w14:val="tx1"/>
                  </w14:solidFill>
                </w14:textFill>
              </w:rPr>
              <w:t>66225</w:t>
            </w:r>
          </w:p>
        </w:tc>
        <w:tc>
          <w:tcPr>
            <w:tcW w:w="554" w:type="pct"/>
            <w:tcBorders>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14:textFill>
                  <w14:solidFill>
                    <w14:schemeClr w14:val="tx1"/>
                  </w14:solidFill>
                </w14:textFill>
              </w:rPr>
              <w:t>25.</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2</w:t>
            </w:r>
            <w:r>
              <w:rPr>
                <w:rFonts w:hint="eastAsia" w:cs="Times New Roman"/>
                <w:color w:val="000000" w:themeColor="text1"/>
                <w:sz w:val="21"/>
                <w:szCs w:val="21"/>
                <w:highlight w:val="none"/>
                <w:u w:val="none" w:color="auto"/>
                <w:lang w:val="en-US" w:eastAsia="zh-CN"/>
                <w14:textFill>
                  <w14:solidFill>
                    <w14:schemeClr w14:val="tx1"/>
                  </w14:solidFill>
                </w14:textFill>
              </w:rPr>
              <w:t>29689</w:t>
            </w:r>
          </w:p>
        </w:tc>
        <w:tc>
          <w:tcPr>
            <w:tcW w:w="1462" w:type="pct"/>
            <w:tcBorders>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工业园集中区扶贫安置区</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居民，约</w:t>
            </w:r>
            <w:r>
              <w:rPr>
                <w:rFonts w:hint="eastAsia" w:cs="Times New Roman"/>
                <w:color w:val="000000" w:themeColor="text1"/>
                <w:sz w:val="21"/>
                <w:szCs w:val="21"/>
                <w:highlight w:val="none"/>
                <w:u w:val="none" w:color="auto"/>
                <w:lang w:val="en-US" w:eastAsia="zh-CN"/>
                <w14:textFill>
                  <w14:solidFill>
                    <w14:schemeClr w14:val="tx1"/>
                  </w14:solidFill>
                </w14:textFill>
              </w:rPr>
              <w:t>60</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0人</w:t>
            </w:r>
          </w:p>
        </w:tc>
        <w:tc>
          <w:tcPr>
            <w:tcW w:w="432" w:type="pct"/>
            <w:tcBorders>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14:textFill>
                  <w14:solidFill>
                    <w14:schemeClr w14:val="tx1"/>
                  </w14:solidFill>
                </w14:textFill>
              </w:rPr>
              <w:t>二类</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区</w:t>
            </w:r>
          </w:p>
        </w:tc>
        <w:tc>
          <w:tcPr>
            <w:tcW w:w="879" w:type="pct"/>
            <w:tcBorders>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EN</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，3</w:t>
            </w:r>
            <w:r>
              <w:rPr>
                <w:rFonts w:hint="eastAsia" w:cs="Times New Roman"/>
                <w:color w:val="000000" w:themeColor="text1"/>
                <w:sz w:val="21"/>
                <w:szCs w:val="21"/>
                <w:highlight w:val="none"/>
                <w:u w:val="none" w:color="auto"/>
                <w:lang w:val="en-US" w:eastAsia="zh-CN"/>
                <w14:textFill>
                  <w14:solidFill>
                    <w14:schemeClr w14:val="tx1"/>
                  </w14:solidFill>
                </w14:textFill>
              </w:rPr>
              <w:t>8</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0-5</w:t>
            </w:r>
            <w:r>
              <w:rPr>
                <w:rFonts w:hint="eastAsia" w:cs="Times New Roman"/>
                <w:color w:val="000000" w:themeColor="text1"/>
                <w:sz w:val="21"/>
                <w:szCs w:val="21"/>
                <w:highlight w:val="none"/>
                <w:u w:val="none" w:color="auto"/>
                <w:lang w:val="en-US" w:eastAsia="zh-CN"/>
                <w14:textFill>
                  <w14:solidFill>
                    <w14:schemeClr w14:val="tx1"/>
                  </w14:solidFill>
                </w14:textFill>
              </w:rPr>
              <w:t>5</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111.3</w:t>
            </w:r>
            <w:r>
              <w:rPr>
                <w:rFonts w:hint="eastAsia" w:cs="Times New Roman"/>
                <w:color w:val="000000" w:themeColor="text1"/>
                <w:sz w:val="21"/>
                <w:szCs w:val="21"/>
                <w:highlight w:val="none"/>
                <w:u w:val="none" w:color="auto"/>
                <w:lang w:val="en-US" w:eastAsia="zh-CN"/>
                <w14:textFill>
                  <w14:solidFill>
                    <w14:schemeClr w14:val="tx1"/>
                  </w14:solidFill>
                </w14:textFill>
              </w:rPr>
              <w:t>68306</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25.2</w:t>
            </w:r>
            <w:r>
              <w:rPr>
                <w:rFonts w:hint="eastAsia" w:cs="Times New Roman"/>
                <w:color w:val="000000" w:themeColor="text1"/>
                <w:sz w:val="21"/>
                <w:szCs w:val="21"/>
                <w:highlight w:val="none"/>
                <w:u w:val="none" w:color="auto"/>
                <w:lang w:val="en-US" w:eastAsia="zh-CN"/>
                <w14:textFill>
                  <w14:solidFill>
                    <w14:schemeClr w14:val="tx1"/>
                  </w14:solidFill>
                </w14:textFill>
              </w:rPr>
              <w:t>29126</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工业园集中区幼儿园</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，约</w:t>
            </w:r>
            <w:r>
              <w:rPr>
                <w:rFonts w:hint="eastAsia" w:cs="Times New Roman"/>
                <w:color w:val="000000" w:themeColor="text1"/>
                <w:sz w:val="21"/>
                <w:szCs w:val="21"/>
                <w:highlight w:val="none"/>
                <w:u w:val="none" w:color="auto"/>
                <w:lang w:val="en-US" w:eastAsia="zh-CN"/>
                <w14:textFill>
                  <w14:solidFill>
                    <w14:schemeClr w14:val="tx1"/>
                  </w14:solidFill>
                </w14:textFill>
              </w:rPr>
              <w:t>2</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00人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kern w:val="2"/>
                <w:sz w:val="21"/>
                <w:szCs w:val="21"/>
                <w:highlight w:val="none"/>
                <w:u w:val="none" w:color="auto"/>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kern w:val="2"/>
                <w:sz w:val="21"/>
                <w:szCs w:val="21"/>
                <w:highlight w:val="none"/>
                <w:u w:val="none" w:color="auto"/>
                <w:lang w:val="en-US" w:eastAsia="zh-CN" w:bidi="ar-SA"/>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W</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w:t>
            </w:r>
            <w:r>
              <w:rPr>
                <w:rFonts w:hint="eastAsia" w:cs="Times New Roman"/>
                <w:color w:val="000000" w:themeColor="text1"/>
                <w:sz w:val="21"/>
                <w:szCs w:val="21"/>
                <w:highlight w:val="none"/>
                <w:u w:val="none" w:color="auto"/>
                <w:lang w:val="en-US" w:eastAsia="zh-CN"/>
                <w14:textFill>
                  <w14:solidFill>
                    <w14:schemeClr w14:val="tx1"/>
                  </w14:solidFill>
                </w14:textFill>
              </w:rPr>
              <w:t>53</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0-</w:t>
            </w:r>
            <w:r>
              <w:rPr>
                <w:rFonts w:hint="eastAsia" w:cs="Times New Roman"/>
                <w:color w:val="000000" w:themeColor="text1"/>
                <w:sz w:val="21"/>
                <w:szCs w:val="21"/>
                <w:highlight w:val="none"/>
                <w:u w:val="none" w:color="auto"/>
                <w:lang w:val="en-US" w:eastAsia="zh-CN"/>
                <w14:textFill>
                  <w14:solidFill>
                    <w14:schemeClr w14:val="tx1"/>
                  </w14:solidFill>
                </w14:textFill>
              </w:rPr>
              <w:t>61</w:t>
            </w: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5m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111.368365</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25.230575</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default"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海相希望小学，约500人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E，615-720m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111.370060</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25.227184</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eastAsia"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大漠头村居民，约1000人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ES，610-1800m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111.375146</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25.208859</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eastAsia"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马河村居民，约300人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ES，2200-2500m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111.367636</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25.214481</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eastAsia"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栎溪村居民，约150人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S，1300-1600m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111.360383</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25.212507</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eastAsia"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瓦屋下村居民，约300人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WS，1400-2500m</w:t>
            </w:r>
          </w:p>
        </w:tc>
      </w:tr>
      <w:tr>
        <w:tblPrEx>
          <w:tblBorders>
            <w:top w:val="single" w:color="000000" w:sz="6" w:space="0"/>
            <w:left w:val="single" w:color="000000" w:sz="6" w:space="0"/>
            <w:bottom w:val="single" w:color="000000" w:sz="6"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224" w:hRule="atLeast"/>
          <w:jc w:val="center"/>
        </w:trPr>
        <w:tc>
          <w:tcPr>
            <w:tcW w:w="541" w:type="pct"/>
            <w:vMerge w:val="continue"/>
            <w:tcBorders>
              <w:bottom w:val="single" w:color="auto" w:sz="4"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p>
        </w:tc>
        <w:tc>
          <w:tcPr>
            <w:tcW w:w="607" w:type="pct"/>
            <w:tcBorders>
              <w:top w:val="single" w:color="000000" w:sz="6" w:space="0"/>
              <w:bottom w:val="single" w:color="auto" w:sz="4"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111.362185</w:t>
            </w:r>
          </w:p>
        </w:tc>
        <w:tc>
          <w:tcPr>
            <w:tcW w:w="554"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25.204182</w:t>
            </w:r>
          </w:p>
        </w:tc>
        <w:tc>
          <w:tcPr>
            <w:tcW w:w="1462" w:type="pct"/>
            <w:tcBorders>
              <w:top w:val="single" w:color="000000" w:sz="6" w:space="0"/>
              <w:bottom w:val="single" w:color="000000" w:sz="6" w:space="0"/>
              <w:tl2br w:val="nil"/>
              <w:tr2bl w:val="nil"/>
            </w:tcBorders>
            <w:noWrap/>
            <w:tcMar>
              <w:top w:w="15" w:type="dxa"/>
              <w:left w:w="15" w:type="dxa"/>
              <w:right w:w="15" w:type="dxa"/>
            </w:tcMar>
            <w:vAlign w:val="center"/>
          </w:tcPr>
          <w:p>
            <w:pPr>
              <w:spacing w:line="240" w:lineRule="auto"/>
              <w:ind w:firstLine="0" w:firstLineChars="0"/>
              <w:jc w:val="center"/>
              <w:rPr>
                <w:rFonts w:hint="eastAsia"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粗田村居民，约120人</w:t>
            </w:r>
          </w:p>
        </w:tc>
        <w:tc>
          <w:tcPr>
            <w:tcW w:w="43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t>人群</w:t>
            </w:r>
          </w:p>
        </w:tc>
        <w:tc>
          <w:tcPr>
            <w:tcW w:w="522"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eastAsia" w:ascii="Times New Roman" w:hAnsi="Times New Roman" w:eastAsia="宋体" w:cs="Times New Roman"/>
                <w:color w:val="auto"/>
                <w:sz w:val="21"/>
                <w:szCs w:val="21"/>
                <w:highlight w:val="none"/>
                <w:u w:val="none" w:color="auto"/>
              </w:rPr>
            </w:pPr>
            <w:r>
              <w:rPr>
                <w:rFonts w:hint="eastAsia" w:ascii="Times New Roman" w:hAnsi="Times New Roman" w:eastAsia="宋体" w:cs="Times New Roman"/>
                <w:color w:val="auto"/>
                <w:sz w:val="21"/>
                <w:szCs w:val="21"/>
                <w:highlight w:val="none"/>
                <w:u w:val="none" w:color="auto"/>
              </w:rPr>
              <w:t>二类</w:t>
            </w:r>
            <w:r>
              <w:rPr>
                <w:rFonts w:hint="eastAsia" w:ascii="Times New Roman" w:hAnsi="Times New Roman" w:eastAsia="宋体" w:cs="Times New Roman"/>
                <w:color w:val="auto"/>
                <w:sz w:val="21"/>
                <w:szCs w:val="21"/>
                <w:highlight w:val="none"/>
                <w:u w:val="none" w:color="auto"/>
                <w:lang w:val="en-US" w:eastAsia="zh-CN"/>
              </w:rPr>
              <w:t>区</w:t>
            </w:r>
          </w:p>
        </w:tc>
        <w:tc>
          <w:tcPr>
            <w:tcW w:w="879" w:type="pct"/>
            <w:tcBorders>
              <w:top w:val="single" w:color="000000" w:sz="6" w:space="0"/>
              <w:bottom w:val="single" w:color="000000" w:sz="6" w:space="0"/>
              <w:tl2br w:val="nil"/>
              <w:tr2bl w:val="nil"/>
            </w:tcBorders>
            <w:noWrap w:val="0"/>
            <w:tcMar>
              <w:top w:w="15" w:type="dxa"/>
              <w:left w:w="15" w:type="dxa"/>
              <w:right w:w="15" w:type="dxa"/>
            </w:tcMar>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highlight w:val="none"/>
                <w:u w:val="none" w:color="auto"/>
                <w:lang w:val="en-US" w:eastAsia="zh-CN"/>
                <w14:textFill>
                  <w14:solidFill>
                    <w14:schemeClr w14:val="tx1"/>
                  </w14:solidFill>
                </w14:textFill>
              </w:rPr>
            </w:pPr>
            <w:r>
              <w:rPr>
                <w:rFonts w:hint="eastAsia" w:cs="Times New Roman"/>
                <w:color w:val="000000" w:themeColor="text1"/>
                <w:sz w:val="21"/>
                <w:szCs w:val="21"/>
                <w:highlight w:val="none"/>
                <w:u w:val="none" w:color="auto"/>
                <w:lang w:val="en-US" w:eastAsia="zh-CN"/>
                <w14:textFill>
                  <w14:solidFill>
                    <w14:schemeClr w14:val="tx1"/>
                  </w14:solidFill>
                </w14:textFill>
              </w:rPr>
              <w:t>WS，2300-2700</w:t>
            </w:r>
          </w:p>
        </w:tc>
      </w:tr>
    </w:tbl>
    <w:p>
      <w:pPr>
        <w:rPr>
          <w:rFonts w:hint="eastAsia"/>
        </w:rPr>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start="1"/>
          <w:cols w:space="720" w:num="1"/>
          <w:docGrid w:type="lines" w:linePitch="312" w:charSpace="0"/>
        </w:sectPr>
      </w:pPr>
    </w:p>
    <w:p>
      <w:pPr>
        <w:pStyle w:val="4"/>
        <w:rPr>
          <w:rFonts w:hint="eastAsia"/>
          <w:color w:val="000000"/>
        </w:rPr>
      </w:pPr>
      <w:bookmarkStart w:id="43" w:name="_Toc9491"/>
      <w:bookmarkStart w:id="44" w:name="_Toc1784"/>
      <w:bookmarkStart w:id="45" w:name="_Toc3945"/>
      <w:bookmarkStart w:id="46" w:name="_Toc10131"/>
      <w:bookmarkStart w:id="47" w:name="_Toc5015"/>
      <w:r>
        <w:rPr>
          <w:rFonts w:hint="eastAsia"/>
          <w:color w:val="000000"/>
        </w:rPr>
        <w:t>项目基本情况</w:t>
      </w:r>
      <w:bookmarkEnd w:id="43"/>
      <w:bookmarkEnd w:id="44"/>
      <w:bookmarkEnd w:id="45"/>
      <w:r>
        <w:rPr>
          <w:rFonts w:hint="eastAsia"/>
          <w:color w:val="000000"/>
        </w:rPr>
        <w:t>及工程分析</w:t>
      </w:r>
      <w:bookmarkEnd w:id="46"/>
      <w:bookmarkEnd w:id="47"/>
    </w:p>
    <w:p>
      <w:pPr>
        <w:pStyle w:val="5"/>
        <w:rPr>
          <w:rFonts w:hint="eastAsia"/>
          <w:color w:val="000000"/>
        </w:rPr>
      </w:pPr>
      <w:bookmarkStart w:id="48" w:name="_Toc26402"/>
      <w:bookmarkStart w:id="49" w:name="_Toc12401"/>
      <w:bookmarkStart w:id="50" w:name="_Toc24522"/>
      <w:bookmarkStart w:id="51" w:name="_Toc3502"/>
      <w:r>
        <w:rPr>
          <w:rFonts w:hint="eastAsia"/>
          <w:color w:val="000000"/>
        </w:rPr>
        <w:t>项目工程组成情况</w:t>
      </w:r>
      <w:bookmarkEnd w:id="48"/>
      <w:bookmarkEnd w:id="49"/>
      <w:bookmarkEnd w:id="50"/>
      <w:bookmarkEnd w:id="51"/>
    </w:p>
    <w:p>
      <w:pPr>
        <w:pStyle w:val="6"/>
        <w:rPr>
          <w:rFonts w:hint="eastAsia"/>
          <w:color w:val="000000"/>
        </w:rPr>
      </w:pPr>
      <w:r>
        <w:rPr>
          <w:rFonts w:hint="eastAsia"/>
          <w:color w:val="000000"/>
        </w:rPr>
        <w:t>项目工程组成</w:t>
      </w:r>
    </w:p>
    <w:p>
      <w:pPr>
        <w:adjustRightInd/>
        <w:snapToGrid/>
        <w:ind w:firstLine="480"/>
        <w:rPr>
          <w:rFonts w:hint="eastAsia"/>
          <w:color w:val="000000"/>
          <w:u w:val="none"/>
        </w:rPr>
      </w:pPr>
      <w:r>
        <w:rPr>
          <w:rFonts w:hint="eastAsia"/>
          <w:color w:val="000000"/>
          <w:u w:val="none"/>
        </w:rPr>
        <w:t>项目</w:t>
      </w:r>
      <w:r>
        <w:rPr>
          <w:rFonts w:hint="eastAsia"/>
          <w:color w:val="000000"/>
          <w:u w:val="none"/>
          <w:lang w:val="en-US" w:eastAsia="zh-CN"/>
        </w:rPr>
        <w:t>租用</w:t>
      </w:r>
      <w:r>
        <w:rPr>
          <w:rFonts w:hint="eastAsia" w:ascii="Times New Roman" w:hAnsi="Times New Roman" w:eastAsia="宋体" w:cs="Times New Roman"/>
          <w:color w:val="auto"/>
          <w:sz w:val="24"/>
          <w:szCs w:val="24"/>
          <w:highlight w:val="none"/>
          <w:lang w:eastAsia="zh-CN"/>
        </w:rPr>
        <w:t>江永县工业集中区</w:t>
      </w:r>
      <w:r>
        <w:rPr>
          <w:rFonts w:hint="eastAsia"/>
          <w:color w:val="000000"/>
          <w:u w:val="none"/>
          <w:lang w:val="en-US" w:eastAsia="zh-CN"/>
        </w:rPr>
        <w:t>标准厂房，位于利田片区标准厂房4#栋钢结构厂房</w:t>
      </w:r>
      <w:r>
        <w:rPr>
          <w:rFonts w:hint="eastAsia"/>
          <w:color w:val="000000"/>
          <w:u w:val="none"/>
        </w:rPr>
        <w:t>，总建</w:t>
      </w:r>
      <w:r>
        <w:rPr>
          <w:rFonts w:hint="eastAsia" w:ascii="Times New Roman" w:hAnsi="Times New Roman" w:eastAsia="宋体" w:cs="Times New Roman"/>
          <w:color w:val="000000"/>
          <w:u w:val="none"/>
        </w:rPr>
        <w:t>筑面积为</w:t>
      </w:r>
      <w:r>
        <w:rPr>
          <w:rFonts w:hint="eastAsia" w:ascii="Times New Roman" w:hAnsi="Times New Roman" w:eastAsia="宋体" w:cs="Times New Roman"/>
          <w:color w:val="000000"/>
          <w:u w:val="none"/>
          <w:lang w:val="en-US" w:eastAsia="zh-CN"/>
        </w:rPr>
        <w:t>7</w:t>
      </w:r>
      <w:r>
        <w:rPr>
          <w:rFonts w:hint="eastAsia" w:cs="Times New Roman"/>
          <w:color w:val="000000"/>
          <w:u w:val="none"/>
          <w:lang w:val="en-US" w:eastAsia="zh-CN"/>
        </w:rPr>
        <w:t>8</w:t>
      </w:r>
      <w:r>
        <w:rPr>
          <w:rFonts w:hint="eastAsia" w:ascii="Times New Roman" w:hAnsi="Times New Roman" w:eastAsia="宋体" w:cs="Times New Roman"/>
          <w:color w:val="000000"/>
          <w:u w:val="none"/>
          <w:lang w:val="en-US" w:eastAsia="zh-CN"/>
        </w:rPr>
        <w:t>00</w:t>
      </w:r>
      <w:r>
        <w:rPr>
          <w:rFonts w:hint="eastAsia" w:ascii="Times New Roman" w:hAnsi="Times New Roman" w:eastAsia="宋体" w:cs="Times New Roman"/>
          <w:color w:val="000000"/>
          <w:u w:val="none"/>
        </w:rPr>
        <w:t>m</w:t>
      </w:r>
      <w:r>
        <w:rPr>
          <w:rFonts w:hint="eastAsia"/>
          <w:color w:val="000000"/>
          <w:u w:val="none"/>
          <w:vertAlign w:val="superscript"/>
        </w:rPr>
        <w:t>2</w:t>
      </w:r>
      <w:r>
        <w:rPr>
          <w:rFonts w:hint="eastAsia"/>
          <w:color w:val="000000"/>
          <w:u w:val="none"/>
        </w:rPr>
        <w:t>，建设内容：生产</w:t>
      </w:r>
      <w:r>
        <w:rPr>
          <w:rFonts w:hint="eastAsia"/>
          <w:color w:val="000000"/>
          <w:u w:val="none"/>
          <w:lang w:val="en-US" w:eastAsia="zh-CN"/>
        </w:rPr>
        <w:t>车间</w:t>
      </w:r>
      <w:r>
        <w:rPr>
          <w:rFonts w:hint="eastAsia"/>
          <w:color w:val="000000"/>
          <w:u w:val="none"/>
        </w:rPr>
        <w:t>、</w:t>
      </w:r>
      <w:r>
        <w:rPr>
          <w:rFonts w:hint="eastAsia"/>
          <w:color w:val="000000"/>
          <w:u w:val="none"/>
          <w:lang w:val="en-US" w:eastAsia="zh-CN"/>
        </w:rPr>
        <w:t>原料仓、成品仓</w:t>
      </w:r>
      <w:r>
        <w:rPr>
          <w:rFonts w:hint="eastAsia"/>
          <w:color w:val="000000"/>
          <w:u w:val="none"/>
          <w:lang w:eastAsia="zh-CN"/>
        </w:rPr>
        <w:t>等</w:t>
      </w:r>
      <w:r>
        <w:rPr>
          <w:rFonts w:hint="eastAsia"/>
          <w:color w:val="000000"/>
          <w:u w:val="none"/>
        </w:rPr>
        <w:t>，主要工程组成见表2</w:t>
      </w:r>
      <w:r>
        <w:rPr>
          <w:rFonts w:hint="eastAsia"/>
          <w:color w:val="000000"/>
          <w:u w:val="none"/>
          <w:lang w:val="en-US" w:eastAsia="zh-CN"/>
        </w:rPr>
        <w:t>.1</w:t>
      </w:r>
      <w:r>
        <w:rPr>
          <w:rFonts w:hint="eastAsia"/>
          <w:color w:val="000000"/>
          <w:u w:val="none"/>
        </w:rPr>
        <w:t>-1。</w:t>
      </w:r>
    </w:p>
    <w:p>
      <w:pPr>
        <w:spacing w:line="400" w:lineRule="exact"/>
        <w:ind w:firstLine="422"/>
        <w:jc w:val="center"/>
        <w:rPr>
          <w:rFonts w:hint="eastAsia"/>
          <w:b/>
          <w:bCs/>
          <w:color w:val="000000"/>
          <w:sz w:val="21"/>
          <w:szCs w:val="21"/>
          <w:u w:val="none"/>
        </w:rPr>
      </w:pPr>
      <w:r>
        <w:rPr>
          <w:rFonts w:hint="eastAsia"/>
          <w:b/>
          <w:bCs/>
          <w:color w:val="000000"/>
          <w:sz w:val="21"/>
          <w:szCs w:val="21"/>
          <w:u w:val="none"/>
        </w:rPr>
        <w:t>表2</w:t>
      </w:r>
      <w:r>
        <w:rPr>
          <w:rFonts w:hint="eastAsia"/>
          <w:b/>
          <w:bCs/>
          <w:color w:val="000000"/>
          <w:sz w:val="21"/>
          <w:szCs w:val="21"/>
          <w:u w:val="none"/>
          <w:lang w:val="en-US" w:eastAsia="zh-CN"/>
        </w:rPr>
        <w:t>.1</w:t>
      </w:r>
      <w:r>
        <w:rPr>
          <w:rFonts w:hint="eastAsia"/>
          <w:b/>
          <w:bCs/>
          <w:color w:val="000000"/>
          <w:sz w:val="21"/>
          <w:szCs w:val="21"/>
          <w:u w:val="none"/>
        </w:rPr>
        <w:t>-1主要建设内容一览表</w:t>
      </w:r>
    </w:p>
    <w:tbl>
      <w:tblPr>
        <w:tblStyle w:val="36"/>
        <w:tblW w:w="4999" w:type="pct"/>
        <w:jc w:val="center"/>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Layout w:type="autofit"/>
        <w:tblCellMar>
          <w:top w:w="0" w:type="dxa"/>
          <w:left w:w="108" w:type="dxa"/>
          <w:bottom w:w="0" w:type="dxa"/>
          <w:right w:w="108" w:type="dxa"/>
        </w:tblCellMar>
      </w:tblPr>
      <w:tblGrid>
        <w:gridCol w:w="1312"/>
        <w:gridCol w:w="1868"/>
        <w:gridCol w:w="5340"/>
      </w:tblGrid>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工程名称</w:t>
            </w:r>
          </w:p>
        </w:tc>
        <w:tc>
          <w:tcPr>
            <w:tcW w:w="4229" w:type="pct"/>
            <w:gridSpan w:val="2"/>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建筑</w:t>
            </w:r>
            <w:r>
              <w:rPr>
                <w:rFonts w:hint="eastAsia" w:ascii="Times New Roman" w:hAnsi="Times New Roman" w:cs="Times New Roman"/>
                <w:color w:val="auto"/>
                <w:sz w:val="21"/>
                <w:szCs w:val="21"/>
                <w:lang w:val="en-US" w:eastAsia="zh-CN"/>
              </w:rPr>
              <w:t>内容及</w:t>
            </w:r>
            <w:r>
              <w:rPr>
                <w:rFonts w:hint="default" w:ascii="Times New Roman" w:hAnsi="Times New Roman" w:cs="Times New Roman"/>
                <w:color w:val="auto"/>
                <w:sz w:val="21"/>
                <w:szCs w:val="21"/>
                <w:lang w:val="en-US" w:eastAsia="zh-CN"/>
              </w:rPr>
              <w:t>规模</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主体工程</w:t>
            </w: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生产厂房</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建筑面积</w:t>
            </w:r>
            <w:r>
              <w:rPr>
                <w:rFonts w:hint="eastAsia" w:ascii="Times New Roman" w:hAnsi="Times New Roman" w:cs="Times New Roman"/>
                <w:color w:val="auto"/>
                <w:sz w:val="21"/>
                <w:szCs w:val="21"/>
                <w:lang w:val="en-US" w:eastAsia="zh-CN"/>
              </w:rPr>
              <w:t>78</w:t>
            </w:r>
            <w:r>
              <w:rPr>
                <w:rFonts w:hint="default" w:ascii="Times New Roman" w:hAnsi="Times New Roman" w:cs="Times New Roman"/>
                <w:color w:val="auto"/>
                <w:sz w:val="21"/>
                <w:szCs w:val="21"/>
                <w:lang w:val="en-US" w:eastAsia="zh-CN"/>
              </w:rPr>
              <w:t>00m</w:t>
            </w:r>
            <w:r>
              <w:rPr>
                <w:rFonts w:hint="default" w:ascii="Times New Roman" w:hAnsi="Times New Roman" w:cs="Times New Roman"/>
                <w:color w:val="auto"/>
                <w:sz w:val="21"/>
                <w:szCs w:val="21"/>
                <w:vertAlign w:val="superscript"/>
                <w:lang w:val="en-US" w:eastAsia="zh-CN"/>
              </w:rPr>
              <w:t>2</w:t>
            </w:r>
            <w:r>
              <w:rPr>
                <w:rFonts w:hint="eastAsia" w:ascii="Times New Roman" w:hAnsi="Times New Roman" w:cs="Times New Roman"/>
                <w:color w:val="auto"/>
                <w:sz w:val="21"/>
                <w:szCs w:val="21"/>
                <w:vertAlign w:val="baseline"/>
                <w:lang w:val="en-US" w:eastAsia="zh-CN"/>
              </w:rPr>
              <w:t>，铝合金锭熔铸、机加工生产等</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辅助工程</w:t>
            </w: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原料堆放区</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建筑面积</w:t>
            </w:r>
            <w:r>
              <w:rPr>
                <w:rFonts w:hint="eastAsia" w:ascii="Times New Roman" w:hAnsi="Times New Roman" w:cs="Times New Roman"/>
                <w:color w:val="auto"/>
                <w:sz w:val="21"/>
                <w:szCs w:val="21"/>
                <w:lang w:val="en-US" w:eastAsia="zh-CN"/>
              </w:rPr>
              <w:t>2</w:t>
            </w:r>
            <w:r>
              <w:rPr>
                <w:rFonts w:hint="default" w:ascii="Times New Roman" w:hAnsi="Times New Roman" w:cs="Times New Roman"/>
                <w:color w:val="auto"/>
                <w:sz w:val="21"/>
                <w:szCs w:val="21"/>
                <w:lang w:val="en-US" w:eastAsia="zh-CN"/>
              </w:rPr>
              <w:t>00m</w:t>
            </w:r>
            <w:r>
              <w:rPr>
                <w:rFonts w:hint="default" w:ascii="Times New Roman" w:hAnsi="Times New Roman" w:cs="Times New Roman"/>
                <w:color w:val="auto"/>
                <w:sz w:val="21"/>
                <w:szCs w:val="21"/>
                <w:vertAlign w:val="superscript"/>
                <w:lang w:val="en-US" w:eastAsia="zh-CN"/>
              </w:rPr>
              <w:t>2</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lang w:val="en-US" w:eastAsia="zh-CN"/>
              </w:rPr>
              <w:t>原料堆放</w:t>
            </w:r>
            <w:r>
              <w:rPr>
                <w:rFonts w:hint="eastAsia" w:ascii="Times New Roman" w:hAnsi="Times New Roman" w:cs="Times New Roman"/>
                <w:color w:val="auto"/>
                <w:sz w:val="21"/>
                <w:szCs w:val="21"/>
                <w:lang w:val="en-US" w:eastAsia="zh-CN"/>
              </w:rPr>
              <w:t>，位于生产厂房内</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成品堆放区</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建筑面积</w:t>
            </w:r>
            <w:r>
              <w:rPr>
                <w:rFonts w:hint="eastAsia" w:ascii="Times New Roman" w:hAnsi="Times New Roman" w:cs="Times New Roman"/>
                <w:color w:val="auto"/>
                <w:sz w:val="21"/>
                <w:szCs w:val="21"/>
                <w:lang w:val="en-US" w:eastAsia="zh-CN"/>
              </w:rPr>
              <w:t>5</w:t>
            </w:r>
            <w:r>
              <w:rPr>
                <w:rFonts w:hint="default" w:ascii="Times New Roman" w:hAnsi="Times New Roman" w:cs="Times New Roman"/>
                <w:color w:val="auto"/>
                <w:sz w:val="21"/>
                <w:szCs w:val="21"/>
                <w:lang w:val="en-US" w:eastAsia="zh-CN"/>
              </w:rPr>
              <w:t>00m</w:t>
            </w:r>
            <w:r>
              <w:rPr>
                <w:rFonts w:hint="default" w:ascii="Times New Roman" w:hAnsi="Times New Roman" w:cs="Times New Roman"/>
                <w:color w:val="auto"/>
                <w:sz w:val="21"/>
                <w:szCs w:val="21"/>
                <w:vertAlign w:val="superscript"/>
                <w:lang w:val="en-US" w:eastAsia="zh-CN"/>
              </w:rPr>
              <w:t>2</w:t>
            </w:r>
            <w:r>
              <w:rPr>
                <w:rFonts w:hint="eastAsia" w:ascii="Times New Roman" w:hAnsi="Times New Roman" w:cs="Times New Roman"/>
                <w:color w:val="auto"/>
                <w:sz w:val="21"/>
                <w:szCs w:val="21"/>
                <w:lang w:val="en-US" w:eastAsia="zh-CN"/>
              </w:rPr>
              <w:t>，</w:t>
            </w:r>
            <w:r>
              <w:rPr>
                <w:rFonts w:hint="default" w:ascii="Times New Roman" w:hAnsi="Times New Roman" w:cs="Times New Roman"/>
                <w:color w:val="auto"/>
                <w:sz w:val="21"/>
                <w:szCs w:val="21"/>
                <w:lang w:val="en-US" w:eastAsia="zh-CN"/>
              </w:rPr>
              <w:t>成品堆放</w:t>
            </w:r>
            <w:r>
              <w:rPr>
                <w:rFonts w:hint="eastAsia" w:ascii="Times New Roman" w:hAnsi="Times New Roman" w:cs="Times New Roman"/>
                <w:color w:val="auto"/>
                <w:sz w:val="21"/>
                <w:szCs w:val="21"/>
                <w:lang w:val="en-US" w:eastAsia="zh-CN"/>
              </w:rPr>
              <w:t>，位于生产厂房内</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办公室</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总建筑面积</w:t>
            </w:r>
            <w:r>
              <w:rPr>
                <w:rFonts w:hint="eastAsia" w:ascii="Times New Roman" w:hAnsi="Times New Roman" w:cs="Times New Roman"/>
                <w:color w:val="auto"/>
                <w:sz w:val="21"/>
                <w:szCs w:val="21"/>
                <w:lang w:val="en-US" w:eastAsia="zh-CN"/>
              </w:rPr>
              <w:t>5</w:t>
            </w:r>
            <w:r>
              <w:rPr>
                <w:rFonts w:hint="default" w:ascii="Times New Roman" w:hAnsi="Times New Roman" w:cs="Times New Roman"/>
                <w:color w:val="auto"/>
                <w:sz w:val="21"/>
                <w:szCs w:val="21"/>
                <w:lang w:val="en-US" w:eastAsia="zh-CN"/>
              </w:rPr>
              <w:t>00m</w:t>
            </w:r>
            <w:r>
              <w:rPr>
                <w:rFonts w:hint="default" w:ascii="Times New Roman" w:hAnsi="Times New Roman" w:cs="Times New Roman"/>
                <w:color w:val="auto"/>
                <w:sz w:val="21"/>
                <w:szCs w:val="21"/>
                <w:vertAlign w:val="superscript"/>
                <w:lang w:val="en-US" w:eastAsia="zh-CN"/>
              </w:rPr>
              <w:t>2</w:t>
            </w:r>
            <w:r>
              <w:rPr>
                <w:rFonts w:hint="eastAsia" w:ascii="Times New Roman" w:hAnsi="Times New Roman" w:cs="Times New Roman"/>
                <w:color w:val="auto"/>
                <w:sz w:val="21"/>
                <w:szCs w:val="21"/>
                <w:lang w:val="en-US" w:eastAsia="zh-CN"/>
              </w:rPr>
              <w:t>，办公管理，位于生产厂房内</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公用工程</w:t>
            </w: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道路</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依托园区已建道路</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供电</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工业园电网提供，380/220V</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供水</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依托园区</w:t>
            </w:r>
            <w:r>
              <w:rPr>
                <w:rFonts w:hint="default" w:ascii="Times New Roman" w:hAnsi="Times New Roman" w:cs="Times New Roman"/>
                <w:color w:val="auto"/>
                <w:sz w:val="21"/>
                <w:szCs w:val="21"/>
                <w:lang w:val="en-US" w:eastAsia="zh-CN"/>
              </w:rPr>
              <w:t>自来水管网供给</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环保工程</w:t>
            </w:r>
          </w:p>
        </w:tc>
        <w:tc>
          <w:tcPr>
            <w:tcW w:w="1096"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废水处理设施</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eastAsia" w:ascii="Times New Roman" w:hAnsi="Times New Roman" w:cs="Times New Roman"/>
                <w:color w:val="auto"/>
                <w:sz w:val="21"/>
                <w:szCs w:val="21"/>
                <w:lang w:val="en-US" w:eastAsia="zh-CN"/>
              </w:rPr>
              <w:t>依托园区</w:t>
            </w:r>
            <w:r>
              <w:rPr>
                <w:rFonts w:hint="default" w:ascii="Times New Roman" w:hAnsi="Times New Roman" w:cs="Times New Roman"/>
                <w:color w:val="auto"/>
                <w:sz w:val="21"/>
                <w:szCs w:val="21"/>
                <w:lang w:val="en-US" w:eastAsia="zh-CN"/>
              </w:rPr>
              <w:t>雨污分流</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生活污水</w:t>
            </w:r>
            <w:r>
              <w:rPr>
                <w:rFonts w:hint="eastAsia" w:ascii="Times New Roman" w:hAnsi="Times New Roman" w:cs="Times New Roman"/>
                <w:color w:val="000000" w:themeColor="text1"/>
                <w:sz w:val="21"/>
                <w:szCs w:val="21"/>
                <w:lang w:val="en-US" w:eastAsia="zh-CN"/>
                <w14:textFill>
                  <w14:solidFill>
                    <w14:schemeClr w14:val="tx1"/>
                  </w14:solidFill>
                </w14:textFill>
              </w:rPr>
              <w:t>经</w:t>
            </w:r>
            <w:r>
              <w:rPr>
                <w:rFonts w:hint="default" w:ascii="Times New Roman" w:hAnsi="Times New Roman" w:cs="Times New Roman"/>
                <w:color w:val="000000" w:themeColor="text1"/>
                <w:sz w:val="21"/>
                <w:szCs w:val="21"/>
                <w:lang w:val="en-US" w:eastAsia="zh-CN"/>
                <w14:textFill>
                  <w14:solidFill>
                    <w14:schemeClr w14:val="tx1"/>
                  </w14:solidFill>
                </w14:textFill>
              </w:rPr>
              <w:t>园区化粪池</w:t>
            </w:r>
            <w:r>
              <w:rPr>
                <w:rFonts w:hint="eastAsia" w:ascii="Times New Roman" w:hAnsi="Times New Roman" w:cs="Times New Roman"/>
                <w:color w:val="000000" w:themeColor="text1"/>
                <w:sz w:val="21"/>
                <w:szCs w:val="21"/>
                <w:lang w:val="en-US" w:eastAsia="zh-CN"/>
                <w14:textFill>
                  <w14:solidFill>
                    <w14:schemeClr w14:val="tx1"/>
                  </w14:solidFill>
                </w14:textFill>
              </w:rPr>
              <w:t>处理后排入市政污水管网</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废气处理设施</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熔铸废气经集气罩收集+布袋除尘+15m高排气筒</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噪声处理设施</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选用</w:t>
            </w:r>
            <w:r>
              <w:rPr>
                <w:rFonts w:hint="default" w:ascii="Times New Roman" w:hAnsi="Times New Roman" w:cs="Times New Roman"/>
                <w:color w:val="000000" w:themeColor="text1"/>
                <w:sz w:val="21"/>
                <w:szCs w:val="21"/>
                <w:lang w:val="en-US" w:eastAsia="zh-CN"/>
                <w14:textFill>
                  <w14:solidFill>
                    <w14:schemeClr w14:val="tx1"/>
                  </w14:solidFill>
                </w14:textFill>
              </w:rPr>
              <w:t>低噪声设备，设备</w:t>
            </w:r>
            <w:r>
              <w:rPr>
                <w:rFonts w:hint="eastAsia" w:ascii="Times New Roman" w:hAnsi="Times New Roman" w:cs="Times New Roman"/>
                <w:color w:val="000000" w:themeColor="text1"/>
                <w:sz w:val="21"/>
                <w:szCs w:val="21"/>
                <w:lang w:val="en-US" w:eastAsia="zh-CN"/>
                <w14:textFill>
                  <w14:solidFill>
                    <w14:schemeClr w14:val="tx1"/>
                  </w14:solidFill>
                </w14:textFill>
              </w:rPr>
              <w:t>减震、隔声</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固废处理设施</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生活垃圾：垃圾桶（若干）</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一般固废间（</w:t>
            </w:r>
            <w:r>
              <w:rPr>
                <w:rFonts w:hint="eastAsia" w:ascii="Times New Roman" w:hAnsi="Times New Roman" w:cs="Times New Roman"/>
                <w:color w:val="auto"/>
                <w:sz w:val="21"/>
                <w:szCs w:val="21"/>
                <w:lang w:val="en-US" w:eastAsia="zh-CN"/>
              </w:rPr>
              <w:t>5</w:t>
            </w:r>
            <w:r>
              <w:rPr>
                <w:rFonts w:hint="default" w:ascii="Times New Roman" w:hAnsi="Times New Roman" w:cs="Times New Roman"/>
                <w:color w:val="auto"/>
                <w:sz w:val="21"/>
                <w:szCs w:val="21"/>
                <w:lang w:val="en-US" w:eastAsia="zh-CN"/>
              </w:rPr>
              <w:t>m</w:t>
            </w:r>
            <w:r>
              <w:rPr>
                <w:rFonts w:hint="default" w:ascii="Times New Roman" w:hAnsi="Times New Roman" w:cs="Times New Roman"/>
                <w:color w:val="auto"/>
                <w:sz w:val="21"/>
                <w:szCs w:val="21"/>
                <w:vertAlign w:val="superscript"/>
                <w:lang w:val="en-US" w:eastAsia="zh-CN"/>
              </w:rPr>
              <w:t>2</w:t>
            </w:r>
            <w:r>
              <w:rPr>
                <w:rFonts w:hint="default" w:ascii="Times New Roman" w:hAnsi="Times New Roman" w:cs="Times New Roman"/>
                <w:color w:val="auto"/>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危险废物：危险固废间（10m</w:t>
            </w:r>
            <w:r>
              <w:rPr>
                <w:rFonts w:hint="default" w:ascii="Times New Roman" w:hAnsi="Times New Roman" w:cs="Times New Roman"/>
                <w:color w:val="auto"/>
                <w:sz w:val="21"/>
                <w:szCs w:val="21"/>
                <w:vertAlign w:val="superscript"/>
                <w:lang w:val="en-US" w:eastAsia="zh-CN"/>
              </w:rPr>
              <w:t>2</w:t>
            </w:r>
            <w:r>
              <w:rPr>
                <w:rFonts w:hint="default" w:ascii="Times New Roman" w:hAnsi="Times New Roman" w:cs="Times New Roman"/>
                <w:color w:val="auto"/>
                <w:sz w:val="21"/>
                <w:szCs w:val="21"/>
                <w:lang w:val="en-US" w:eastAsia="zh-CN"/>
              </w:rPr>
              <w:t>）</w:t>
            </w:r>
          </w:p>
        </w:tc>
      </w:tr>
      <w:tr>
        <w:tblPrEx>
          <w:tblBorders>
            <w:top w:val="single" w:color="auto" w:sz="6" w:space="0"/>
            <w:left w:val="single" w:color="auto" w:sz="6" w:space="0"/>
            <w:bottom w:val="single" w:color="auto" w:sz="6" w:space="0"/>
            <w:right w:val="single" w:color="auto" w:sz="6"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770"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p>
        </w:tc>
        <w:tc>
          <w:tcPr>
            <w:tcW w:w="1096"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环境风险</w:t>
            </w:r>
          </w:p>
        </w:tc>
        <w:tc>
          <w:tcPr>
            <w:tcW w:w="3132"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auto"/>
                <w:sz w:val="21"/>
                <w:szCs w:val="21"/>
                <w:lang w:val="en-US" w:eastAsia="zh-CN"/>
              </w:rPr>
            </w:pPr>
            <w:r>
              <w:rPr>
                <w:rFonts w:hint="default" w:ascii="Times New Roman" w:hAnsi="Times New Roman" w:cs="Times New Roman"/>
                <w:color w:val="auto"/>
                <w:sz w:val="21"/>
                <w:szCs w:val="21"/>
                <w:lang w:val="en-US" w:eastAsia="zh-CN"/>
              </w:rPr>
              <w:t>原料仓库、危废暂存间设置防渗措施，制定相应的环境风险应急预案</w:t>
            </w:r>
          </w:p>
        </w:tc>
      </w:tr>
    </w:tbl>
    <w:p>
      <w:pPr>
        <w:pStyle w:val="6"/>
        <w:rPr>
          <w:rFonts w:hint="eastAsia"/>
          <w:color w:val="000000"/>
        </w:rPr>
      </w:pPr>
      <w:r>
        <w:rPr>
          <w:rFonts w:hint="eastAsia"/>
          <w:color w:val="000000"/>
        </w:rPr>
        <w:t>主要产品及产能</w:t>
      </w:r>
    </w:p>
    <w:p>
      <w:pPr>
        <w:bidi w:val="0"/>
      </w:pPr>
      <w:r>
        <w:rPr>
          <w:rFonts w:hint="eastAsia"/>
        </w:rPr>
        <w:t>本项目</w:t>
      </w:r>
      <w:r>
        <w:rPr>
          <w:rFonts w:hint="eastAsia"/>
          <w:lang w:val="en-US" w:eastAsia="zh-CN"/>
        </w:rPr>
        <w:t>主要产品为铸造铝合金汽车零部件</w:t>
      </w:r>
      <w:r>
        <w:rPr>
          <w:rFonts w:hint="eastAsia"/>
          <w:lang w:eastAsia="zh-CN"/>
        </w:rPr>
        <w:t>，</w:t>
      </w:r>
      <w:r>
        <w:rPr>
          <w:rFonts w:hint="eastAsia"/>
        </w:rPr>
        <w:t>具体产品方案见表2</w:t>
      </w:r>
      <w:r>
        <w:rPr>
          <w:rFonts w:hint="eastAsia"/>
          <w:lang w:val="en-US" w:eastAsia="zh-CN"/>
        </w:rPr>
        <w:t>.1</w:t>
      </w:r>
      <w:r>
        <w:t>-</w:t>
      </w:r>
      <w:r>
        <w:rPr>
          <w:rFonts w:hint="eastAsia"/>
          <w:lang w:val="en-US" w:eastAsia="zh-CN"/>
        </w:rPr>
        <w:t>2</w:t>
      </w:r>
      <w:r>
        <w:rPr>
          <w:rFonts w:hint="eastAsia"/>
        </w:rPr>
        <w:t>。</w:t>
      </w:r>
    </w:p>
    <w:p>
      <w:pPr>
        <w:adjustRightInd w:val="0"/>
        <w:snapToGrid w:val="0"/>
        <w:spacing w:before="120" w:beforeLines="50" w:line="240" w:lineRule="auto"/>
        <w:jc w:val="center"/>
        <w:rPr>
          <w:b/>
          <w:color w:val="auto"/>
          <w:sz w:val="21"/>
          <w:szCs w:val="21"/>
        </w:rPr>
      </w:pPr>
      <w:r>
        <w:rPr>
          <w:rFonts w:hint="eastAsia"/>
          <w:b/>
          <w:color w:val="auto"/>
          <w:sz w:val="21"/>
          <w:szCs w:val="21"/>
        </w:rPr>
        <w:t>表2</w:t>
      </w:r>
      <w:r>
        <w:rPr>
          <w:rFonts w:hint="eastAsia"/>
          <w:b/>
          <w:color w:val="auto"/>
          <w:sz w:val="21"/>
          <w:szCs w:val="21"/>
          <w:lang w:val="en-US" w:eastAsia="zh-CN"/>
        </w:rPr>
        <w:t>.1</w:t>
      </w:r>
      <w:r>
        <w:rPr>
          <w:b/>
          <w:color w:val="auto"/>
          <w:sz w:val="21"/>
          <w:szCs w:val="21"/>
        </w:rPr>
        <w:t>-</w:t>
      </w:r>
      <w:r>
        <w:rPr>
          <w:rFonts w:hint="eastAsia"/>
          <w:b/>
          <w:color w:val="auto"/>
          <w:sz w:val="21"/>
          <w:szCs w:val="21"/>
          <w:lang w:val="en-US" w:eastAsia="zh-CN"/>
        </w:rPr>
        <w:t>2</w:t>
      </w:r>
      <w:r>
        <w:rPr>
          <w:b/>
          <w:color w:val="auto"/>
          <w:sz w:val="21"/>
          <w:szCs w:val="21"/>
        </w:rPr>
        <w:t xml:space="preserve">  </w:t>
      </w:r>
      <w:r>
        <w:rPr>
          <w:rFonts w:hint="eastAsia"/>
          <w:b/>
          <w:color w:val="auto"/>
          <w:sz w:val="21"/>
          <w:szCs w:val="21"/>
        </w:rPr>
        <w:t>本项目产品方案及生产规模</w:t>
      </w:r>
    </w:p>
    <w:tbl>
      <w:tblPr>
        <w:tblStyle w:val="3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0"/>
        <w:gridCol w:w="2676"/>
        <w:gridCol w:w="2391"/>
        <w:gridCol w:w="23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2"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序号</w:t>
            </w:r>
          </w:p>
        </w:tc>
        <w:tc>
          <w:tcPr>
            <w:tcW w:w="1570"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产品名称</w:t>
            </w:r>
          </w:p>
        </w:tc>
        <w:tc>
          <w:tcPr>
            <w:tcW w:w="1403"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设计产能</w:t>
            </w:r>
          </w:p>
        </w:tc>
        <w:tc>
          <w:tcPr>
            <w:tcW w:w="1403"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2"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1</w:t>
            </w:r>
          </w:p>
        </w:tc>
        <w:tc>
          <w:tcPr>
            <w:tcW w:w="1570"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电池箱体</w:t>
            </w:r>
          </w:p>
        </w:tc>
        <w:tc>
          <w:tcPr>
            <w:tcW w:w="1403"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72</w:t>
            </w:r>
            <w:r>
              <w:rPr>
                <w:rFonts w:hint="eastAsia" w:ascii="Times New Roman" w:hAnsi="Times New Roman" w:eastAsia="宋体" w:cs="Times New Roman"/>
                <w:sz w:val="21"/>
                <w:szCs w:val="21"/>
                <w:highlight w:val="none"/>
                <w:lang w:val="en-US" w:eastAsia="zh-CN"/>
              </w:rPr>
              <w:t>000套</w:t>
            </w:r>
          </w:p>
        </w:tc>
        <w:tc>
          <w:tcPr>
            <w:tcW w:w="1403"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2"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2</w:t>
            </w:r>
          </w:p>
        </w:tc>
        <w:tc>
          <w:tcPr>
            <w:tcW w:w="1570"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电机壳体</w:t>
            </w:r>
          </w:p>
        </w:tc>
        <w:tc>
          <w:tcPr>
            <w:tcW w:w="1403"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12</w:t>
            </w:r>
            <w:r>
              <w:rPr>
                <w:rFonts w:hint="eastAsia" w:ascii="Times New Roman" w:hAnsi="Times New Roman" w:eastAsia="宋体" w:cs="Times New Roman"/>
                <w:sz w:val="21"/>
                <w:szCs w:val="21"/>
                <w:highlight w:val="none"/>
                <w:lang w:val="en-US" w:eastAsia="zh-CN"/>
              </w:rPr>
              <w:t>0000套</w:t>
            </w:r>
          </w:p>
        </w:tc>
        <w:tc>
          <w:tcPr>
            <w:tcW w:w="1403"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22"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3</w:t>
            </w:r>
          </w:p>
        </w:tc>
        <w:tc>
          <w:tcPr>
            <w:tcW w:w="1570"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接线盒</w:t>
            </w:r>
          </w:p>
        </w:tc>
        <w:tc>
          <w:tcPr>
            <w:tcW w:w="1403" w:type="pct"/>
            <w:tcBorders>
              <w:tl2br w:val="nil"/>
              <w:tr2bl w:val="nil"/>
            </w:tcBorders>
            <w:noWrap w:val="0"/>
            <w:vAlign w:val="center"/>
          </w:tcPr>
          <w:p>
            <w:pPr>
              <w:spacing w:line="240" w:lineRule="auto"/>
              <w:ind w:left="0" w:leftChars="0" w:firstLine="0" w:firstLineChars="0"/>
              <w:jc w:val="center"/>
              <w:rPr>
                <w:rFonts w:hint="eastAsia" w:ascii="Times New Roman" w:hAnsi="Times New Roman" w:eastAsia="宋体" w:cs="Times New Roman"/>
                <w:sz w:val="21"/>
                <w:szCs w:val="21"/>
                <w:highlight w:val="none"/>
                <w:lang w:val="en-US" w:eastAsia="zh-CN"/>
              </w:rPr>
            </w:pPr>
            <w:r>
              <w:rPr>
                <w:rFonts w:hint="eastAsia" w:cs="Times New Roman"/>
                <w:sz w:val="21"/>
                <w:szCs w:val="21"/>
                <w:highlight w:val="none"/>
                <w:lang w:val="en-US" w:eastAsia="zh-CN"/>
              </w:rPr>
              <w:t>12</w:t>
            </w:r>
            <w:r>
              <w:rPr>
                <w:rFonts w:hint="eastAsia" w:ascii="Times New Roman" w:hAnsi="Times New Roman" w:eastAsia="宋体" w:cs="Times New Roman"/>
                <w:sz w:val="21"/>
                <w:szCs w:val="21"/>
                <w:highlight w:val="none"/>
                <w:lang w:val="en-US" w:eastAsia="zh-CN"/>
              </w:rPr>
              <w:t>0000套</w:t>
            </w:r>
          </w:p>
        </w:tc>
        <w:tc>
          <w:tcPr>
            <w:tcW w:w="1403" w:type="pct"/>
            <w:tcBorders>
              <w:tl2br w:val="nil"/>
              <w:tr2bl w:val="nil"/>
            </w:tcBorders>
            <w:noWrap w:val="0"/>
            <w:vAlign w:val="center"/>
          </w:tcPr>
          <w:p>
            <w:pPr>
              <w:spacing w:line="240" w:lineRule="auto"/>
              <w:ind w:left="0" w:leftChars="0" w:firstLine="0" w:firstLineChars="0"/>
              <w:jc w:val="center"/>
              <w:rPr>
                <w:rFonts w:hint="default" w:ascii="Times New Roman" w:hAnsi="Times New Roman" w:eastAsia="宋体" w:cs="Times New Roman"/>
                <w:sz w:val="21"/>
                <w:szCs w:val="21"/>
                <w:highlight w:val="none"/>
                <w:lang w:val="en-US" w:eastAsia="zh-CN"/>
              </w:rPr>
            </w:pPr>
            <w:r>
              <w:rPr>
                <w:rFonts w:hint="eastAsia" w:ascii="Times New Roman" w:hAnsi="Times New Roman" w:eastAsia="宋体" w:cs="Times New Roman"/>
                <w:sz w:val="21"/>
                <w:szCs w:val="21"/>
                <w:highlight w:val="none"/>
                <w:lang w:val="en-US" w:eastAsia="zh-CN"/>
              </w:rPr>
              <w:t>695</w:t>
            </w:r>
          </w:p>
        </w:tc>
      </w:tr>
    </w:tbl>
    <w:p>
      <w:pPr>
        <w:pStyle w:val="6"/>
        <w:rPr>
          <w:rFonts w:hint="eastAsia" w:ascii="Times New Roman" w:hAnsi="Times New Roman" w:eastAsia="宋体" w:cs="Times New Roman"/>
          <w:color w:val="000000"/>
        </w:rPr>
      </w:pPr>
      <w:r>
        <w:rPr>
          <w:rFonts w:hint="eastAsia" w:ascii="Times New Roman" w:hAnsi="Times New Roman" w:eastAsia="宋体" w:cs="Times New Roman"/>
          <w:color w:val="000000"/>
        </w:rPr>
        <w:t>主要原辅材料</w:t>
      </w:r>
    </w:p>
    <w:p>
      <w:pPr>
        <w:bidi w:val="0"/>
      </w:pPr>
      <w:r>
        <w:t>本项目主要原辅料详见表2</w:t>
      </w:r>
      <w:r>
        <w:rPr>
          <w:rFonts w:hint="eastAsia"/>
          <w:lang w:val="en-US" w:eastAsia="zh-CN"/>
        </w:rPr>
        <w:t>.2</w:t>
      </w:r>
      <w:r>
        <w:t>-3所示。</w:t>
      </w:r>
    </w:p>
    <w:p>
      <w:pPr>
        <w:adjustRightInd w:val="0"/>
        <w:snapToGrid w:val="0"/>
        <w:spacing w:before="120" w:beforeLines="50" w:line="240" w:lineRule="auto"/>
        <w:ind w:firstLine="720"/>
        <w:jc w:val="center"/>
        <w:rPr>
          <w:rFonts w:hint="eastAsia" w:ascii="Times New Roman" w:hAnsi="Times New Roman" w:eastAsia="宋体" w:cs="Times New Roman"/>
          <w:b/>
          <w:color w:val="auto"/>
          <w:sz w:val="21"/>
          <w:szCs w:val="21"/>
        </w:rPr>
      </w:pPr>
      <w:r>
        <w:rPr>
          <w:rFonts w:hint="eastAsia" w:ascii="Times New Roman" w:hAnsi="Times New Roman" w:eastAsia="宋体" w:cs="Times New Roman"/>
          <w:b/>
          <w:color w:val="auto"/>
          <w:sz w:val="21"/>
          <w:szCs w:val="21"/>
        </w:rPr>
        <w:t>表2</w:t>
      </w:r>
      <w:r>
        <w:rPr>
          <w:rFonts w:hint="eastAsia" w:ascii="Times New Roman" w:hAnsi="Times New Roman" w:eastAsia="宋体" w:cs="Times New Roman"/>
          <w:b/>
          <w:color w:val="auto"/>
          <w:sz w:val="21"/>
          <w:szCs w:val="21"/>
          <w:lang w:val="en-US" w:eastAsia="zh-CN"/>
        </w:rPr>
        <w:t>.1</w:t>
      </w:r>
      <w:r>
        <w:rPr>
          <w:rFonts w:hint="eastAsia" w:ascii="Times New Roman" w:hAnsi="Times New Roman" w:eastAsia="宋体" w:cs="Times New Roman"/>
          <w:b/>
          <w:color w:val="auto"/>
          <w:sz w:val="21"/>
          <w:szCs w:val="21"/>
        </w:rPr>
        <w:t>-3  项目主要原辅料使用情况</w:t>
      </w:r>
    </w:p>
    <w:tbl>
      <w:tblPr>
        <w:tblStyle w:val="36"/>
        <w:tblW w:w="4986"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108" w:type="dxa"/>
          <w:bottom w:w="0" w:type="dxa"/>
          <w:right w:w="108" w:type="dxa"/>
        </w:tblCellMar>
      </w:tblPr>
      <w:tblGrid>
        <w:gridCol w:w="1422"/>
        <w:gridCol w:w="2086"/>
        <w:gridCol w:w="1741"/>
        <w:gridCol w:w="324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类别</w:t>
            </w:r>
          </w:p>
        </w:tc>
        <w:tc>
          <w:tcPr>
            <w:tcW w:w="122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主要原辅材料名称</w:t>
            </w:r>
          </w:p>
        </w:tc>
        <w:tc>
          <w:tcPr>
            <w:tcW w:w="1024"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年消耗量</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备注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zh-TW" w:eastAsia="zh-CN"/>
                <w14:textFill>
                  <w14:solidFill>
                    <w14:schemeClr w14:val="tx1"/>
                  </w14:solidFill>
                </w14:textFill>
              </w:rPr>
            </w:pPr>
            <w:r>
              <w:rPr>
                <w:rFonts w:hint="eastAsia" w:ascii="Times New Roman" w:hAnsi="Times New Roman" w:cs="Times New Roman"/>
                <w:color w:val="000000" w:themeColor="text1"/>
                <w:sz w:val="21"/>
                <w:szCs w:val="21"/>
                <w:lang w:val="zh-TW" w:eastAsia="zh-CN"/>
                <w14:textFill>
                  <w14:solidFill>
                    <w14:schemeClr w14:val="tx1"/>
                  </w14:solidFill>
                </w14:textFill>
              </w:rPr>
              <w:t>主料</w:t>
            </w:r>
          </w:p>
        </w:tc>
        <w:tc>
          <w:tcPr>
            <w:tcW w:w="122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铝合金锭</w:t>
            </w:r>
          </w:p>
        </w:tc>
        <w:tc>
          <w:tcPr>
            <w:tcW w:w="1024" w:type="pct"/>
            <w:tcBorders>
              <w:tl2br w:val="nil"/>
              <w:tr2bl w:val="nil"/>
            </w:tcBorders>
            <w:noWrap w:val="0"/>
            <w:vAlign w:val="center"/>
          </w:tcPr>
          <w:p>
            <w:pPr>
              <w:spacing w:line="240" w:lineRule="auto"/>
              <w:ind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5000</w:t>
            </w:r>
            <w:r>
              <w:rPr>
                <w:rFonts w:hint="eastAsia" w:ascii="Times New Roman" w:hAnsi="Times New Roman" w:cs="Times New Roman"/>
                <w:color w:val="000000" w:themeColor="text1"/>
                <w:sz w:val="21"/>
                <w:szCs w:val="21"/>
                <w:lang w:val="en-US" w:eastAsia="zh-CN"/>
                <w14:textFill>
                  <w14:solidFill>
                    <w14:schemeClr w14:val="tx1"/>
                  </w14:solidFill>
                </w14:textFill>
              </w:rPr>
              <w:t>t/a</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vMerge w:val="restar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辅料</w:t>
            </w:r>
          </w:p>
        </w:tc>
        <w:tc>
          <w:tcPr>
            <w:tcW w:w="122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切削液</w:t>
            </w:r>
          </w:p>
        </w:tc>
        <w:tc>
          <w:tcPr>
            <w:tcW w:w="1024"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12</w:t>
            </w:r>
            <w:r>
              <w:rPr>
                <w:rFonts w:hint="eastAsia" w:ascii="Times New Roman" w:hAnsi="Times New Roman" w:cs="Times New Roman"/>
                <w:color w:val="000000" w:themeColor="text1"/>
                <w:sz w:val="21"/>
                <w:szCs w:val="21"/>
                <w:lang w:val="en-US" w:eastAsia="zh-CN"/>
                <w14:textFill>
                  <w14:solidFill>
                    <w14:schemeClr w14:val="tx1"/>
                  </w14:solidFill>
                </w14:textFill>
              </w:rPr>
              <w:t>t/a</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外购，用于切割润滑和冷却</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p>
        </w:tc>
        <w:tc>
          <w:tcPr>
            <w:tcW w:w="1227"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液压油</w:t>
            </w:r>
          </w:p>
        </w:tc>
        <w:tc>
          <w:tcPr>
            <w:tcW w:w="1024"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6</w:t>
            </w:r>
            <w:r>
              <w:rPr>
                <w:rFonts w:hint="eastAsia" w:ascii="Times New Roman" w:hAnsi="Times New Roman" w:cs="Times New Roman"/>
                <w:color w:val="000000" w:themeColor="text1"/>
                <w:sz w:val="21"/>
                <w:szCs w:val="21"/>
                <w:lang w:val="en-US" w:eastAsia="zh-CN"/>
                <w14:textFill>
                  <w14:solidFill>
                    <w14:schemeClr w14:val="tx1"/>
                  </w14:solidFill>
                </w14:textFill>
              </w:rPr>
              <w:t>t/a</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外购，液压系统中传递能量、润滑、冷却和防锈的工作介质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p>
        </w:tc>
        <w:tc>
          <w:tcPr>
            <w:tcW w:w="1227" w:type="pct"/>
            <w:tcBorders>
              <w:bottom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金属型涂料395</w:t>
            </w:r>
          </w:p>
        </w:tc>
        <w:tc>
          <w:tcPr>
            <w:tcW w:w="1024" w:type="pct"/>
            <w:tcBorders>
              <w:bottom w:val="single" w:color="000000" w:sz="4" w:space="0"/>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3.6</w:t>
            </w:r>
            <w:r>
              <w:rPr>
                <w:rFonts w:hint="eastAsia" w:ascii="Times New Roman" w:hAnsi="Times New Roman" w:cs="Times New Roman"/>
                <w:color w:val="000000" w:themeColor="text1"/>
                <w:sz w:val="21"/>
                <w:szCs w:val="21"/>
                <w:lang w:val="en-US" w:eastAsia="zh-CN"/>
                <w14:textFill>
                  <w14:solidFill>
                    <w14:schemeClr w14:val="tx1"/>
                  </w14:solidFill>
                </w14:textFill>
              </w:rPr>
              <w:t>t/a</w:t>
            </w:r>
          </w:p>
        </w:tc>
        <w:tc>
          <w:tcPr>
            <w:tcW w:w="1911" w:type="pct"/>
            <w:tcBorders>
              <w:bottom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188" w:hRule="atLeast"/>
          <w:jc w:val="center"/>
        </w:trPr>
        <w:tc>
          <w:tcPr>
            <w:tcW w:w="837"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p>
        </w:tc>
        <w:tc>
          <w:tcPr>
            <w:tcW w:w="1227" w:type="pct"/>
            <w:tcBorders>
              <w:top w:val="single" w:color="000000" w:sz="4" w:space="0"/>
              <w:bottom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eastAsia="宋体" w:cs="Times New Roman"/>
                <w:color w:val="000000" w:themeColor="text1"/>
                <w:sz w:val="21"/>
                <w:szCs w:val="21"/>
                <w:lang w:val="en-US" w:eastAsia="zh-CN"/>
                <w14:textFill>
                  <w14:solidFill>
                    <w14:schemeClr w14:val="tx1"/>
                  </w14:solidFill>
                </w14:textFill>
              </w:rPr>
              <w:t>钢丸</w:t>
            </w:r>
          </w:p>
        </w:tc>
        <w:tc>
          <w:tcPr>
            <w:tcW w:w="1024" w:type="pct"/>
            <w:tcBorders>
              <w:top w:val="single" w:color="000000" w:sz="4" w:space="0"/>
              <w:bottom w:val="single" w:color="000000" w:sz="4" w:space="0"/>
              <w:tl2br w:val="nil"/>
              <w:tr2bl w:val="nil"/>
            </w:tcBorders>
            <w:noWrap w:val="0"/>
            <w:vAlign w:val="center"/>
          </w:tcPr>
          <w:p>
            <w:pPr>
              <w:spacing w:line="240" w:lineRule="auto"/>
              <w:ind w:firstLine="0" w:firstLineChars="0"/>
              <w:jc w:val="center"/>
              <w:rPr>
                <w:rFonts w:hint="default" w:cs="Times New Roman"/>
                <w:color w:val="000000" w:themeColor="text1"/>
                <w:sz w:val="21"/>
                <w:szCs w:val="21"/>
                <w:u w:val="none"/>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50t/a</w:t>
            </w:r>
          </w:p>
        </w:tc>
        <w:tc>
          <w:tcPr>
            <w:tcW w:w="1911" w:type="pct"/>
            <w:tcBorders>
              <w:top w:val="single" w:color="000000" w:sz="4" w:space="0"/>
              <w:bottom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外购，抛丸用</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167" w:hRule="atLeast"/>
          <w:jc w:val="center"/>
        </w:trPr>
        <w:tc>
          <w:tcPr>
            <w:tcW w:w="837" w:type="pct"/>
            <w:vMerge w:val="continue"/>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p>
        </w:tc>
        <w:tc>
          <w:tcPr>
            <w:tcW w:w="1227" w:type="pct"/>
            <w:tcBorders>
              <w:top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覆膜砂</w:t>
            </w:r>
          </w:p>
        </w:tc>
        <w:tc>
          <w:tcPr>
            <w:tcW w:w="1024" w:type="pct"/>
            <w:tcBorders>
              <w:top w:val="single" w:color="000000" w:sz="4" w:space="0"/>
              <w:tl2br w:val="nil"/>
              <w:tr2bl w:val="nil"/>
            </w:tcBorders>
            <w:noWrap w:val="0"/>
            <w:vAlign w:val="center"/>
          </w:tcPr>
          <w:p>
            <w:pPr>
              <w:spacing w:line="240" w:lineRule="auto"/>
              <w:ind w:firstLine="0" w:firstLineChars="0"/>
              <w:jc w:val="center"/>
              <w:rPr>
                <w:rFonts w:hint="default" w:cs="Times New Roman"/>
                <w:color w:val="000000" w:themeColor="text1"/>
                <w:sz w:val="21"/>
                <w:szCs w:val="21"/>
                <w:u w:val="none"/>
                <w:lang w:val="en-US" w:eastAsia="zh-CN"/>
                <w14:textFill>
                  <w14:solidFill>
                    <w14:schemeClr w14:val="tx1"/>
                  </w14:solidFill>
                </w14:textFill>
              </w:rPr>
            </w:pPr>
            <w:r>
              <w:rPr>
                <w:rFonts w:hint="eastAsia" w:cs="Times New Roman"/>
                <w:color w:val="000000" w:themeColor="text1"/>
                <w:sz w:val="21"/>
                <w:szCs w:val="21"/>
                <w:u w:val="none"/>
                <w:lang w:val="en-US" w:eastAsia="zh-CN"/>
                <w14:textFill>
                  <w14:solidFill>
                    <w14:schemeClr w14:val="tx1"/>
                  </w14:solidFill>
                </w14:textFill>
              </w:rPr>
              <w:t>50t/a</w:t>
            </w:r>
          </w:p>
        </w:tc>
        <w:tc>
          <w:tcPr>
            <w:tcW w:w="1911" w:type="pct"/>
            <w:tcBorders>
              <w:top w:val="single" w:color="000000"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外购，砂芯制作</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vMerge w:val="restart"/>
            <w:tcBorders>
              <w:top w:val="single" w:color="auto"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资源、能源</w:t>
            </w:r>
          </w:p>
        </w:tc>
        <w:tc>
          <w:tcPr>
            <w:tcW w:w="1227" w:type="pct"/>
            <w:tcBorders>
              <w:top w:val="single" w:color="auto"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水</w:t>
            </w:r>
          </w:p>
        </w:tc>
        <w:tc>
          <w:tcPr>
            <w:tcW w:w="1024"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500m</w:t>
            </w:r>
            <w:r>
              <w:rPr>
                <w:rFonts w:hint="eastAsia" w:ascii="Times New Roman" w:hAnsi="Times New Roman" w:cs="Times New Roman"/>
                <w:color w:val="000000" w:themeColor="text1"/>
                <w:sz w:val="21"/>
                <w:szCs w:val="21"/>
                <w:vertAlign w:val="superscript"/>
                <w:lang w:val="en-US" w:eastAsia="zh-CN"/>
                <w14:textFill>
                  <w14:solidFill>
                    <w14:schemeClr w14:val="tx1"/>
                  </w14:solidFill>
                </w14:textFill>
              </w:rPr>
              <w:t>3</w:t>
            </w:r>
            <w:r>
              <w:rPr>
                <w:rFonts w:hint="eastAsia" w:ascii="Times New Roman" w:hAnsi="Times New Roman" w:cs="Times New Roman"/>
                <w:color w:val="000000" w:themeColor="text1"/>
                <w:sz w:val="21"/>
                <w:szCs w:val="21"/>
                <w:lang w:val="en-US" w:eastAsia="zh-CN"/>
                <w14:textFill>
                  <w14:solidFill>
                    <w14:schemeClr w14:val="tx1"/>
                  </w14:solidFill>
                </w14:textFill>
              </w:rPr>
              <w:t>/a</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当地自来水供水管网供给</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837" w:type="pct"/>
            <w:vMerge w:val="continue"/>
            <w:tcBorders>
              <w:bottom w:val="single" w:color="auto"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p>
        </w:tc>
        <w:tc>
          <w:tcPr>
            <w:tcW w:w="1227" w:type="pct"/>
            <w:tcBorders>
              <w:left w:val="single" w:color="auto" w:sz="4" w:space="0"/>
              <w:bottom w:val="single" w:color="auto" w:sz="4" w:space="0"/>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电</w:t>
            </w:r>
          </w:p>
        </w:tc>
        <w:tc>
          <w:tcPr>
            <w:tcW w:w="1024"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200万kW·h/a</w:t>
            </w:r>
          </w:p>
        </w:tc>
        <w:tc>
          <w:tcPr>
            <w:tcW w:w="1911" w:type="pct"/>
            <w:tcBorders>
              <w:tl2br w:val="nil"/>
              <w:tr2bl w:val="nil"/>
            </w:tcBorders>
            <w:noWrap w:val="0"/>
            <w:vAlign w:val="center"/>
          </w:tcPr>
          <w:p>
            <w:pPr>
              <w:pStyle w:val="77"/>
              <w:keepNext w:val="0"/>
              <w:keepLines w:val="0"/>
              <w:widowControl w:val="0"/>
              <w:shd w:val="clear" w:color="auto" w:fill="auto"/>
              <w:bidi w:val="0"/>
              <w:spacing w:before="0" w:after="0" w:line="240" w:lineRule="auto"/>
              <w:ind w:left="0" w:leftChars="0" w:right="0" w:rightChars="0" w:firstLine="0" w:firstLineChars="0"/>
              <w:jc w:val="center"/>
              <w:rPr>
                <w:rFonts w:hint="eastAsia" w:ascii="Times New Roman" w:hAnsi="Times New Roman" w:cs="Times New Roman"/>
                <w:color w:val="000000" w:themeColor="text1"/>
                <w:sz w:val="21"/>
                <w:szCs w:val="21"/>
                <w:lang w:val="en-US" w:eastAsia="zh-CN"/>
                <w14:textFill>
                  <w14:solidFill>
                    <w14:schemeClr w14:val="tx1"/>
                  </w14:solidFill>
                </w14:textFill>
              </w:rPr>
            </w:pPr>
            <w:r>
              <w:rPr>
                <w:rFonts w:hint="eastAsia" w:ascii="Times New Roman" w:hAnsi="Times New Roman" w:cs="Times New Roman"/>
                <w:color w:val="000000" w:themeColor="text1"/>
                <w:sz w:val="21"/>
                <w:szCs w:val="21"/>
                <w:lang w:val="en-US" w:eastAsia="zh-CN"/>
                <w14:textFill>
                  <w14:solidFill>
                    <w14:schemeClr w14:val="tx1"/>
                  </w14:solidFill>
                </w14:textFill>
              </w:rPr>
              <w:t>当地供电局电网</w:t>
            </w:r>
          </w:p>
        </w:tc>
      </w:tr>
    </w:tbl>
    <w:p>
      <w:pPr>
        <w:bidi w:val="0"/>
      </w:pPr>
      <w:r>
        <w:rPr>
          <w:rFonts w:hint="eastAsia"/>
        </w:rPr>
        <w:t>部分材料理化性质：</w:t>
      </w:r>
    </w:p>
    <w:p>
      <w:pPr>
        <w:bidi w:val="0"/>
        <w:rPr>
          <w:rFonts w:hint="eastAsia"/>
        </w:rPr>
      </w:pPr>
      <w:r>
        <w:rPr>
          <w:rFonts w:hint="eastAsia"/>
          <w:lang w:val="en-US" w:eastAsia="zh-CN"/>
        </w:rPr>
        <w:t>切削液</w:t>
      </w:r>
      <w:r>
        <w:rPr>
          <w:rFonts w:hint="eastAsia"/>
        </w:rPr>
        <w:t>：</w:t>
      </w:r>
      <w:r>
        <w:rPr>
          <w:rFonts w:hint="eastAsia"/>
          <w:lang w:eastAsia="zh-CN"/>
        </w:rPr>
        <w:t>水基型切削液为</w:t>
      </w:r>
      <w:r>
        <w:rPr>
          <w:rFonts w:hint="eastAsia"/>
        </w:rPr>
        <w:t>无色透明油状液体，</w:t>
      </w:r>
      <w:r>
        <w:rPr>
          <w:rFonts w:hint="eastAsia"/>
          <w:lang w:eastAsia="zh-CN"/>
        </w:rPr>
        <w:t>不燃烧、无腐蚀性，主要成分为软化水（</w:t>
      </w:r>
      <w:r>
        <w:rPr>
          <w:rFonts w:hint="eastAsia"/>
          <w:lang w:val="en-US" w:eastAsia="zh-CN"/>
        </w:rPr>
        <w:t>60-90%</w:t>
      </w:r>
      <w:r>
        <w:rPr>
          <w:rFonts w:hint="eastAsia"/>
          <w:lang w:eastAsia="zh-CN"/>
        </w:rPr>
        <w:t>）、油性剂（</w:t>
      </w:r>
      <w:r>
        <w:rPr>
          <w:rFonts w:hint="eastAsia"/>
          <w:lang w:val="en-US" w:eastAsia="zh-CN"/>
        </w:rPr>
        <w:t>10-30%</w:t>
      </w:r>
      <w:r>
        <w:rPr>
          <w:rFonts w:hint="eastAsia"/>
          <w:lang w:eastAsia="zh-CN"/>
        </w:rPr>
        <w:t>）、表面活性剂、防锈剂、挤压添加剂、消泡剂、</w:t>
      </w:r>
      <w:r>
        <w:rPr>
          <w:rFonts w:hint="eastAsia"/>
          <w:lang w:val="en-US" w:eastAsia="zh-CN"/>
        </w:rPr>
        <w:t>pH调节剂等</w:t>
      </w:r>
      <w:r>
        <w:rPr>
          <w:rFonts w:hint="eastAsia"/>
        </w:rPr>
        <w:t>。</w:t>
      </w:r>
    </w:p>
    <w:p>
      <w:pPr>
        <w:bidi w:val="0"/>
        <w:rPr>
          <w:rFonts w:hint="eastAsia"/>
          <w:lang w:eastAsia="zh-CN"/>
        </w:rPr>
      </w:pPr>
      <w:r>
        <w:rPr>
          <w:rFonts w:hint="eastAsia"/>
          <w:lang w:eastAsia="zh-CN"/>
        </w:rPr>
        <w:t>液压油：液压油的成分主要由基础油和添加剂两部分组成，基础油是液压油的主要成分（占比通常80%-95%），主要为矿物油；添加剂用于改善基础油的性能，主要有抗磨剂、抗氧化剂、抗泡剂、防锈剂、粘度指数改进剂等。</w:t>
      </w:r>
    </w:p>
    <w:p>
      <w:pPr>
        <w:keepNext w:val="0"/>
        <w:keepLines w:val="0"/>
        <w:widowControl/>
        <w:suppressLineNumbers w:val="0"/>
        <w:jc w:val="left"/>
        <w:rPr>
          <w:rFonts w:hint="eastAsia" w:ascii="Times New Roman" w:hAnsi="Times New Roman" w:eastAsia="宋体" w:cs="Times New Roman"/>
          <w:color w:val="000000" w:themeColor="text1"/>
          <w:kern w:val="2"/>
          <w:sz w:val="24"/>
          <w:szCs w:val="24"/>
          <w:lang w:val="en-US" w:eastAsia="zh-CN" w:bidi="ar"/>
          <w14:textFill>
            <w14:solidFill>
              <w14:schemeClr w14:val="tx1"/>
            </w14:solidFill>
          </w14:textFill>
        </w:rPr>
      </w:pPr>
      <w:r>
        <w:rPr>
          <w:rFonts w:hint="eastAsia" w:ascii="Times New Roman" w:hAnsi="Times New Roman" w:eastAsia="宋体" w:cs="Times New Roman"/>
          <w:kern w:val="2"/>
          <w:sz w:val="24"/>
          <w:szCs w:val="24"/>
          <w:lang w:val="en-US" w:eastAsia="zh-CN" w:bidi="ar"/>
        </w:rPr>
        <w:t>金属型涂料395：根据生产单位提供的MSDS，金属型涂料395主要由九水</w:t>
      </w:r>
      <w:r>
        <w:rPr>
          <w:rFonts w:hint="eastAsia" w:ascii="Times New Roman" w:hAnsi="Times New Roman" w:eastAsia="宋体" w:cs="Times New Roman"/>
          <w:color w:val="000000" w:themeColor="text1"/>
          <w:kern w:val="2"/>
          <w:sz w:val="24"/>
          <w:szCs w:val="24"/>
          <w:lang w:val="en-US" w:eastAsia="zh-CN" w:bidi="ar"/>
          <w14:textFill>
            <w14:solidFill>
              <w14:schemeClr w14:val="tx1"/>
            </w14:solidFill>
          </w14:textFill>
        </w:rPr>
        <w:t>偏硅钠、蛭石、水、碳酸钙组成，其中九水偏硅钠占比25%，蛭石占比25%，水占比45%，碳酸钙占比约5%。</w:t>
      </w:r>
    </w:p>
    <w:p>
      <w:pPr>
        <w:bidi w:val="0"/>
        <w:rPr>
          <w:rFonts w:hint="eastAsia"/>
          <w:color w:val="000000" w:themeColor="text1"/>
          <w14:textFill>
            <w14:solidFill>
              <w14:schemeClr w14:val="tx1"/>
            </w14:solidFill>
          </w14:textFill>
        </w:rPr>
      </w:pPr>
      <w:r>
        <w:rPr>
          <w:rFonts w:hint="eastAsia" w:ascii="Times New Roman" w:hAnsi="Times New Roman" w:eastAsia="宋体" w:cs="Times New Roman"/>
          <w:color w:val="000000" w:themeColor="text1"/>
          <w:kern w:val="2"/>
          <w:sz w:val="24"/>
          <w:szCs w:val="24"/>
          <w:lang w:val="en-US" w:eastAsia="zh-CN" w:bidi="ar"/>
          <w14:textFill>
            <w14:solidFill>
              <w14:schemeClr w14:val="tx1"/>
            </w14:solidFill>
          </w14:textFill>
        </w:rPr>
        <w:t>覆膜砂：根据生产单位提供的MSDS，</w:t>
      </w:r>
      <w:r>
        <w:rPr>
          <w:rFonts w:hint="eastAsia" w:cs="Times New Roman"/>
          <w:color w:val="000000" w:themeColor="text1"/>
          <w:kern w:val="2"/>
          <w:sz w:val="24"/>
          <w:szCs w:val="24"/>
          <w:lang w:val="en-US" w:eastAsia="zh-CN" w:bidi="ar"/>
          <w14:textFill>
            <w14:solidFill>
              <w14:schemeClr w14:val="tx1"/>
            </w14:solidFill>
          </w14:textFill>
        </w:rPr>
        <w:t>覆膜砂主要由硅砂、酚醛树脂等组成，硅砂占比约85-99%，酚醛树脂及占比约1-3%。</w:t>
      </w:r>
    </w:p>
    <w:p>
      <w:pPr>
        <w:pStyle w:val="6"/>
        <w:rPr>
          <w:rFonts w:hint="eastAsia"/>
          <w:color w:val="000000"/>
        </w:rPr>
      </w:pPr>
      <w:r>
        <w:rPr>
          <w:rFonts w:hint="eastAsia"/>
          <w:color w:val="000000"/>
        </w:rPr>
        <w:t>主要生产设施</w:t>
      </w:r>
    </w:p>
    <w:p>
      <w:pPr>
        <w:bidi w:val="0"/>
        <w:rPr>
          <w:rFonts w:hint="eastAsia"/>
        </w:rPr>
      </w:pPr>
      <w:r>
        <w:rPr>
          <w:rFonts w:hint="eastAsia"/>
        </w:rPr>
        <w:t>本项目主要设备详见表2</w:t>
      </w:r>
      <w:r>
        <w:rPr>
          <w:rFonts w:hint="eastAsia"/>
          <w:lang w:val="en-US" w:eastAsia="zh-CN"/>
        </w:rPr>
        <w:t>.1</w:t>
      </w:r>
      <w:r>
        <w:t>-4</w:t>
      </w:r>
      <w:r>
        <w:rPr>
          <w:rFonts w:hint="eastAsia"/>
        </w:rPr>
        <w:t>：</w:t>
      </w:r>
    </w:p>
    <w:p>
      <w:pPr>
        <w:spacing w:line="400" w:lineRule="exact"/>
        <w:ind w:firstLine="422"/>
        <w:jc w:val="center"/>
        <w:rPr>
          <w:b/>
          <w:bCs/>
          <w:color w:val="000000"/>
          <w:sz w:val="21"/>
          <w:szCs w:val="21"/>
        </w:rPr>
      </w:pPr>
      <w:r>
        <w:rPr>
          <w:b/>
          <w:bCs/>
          <w:color w:val="000000"/>
          <w:sz w:val="21"/>
          <w:szCs w:val="21"/>
        </w:rPr>
        <w:t>表</w:t>
      </w:r>
      <w:r>
        <w:rPr>
          <w:rFonts w:hint="eastAsia"/>
          <w:b/>
          <w:bCs/>
          <w:color w:val="000000"/>
          <w:sz w:val="21"/>
          <w:szCs w:val="21"/>
        </w:rPr>
        <w:t>2.1-</w:t>
      </w:r>
      <w:r>
        <w:rPr>
          <w:rFonts w:hint="eastAsia"/>
          <w:b/>
          <w:bCs/>
          <w:color w:val="000000"/>
          <w:sz w:val="21"/>
          <w:szCs w:val="21"/>
          <w:lang w:val="en-US" w:eastAsia="zh-CN"/>
        </w:rPr>
        <w:t>4</w:t>
      </w:r>
      <w:r>
        <w:rPr>
          <w:b/>
          <w:bCs/>
          <w:color w:val="000000"/>
          <w:sz w:val="21"/>
          <w:szCs w:val="21"/>
        </w:rPr>
        <w:t xml:space="preserve"> 主要设备一览表</w:t>
      </w:r>
    </w:p>
    <w:tbl>
      <w:tblPr>
        <w:tblStyle w:val="36"/>
        <w:tblW w:w="4998" w:type="pct"/>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822"/>
        <w:gridCol w:w="2790"/>
        <w:gridCol w:w="2996"/>
        <w:gridCol w:w="900"/>
        <w:gridCol w:w="1011"/>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2" w:name="_Toc118086918"/>
            <w:r>
              <w:rPr>
                <w:rFonts w:hint="eastAsia" w:ascii="Times New Roman" w:hAnsi="Times New Roman" w:eastAsia="宋体" w:cs="Times New Roman"/>
                <w:color w:val="auto"/>
                <w:sz w:val="21"/>
                <w:szCs w:val="21"/>
                <w:u w:val="none"/>
                <w:lang w:val="en-US" w:eastAsia="zh-CN"/>
              </w:rPr>
              <w:t>序号</w:t>
            </w:r>
            <w:bookmarkEnd w:id="52"/>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3" w:name="_Toc118086919"/>
            <w:r>
              <w:rPr>
                <w:rFonts w:hint="eastAsia" w:ascii="Times New Roman" w:hAnsi="Times New Roman" w:eastAsia="宋体" w:cs="Times New Roman"/>
                <w:color w:val="auto"/>
                <w:sz w:val="21"/>
                <w:szCs w:val="21"/>
                <w:u w:val="none"/>
                <w:lang w:val="en-US" w:eastAsia="zh-CN"/>
              </w:rPr>
              <w:t>设备（设施）名称</w:t>
            </w:r>
            <w:bookmarkEnd w:id="53"/>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bookmarkStart w:id="54" w:name="_Toc118086921"/>
            <w:r>
              <w:rPr>
                <w:rFonts w:hint="eastAsia" w:ascii="Times New Roman" w:hAnsi="Times New Roman" w:eastAsia="宋体" w:cs="Times New Roman"/>
                <w:color w:val="auto"/>
                <w:sz w:val="21"/>
                <w:szCs w:val="21"/>
                <w:u w:val="none"/>
                <w:lang w:val="en-US" w:eastAsia="zh-CN"/>
              </w:rPr>
              <w:t>规格型号</w:t>
            </w:r>
          </w:p>
        </w:tc>
        <w:tc>
          <w:tcPr>
            <w:tcW w:w="528"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单位</w:t>
            </w:r>
            <w:bookmarkEnd w:id="54"/>
          </w:p>
        </w:tc>
        <w:tc>
          <w:tcPr>
            <w:tcW w:w="593"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5" w:name="_Toc118086922"/>
            <w:r>
              <w:rPr>
                <w:rFonts w:hint="eastAsia" w:ascii="Times New Roman" w:hAnsi="Times New Roman" w:eastAsia="宋体" w:cs="Times New Roman"/>
                <w:color w:val="auto"/>
                <w:sz w:val="21"/>
                <w:szCs w:val="21"/>
                <w:u w:val="none"/>
                <w:lang w:val="en-US" w:eastAsia="zh-CN"/>
              </w:rPr>
              <w:t>数量</w:t>
            </w:r>
            <w:bookmarkEnd w:id="55"/>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6" w:name="_Toc118086923"/>
            <w:r>
              <w:rPr>
                <w:rFonts w:hint="eastAsia" w:ascii="Times New Roman" w:hAnsi="Times New Roman" w:eastAsia="宋体" w:cs="Times New Roman"/>
                <w:color w:val="auto"/>
                <w:sz w:val="21"/>
                <w:szCs w:val="21"/>
                <w:u w:val="none"/>
                <w:lang w:val="en-US" w:eastAsia="zh-CN"/>
              </w:rPr>
              <w:t>1</w:t>
            </w:r>
            <w:bookmarkEnd w:id="56"/>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低压铸造机</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TG</w:t>
            </w:r>
            <w:r>
              <w:rPr>
                <w:rFonts w:hint="default" w:ascii="Times New Roman" w:hAnsi="Times New Roman" w:eastAsia="宋体" w:cs="Times New Roman"/>
                <w:color w:val="auto"/>
                <w:sz w:val="21"/>
                <w:szCs w:val="21"/>
                <w:u w:val="none"/>
                <w:lang w:val="en-US" w:eastAsia="zh-CN"/>
              </w:rPr>
              <w:t>4510</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套</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7" w:name="_Toc118086928"/>
            <w:r>
              <w:rPr>
                <w:rFonts w:hint="eastAsia" w:ascii="Times New Roman" w:hAnsi="Times New Roman" w:eastAsia="宋体" w:cs="Times New Roman"/>
                <w:color w:val="auto"/>
                <w:sz w:val="21"/>
                <w:szCs w:val="21"/>
                <w:u w:val="none"/>
                <w:lang w:val="en-US" w:eastAsia="zh-CN"/>
              </w:rPr>
              <w:t>2</w:t>
            </w:r>
            <w:bookmarkEnd w:id="57"/>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砂芯机（覆膜砂工艺）</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u w:val="none"/>
                <w:lang w:val="en-US" w:eastAsia="zh-CN"/>
              </w:rPr>
              <w:t>NS-Z1010</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套</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8" w:name="_Toc118086932"/>
            <w:r>
              <w:rPr>
                <w:rFonts w:hint="eastAsia" w:ascii="Times New Roman" w:hAnsi="Times New Roman" w:eastAsia="宋体" w:cs="Times New Roman"/>
                <w:color w:val="auto"/>
                <w:sz w:val="21"/>
                <w:szCs w:val="21"/>
                <w:u w:val="none"/>
                <w:lang w:val="en-US" w:eastAsia="zh-CN"/>
              </w:rPr>
              <w:t>3</w:t>
            </w:r>
            <w:bookmarkEnd w:id="58"/>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立式带锯床</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u w:val="none"/>
                <w:lang w:val="en-US" w:eastAsia="zh-CN"/>
              </w:rPr>
              <w:t>S-400</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59" w:name="_Toc118086944"/>
            <w:r>
              <w:rPr>
                <w:rFonts w:hint="eastAsia" w:ascii="Times New Roman" w:hAnsi="Times New Roman" w:eastAsia="宋体" w:cs="Times New Roman"/>
                <w:color w:val="auto"/>
                <w:sz w:val="21"/>
                <w:szCs w:val="21"/>
                <w:u w:val="none"/>
                <w:lang w:val="en-US" w:eastAsia="zh-CN"/>
              </w:rPr>
              <w:t>5</w:t>
            </w:r>
            <w:bookmarkEnd w:id="59"/>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电阻炉</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u w:val="none"/>
                <w:lang w:val="en-US" w:eastAsia="zh-CN"/>
              </w:rPr>
              <w:t>TG-500</w:t>
            </w:r>
            <w:r>
              <w:rPr>
                <w:rFonts w:hint="eastAsia" w:ascii="Times New Roman" w:hAnsi="Times New Roman" w:eastAsia="宋体" w:cs="Times New Roman"/>
                <w:color w:val="auto"/>
                <w:sz w:val="21"/>
                <w:szCs w:val="21"/>
                <w:u w:val="none"/>
                <w:lang w:val="en-US" w:eastAsia="zh-CN"/>
              </w:rPr>
              <w:t>，</w:t>
            </w:r>
            <w:r>
              <w:rPr>
                <w:rFonts w:hint="default" w:ascii="Times New Roman" w:hAnsi="Times New Roman" w:eastAsia="宋体" w:cs="Times New Roman"/>
                <w:color w:val="auto"/>
                <w:kern w:val="2"/>
                <w:sz w:val="21"/>
                <w:szCs w:val="21"/>
                <w:u w:val="none"/>
                <w:lang w:val="en-US" w:eastAsia="zh-CN" w:bidi="ar"/>
              </w:rPr>
              <w:t>电阻炉容量</w:t>
            </w:r>
            <w:r>
              <w:rPr>
                <w:rFonts w:hint="default" w:ascii="Times New Roman" w:hAnsi="Times New Roman" w:eastAsia="宋体" w:cs="Times New Roman"/>
                <w:color w:val="auto"/>
                <w:sz w:val="21"/>
                <w:szCs w:val="21"/>
                <w:u w:val="none"/>
                <w:lang w:val="en-US" w:eastAsia="zh-CN"/>
              </w:rPr>
              <w:t>0.5t</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60" w:name="_Toc118086949"/>
            <w:r>
              <w:rPr>
                <w:rFonts w:hint="eastAsia" w:ascii="Times New Roman" w:hAnsi="Times New Roman" w:eastAsia="宋体" w:cs="Times New Roman"/>
                <w:color w:val="auto"/>
                <w:sz w:val="21"/>
                <w:szCs w:val="21"/>
                <w:u w:val="none"/>
                <w:lang w:val="en-US" w:eastAsia="zh-CN"/>
              </w:rPr>
              <w:t>6</w:t>
            </w:r>
            <w:bookmarkEnd w:id="60"/>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重力铸造机</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default" w:ascii="Times New Roman" w:hAnsi="Times New Roman" w:eastAsia="宋体" w:cs="Times New Roman"/>
                <w:color w:val="auto"/>
                <w:sz w:val="21"/>
                <w:szCs w:val="21"/>
                <w:u w:val="none"/>
                <w:lang w:val="en-US" w:eastAsia="zh-CN"/>
              </w:rPr>
              <w:t>NS-8060</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套</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61" w:name="_Toc118086954"/>
            <w:r>
              <w:rPr>
                <w:rFonts w:hint="eastAsia" w:ascii="Times New Roman" w:hAnsi="Times New Roman" w:eastAsia="宋体" w:cs="Times New Roman"/>
                <w:color w:val="auto"/>
                <w:sz w:val="21"/>
                <w:szCs w:val="21"/>
                <w:u w:val="none"/>
                <w:lang w:val="en-US" w:eastAsia="zh-CN"/>
              </w:rPr>
              <w:t>7</w:t>
            </w:r>
            <w:bookmarkEnd w:id="61"/>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龙门加工中心</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2718</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62" w:name="_Toc118086959"/>
            <w:r>
              <w:rPr>
                <w:rFonts w:hint="eastAsia" w:ascii="Times New Roman" w:hAnsi="Times New Roman" w:eastAsia="宋体" w:cs="Times New Roman"/>
                <w:color w:val="auto"/>
                <w:sz w:val="21"/>
                <w:szCs w:val="21"/>
                <w:u w:val="none"/>
                <w:lang w:val="en-US" w:eastAsia="zh-CN"/>
              </w:rPr>
              <w:t>8</w:t>
            </w:r>
            <w:bookmarkEnd w:id="62"/>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立式加工中心</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1580</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bookmarkStart w:id="63" w:name="_Toc118086964"/>
            <w:r>
              <w:rPr>
                <w:rFonts w:hint="eastAsia" w:ascii="Times New Roman" w:hAnsi="Times New Roman" w:eastAsia="宋体" w:cs="Times New Roman"/>
                <w:color w:val="auto"/>
                <w:sz w:val="21"/>
                <w:szCs w:val="21"/>
                <w:u w:val="none"/>
                <w:lang w:val="en-US" w:eastAsia="zh-CN"/>
              </w:rPr>
              <w:t>9</w:t>
            </w:r>
            <w:bookmarkEnd w:id="63"/>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行车</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10吨</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40" w:hRule="atLeast"/>
          <w:jc w:val="center"/>
        </w:trPr>
        <w:tc>
          <w:tcPr>
            <w:tcW w:w="482"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11</w:t>
            </w:r>
          </w:p>
        </w:tc>
        <w:tc>
          <w:tcPr>
            <w:tcW w:w="1637" w:type="pct"/>
            <w:tcBorders>
              <w:tl2br w:val="nil"/>
              <w:tr2bl w:val="nil"/>
            </w:tcBorders>
            <w:noWrap w:val="0"/>
            <w:vAlign w:val="center"/>
          </w:tcPr>
          <w:p>
            <w:pPr>
              <w:spacing w:line="240" w:lineRule="auto"/>
              <w:ind w:firstLine="0" w:firstLineChars="0"/>
              <w:jc w:val="center"/>
              <w:rPr>
                <w:rFonts w:hint="eastAsia"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叉车</w:t>
            </w:r>
          </w:p>
        </w:tc>
        <w:tc>
          <w:tcPr>
            <w:tcW w:w="175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3吨</w:t>
            </w:r>
          </w:p>
        </w:tc>
        <w:tc>
          <w:tcPr>
            <w:tcW w:w="528"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台</w:t>
            </w:r>
          </w:p>
        </w:tc>
        <w:tc>
          <w:tcPr>
            <w:tcW w:w="593" w:type="pct"/>
            <w:tcBorders>
              <w:tl2br w:val="nil"/>
              <w:tr2bl w:val="nil"/>
            </w:tcBorders>
            <w:noWrap w:val="0"/>
            <w:vAlign w:val="center"/>
          </w:tcPr>
          <w:p>
            <w:pPr>
              <w:spacing w:line="240" w:lineRule="auto"/>
              <w:ind w:firstLine="0" w:firstLineChars="0"/>
              <w:jc w:val="center"/>
              <w:rPr>
                <w:rFonts w:hint="default" w:ascii="Times New Roman" w:hAnsi="Times New Roman" w:eastAsia="宋体" w:cs="Times New Roman"/>
                <w:color w:val="auto"/>
                <w:sz w:val="21"/>
                <w:szCs w:val="21"/>
                <w:u w:val="none"/>
                <w:lang w:val="en-US" w:eastAsia="zh-CN"/>
              </w:rPr>
            </w:pPr>
            <w:r>
              <w:rPr>
                <w:rFonts w:hint="eastAsia" w:ascii="Times New Roman" w:hAnsi="Times New Roman" w:eastAsia="宋体" w:cs="Times New Roman"/>
                <w:color w:val="auto"/>
                <w:sz w:val="21"/>
                <w:szCs w:val="21"/>
                <w:u w:val="none"/>
                <w:lang w:val="en-US" w:eastAsia="zh-CN"/>
              </w:rPr>
              <w:t>1</w:t>
            </w:r>
          </w:p>
        </w:tc>
      </w:tr>
    </w:tbl>
    <w:p>
      <w:pPr>
        <w:pStyle w:val="5"/>
        <w:rPr>
          <w:rFonts w:hint="eastAsia"/>
          <w:color w:val="000000"/>
        </w:rPr>
      </w:pPr>
      <w:bookmarkStart w:id="64" w:name="_Toc27570"/>
      <w:bookmarkStart w:id="65" w:name="_Toc15853"/>
      <w:r>
        <w:rPr>
          <w:rFonts w:hint="eastAsia"/>
          <w:color w:val="000000"/>
        </w:rPr>
        <w:t>项目工程分析</w:t>
      </w:r>
      <w:bookmarkEnd w:id="64"/>
      <w:bookmarkEnd w:id="65"/>
    </w:p>
    <w:p>
      <w:pPr>
        <w:pStyle w:val="6"/>
        <w:rPr>
          <w:rFonts w:hint="eastAsia"/>
          <w:color w:val="000000"/>
        </w:rPr>
      </w:pPr>
      <w:r>
        <w:rPr>
          <w:rFonts w:hint="eastAsia"/>
          <w:color w:val="000000"/>
        </w:rPr>
        <w:t>工艺流程和产污节点图</w:t>
      </w:r>
    </w:p>
    <w:p>
      <w:pPr>
        <w:bidi w:val="0"/>
        <w:rPr>
          <w:rFonts w:hint="eastAsia"/>
        </w:rPr>
      </w:pPr>
      <w:r>
        <w:rPr>
          <w:rFonts w:hint="eastAsia"/>
        </w:rPr>
        <w:t>本项目主要外购</w:t>
      </w:r>
      <w:r>
        <w:rPr>
          <w:rFonts w:hint="eastAsia"/>
          <w:lang w:val="en-US" w:eastAsia="zh-CN"/>
        </w:rPr>
        <w:t>铝合金锭</w:t>
      </w:r>
      <w:r>
        <w:rPr>
          <w:rFonts w:hint="eastAsia"/>
        </w:rPr>
        <w:t>，进行</w:t>
      </w:r>
      <w:r>
        <w:rPr>
          <w:rFonts w:hint="eastAsia"/>
          <w:lang w:val="en-US" w:eastAsia="zh-CN"/>
        </w:rPr>
        <w:t>熔铸、机加工</w:t>
      </w:r>
      <w:r>
        <w:rPr>
          <w:rFonts w:hint="eastAsia"/>
        </w:rPr>
        <w:t>等流程，得到最终产品，工艺流程及产污环节详见图2</w:t>
      </w:r>
      <w:r>
        <w:rPr>
          <w:rFonts w:hint="eastAsia"/>
          <w:lang w:val="en-US" w:eastAsia="zh-CN"/>
        </w:rPr>
        <w:t>.2</w:t>
      </w:r>
      <w:r>
        <w:t>-</w:t>
      </w:r>
      <w:r>
        <w:rPr>
          <w:rFonts w:hint="eastAsia"/>
          <w:lang w:val="en-US" w:eastAsia="zh-CN"/>
        </w:rPr>
        <w:t>1</w:t>
      </w:r>
      <w:r>
        <w:rPr>
          <w:rFonts w:hint="eastAsia"/>
        </w:rPr>
        <w:t>所示。</w:t>
      </w:r>
    </w:p>
    <w:p>
      <w:pPr>
        <w:bidi w:val="0"/>
        <w:ind w:left="0" w:leftChars="0" w:firstLine="0" w:firstLineChars="0"/>
        <w:jc w:val="center"/>
        <w:rPr>
          <w:rFonts w:hint="eastAsia"/>
          <w:lang w:eastAsia="zh-CN"/>
        </w:rPr>
      </w:pPr>
      <w:r>
        <w:rPr>
          <w:rFonts w:hint="eastAsia"/>
          <w:lang w:eastAsia="zh-CN"/>
        </w:rPr>
        <w:drawing>
          <wp:inline distT="0" distB="0" distL="114300" distR="114300">
            <wp:extent cx="3510915" cy="5410200"/>
            <wp:effectExtent l="0" t="0" r="0" b="0"/>
            <wp:docPr id="1" name="ECB019B1-382A-4266-B25C-5B523AA43C14-1" descr="C:/Users/admin/AppData/Local/Temp/wps.niZzyMwp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CB019B1-382A-4266-B25C-5B523AA43C14-1" descr="C:/Users/admin/AppData/Local/Temp/wps.niZzyMwps"/>
                    <pic:cNvPicPr>
                      <a:picLocks noChangeAspect="1"/>
                    </pic:cNvPicPr>
                  </pic:nvPicPr>
                  <pic:blipFill>
                    <a:blip r:embed="rId8"/>
                    <a:stretch>
                      <a:fillRect/>
                    </a:stretch>
                  </pic:blipFill>
                  <pic:spPr>
                    <a:xfrm>
                      <a:off x="0" y="0"/>
                      <a:ext cx="3510915" cy="5410200"/>
                    </a:xfrm>
                    <a:prstGeom prst="rect">
                      <a:avLst/>
                    </a:prstGeom>
                    <a:noFill/>
                    <a:ln>
                      <a:noFill/>
                    </a:ln>
                  </pic:spPr>
                </pic:pic>
              </a:graphicData>
            </a:graphic>
          </wp:inline>
        </w:drawing>
      </w:r>
    </w:p>
    <w:p>
      <w:pPr>
        <w:adjustRightInd w:val="0"/>
        <w:snapToGrid w:val="0"/>
        <w:spacing w:after="120" w:afterLines="50"/>
        <w:jc w:val="center"/>
        <w:rPr>
          <w:b/>
          <w:color w:val="auto"/>
          <w:szCs w:val="21"/>
        </w:rPr>
      </w:pPr>
      <w:r>
        <w:rPr>
          <w:rFonts w:hint="eastAsia"/>
          <w:b/>
          <w:color w:val="auto"/>
          <w:szCs w:val="21"/>
        </w:rPr>
        <w:t>图2</w:t>
      </w:r>
      <w:r>
        <w:rPr>
          <w:rFonts w:hint="eastAsia"/>
          <w:b/>
          <w:color w:val="auto"/>
          <w:szCs w:val="21"/>
          <w:lang w:val="en-US" w:eastAsia="zh-CN"/>
        </w:rPr>
        <w:t>.2</w:t>
      </w:r>
      <w:r>
        <w:rPr>
          <w:b/>
          <w:color w:val="auto"/>
          <w:szCs w:val="21"/>
        </w:rPr>
        <w:t>-</w:t>
      </w:r>
      <w:r>
        <w:rPr>
          <w:rFonts w:hint="eastAsia"/>
          <w:b/>
          <w:color w:val="auto"/>
          <w:szCs w:val="21"/>
          <w:lang w:val="en-US" w:eastAsia="zh-CN"/>
        </w:rPr>
        <w:t>1</w:t>
      </w:r>
      <w:r>
        <w:rPr>
          <w:b/>
          <w:color w:val="auto"/>
          <w:szCs w:val="21"/>
        </w:rPr>
        <w:t xml:space="preserve"> </w:t>
      </w:r>
      <w:r>
        <w:rPr>
          <w:rFonts w:hint="eastAsia"/>
          <w:b/>
          <w:color w:val="auto"/>
          <w:szCs w:val="21"/>
        </w:rPr>
        <w:t>生产工艺流程及产污环节示意图</w:t>
      </w:r>
    </w:p>
    <w:p>
      <w:pPr>
        <w:adjustRightInd w:val="0"/>
        <w:snapToGrid w:val="0"/>
        <w:spacing w:line="360" w:lineRule="auto"/>
        <w:ind w:firstLine="482" w:firstLineChars="200"/>
        <w:rPr>
          <w:b/>
          <w:color w:val="auto"/>
          <w:sz w:val="24"/>
        </w:rPr>
      </w:pPr>
      <w:r>
        <w:rPr>
          <w:rFonts w:hint="eastAsia"/>
          <w:b/>
          <w:color w:val="auto"/>
          <w:sz w:val="24"/>
        </w:rPr>
        <w:t>工艺流程说明如下：</w:t>
      </w:r>
    </w:p>
    <w:p>
      <w:pPr>
        <w:bidi w:val="0"/>
        <w:rPr>
          <w:rFonts w:hint="eastAsia"/>
          <w:lang w:eastAsia="zh-CN"/>
        </w:rPr>
      </w:pPr>
      <w:r>
        <w:rPr>
          <w:rFonts w:hint="eastAsia"/>
          <w:lang w:eastAsia="zh-CN"/>
        </w:rPr>
        <w:t>（</w:t>
      </w:r>
      <w:r>
        <w:rPr>
          <w:rFonts w:hint="eastAsia"/>
          <w:lang w:val="en-US" w:eastAsia="zh-CN"/>
        </w:rPr>
        <w:t>1）</w:t>
      </w:r>
      <w:r>
        <w:rPr>
          <w:rFonts w:hint="eastAsia"/>
          <w:lang w:eastAsia="zh-CN"/>
        </w:rPr>
        <w:t>铝合金锭熔化</w:t>
      </w:r>
    </w:p>
    <w:p>
      <w:pPr>
        <w:bidi w:val="0"/>
        <w:rPr>
          <w:rFonts w:hint="eastAsia" w:ascii="Times New Roman" w:hAnsi="Times New Roman" w:eastAsia="宋体" w:cs="Times New Roman"/>
          <w:szCs w:val="24"/>
          <w:lang w:eastAsia="zh-CN"/>
        </w:rPr>
      </w:pPr>
      <w:r>
        <w:rPr>
          <w:rFonts w:hint="eastAsia" w:ascii="Times New Roman" w:hAnsi="Times New Roman" w:eastAsia="宋体" w:cs="Times New Roman"/>
          <w:szCs w:val="24"/>
          <w:lang w:eastAsia="zh-CN"/>
        </w:rPr>
        <w:t>将固态</w:t>
      </w:r>
      <w:r>
        <w:rPr>
          <w:rFonts w:hint="eastAsia" w:cs="Times New Roman"/>
          <w:szCs w:val="24"/>
          <w:lang w:eastAsia="zh-CN"/>
        </w:rPr>
        <w:t>铝合金锭</w:t>
      </w:r>
      <w:r>
        <w:rPr>
          <w:rFonts w:hint="eastAsia" w:ascii="Times New Roman" w:hAnsi="Times New Roman" w:eastAsia="宋体" w:cs="Times New Roman"/>
          <w:szCs w:val="24"/>
          <w:lang w:eastAsia="zh-CN"/>
        </w:rPr>
        <w:t>加热熔化为液态铝，为后续压铸成型做准备， 使铝能够在压铸过程中更好地填充模具型腔，获得所需形状的铸件。使用电熔炉进行加热，温度一般控制在700-750℃左右。</w:t>
      </w:r>
    </w:p>
    <w:p>
      <w:pPr>
        <w:bidi w:val="0"/>
        <w:rPr>
          <w:rFonts w:hint="eastAsia"/>
        </w:rPr>
      </w:pPr>
      <w:r>
        <w:rPr>
          <w:rFonts w:hint="eastAsia"/>
          <w:lang w:val="en-US" w:eastAsia="zh-CN"/>
        </w:rPr>
        <w:t>成品铝合金锭熔化体不产生废渣，无需清渣，在熔化过程会产生少量烟尘，在熔化炉出料口设置集气罩收集</w:t>
      </w:r>
      <w:r>
        <w:rPr>
          <w:rFonts w:hint="eastAsia"/>
        </w:rPr>
        <w:t>。</w:t>
      </w:r>
    </w:p>
    <w:p>
      <w:pPr>
        <w:bidi w:val="0"/>
        <w:rPr>
          <w:rFonts w:hint="eastAsia"/>
          <w:lang w:eastAsia="zh-CN"/>
        </w:rPr>
      </w:pPr>
      <w:r>
        <w:rPr>
          <w:rFonts w:hint="eastAsia"/>
          <w:lang w:eastAsia="zh-CN"/>
        </w:rPr>
        <w:t>（</w:t>
      </w:r>
      <w:r>
        <w:rPr>
          <w:rFonts w:hint="eastAsia"/>
          <w:lang w:val="en-US" w:eastAsia="zh-CN"/>
        </w:rPr>
        <w:t>2）</w:t>
      </w:r>
      <w:r>
        <w:rPr>
          <w:rFonts w:hint="eastAsia"/>
          <w:lang w:eastAsia="zh-CN"/>
        </w:rPr>
        <w:t>砂芯成型</w:t>
      </w:r>
    </w:p>
    <w:p>
      <w:pPr>
        <w:bidi w:val="0"/>
        <w:rPr>
          <w:rFonts w:hint="eastAsia"/>
          <w:lang w:eastAsia="zh-CN"/>
        </w:rPr>
      </w:pPr>
      <w:r>
        <w:rPr>
          <w:rFonts w:hint="eastAsia"/>
          <w:lang w:eastAsia="zh-CN"/>
        </w:rPr>
        <w:t>项目约</w:t>
      </w:r>
      <w:r>
        <w:rPr>
          <w:rFonts w:hint="eastAsia"/>
          <w:lang w:val="en-US" w:eastAsia="zh-CN"/>
        </w:rPr>
        <w:t>3%</w:t>
      </w:r>
      <w:r>
        <w:rPr>
          <w:rFonts w:hint="eastAsia"/>
          <w:lang w:eastAsia="zh-CN"/>
        </w:rPr>
        <w:t>产品在不容易脱模的情况下需在模具中制作一层砂芯；制作砂芯模具先将覆膜砂加入砂芯机的芯盒内，通过加热芯盒（温度约180-250℃）使覆膜砂中的树脂熔融、固化，砂粒粘结成型，形成具有一定强度和形状的砂芯。</w:t>
      </w:r>
    </w:p>
    <w:p>
      <w:pPr>
        <w:rPr>
          <w:rFonts w:hint="eastAsia" w:ascii="Times New Roman" w:hAnsi="Times New Roman" w:eastAsia="宋体" w:cs="Times New Roman"/>
          <w:lang w:eastAsia="zh-CN"/>
        </w:rPr>
      </w:pPr>
      <w:r>
        <w:rPr>
          <w:rFonts w:hint="eastAsia" w:ascii="Times New Roman" w:hAnsi="Times New Roman" w:eastAsia="宋体" w:cs="Times New Roman"/>
          <w:lang w:eastAsia="zh-CN"/>
        </w:rPr>
        <w:t>此过程产生粉尘、有机废气、噪声、废砂芯等污染物。</w:t>
      </w:r>
    </w:p>
    <w:p>
      <w:pPr>
        <w:bidi w:val="0"/>
        <w:rPr>
          <w:rFonts w:hint="eastAsia"/>
          <w:lang w:val="en-US" w:eastAsia="zh-CN"/>
        </w:rPr>
      </w:pPr>
      <w:r>
        <w:rPr>
          <w:rFonts w:hint="eastAsia"/>
          <w:lang w:eastAsia="zh-CN"/>
        </w:rPr>
        <w:t>（</w:t>
      </w:r>
      <w:r>
        <w:rPr>
          <w:rFonts w:hint="eastAsia"/>
          <w:lang w:val="en-US" w:eastAsia="zh-CN"/>
        </w:rPr>
        <w:t>3）浇注</w:t>
      </w:r>
    </w:p>
    <w:p>
      <w:pPr>
        <w:bidi w:val="0"/>
        <w:rPr>
          <w:rFonts w:hint="eastAsia"/>
        </w:rPr>
      </w:pPr>
      <w:r>
        <w:rPr>
          <w:rFonts w:hint="eastAsia"/>
          <w:lang w:val="en-US" w:eastAsia="zh-CN"/>
        </w:rPr>
        <w:t>熔化后的铝合金熔体转入压铸机，本项目采用</w:t>
      </w:r>
      <w:r>
        <w:rPr>
          <w:rFonts w:hint="eastAsia"/>
          <w:lang w:eastAsia="zh-CN"/>
        </w:rPr>
        <w:t>低压压铸和重力压铸，低压压铸是通过压缩空气对金属液表面施加压力，将液态铝合金压入模具型腔中，重力压铸是通过金属液本身重力流入模具中，金属液冷却凝固后成型，获得所需形状和尺寸的产品毛坯</w:t>
      </w:r>
      <w:r>
        <w:rPr>
          <w:rFonts w:hint="eastAsia"/>
          <w:lang w:val="en-US" w:eastAsia="zh-CN"/>
        </w:rPr>
        <w:t>。浇注时模具与熔体接触面上要喷洒上一层395保温涂料，以利于铸件的保护和取出，模具经自然冷却</w:t>
      </w:r>
      <w:r>
        <w:rPr>
          <w:rFonts w:hint="eastAsia"/>
        </w:rPr>
        <w:t>。</w:t>
      </w:r>
    </w:p>
    <w:p>
      <w:pPr>
        <w:bidi w:val="0"/>
        <w:rPr>
          <w:rFonts w:hint="eastAsia" w:ascii="Times New Roman" w:hAnsi="Times New Roman" w:eastAsia="宋体" w:cs="Times New Roman"/>
          <w:szCs w:val="24"/>
          <w:lang w:eastAsia="zh-CN"/>
        </w:rPr>
      </w:pPr>
      <w:r>
        <w:rPr>
          <w:rFonts w:hint="eastAsia"/>
          <w:lang w:val="en-US" w:eastAsia="zh-CN"/>
        </w:rPr>
        <w:t>该过程</w:t>
      </w:r>
      <w:r>
        <w:rPr>
          <w:rFonts w:hint="eastAsia"/>
          <w:lang w:eastAsia="zh-CN"/>
        </w:rPr>
        <w:t>产生有机废气、</w:t>
      </w:r>
      <w:r>
        <w:rPr>
          <w:rFonts w:hint="eastAsia" w:ascii="Times New Roman" w:hAnsi="Times New Roman" w:eastAsia="宋体" w:cs="Times New Roman"/>
          <w:szCs w:val="24"/>
          <w:lang w:eastAsia="zh-CN"/>
        </w:rPr>
        <w:t>机械噪声等。</w:t>
      </w:r>
    </w:p>
    <w:p>
      <w:pPr>
        <w:bidi w:val="0"/>
        <w:rPr>
          <w:rFonts w:hint="eastAsia"/>
          <w:lang w:eastAsia="zh-CN"/>
        </w:rPr>
      </w:pPr>
      <w:r>
        <w:rPr>
          <w:rFonts w:hint="eastAsia"/>
          <w:lang w:eastAsia="zh-CN"/>
        </w:rPr>
        <w:t>（</w:t>
      </w:r>
      <w:r>
        <w:rPr>
          <w:rFonts w:hint="eastAsia"/>
          <w:lang w:val="en-US" w:eastAsia="zh-CN"/>
        </w:rPr>
        <w:t>4）</w:t>
      </w:r>
      <w:r>
        <w:rPr>
          <w:rFonts w:hint="eastAsia"/>
          <w:lang w:eastAsia="zh-CN"/>
        </w:rPr>
        <w:t>铣浇口</w:t>
      </w:r>
    </w:p>
    <w:p>
      <w:pPr>
        <w:bidi w:val="0"/>
        <w:rPr>
          <w:rFonts w:hint="eastAsia"/>
          <w:lang w:eastAsia="zh-CN"/>
        </w:rPr>
      </w:pPr>
      <w:r>
        <w:rPr>
          <w:rFonts w:hint="eastAsia"/>
          <w:lang w:eastAsia="zh-CN"/>
        </w:rPr>
        <w:t>对铸件上的浇口进行铣削加工，去除浇口残留部分，使产品外观和尺寸符合要求。</w:t>
      </w:r>
    </w:p>
    <w:p>
      <w:pPr>
        <w:bidi w:val="0"/>
        <w:rPr>
          <w:rFonts w:hint="eastAsia"/>
          <w:lang w:eastAsia="zh-CN"/>
        </w:rPr>
      </w:pPr>
      <w:r>
        <w:rPr>
          <w:rFonts w:hint="eastAsia"/>
          <w:lang w:val="en-US" w:eastAsia="zh-CN"/>
        </w:rPr>
        <w:t>该过程</w:t>
      </w:r>
      <w:r>
        <w:rPr>
          <w:rFonts w:hint="eastAsia"/>
          <w:lang w:eastAsia="zh-CN"/>
        </w:rPr>
        <w:t>产生</w:t>
      </w:r>
      <w:r>
        <w:rPr>
          <w:rFonts w:hint="eastAsia"/>
          <w:lang w:val="en-US" w:eastAsia="zh-CN"/>
        </w:rPr>
        <w:t>金属碎屑、机械噪声</w:t>
      </w:r>
      <w:r>
        <w:rPr>
          <w:rFonts w:hint="eastAsia"/>
          <w:lang w:eastAsia="zh-CN"/>
        </w:rPr>
        <w:t>。</w:t>
      </w:r>
    </w:p>
    <w:p>
      <w:pPr>
        <w:bidi w:val="0"/>
        <w:rPr>
          <w:rFonts w:hint="eastAsia"/>
          <w:lang w:val="en-US" w:eastAsia="zh-CN"/>
        </w:rPr>
      </w:pPr>
      <w:r>
        <w:rPr>
          <w:rFonts w:hint="eastAsia"/>
          <w:lang w:eastAsia="zh-CN"/>
        </w:rPr>
        <w:t>（</w:t>
      </w:r>
      <w:r>
        <w:rPr>
          <w:rFonts w:hint="eastAsia"/>
          <w:lang w:val="en-US" w:eastAsia="zh-CN"/>
        </w:rPr>
        <w:t>5）</w:t>
      </w:r>
      <w:r>
        <w:rPr>
          <w:rFonts w:hint="eastAsia"/>
          <w:lang w:eastAsia="zh-CN"/>
        </w:rPr>
        <w:t>去毛刺</w:t>
      </w:r>
    </w:p>
    <w:p>
      <w:pPr>
        <w:bidi w:val="0"/>
        <w:rPr>
          <w:rFonts w:hint="eastAsia" w:ascii="Times New Roman" w:hAnsi="Times New Roman" w:eastAsia="宋体" w:cs="Times New Roman"/>
          <w:szCs w:val="24"/>
          <w:lang w:eastAsia="zh-CN"/>
        </w:rPr>
      </w:pPr>
      <w:r>
        <w:rPr>
          <w:rFonts w:hint="eastAsia" w:ascii="Times New Roman" w:hAnsi="Times New Roman" w:eastAsia="宋体" w:cs="Times New Roman"/>
          <w:szCs w:val="24"/>
          <w:lang w:eastAsia="zh-CN"/>
        </w:rPr>
        <w:t>采用</w:t>
      </w:r>
      <w:r>
        <w:rPr>
          <w:rFonts w:hint="eastAsia"/>
          <w:lang w:val="en-US" w:eastAsia="zh-CN"/>
        </w:rPr>
        <w:t>人工去毛刺，</w:t>
      </w:r>
      <w:r>
        <w:rPr>
          <w:rFonts w:hint="eastAsia" w:ascii="Times New Roman" w:hAnsi="Times New Roman" w:eastAsia="宋体" w:cs="Times New Roman"/>
          <w:szCs w:val="24"/>
          <w:lang w:eastAsia="zh-CN"/>
        </w:rPr>
        <w:t>去除铸件表面因压铸、铣削等加工过程产生的毛刺，使零件表面更加光滑，提高产品的外观质量和装配性能。</w:t>
      </w:r>
    </w:p>
    <w:p>
      <w:pPr>
        <w:bidi w:val="0"/>
      </w:pPr>
      <w:r>
        <w:rPr>
          <w:rFonts w:hint="eastAsia"/>
          <w:lang w:val="en-US" w:eastAsia="zh-CN"/>
        </w:rPr>
        <w:t>该过程产生金属碎屑</w:t>
      </w:r>
      <w:r>
        <w:rPr>
          <w:rFonts w:hint="eastAsia"/>
        </w:rPr>
        <w:t>。</w:t>
      </w:r>
    </w:p>
    <w:p>
      <w:pPr>
        <w:bidi w:val="0"/>
        <w:rPr>
          <w:rFonts w:hint="eastAsia"/>
          <w:lang w:eastAsia="zh-CN"/>
        </w:rPr>
      </w:pPr>
      <w:r>
        <w:rPr>
          <w:rFonts w:hint="eastAsia"/>
          <w:lang w:eastAsia="zh-CN"/>
        </w:rPr>
        <w:t>（</w:t>
      </w:r>
      <w:r>
        <w:rPr>
          <w:rFonts w:hint="eastAsia"/>
          <w:lang w:val="en-US" w:eastAsia="zh-CN"/>
        </w:rPr>
        <w:t>6）</w:t>
      </w:r>
      <w:r>
        <w:rPr>
          <w:rFonts w:hint="eastAsia"/>
          <w:lang w:eastAsia="zh-CN"/>
        </w:rPr>
        <w:t>热处理</w:t>
      </w:r>
    </w:p>
    <w:p>
      <w:pPr>
        <w:bidi w:val="0"/>
        <w:rPr>
          <w:rFonts w:hint="eastAsia"/>
          <w:lang w:eastAsia="zh-CN"/>
        </w:rPr>
      </w:pPr>
      <w:r>
        <w:rPr>
          <w:rFonts w:hint="eastAsia"/>
          <w:lang w:eastAsia="zh-CN"/>
        </w:rPr>
        <w:t>铸件使用电加热至</w:t>
      </w:r>
      <w:r>
        <w:rPr>
          <w:rFonts w:hint="eastAsia"/>
          <w:lang w:val="en-US" w:eastAsia="zh-CN"/>
        </w:rPr>
        <w:t>5</w:t>
      </w:r>
      <w:r>
        <w:rPr>
          <w:rFonts w:hint="eastAsia"/>
          <w:lang w:eastAsia="zh-CN"/>
        </w:rPr>
        <w:t>00℃左右，通过加热、保温和冷却等操作，改善铸件的内部组织结构，提高其力学性能（如强度、硬度、韧性等），消除铸造应力，稳定零件尺寸。</w:t>
      </w:r>
    </w:p>
    <w:p>
      <w:pPr>
        <w:bidi w:val="0"/>
        <w:rPr>
          <w:rFonts w:hint="eastAsia"/>
          <w:lang w:eastAsia="zh-CN"/>
        </w:rPr>
      </w:pPr>
      <w:r>
        <w:rPr>
          <w:rFonts w:hint="eastAsia"/>
          <w:lang w:eastAsia="zh-CN"/>
        </w:rPr>
        <w:t>（</w:t>
      </w:r>
      <w:r>
        <w:rPr>
          <w:rFonts w:hint="eastAsia"/>
          <w:lang w:val="en-US" w:eastAsia="zh-CN"/>
        </w:rPr>
        <w:t>7）</w:t>
      </w:r>
      <w:r>
        <w:rPr>
          <w:rFonts w:hint="eastAsia" w:ascii="Times New Roman" w:hAnsi="Times New Roman" w:eastAsia="宋体" w:cs="Times New Roman"/>
          <w:szCs w:val="24"/>
          <w:lang w:eastAsia="zh-CN"/>
        </w:rPr>
        <w:t>表面抛丸</w:t>
      </w:r>
    </w:p>
    <w:p>
      <w:pPr>
        <w:bidi w:val="0"/>
        <w:rPr>
          <w:rFonts w:hint="eastAsia" w:ascii="Times New Roman" w:hAnsi="Times New Roman" w:eastAsia="宋体" w:cs="Times New Roman"/>
          <w:szCs w:val="24"/>
          <w:lang w:eastAsia="zh-CN"/>
        </w:rPr>
      </w:pPr>
      <w:r>
        <w:rPr>
          <w:rFonts w:hint="eastAsia" w:ascii="Times New Roman" w:hAnsi="Times New Roman" w:eastAsia="宋体" w:cs="Times New Roman"/>
          <w:szCs w:val="24"/>
          <w:lang w:eastAsia="zh-CN"/>
        </w:rPr>
        <w:t>利用高速弹丸流冲击铸件表面，清理表面的氧化皮、杂质等，提高表面粗糙度，增强表面硬度和抗疲劳性能，同时也能发现一些隐藏的表面缺陷。</w:t>
      </w:r>
    </w:p>
    <w:p>
      <w:pPr>
        <w:bidi w:val="0"/>
      </w:pPr>
      <w:r>
        <w:rPr>
          <w:rFonts w:hint="eastAsia"/>
        </w:rPr>
        <w:t>该过程会产生噪声</w:t>
      </w:r>
      <w:r>
        <w:rPr>
          <w:rFonts w:hint="eastAsia"/>
          <w:lang w:eastAsia="zh-CN"/>
        </w:rPr>
        <w:t>、</w:t>
      </w:r>
      <w:r>
        <w:rPr>
          <w:rFonts w:hint="eastAsia"/>
          <w:lang w:val="en-US" w:eastAsia="zh-CN"/>
        </w:rPr>
        <w:t>粉尘</w:t>
      </w:r>
      <w:r>
        <w:rPr>
          <w:rFonts w:hint="eastAsia"/>
        </w:rPr>
        <w:t>。</w:t>
      </w:r>
    </w:p>
    <w:p>
      <w:pPr>
        <w:bidi w:val="0"/>
        <w:rPr>
          <w:rFonts w:hint="eastAsia"/>
          <w:lang w:eastAsia="zh-CN"/>
        </w:rPr>
      </w:pPr>
      <w:r>
        <w:rPr>
          <w:rFonts w:hint="eastAsia"/>
          <w:lang w:eastAsia="zh-CN"/>
        </w:rPr>
        <w:t>（</w:t>
      </w:r>
      <w:r>
        <w:rPr>
          <w:rFonts w:hint="eastAsia"/>
          <w:lang w:val="en-US" w:eastAsia="zh-CN"/>
        </w:rPr>
        <w:t>8）粗加工</w:t>
      </w:r>
    </w:p>
    <w:p>
      <w:pPr>
        <w:bidi w:val="0"/>
        <w:rPr>
          <w:rFonts w:hint="eastAsia"/>
        </w:rPr>
      </w:pPr>
      <w:r>
        <w:rPr>
          <w:rFonts w:hint="eastAsia"/>
        </w:rPr>
        <w:t>对铸件进行初步的机械加工，去除大部分加工余量，使零件接近成品尺寸，为精加工做准备。</w:t>
      </w:r>
    </w:p>
    <w:p>
      <w:pPr>
        <w:bidi w:val="0"/>
      </w:pPr>
      <w:r>
        <w:rPr>
          <w:rFonts w:hint="eastAsia"/>
          <w:lang w:val="en-US" w:eastAsia="zh-CN"/>
        </w:rPr>
        <w:t>该过程</w:t>
      </w:r>
      <w:r>
        <w:rPr>
          <w:rFonts w:hint="eastAsia"/>
        </w:rPr>
        <w:t>产生金属切屑等固废，设备运行噪声。</w:t>
      </w:r>
    </w:p>
    <w:p>
      <w:pPr>
        <w:bidi w:val="0"/>
        <w:rPr>
          <w:rFonts w:hint="default"/>
          <w:lang w:val="en-US" w:eastAsia="zh-CN"/>
        </w:rPr>
      </w:pPr>
      <w:r>
        <w:rPr>
          <w:rFonts w:hint="eastAsia"/>
          <w:lang w:eastAsia="zh-CN"/>
        </w:rPr>
        <w:t>（</w:t>
      </w:r>
      <w:r>
        <w:rPr>
          <w:rFonts w:hint="eastAsia"/>
          <w:lang w:val="en-US" w:eastAsia="zh-CN"/>
        </w:rPr>
        <w:t>9）精加工</w:t>
      </w:r>
    </w:p>
    <w:p>
      <w:pPr>
        <w:bidi w:val="0"/>
        <w:rPr>
          <w:rFonts w:hint="eastAsia"/>
        </w:rPr>
      </w:pPr>
      <w:r>
        <w:rPr>
          <w:rFonts w:hint="eastAsia"/>
        </w:rPr>
        <w:t>对粗加工后的零件进行高精度加工，达到零件的最终尺寸精度、表面粗糙度等技术要求，保证零件的装配和使用性能。</w:t>
      </w:r>
    </w:p>
    <w:p>
      <w:pPr>
        <w:bidi w:val="0"/>
        <w:rPr>
          <w:rFonts w:hint="eastAsia"/>
        </w:rPr>
      </w:pPr>
      <w:r>
        <w:rPr>
          <w:rFonts w:hint="eastAsia"/>
        </w:rPr>
        <w:t>该过程产生金属切屑等固废，设备运行噪声。</w:t>
      </w:r>
    </w:p>
    <w:p>
      <w:pPr>
        <w:bidi w:val="0"/>
        <w:rPr>
          <w:rFonts w:hint="eastAsia" w:ascii="Times New Roman" w:hAnsi="Times New Roman" w:eastAsia="宋体" w:cs="Times New Roman"/>
          <w:lang w:eastAsia="zh-CN"/>
        </w:rPr>
      </w:pPr>
      <w:r>
        <w:rPr>
          <w:rFonts w:hint="eastAsia" w:ascii="Times New Roman" w:hAnsi="Times New Roman" w:eastAsia="宋体" w:cs="Times New Roman"/>
          <w:lang w:eastAsia="zh-CN"/>
        </w:rPr>
        <w:t>（</w:t>
      </w:r>
      <w:r>
        <w:rPr>
          <w:rFonts w:hint="eastAsia" w:ascii="Times New Roman" w:hAnsi="Times New Roman" w:eastAsia="宋体" w:cs="Times New Roman"/>
          <w:lang w:val="en-US" w:eastAsia="zh-CN"/>
        </w:rPr>
        <w:t>10</w:t>
      </w:r>
      <w:r>
        <w:rPr>
          <w:rFonts w:hint="eastAsia" w:ascii="Times New Roman" w:hAnsi="Times New Roman" w:eastAsia="宋体" w:cs="Times New Roman"/>
          <w:lang w:eastAsia="zh-CN"/>
        </w:rPr>
        <w:t>）成品入库</w:t>
      </w:r>
    </w:p>
    <w:p>
      <w:pPr>
        <w:ind w:firstLine="480"/>
        <w:rPr>
          <w:rFonts w:hint="eastAsia"/>
          <w:color w:val="000000"/>
        </w:rPr>
      </w:pPr>
      <w:r>
        <w:rPr>
          <w:rFonts w:hint="eastAsia" w:ascii="Times New Roman" w:hAnsi="Times New Roman" w:eastAsia="宋体" w:cs="Times New Roman"/>
        </w:rPr>
        <w:t>将最终加工完成并检验合格的</w:t>
      </w:r>
      <w:r>
        <w:rPr>
          <w:rFonts w:hint="eastAsia" w:ascii="Times New Roman" w:hAnsi="Times New Roman" w:eastAsia="宋体" w:cs="Times New Roman"/>
          <w:lang w:eastAsia="zh-CN"/>
        </w:rPr>
        <w:t>产品</w:t>
      </w:r>
      <w:r>
        <w:rPr>
          <w:rFonts w:hint="eastAsia" w:ascii="Times New Roman" w:hAnsi="Times New Roman" w:eastAsia="宋体" w:cs="Times New Roman"/>
        </w:rPr>
        <w:t>进行入库管理，等待发货交付给客户</w:t>
      </w:r>
      <w:r>
        <w:rPr>
          <w:rFonts w:hint="eastAsia"/>
          <w:color w:val="000000"/>
        </w:rPr>
        <w:t>。</w:t>
      </w:r>
      <w:bookmarkStart w:id="66" w:name="_Toc29859"/>
      <w:bookmarkStart w:id="67" w:name="_Toc8790"/>
      <w:bookmarkStart w:id="68" w:name="_Toc12578"/>
      <w:bookmarkStart w:id="69" w:name="_Toc10511"/>
      <w:bookmarkStart w:id="70" w:name="_Toc3787"/>
    </w:p>
    <w:p>
      <w:pPr>
        <w:pStyle w:val="6"/>
        <w:rPr>
          <w:rFonts w:hint="eastAsia"/>
          <w:color w:val="000000"/>
        </w:rPr>
      </w:pPr>
      <w:r>
        <w:rPr>
          <w:rFonts w:hint="eastAsia"/>
          <w:color w:val="000000"/>
        </w:rPr>
        <w:t>项目污染物产排情况</w:t>
      </w:r>
    </w:p>
    <w:p>
      <w:pPr>
        <w:bidi w:val="0"/>
      </w:pPr>
      <w:r>
        <w:rPr>
          <w:rFonts w:hint="eastAsia"/>
        </w:rPr>
        <w:t>本项目营运期废气主要为：</w:t>
      </w:r>
      <w:r>
        <w:rPr>
          <w:rFonts w:hint="eastAsia"/>
          <w:lang w:eastAsia="zh-CN"/>
        </w:rPr>
        <w:t>铝合金锭熔化废气、浇注废气、制芯废气、铝铸件抛丸废气</w:t>
      </w:r>
      <w:r>
        <w:rPr>
          <w:rFonts w:hint="eastAsia"/>
          <w:lang w:val="en-US" w:eastAsia="zh-CN"/>
        </w:rPr>
        <w:t>，</w:t>
      </w:r>
      <w:r>
        <w:t>废气产排情况见下表。</w:t>
      </w:r>
    </w:p>
    <w:p>
      <w:pPr>
        <w:bidi w:val="0"/>
        <w:rPr>
          <w:rFonts w:hint="default" w:eastAsia="宋体"/>
          <w:lang w:val="en-US" w:eastAsia="zh-CN"/>
        </w:rPr>
      </w:pPr>
      <w:r>
        <w:rPr>
          <w:rFonts w:hint="eastAsia"/>
          <w:lang w:val="en-US" w:eastAsia="zh-CN"/>
        </w:rPr>
        <w:t>（1）熔化废气</w:t>
      </w:r>
    </w:p>
    <w:p>
      <w:pPr>
        <w:keepNext w:val="0"/>
        <w:keepLines w:val="0"/>
        <w:widowControl/>
        <w:suppressLineNumbers w:val="0"/>
        <w:jc w:val="left"/>
        <w:rPr>
          <w:rFonts w:hint="eastAsia"/>
          <w:lang w:val="en-US" w:eastAsia="zh-CN"/>
        </w:rPr>
      </w:pPr>
      <w:r>
        <w:rPr>
          <w:rFonts w:hint="eastAsia"/>
        </w:rPr>
        <w:t>本项目</w:t>
      </w:r>
      <w:r>
        <w:rPr>
          <w:rFonts w:hint="eastAsia"/>
          <w:lang w:val="en-US" w:eastAsia="zh-CN"/>
        </w:rPr>
        <w:t>铝合金锭</w:t>
      </w:r>
      <w:r>
        <w:rPr>
          <w:rFonts w:hint="eastAsia" w:ascii="Times New Roman" w:hAnsi="Times New Roman" w:cs="Times New Roman"/>
          <w:lang w:val="en-US" w:eastAsia="zh-CN"/>
        </w:rPr>
        <w:t>熔化工序会产生热烟废气，根据《排放源统计调查产排污核算方法和系数手册-</w:t>
      </w:r>
      <w:r>
        <w:rPr>
          <w:rFonts w:hint="default" w:ascii="Times New Roman" w:hAnsi="Times New Roman" w:cs="Times New Roman"/>
          <w:lang w:val="en-US" w:eastAsia="zh-CN"/>
        </w:rPr>
        <w:t>33</w:t>
      </w:r>
      <w:r>
        <w:rPr>
          <w:rFonts w:hint="eastAsia" w:ascii="Times New Roman" w:hAnsi="Times New Roman" w:cs="Times New Roman"/>
          <w:lang w:val="en-US" w:eastAsia="zh-CN"/>
        </w:rPr>
        <w:t>金属制品业行业系数手册》中电阻炉生产铝合金铸件产排污系数，废气产生系数为21951标立方米</w:t>
      </w:r>
      <w:r>
        <w:rPr>
          <w:rFonts w:hint="default" w:ascii="Times New Roman" w:hAnsi="Times New Roman" w:cs="Times New Roman"/>
          <w:lang w:val="en-US" w:eastAsia="zh-CN"/>
        </w:rPr>
        <w:t>/</w:t>
      </w:r>
      <w:r>
        <w:rPr>
          <w:rFonts w:hint="eastAsia" w:ascii="Times New Roman" w:hAnsi="Times New Roman" w:cs="Times New Roman"/>
          <w:lang w:val="en-US" w:eastAsia="zh-CN"/>
        </w:rPr>
        <w:t>吨</w:t>
      </w:r>
      <w:r>
        <w:rPr>
          <w:rFonts w:hint="default" w:ascii="Times New Roman" w:hAnsi="Times New Roman" w:cs="Times New Roman"/>
          <w:lang w:val="en-US" w:eastAsia="zh-CN"/>
        </w:rPr>
        <w:t>-</w:t>
      </w:r>
      <w:r>
        <w:rPr>
          <w:rFonts w:hint="eastAsia" w:ascii="Times New Roman" w:hAnsi="Times New Roman" w:cs="Times New Roman"/>
          <w:lang w:val="en-US" w:eastAsia="zh-CN"/>
        </w:rPr>
        <w:t>产品，颗粒物产生系数为0.525千克/吨-产品。</w:t>
      </w:r>
    </w:p>
    <w:p>
      <w:pPr>
        <w:bidi w:val="0"/>
        <w:rPr>
          <w:rFonts w:hint="eastAsia"/>
          <w:lang w:val="en-US" w:eastAsia="zh-CN"/>
        </w:rPr>
      </w:pPr>
      <w:r>
        <w:rPr>
          <w:rFonts w:hint="eastAsia"/>
          <w:lang w:val="en-US" w:eastAsia="zh-CN"/>
        </w:rPr>
        <w:t>项目年用铝合金锭5000吨，全部制成产品，即项目金属熔化工序废气产生量为10975.5万立方，颗粒物产生量为2.625吨。</w:t>
      </w:r>
    </w:p>
    <w:p>
      <w:pPr>
        <w:bidi w:val="0"/>
        <w:rPr>
          <w:rFonts w:hint="eastAsia" w:ascii="Times New Roman" w:hAnsi="Times New Roman" w:cs="Times New Roman"/>
          <w:lang w:val="en-US" w:eastAsia="zh-CN"/>
        </w:rPr>
      </w:pPr>
      <w:r>
        <w:rPr>
          <w:rFonts w:hint="eastAsia" w:ascii="Times New Roman" w:hAnsi="Times New Roman" w:cs="Times New Roman"/>
          <w:lang w:val="en-US" w:eastAsia="zh-CN"/>
        </w:rPr>
        <w:t>（2）制芯废气</w:t>
      </w:r>
    </w:p>
    <w:p>
      <w:pPr>
        <w:bidi w:val="0"/>
        <w:rPr>
          <w:rFonts w:hint="eastAsia" w:ascii="Times New Roman" w:hAnsi="Times New Roman" w:cs="Times New Roman"/>
          <w:lang w:val="en-US" w:eastAsia="zh-CN"/>
        </w:rPr>
      </w:pPr>
      <w:r>
        <w:rPr>
          <w:rFonts w:hint="eastAsia"/>
          <w:lang w:eastAsia="zh-CN"/>
        </w:rPr>
        <w:t>项目约</w:t>
      </w:r>
      <w:r>
        <w:rPr>
          <w:rFonts w:hint="eastAsia"/>
          <w:lang w:val="en-US" w:eastAsia="zh-CN"/>
        </w:rPr>
        <w:t>3%</w:t>
      </w:r>
      <w:r>
        <w:rPr>
          <w:rFonts w:hint="eastAsia"/>
          <w:lang w:eastAsia="zh-CN"/>
        </w:rPr>
        <w:t>产品在不容易脱模的情况下需在模具中制作一层砂芯，本项目采用成品覆膜砂，</w:t>
      </w:r>
      <w:r>
        <w:rPr>
          <w:rFonts w:hint="eastAsia" w:ascii="Times New Roman" w:hAnsi="Times New Roman" w:cs="Times New Roman"/>
          <w:lang w:val="en-US" w:eastAsia="zh-CN"/>
        </w:rPr>
        <w:t>制芯</w:t>
      </w:r>
      <w:r>
        <w:rPr>
          <w:rFonts w:hint="eastAsia"/>
          <w:lang w:eastAsia="zh-CN"/>
        </w:rPr>
        <w:t>过程产生颗粒物、有机废气</w:t>
      </w:r>
      <w:r>
        <w:rPr>
          <w:rFonts w:hint="eastAsia" w:ascii="Times New Roman" w:hAnsi="Times New Roman" w:cs="Times New Roman"/>
          <w:lang w:val="en-US" w:eastAsia="zh-CN"/>
        </w:rPr>
        <w:t>，根据《排放源统计调查产排污核算方法和系数手册-</w:t>
      </w:r>
      <w:r>
        <w:rPr>
          <w:rFonts w:hint="default" w:ascii="Times New Roman" w:hAnsi="Times New Roman" w:cs="Times New Roman"/>
          <w:lang w:val="en-US" w:eastAsia="zh-CN"/>
        </w:rPr>
        <w:t>33</w:t>
      </w:r>
      <w:r>
        <w:rPr>
          <w:rFonts w:hint="eastAsia" w:ascii="Times New Roman" w:hAnsi="Times New Roman" w:cs="Times New Roman"/>
          <w:lang w:val="en-US" w:eastAsia="zh-CN"/>
        </w:rPr>
        <w:t>金属制品业行业系数手册》中覆膜砂制芯产排污系数，废气产生系数为3615标立方米</w:t>
      </w:r>
      <w:r>
        <w:rPr>
          <w:rFonts w:hint="default" w:ascii="Times New Roman" w:hAnsi="Times New Roman" w:cs="Times New Roman"/>
          <w:lang w:val="en-US" w:eastAsia="zh-CN"/>
        </w:rPr>
        <w:t>/</w:t>
      </w:r>
      <w:r>
        <w:rPr>
          <w:rFonts w:hint="eastAsia" w:ascii="Times New Roman" w:hAnsi="Times New Roman" w:cs="Times New Roman"/>
          <w:lang w:val="en-US" w:eastAsia="zh-CN"/>
        </w:rPr>
        <w:t>吨</w:t>
      </w:r>
      <w:r>
        <w:rPr>
          <w:rFonts w:hint="default" w:ascii="Times New Roman" w:hAnsi="Times New Roman" w:cs="Times New Roman"/>
          <w:lang w:val="en-US" w:eastAsia="zh-CN"/>
        </w:rPr>
        <w:t>-</w:t>
      </w:r>
      <w:r>
        <w:rPr>
          <w:rFonts w:hint="eastAsia" w:ascii="Times New Roman" w:hAnsi="Times New Roman" w:cs="Times New Roman"/>
          <w:lang w:val="en-US" w:eastAsia="zh-CN"/>
        </w:rPr>
        <w:t>产品，颗粒物产生系数为0.33千克/吨-产品，有机废气产排污系数为0.05千克/吨-产品。</w:t>
      </w:r>
    </w:p>
    <w:p>
      <w:pPr>
        <w:bidi w:val="0"/>
        <w:rPr>
          <w:rFonts w:hint="eastAsia"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lang w:val="en-US" w:eastAsia="zh-CN"/>
        </w:rPr>
        <w:t>项目需使用砂芯的铝合金铸件约150吨/年，即制芯工序废气产生量为54.2万立</w:t>
      </w:r>
      <w:r>
        <w:rPr>
          <w:rFonts w:hint="eastAsia" w:ascii="Times New Roman" w:hAnsi="Times New Roman" w:cs="Times New Roman"/>
          <w:color w:val="000000" w:themeColor="text1"/>
          <w:lang w:val="en-US" w:eastAsia="zh-CN"/>
          <w14:textFill>
            <w14:solidFill>
              <w14:schemeClr w14:val="tx1"/>
            </w14:solidFill>
          </w14:textFill>
        </w:rPr>
        <w:t>方，颗粒物产生量为0.05吨，有机废气产生量为0.0075吨。</w:t>
      </w:r>
    </w:p>
    <w:p>
      <w:pPr>
        <w:bidi w:val="0"/>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项目覆膜砂</w:t>
      </w:r>
      <w:r>
        <w:rPr>
          <w:rFonts w:hint="eastAsia" w:cs="Times New Roman"/>
          <w:color w:val="000000" w:themeColor="text1"/>
          <w:lang w:val="en-US" w:eastAsia="zh-CN"/>
          <w14:textFill>
            <w14:solidFill>
              <w14:schemeClr w14:val="tx1"/>
            </w14:solidFill>
          </w14:textFill>
        </w:rPr>
        <w:t>有机废气主要来源与其中的酚醛树脂，酚醛树脂受热会分离出其中游离的甲醛类，其产生量低于有机废气总体产生量，本次按照最大量计为0.0075t/a、0.00144kg/h。</w:t>
      </w:r>
    </w:p>
    <w:p>
      <w:pPr>
        <w:bidi w:val="0"/>
        <w:rPr>
          <w:rFonts w:hint="default"/>
          <w:lang w:val="en-US" w:eastAsia="zh-CN"/>
        </w:rPr>
      </w:pPr>
      <w:r>
        <w:rPr>
          <w:rFonts w:hint="eastAsia"/>
          <w:lang w:val="en-US" w:eastAsia="zh-CN"/>
        </w:rPr>
        <w:t>（3）浇注废气</w:t>
      </w:r>
    </w:p>
    <w:p>
      <w:pPr>
        <w:bidi w:val="0"/>
        <w:rPr>
          <w:rFonts w:hint="eastAsia" w:ascii="Times New Roman" w:hAnsi="Times New Roman" w:cs="Times New Roman"/>
          <w:lang w:val="en-US" w:eastAsia="zh-CN"/>
        </w:rPr>
      </w:pPr>
      <w:r>
        <w:rPr>
          <w:rFonts w:hint="eastAsia"/>
          <w:lang w:val="en-US" w:eastAsia="zh-CN"/>
        </w:rPr>
        <w:t>铝合金液在浇注入模具过程会产生颗粒物、有机废气，</w:t>
      </w:r>
      <w:r>
        <w:rPr>
          <w:rFonts w:hint="eastAsia" w:ascii="Times New Roman" w:hAnsi="Times New Roman" w:cs="Times New Roman"/>
          <w:lang w:val="en-US" w:eastAsia="zh-CN"/>
        </w:rPr>
        <w:t>根据《排放源统计调查产排污核算方法和系数手册-</w:t>
      </w:r>
      <w:r>
        <w:rPr>
          <w:rFonts w:hint="default" w:ascii="Times New Roman" w:hAnsi="Times New Roman" w:cs="Times New Roman"/>
          <w:lang w:val="en-US" w:eastAsia="zh-CN"/>
        </w:rPr>
        <w:t>33</w:t>
      </w:r>
      <w:r>
        <w:rPr>
          <w:rFonts w:hint="eastAsia" w:ascii="Times New Roman" w:hAnsi="Times New Roman" w:cs="Times New Roman"/>
          <w:lang w:val="en-US" w:eastAsia="zh-CN"/>
        </w:rPr>
        <w:t>金属制品业行业系数手册》中低压浇注产排污系数，废气产生系数为6000标立方米</w:t>
      </w:r>
      <w:r>
        <w:rPr>
          <w:rFonts w:hint="default" w:ascii="Times New Roman" w:hAnsi="Times New Roman" w:cs="Times New Roman"/>
          <w:lang w:val="en-US" w:eastAsia="zh-CN"/>
        </w:rPr>
        <w:t>/</w:t>
      </w:r>
      <w:r>
        <w:rPr>
          <w:rFonts w:hint="eastAsia" w:ascii="Times New Roman" w:hAnsi="Times New Roman" w:cs="Times New Roman"/>
          <w:lang w:val="en-US" w:eastAsia="zh-CN"/>
        </w:rPr>
        <w:t>吨</w:t>
      </w:r>
      <w:r>
        <w:rPr>
          <w:rFonts w:hint="default" w:ascii="Times New Roman" w:hAnsi="Times New Roman" w:cs="Times New Roman"/>
          <w:lang w:val="en-US" w:eastAsia="zh-CN"/>
        </w:rPr>
        <w:t>-</w:t>
      </w:r>
      <w:r>
        <w:rPr>
          <w:rFonts w:hint="eastAsia" w:ascii="Times New Roman" w:hAnsi="Times New Roman" w:cs="Times New Roman"/>
          <w:lang w:val="en-US" w:eastAsia="zh-CN"/>
        </w:rPr>
        <w:t>产品，颗粒物产生系数为0.247千克/吨-产品。</w:t>
      </w:r>
    </w:p>
    <w:p>
      <w:pPr>
        <w:bidi w:val="0"/>
        <w:rPr>
          <w:rFonts w:hint="eastAsia" w:ascii="Times New Roman" w:hAnsi="Times New Roman" w:cs="Times New Roman"/>
          <w:lang w:val="en-US" w:eastAsia="zh-CN"/>
        </w:rPr>
      </w:pPr>
      <w:r>
        <w:rPr>
          <w:rFonts w:hint="eastAsia" w:ascii="Times New Roman" w:hAnsi="Times New Roman" w:cs="Times New Roman"/>
          <w:lang w:val="en-US" w:eastAsia="zh-CN"/>
        </w:rPr>
        <w:t>项目铝合金铸件约5000吨/年，即浇注工序废气产生量为3000万立方，颗粒物产生量为1.235吨。</w:t>
      </w:r>
    </w:p>
    <w:p>
      <w:pPr>
        <w:keepNext w:val="0"/>
        <w:keepLines w:val="0"/>
        <w:widowControl/>
        <w:suppressLineNumbers w:val="0"/>
        <w:jc w:val="left"/>
        <w:rPr>
          <w:rFonts w:hint="default"/>
          <w:lang w:val="en-US" w:eastAsia="zh-CN"/>
        </w:rPr>
      </w:pPr>
      <w:r>
        <w:rPr>
          <w:rFonts w:hint="eastAsia"/>
          <w:lang w:eastAsia="zh-CN"/>
        </w:rPr>
        <w:t>项目压铸工序在浇注至模具之前，需要在模具上喷一层</w:t>
      </w:r>
      <w:r>
        <w:rPr>
          <w:rFonts w:hint="eastAsia"/>
          <w:lang w:val="en-US" w:eastAsia="zh-CN"/>
        </w:rPr>
        <w:t>金属型涂料395</w:t>
      </w:r>
      <w:r>
        <w:rPr>
          <w:rFonts w:hint="eastAsia"/>
          <w:lang w:eastAsia="zh-CN"/>
        </w:rPr>
        <w:t>，项目使用</w:t>
      </w:r>
      <w:r>
        <w:rPr>
          <w:rFonts w:hint="eastAsia"/>
          <w:lang w:val="en-US" w:eastAsia="zh-CN"/>
        </w:rPr>
        <w:t>金属型涂料395</w:t>
      </w:r>
      <w:r>
        <w:rPr>
          <w:rFonts w:hint="eastAsia"/>
          <w:lang w:eastAsia="zh-CN"/>
        </w:rPr>
        <w:t>约</w:t>
      </w:r>
      <w:r>
        <w:rPr>
          <w:rFonts w:hint="eastAsia"/>
          <w:lang w:val="en-US" w:eastAsia="zh-CN"/>
        </w:rPr>
        <w:t>3.6t/a，</w:t>
      </w:r>
      <w:r>
        <w:rPr>
          <w:rFonts w:hint="eastAsia"/>
          <w:lang w:eastAsia="zh-CN"/>
        </w:rPr>
        <w:t>按</w:t>
      </w:r>
      <w:r>
        <w:rPr>
          <w:rFonts w:hint="eastAsia"/>
          <w:lang w:val="en-US" w:eastAsia="zh-CN"/>
        </w:rPr>
        <w:t>1:3的比例加水稀释，喷洒在模具上的，</w:t>
      </w:r>
      <w:r>
        <w:rPr>
          <w:rFonts w:hint="eastAsia"/>
          <w:lang w:eastAsia="zh-CN"/>
        </w:rPr>
        <w:t>在受热时会产生水蒸气及少量挥发有机物。根据生产单位提供的</w:t>
      </w:r>
      <w:r>
        <w:rPr>
          <w:rFonts w:hint="eastAsia"/>
          <w:lang w:val="en-US" w:eastAsia="zh-CN"/>
        </w:rPr>
        <w:t>MS</w:t>
      </w:r>
      <w:r>
        <w:rPr>
          <w:rFonts w:hint="eastAsia" w:ascii="Times New Roman" w:hAnsi="Times New Roman" w:eastAsia="宋体" w:cs="Times New Roman"/>
          <w:lang w:val="en-US" w:eastAsia="zh-CN"/>
        </w:rPr>
        <w:t>DS报告，金属型涂料395主要成分是</w:t>
      </w:r>
      <w:r>
        <w:rPr>
          <w:rFonts w:hint="eastAsia" w:ascii="Times New Roman" w:hAnsi="Times New Roman" w:eastAsia="宋体" w:cs="Times New Roman"/>
          <w:kern w:val="2"/>
          <w:sz w:val="24"/>
          <w:szCs w:val="24"/>
          <w:lang w:val="en-US" w:eastAsia="zh-CN" w:bidi="ar"/>
        </w:rPr>
        <w:t>九水偏硅钠</w:t>
      </w:r>
      <w:r>
        <w:rPr>
          <w:rFonts w:hint="eastAsia" w:ascii="Times New Roman" w:hAnsi="Times New Roman" w:eastAsia="宋体" w:cs="Times New Roman"/>
          <w:lang w:eastAsia="zh-CN"/>
        </w:rPr>
        <w:t>、</w:t>
      </w:r>
      <w:r>
        <w:rPr>
          <w:rFonts w:hint="eastAsia" w:ascii="Times New Roman" w:hAnsi="Times New Roman" w:eastAsia="宋体" w:cs="Times New Roman"/>
          <w:kern w:val="2"/>
          <w:sz w:val="24"/>
          <w:szCs w:val="24"/>
          <w:lang w:val="en-US" w:eastAsia="zh-CN" w:bidi="ar"/>
        </w:rPr>
        <w:t>蛭石、水、碳酸钙等无机物，评价考虑到该金属涂料有一定刺激气味，其中还有有少量可挥发性有机物</w:t>
      </w:r>
      <w:r>
        <w:rPr>
          <w:rFonts w:hint="eastAsia"/>
          <w:lang w:eastAsia="zh-CN"/>
        </w:rPr>
        <w:t>，</w:t>
      </w:r>
      <w:r>
        <w:rPr>
          <w:rFonts w:hint="eastAsia"/>
          <w:lang w:val="en-US" w:eastAsia="zh-CN"/>
        </w:rPr>
        <w:t>本次以3%计</w:t>
      </w:r>
      <w:r>
        <w:rPr>
          <w:rFonts w:hint="eastAsia"/>
          <w:lang w:eastAsia="zh-CN"/>
        </w:rPr>
        <w:t>，则压铸过程产生有机废气</w:t>
      </w:r>
      <w:r>
        <w:rPr>
          <w:rFonts w:hint="eastAsia"/>
          <w:lang w:val="en-US" w:eastAsia="zh-CN"/>
        </w:rPr>
        <w:t>108kg</w:t>
      </w:r>
      <w:r>
        <w:rPr>
          <w:rFonts w:hint="eastAsia"/>
          <w:lang w:eastAsia="zh-CN"/>
        </w:rPr>
        <w:t>/</w:t>
      </w:r>
      <w:r>
        <w:rPr>
          <w:rFonts w:hint="eastAsia"/>
          <w:lang w:val="en-US" w:eastAsia="zh-CN"/>
        </w:rPr>
        <w:t>a</w:t>
      </w:r>
      <w:r>
        <w:rPr>
          <w:rFonts w:hint="eastAsia"/>
          <w:lang w:eastAsia="zh-CN"/>
        </w:rPr>
        <w:t>（以VOCs计），有机废气污染物产生量较少，与压铸废气一起收集后经同排气筒有组织排放。</w:t>
      </w:r>
    </w:p>
    <w:p>
      <w:pPr>
        <w:bidi w:val="0"/>
        <w:rPr>
          <w:rFonts w:hint="default" w:eastAsia="宋体"/>
          <w:color w:val="auto"/>
          <w:lang w:val="en-US" w:eastAsia="zh-CN"/>
        </w:rPr>
      </w:pPr>
      <w:r>
        <w:rPr>
          <w:rFonts w:hint="eastAsia"/>
          <w:color w:val="auto"/>
          <w:lang w:val="en-US" w:eastAsia="zh-CN"/>
        </w:rPr>
        <w:t>（4）抛丸废气</w:t>
      </w:r>
    </w:p>
    <w:p>
      <w:pPr>
        <w:ind w:firstLine="480"/>
        <w:rPr>
          <w:rFonts w:hint="eastAsia"/>
          <w:color w:val="auto"/>
          <w:u w:val="none"/>
          <w:lang w:val="en-US" w:eastAsia="zh-CN"/>
        </w:rPr>
      </w:pPr>
      <w:r>
        <w:rPr>
          <w:rFonts w:hint="eastAsia"/>
          <w:color w:val="auto"/>
          <w:u w:val="none"/>
          <w:lang w:eastAsia="zh-CN"/>
        </w:rPr>
        <w:t>抛丸粉尘产生量与抛丸钢珠与需要处理的铝合金铸件用量有关，根据《喷塑行业污染物源强估算及治理方法探讨（中国环境管理干部学院学报）》（第26卷</w:t>
      </w:r>
      <w:r>
        <w:rPr>
          <w:rFonts w:hint="eastAsia"/>
          <w:color w:val="auto"/>
          <w:u w:val="none"/>
          <w:lang w:val="en-US" w:eastAsia="zh-CN"/>
        </w:rPr>
        <w:t>第6期</w:t>
      </w:r>
      <w:r>
        <w:rPr>
          <w:rFonts w:hint="eastAsia"/>
          <w:color w:val="auto"/>
          <w:u w:val="none"/>
          <w:lang w:eastAsia="zh-CN"/>
        </w:rPr>
        <w:t>）相关研究，一般在环评的抛丸工艺粉尘产生量</w:t>
      </w:r>
      <w:r>
        <w:rPr>
          <w:rFonts w:hint="eastAsia"/>
          <w:color w:val="auto"/>
          <w:u w:val="none"/>
          <w:lang w:val="en-US" w:eastAsia="zh-CN"/>
        </w:rPr>
        <w:t>计算公式如下：</w:t>
      </w:r>
    </w:p>
    <w:p>
      <w:pPr>
        <w:pStyle w:val="16"/>
        <w:ind w:left="0" w:leftChars="0" w:firstLine="0" w:firstLineChars="0"/>
        <w:jc w:val="center"/>
        <w:rPr>
          <w:rFonts w:hint="default"/>
          <w:color w:val="auto"/>
          <w:sz w:val="24"/>
          <w:szCs w:val="24"/>
          <w:u w:val="none"/>
          <w:lang w:val="en-US"/>
        </w:rPr>
      </w:pPr>
      <w:r>
        <w:rPr>
          <w:rFonts w:hint="eastAsia"/>
          <w:color w:val="auto"/>
          <w:sz w:val="24"/>
          <w:szCs w:val="24"/>
          <w:u w:val="none"/>
          <w:lang w:val="en-US" w:eastAsia="zh-CN"/>
        </w:rPr>
        <w:t>M</w:t>
      </w:r>
      <w:r>
        <w:rPr>
          <w:rFonts w:hint="eastAsia"/>
          <w:color w:val="auto"/>
          <w:sz w:val="24"/>
          <w:szCs w:val="24"/>
          <w:u w:val="none"/>
          <w:vertAlign w:val="subscript"/>
          <w:lang w:val="en-US" w:eastAsia="zh-CN"/>
        </w:rPr>
        <w:t>a</w:t>
      </w:r>
      <w:r>
        <w:rPr>
          <w:rFonts w:hint="eastAsia"/>
          <w:color w:val="auto"/>
          <w:sz w:val="24"/>
          <w:szCs w:val="24"/>
          <w:u w:val="none"/>
          <w:lang w:val="en-US" w:eastAsia="zh-CN"/>
        </w:rPr>
        <w:t>=M</w:t>
      </w:r>
      <w:r>
        <w:rPr>
          <w:rFonts w:hint="eastAsia"/>
          <w:color w:val="auto"/>
          <w:sz w:val="24"/>
          <w:szCs w:val="24"/>
          <w:u w:val="none"/>
          <w:vertAlign w:val="subscript"/>
          <w:lang w:val="en-US" w:eastAsia="zh-CN"/>
        </w:rPr>
        <w:t>1</w:t>
      </w:r>
      <w:r>
        <w:rPr>
          <w:rFonts w:hint="eastAsia"/>
          <w:color w:val="auto"/>
          <w:sz w:val="24"/>
          <w:szCs w:val="24"/>
          <w:u w:val="none"/>
          <w:lang w:val="en-US" w:eastAsia="zh-CN"/>
        </w:rPr>
        <w:t>×f</w:t>
      </w:r>
      <w:r>
        <w:rPr>
          <w:rFonts w:hint="eastAsia"/>
          <w:color w:val="auto"/>
          <w:sz w:val="24"/>
          <w:szCs w:val="24"/>
          <w:u w:val="none"/>
          <w:vertAlign w:val="subscript"/>
          <w:lang w:val="en-US" w:eastAsia="zh-CN"/>
        </w:rPr>
        <w:t>1</w:t>
      </w:r>
    </w:p>
    <w:p>
      <w:pPr>
        <w:ind w:firstLine="480"/>
        <w:rPr>
          <w:rFonts w:hint="default"/>
          <w:color w:val="auto"/>
          <w:u w:val="none"/>
          <w:lang w:val="en-US" w:eastAsia="zh-CN"/>
        </w:rPr>
      </w:pPr>
      <w:r>
        <w:rPr>
          <w:rFonts w:hint="eastAsia"/>
          <w:color w:val="auto"/>
          <w:u w:val="none"/>
          <w:lang w:val="en-US" w:eastAsia="zh-CN"/>
        </w:rPr>
        <w:t>式中：M</w:t>
      </w:r>
      <w:r>
        <w:rPr>
          <w:rFonts w:hint="eastAsia"/>
          <w:color w:val="auto"/>
          <w:u w:val="none"/>
          <w:vertAlign w:val="subscript"/>
          <w:lang w:val="en-US" w:eastAsia="zh-CN"/>
        </w:rPr>
        <w:t>1</w:t>
      </w:r>
      <w:r>
        <w:rPr>
          <w:rFonts w:hint="eastAsia"/>
          <w:color w:val="auto"/>
          <w:u w:val="none"/>
          <w:lang w:val="en-US" w:eastAsia="zh-CN"/>
        </w:rPr>
        <w:t>为钢丸用量，t/a；M</w:t>
      </w:r>
      <w:r>
        <w:rPr>
          <w:rFonts w:hint="eastAsia"/>
          <w:color w:val="auto"/>
          <w:u w:val="none"/>
          <w:vertAlign w:val="subscript"/>
          <w:lang w:val="en-US" w:eastAsia="zh-CN"/>
        </w:rPr>
        <w:t>a</w:t>
      </w:r>
      <w:r>
        <w:rPr>
          <w:rFonts w:hint="eastAsia"/>
          <w:color w:val="auto"/>
          <w:u w:val="none"/>
          <w:lang w:val="en-US" w:eastAsia="zh-CN"/>
        </w:rPr>
        <w:t>为粉尘产生量，t/a；f</w:t>
      </w:r>
      <w:r>
        <w:rPr>
          <w:rFonts w:hint="eastAsia"/>
          <w:color w:val="auto"/>
          <w:u w:val="none"/>
          <w:vertAlign w:val="subscript"/>
          <w:lang w:val="en-US" w:eastAsia="zh-CN"/>
        </w:rPr>
        <w:t>1</w:t>
      </w:r>
      <w:r>
        <w:rPr>
          <w:rFonts w:hint="eastAsia"/>
          <w:color w:val="auto"/>
          <w:u w:val="none"/>
          <w:lang w:val="en-US" w:eastAsia="zh-CN"/>
        </w:rPr>
        <w:t>为产生粉尘量所占系数（5‰~6‰），本次取6‰。</w:t>
      </w:r>
    </w:p>
    <w:p>
      <w:pPr>
        <w:bidi w:val="0"/>
        <w:rPr>
          <w:rFonts w:hint="eastAsia"/>
          <w:color w:val="auto"/>
          <w:u w:val="none"/>
          <w:lang w:val="en-US" w:eastAsia="zh-CN"/>
        </w:rPr>
      </w:pPr>
      <w:r>
        <w:rPr>
          <w:rFonts w:hint="eastAsia"/>
          <w:color w:val="auto"/>
          <w:u w:val="none"/>
          <w:lang w:val="en-US" w:eastAsia="zh-CN"/>
        </w:rPr>
        <w:t>1t钢丸可处理约100t工件，本项目年加工5000吨铝铸件，约需要50吨钢丸，钢丸定期添加无需更换，则抛丸粉尘产生量为0.3t/a。</w:t>
      </w:r>
    </w:p>
    <w:p>
      <w:pPr>
        <w:bidi w:val="0"/>
        <w:rPr>
          <w:rFonts w:hint="default"/>
          <w:color w:val="auto"/>
          <w:lang w:val="en-US" w:eastAsia="zh-CN"/>
        </w:rPr>
      </w:pPr>
      <w:r>
        <w:rPr>
          <w:rFonts w:hint="eastAsia"/>
          <w:color w:val="auto"/>
          <w:lang w:val="en-US" w:eastAsia="zh-CN"/>
        </w:rPr>
        <w:t>考虑金属粉尘粒径较大且较重，沉降速度快，容易沉降在操作工位附近，项目为密闭式厂房，无组织排放的颗粒物约70%的大颗粒物在厂内快速沉降，沉降后的粉尘由人工清扫收集，收集后的金属粉尘外售给厂家综合利用，逸散到厂外的排放量约为0.0432</w:t>
      </w:r>
      <w:r>
        <w:rPr>
          <w:color w:val="auto"/>
          <w:lang w:val="en-US" w:eastAsia="zh-CN"/>
        </w:rPr>
        <w:t>t/a</w:t>
      </w:r>
      <w:r>
        <w:rPr>
          <w:rFonts w:hint="eastAsia"/>
          <w:color w:val="auto"/>
          <w:lang w:val="en-US" w:eastAsia="zh-CN"/>
        </w:rPr>
        <w:t>，排放速率为0.0083kg/h</w:t>
      </w:r>
      <w:r>
        <w:rPr>
          <w:color w:val="auto"/>
          <w:lang w:val="en-US" w:eastAsia="zh-CN"/>
        </w:rPr>
        <w:t>。</w:t>
      </w:r>
      <w:r>
        <w:rPr>
          <w:rFonts w:hint="eastAsia"/>
          <w:color w:val="auto"/>
          <w:lang w:val="en-US" w:eastAsia="zh-CN"/>
        </w:rPr>
        <w:t xml:space="preserve"> </w:t>
      </w:r>
    </w:p>
    <w:p>
      <w:pPr>
        <w:bidi w:val="0"/>
        <w:rPr>
          <w:rFonts w:hint="default"/>
          <w:lang w:val="en-US" w:eastAsia="zh-CN"/>
        </w:rPr>
      </w:pPr>
      <w:r>
        <w:rPr>
          <w:rFonts w:hint="eastAsia"/>
          <w:lang w:val="en-US" w:eastAsia="zh-CN"/>
        </w:rPr>
        <w:t>铝合金熔化、覆膜砂制芯、浇注、抛丸过程颗粒物总产生量为3.9532t/a，制芯及浇注过程有机废气总产生量为0.116t/a。</w:t>
      </w:r>
    </w:p>
    <w:p>
      <w:pPr>
        <w:bidi w:val="0"/>
        <w:rPr>
          <w:color w:val="000000" w:themeColor="text1"/>
          <w:lang w:val="en-US" w:eastAsia="zh-CN"/>
          <w14:textFill>
            <w14:solidFill>
              <w14:schemeClr w14:val="tx1"/>
            </w14:solidFill>
          </w14:textFill>
        </w:rPr>
      </w:pPr>
      <w:r>
        <w:rPr>
          <w:rFonts w:hint="eastAsia"/>
          <w:lang w:val="en-US" w:eastAsia="zh-CN"/>
        </w:rPr>
        <w:t>环评要求在电炉出口、制芯机上方、压铸机、抛丸机上方设置集气罩，设置风机风量为30000m</w:t>
      </w:r>
      <w:r>
        <w:rPr>
          <w:rFonts w:hint="eastAsia"/>
          <w:vertAlign w:val="superscript"/>
          <w:lang w:val="en-US" w:eastAsia="zh-CN"/>
        </w:rPr>
        <w:t>3</w:t>
      </w:r>
      <w:r>
        <w:rPr>
          <w:rFonts w:hint="eastAsia"/>
          <w:lang w:val="en-US" w:eastAsia="zh-CN"/>
        </w:rPr>
        <w:t>/h对废气统一收集，</w:t>
      </w:r>
      <w:r>
        <w:rPr>
          <w:lang w:val="en-US" w:eastAsia="zh-CN"/>
        </w:rPr>
        <w:t>集气效率9</w:t>
      </w:r>
      <w:r>
        <w:rPr>
          <w:rFonts w:hint="eastAsia"/>
          <w:lang w:val="en-US" w:eastAsia="zh-CN"/>
        </w:rPr>
        <w:t>5</w:t>
      </w:r>
      <w:r>
        <w:rPr>
          <w:lang w:val="en-US" w:eastAsia="zh-CN"/>
        </w:rPr>
        <w:t>%左右</w:t>
      </w:r>
      <w:r>
        <w:rPr>
          <w:rFonts w:hint="eastAsia"/>
          <w:lang w:val="en-US" w:eastAsia="zh-CN"/>
        </w:rPr>
        <w:t>，则收集到的颗粒物为3.75</w:t>
      </w:r>
      <w:r>
        <w:rPr>
          <w:lang w:val="en-US" w:eastAsia="zh-CN"/>
        </w:rPr>
        <w:t>t/a</w:t>
      </w:r>
      <w:r>
        <w:rPr>
          <w:rFonts w:hint="eastAsia"/>
          <w:lang w:val="en-US" w:eastAsia="zh-CN"/>
        </w:rPr>
        <w:t>，颗粒物产</w:t>
      </w:r>
      <w:r>
        <w:rPr>
          <w:rFonts w:hint="eastAsia"/>
          <w:color w:val="000000" w:themeColor="text1"/>
          <w:lang w:val="en-US" w:eastAsia="zh-CN"/>
          <w14:textFill>
            <w14:solidFill>
              <w14:schemeClr w14:val="tx1"/>
            </w14:solidFill>
          </w14:textFill>
        </w:rPr>
        <w:t>生浓度为24mg/m</w:t>
      </w:r>
      <w:r>
        <w:rPr>
          <w:rFonts w:hint="eastAsia"/>
          <w:color w:val="000000" w:themeColor="text1"/>
          <w:vertAlign w:val="superscript"/>
          <w:lang w:val="en-US" w:eastAsia="zh-CN"/>
          <w14:textFill>
            <w14:solidFill>
              <w14:schemeClr w14:val="tx1"/>
            </w14:solidFill>
          </w14:textFill>
        </w:rPr>
        <w:t>3</w:t>
      </w:r>
      <w:r>
        <w:rPr>
          <w:rFonts w:hint="eastAsia"/>
          <w:color w:val="000000" w:themeColor="text1"/>
          <w:lang w:val="en-US" w:eastAsia="zh-CN"/>
          <w14:textFill>
            <w14:solidFill>
              <w14:schemeClr w14:val="tx1"/>
            </w14:solidFill>
          </w14:textFill>
        </w:rPr>
        <w:t>；</w:t>
      </w:r>
      <w:r>
        <w:rPr>
          <w:color w:val="000000" w:themeColor="text1"/>
          <w:lang w:val="en-US" w:eastAsia="zh-CN"/>
          <w14:textFill>
            <w14:solidFill>
              <w14:schemeClr w14:val="tx1"/>
            </w14:solidFill>
          </w14:textFill>
        </w:rPr>
        <w:t>捕集的废气经</w:t>
      </w:r>
      <w:r>
        <w:rPr>
          <w:rFonts w:hint="eastAsia"/>
          <w:color w:val="000000" w:themeColor="text1"/>
          <w:lang w:val="en-US" w:eastAsia="zh-CN"/>
          <w14:textFill>
            <w14:solidFill>
              <w14:schemeClr w14:val="tx1"/>
            </w14:solidFill>
          </w14:textFill>
        </w:rPr>
        <w:t>布袋除尘装置</w:t>
      </w:r>
      <w:r>
        <w:rPr>
          <w:color w:val="000000" w:themeColor="text1"/>
          <w:lang w:val="en-US" w:eastAsia="zh-CN"/>
          <w14:textFill>
            <w14:solidFill>
              <w14:schemeClr w14:val="tx1"/>
            </w14:solidFill>
          </w14:textFill>
        </w:rPr>
        <w:t>处理后于15米高的排气筒排放，除尘效率</w:t>
      </w:r>
      <w:r>
        <w:rPr>
          <w:rFonts w:hint="eastAsia"/>
          <w:color w:val="000000" w:themeColor="text1"/>
          <w:lang w:val="en-US" w:eastAsia="zh-CN"/>
          <w14:textFill>
            <w14:solidFill>
              <w14:schemeClr w14:val="tx1"/>
            </w14:solidFill>
          </w14:textFill>
        </w:rPr>
        <w:t>按</w:t>
      </w:r>
      <w:r>
        <w:rPr>
          <w:color w:val="000000" w:themeColor="text1"/>
          <w:lang w:val="en-US" w:eastAsia="zh-CN"/>
          <w14:textFill>
            <w14:solidFill>
              <w14:schemeClr w14:val="tx1"/>
            </w14:solidFill>
          </w14:textFill>
        </w:rPr>
        <w:t>9</w:t>
      </w:r>
      <w:r>
        <w:rPr>
          <w:rFonts w:hint="eastAsia"/>
          <w:color w:val="000000" w:themeColor="text1"/>
          <w:lang w:val="en-US" w:eastAsia="zh-CN"/>
          <w14:textFill>
            <w14:solidFill>
              <w14:schemeClr w14:val="tx1"/>
            </w14:solidFill>
          </w14:textFill>
        </w:rPr>
        <w:t>5</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计，</w:t>
      </w:r>
      <w:r>
        <w:rPr>
          <w:color w:val="000000" w:themeColor="text1"/>
          <w:lang w:val="en-US" w:eastAsia="zh-CN"/>
          <w14:textFill>
            <w14:solidFill>
              <w14:schemeClr w14:val="tx1"/>
            </w14:solidFill>
          </w14:textFill>
        </w:rPr>
        <w:t>废气治理后有组织排放量为</w:t>
      </w:r>
      <w:r>
        <w:rPr>
          <w:rFonts w:hint="eastAsia"/>
          <w:color w:val="000000" w:themeColor="text1"/>
          <w:lang w:val="en-US" w:eastAsia="zh-CN"/>
          <w14:textFill>
            <w14:solidFill>
              <w14:schemeClr w14:val="tx1"/>
            </w14:solidFill>
          </w14:textFill>
        </w:rPr>
        <w:t>0.1875</w:t>
      </w:r>
      <w:r>
        <w:rPr>
          <w:color w:val="000000" w:themeColor="text1"/>
          <w:lang w:val="en-US" w:eastAsia="zh-CN"/>
          <w14:textFill>
            <w14:solidFill>
              <w14:schemeClr w14:val="tx1"/>
            </w14:solidFill>
          </w14:textFill>
        </w:rPr>
        <w:t>t/a</w:t>
      </w:r>
      <w:r>
        <w:rPr>
          <w:rFonts w:hint="eastAsia"/>
          <w:color w:val="000000" w:themeColor="text1"/>
          <w:lang w:val="en-US" w:eastAsia="zh-CN"/>
          <w14:textFill>
            <w14:solidFill>
              <w14:schemeClr w14:val="tx1"/>
            </w14:solidFill>
          </w14:textFill>
        </w:rPr>
        <w:t>、0.036</w:t>
      </w:r>
      <w:r>
        <w:rPr>
          <w:rFonts w:hint="eastAsia"/>
          <w:lang w:val="en-US" w:eastAsia="zh-CN"/>
        </w:rPr>
        <w:t>kg</w:t>
      </w:r>
      <w:r>
        <w:rPr>
          <w:rFonts w:hint="eastAsia"/>
          <w:lang w:eastAsia="zh-CN"/>
        </w:rPr>
        <w:t>/</w:t>
      </w:r>
      <w:r>
        <w:rPr>
          <w:rFonts w:hint="eastAsia"/>
          <w:lang w:val="en-US" w:eastAsia="zh-CN"/>
        </w:rPr>
        <w:t>h</w:t>
      </w:r>
      <w:r>
        <w:rPr>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排放浓度为1.2mg/m</w:t>
      </w:r>
      <w:r>
        <w:rPr>
          <w:rFonts w:hint="eastAsia"/>
          <w:color w:val="000000" w:themeColor="text1"/>
          <w:vertAlign w:val="superscript"/>
          <w:lang w:val="en-US" w:eastAsia="zh-CN"/>
          <w14:textFill>
            <w14:solidFill>
              <w14:schemeClr w14:val="tx1"/>
            </w14:solidFill>
          </w14:textFill>
        </w:rPr>
        <w:t>3</w:t>
      </w:r>
      <w:r>
        <w:rPr>
          <w:color w:val="000000" w:themeColor="text1"/>
          <w:lang w:val="en-US" w:eastAsia="zh-CN"/>
          <w14:textFill>
            <w14:solidFill>
              <w14:schemeClr w14:val="tx1"/>
            </w14:solidFill>
          </w14:textFill>
        </w:rPr>
        <w:t>。</w:t>
      </w:r>
    </w:p>
    <w:p>
      <w:pPr>
        <w:bidi w:val="0"/>
        <w:rPr>
          <w:rFonts w:hint="default"/>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有机废气有组织收集量为0.11t/a，产生浓度为0.7mg/m</w:t>
      </w:r>
      <w:r>
        <w:rPr>
          <w:rFonts w:hint="eastAsia"/>
          <w:color w:val="000000" w:themeColor="text1"/>
          <w:vertAlign w:val="superscript"/>
          <w:lang w:val="en-US" w:eastAsia="zh-CN"/>
          <w14:textFill>
            <w14:solidFill>
              <w14:schemeClr w14:val="tx1"/>
            </w14:solidFill>
          </w14:textFill>
        </w:rPr>
        <w:t>3</w:t>
      </w:r>
      <w:r>
        <w:rPr>
          <w:rFonts w:hint="eastAsia"/>
          <w:color w:val="000000" w:themeColor="text1"/>
          <w:lang w:val="en-US" w:eastAsia="zh-CN"/>
          <w14:textFill>
            <w14:solidFill>
              <w14:schemeClr w14:val="tx1"/>
            </w14:solidFill>
          </w14:textFill>
        </w:rPr>
        <w:t>，其产生量较少，产生浓度低，经15m高排气筒有组织排放。</w:t>
      </w:r>
    </w:p>
    <w:p>
      <w:pPr>
        <w:bidi w:val="0"/>
        <w:rPr>
          <w:rFonts w:hint="eastAsia"/>
          <w:lang w:val="en-US" w:eastAsia="zh-CN"/>
        </w:rPr>
      </w:pPr>
      <w:r>
        <w:rPr>
          <w:color w:val="auto"/>
          <w:lang w:val="en-US" w:eastAsia="zh-CN"/>
        </w:rPr>
        <w:t>无组织</w:t>
      </w:r>
      <w:r>
        <w:rPr>
          <w:rFonts w:hint="eastAsia"/>
          <w:color w:val="auto"/>
          <w:lang w:val="en-US" w:eastAsia="zh-CN"/>
        </w:rPr>
        <w:t>产生</w:t>
      </w:r>
      <w:r>
        <w:rPr>
          <w:color w:val="auto"/>
          <w:lang w:val="en-US" w:eastAsia="zh-CN"/>
        </w:rPr>
        <w:t>量为</w:t>
      </w:r>
      <w:r>
        <w:rPr>
          <w:rFonts w:hint="eastAsia"/>
          <w:color w:val="auto"/>
          <w:lang w:val="en-US" w:eastAsia="zh-CN"/>
        </w:rPr>
        <w:t>0.2032</w:t>
      </w:r>
      <w:r>
        <w:rPr>
          <w:color w:val="auto"/>
          <w:lang w:val="en-US" w:eastAsia="zh-CN"/>
        </w:rPr>
        <w:t>t/a</w:t>
      </w:r>
      <w:r>
        <w:rPr>
          <w:rFonts w:hint="eastAsia"/>
          <w:color w:val="auto"/>
          <w:lang w:val="en-US" w:eastAsia="zh-CN"/>
        </w:rPr>
        <w:t>，考虑金属粉尘粒径较大且较重，沉降速度快，容易沉降在操作工位附近，项目为密闭式厂房，无组织排放的颗粒物约70%的大颗粒物在厂内快速沉降，沉降后的粉尘由人工清扫收集，收集后的金属粉尘外售给厂家综合利用，逸散到厂外的排放量约为</w:t>
      </w:r>
      <w:r>
        <w:rPr>
          <w:rFonts w:hint="eastAsia"/>
          <w:color w:val="000000" w:themeColor="text1"/>
          <w:lang w:val="en-US" w:eastAsia="zh-CN"/>
          <w14:textFill>
            <w14:solidFill>
              <w14:schemeClr w14:val="tx1"/>
            </w14:solidFill>
          </w14:textFill>
        </w:rPr>
        <w:t>0.06</w:t>
      </w:r>
      <w:r>
        <w:rPr>
          <w:color w:val="000000" w:themeColor="text1"/>
          <w:lang w:val="en-US" w:eastAsia="zh-CN"/>
          <w14:textFill>
            <w14:solidFill>
              <w14:schemeClr w14:val="tx1"/>
            </w14:solidFill>
          </w14:textFill>
        </w:rPr>
        <w:t>t/a</w:t>
      </w:r>
      <w:r>
        <w:rPr>
          <w:rFonts w:hint="eastAsia"/>
          <w:color w:val="000000" w:themeColor="text1"/>
          <w:lang w:val="en-US" w:eastAsia="zh-CN"/>
          <w14:textFill>
            <w14:solidFill>
              <w14:schemeClr w14:val="tx1"/>
            </w14:solidFill>
          </w14:textFill>
        </w:rPr>
        <w:t>，</w:t>
      </w:r>
      <w:r>
        <w:rPr>
          <w:rFonts w:hint="eastAsia"/>
          <w:color w:val="auto"/>
          <w:lang w:val="en-US" w:eastAsia="zh-CN"/>
        </w:rPr>
        <w:t>排放速率为0.011kg/h</w:t>
      </w:r>
      <w:r>
        <w:rPr>
          <w:color w:val="auto"/>
          <w:lang w:val="en-US" w:eastAsia="zh-CN"/>
        </w:rPr>
        <w:t>。</w:t>
      </w:r>
      <w:r>
        <w:rPr>
          <w:rFonts w:hint="eastAsia"/>
          <w:lang w:val="en-US" w:eastAsia="zh-CN"/>
        </w:rPr>
        <w:t xml:space="preserve"> </w:t>
      </w:r>
    </w:p>
    <w:p>
      <w:pPr>
        <w:ind w:firstLine="480"/>
        <w:rPr>
          <w:rFonts w:hint="eastAsia"/>
        </w:rPr>
      </w:pPr>
      <w:r>
        <w:rPr>
          <w:rFonts w:hint="eastAsia"/>
        </w:rPr>
        <w:t>废气污染物排放源强统计如下：</w:t>
      </w:r>
    </w:p>
    <w:p>
      <w:pPr>
        <w:ind w:firstLine="480"/>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spacing w:line="240" w:lineRule="auto"/>
        <w:ind w:firstLine="422"/>
        <w:jc w:val="center"/>
        <w:rPr>
          <w:b/>
          <w:kern w:val="21"/>
          <w:sz w:val="21"/>
          <w:szCs w:val="21"/>
        </w:rPr>
      </w:pPr>
      <w:r>
        <w:rPr>
          <w:rFonts w:hint="eastAsia"/>
          <w:b/>
          <w:kern w:val="21"/>
          <w:sz w:val="21"/>
          <w:szCs w:val="21"/>
        </w:rPr>
        <w:t>表2.2-</w:t>
      </w:r>
      <w:r>
        <w:rPr>
          <w:rFonts w:hint="eastAsia"/>
          <w:b/>
          <w:kern w:val="21"/>
          <w:sz w:val="21"/>
          <w:szCs w:val="21"/>
          <w:lang w:val="en-US" w:eastAsia="zh-CN"/>
        </w:rPr>
        <w:t>1</w:t>
      </w:r>
      <w:r>
        <w:rPr>
          <w:rFonts w:hint="eastAsia"/>
          <w:b/>
          <w:kern w:val="21"/>
          <w:sz w:val="21"/>
          <w:szCs w:val="21"/>
        </w:rPr>
        <w:t xml:space="preserve">  废气污染物排放源强汇总表</w:t>
      </w:r>
    </w:p>
    <w:tbl>
      <w:tblPr>
        <w:tblStyle w:val="36"/>
        <w:tblpPr w:leftFromText="180" w:rightFromText="180" w:vertAnchor="text" w:tblpXSpec="center" w:tblpY="1"/>
        <w:tblOverlap w:val="never"/>
        <w:tblW w:w="5061"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0" w:type="dxa"/>
          <w:bottom w:w="0" w:type="dxa"/>
          <w:right w:w="0" w:type="dxa"/>
        </w:tblCellMar>
      </w:tblPr>
      <w:tblGrid>
        <w:gridCol w:w="455"/>
        <w:gridCol w:w="699"/>
        <w:gridCol w:w="725"/>
        <w:gridCol w:w="807"/>
        <w:gridCol w:w="923"/>
        <w:gridCol w:w="720"/>
        <w:gridCol w:w="496"/>
        <w:gridCol w:w="755"/>
        <w:gridCol w:w="496"/>
        <w:gridCol w:w="861"/>
        <w:gridCol w:w="864"/>
        <w:gridCol w:w="528"/>
        <w:gridCol w:w="744"/>
        <w:gridCol w:w="853"/>
        <w:gridCol w:w="375"/>
        <w:gridCol w:w="375"/>
        <w:gridCol w:w="252"/>
        <w:gridCol w:w="620"/>
        <w:gridCol w:w="620"/>
        <w:gridCol w:w="584"/>
        <w:gridCol w:w="542"/>
        <w:gridCol w:w="85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序号</w:t>
            </w:r>
          </w:p>
        </w:tc>
        <w:tc>
          <w:tcPr>
            <w:tcW w:w="246" w:type="pct"/>
            <w:vMerge w:val="restart"/>
            <w:tcBorders>
              <w:tl2br w:val="nil"/>
              <w:tr2bl w:val="nil"/>
            </w:tcBorders>
            <w:noWrap/>
            <w:vAlign w:val="center"/>
          </w:tcPr>
          <w:p>
            <w:pPr>
              <w:pStyle w:val="71"/>
              <w:tabs>
                <w:tab w:val="left" w:pos="2422"/>
              </w:tabs>
              <w:spacing w:line="240" w:lineRule="auto"/>
              <w:jc w:val="center"/>
              <w:rPr>
                <w:color w:val="auto"/>
                <w:sz w:val="21"/>
                <w:szCs w:val="21"/>
                <w:highlight w:val="none"/>
              </w:rPr>
            </w:pPr>
            <w:r>
              <w:rPr>
                <w:rFonts w:hint="eastAsia"/>
                <w:color w:val="auto"/>
                <w:sz w:val="21"/>
                <w:szCs w:val="21"/>
                <w:highlight w:val="none"/>
              </w:rPr>
              <w:t>产排污环节</w:t>
            </w:r>
          </w:p>
        </w:tc>
        <w:tc>
          <w:tcPr>
            <w:tcW w:w="256"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污染物种类</w:t>
            </w:r>
          </w:p>
        </w:tc>
        <w:tc>
          <w:tcPr>
            <w:tcW w:w="611" w:type="pct"/>
            <w:gridSpan w:val="2"/>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污染物产生情况</w:t>
            </w:r>
          </w:p>
        </w:tc>
        <w:tc>
          <w:tcPr>
            <w:tcW w:w="254"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排放形式</w:t>
            </w:r>
          </w:p>
        </w:tc>
        <w:tc>
          <w:tcPr>
            <w:tcW w:w="1227" w:type="pct"/>
            <w:gridSpan w:val="5"/>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治理设施情况</w:t>
            </w:r>
          </w:p>
        </w:tc>
        <w:tc>
          <w:tcPr>
            <w:tcW w:w="751" w:type="pct"/>
            <w:gridSpan w:val="3"/>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污染物排放情况</w:t>
            </w:r>
          </w:p>
        </w:tc>
        <w:tc>
          <w:tcPr>
            <w:tcW w:w="1190" w:type="pct"/>
            <w:gridSpan w:val="7"/>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排放口基本情况</w:t>
            </w:r>
          </w:p>
        </w:tc>
        <w:tc>
          <w:tcPr>
            <w:tcW w:w="300" w:type="pc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排放标准</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56"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85"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产生量t/a</w:t>
            </w:r>
          </w:p>
        </w:tc>
        <w:tc>
          <w:tcPr>
            <w:tcW w:w="326"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产生浓度mg/m</w:t>
            </w:r>
            <w:r>
              <w:rPr>
                <w:rFonts w:hint="eastAsia"/>
                <w:color w:val="auto"/>
                <w:sz w:val="21"/>
                <w:szCs w:val="21"/>
                <w:highlight w:val="none"/>
                <w:vertAlign w:val="superscript"/>
              </w:rPr>
              <w:t>3</w:t>
            </w:r>
          </w:p>
        </w:tc>
        <w:tc>
          <w:tcPr>
            <w:tcW w:w="254"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75"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治理设施</w:t>
            </w:r>
          </w:p>
        </w:tc>
        <w:tc>
          <w:tcPr>
            <w:tcW w:w="266"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处理能力</w:t>
            </w:r>
            <w:r>
              <w:rPr>
                <w:color w:val="auto"/>
                <w:sz w:val="21"/>
                <w:szCs w:val="21"/>
                <w:highlight w:val="none"/>
              </w:rPr>
              <w:t>m</w:t>
            </w:r>
            <w:r>
              <w:rPr>
                <w:color w:val="auto"/>
                <w:sz w:val="21"/>
                <w:szCs w:val="21"/>
                <w:highlight w:val="none"/>
                <w:vertAlign w:val="superscript"/>
              </w:rPr>
              <w:t>3</w:t>
            </w:r>
            <w:r>
              <w:rPr>
                <w:color w:val="auto"/>
                <w:sz w:val="21"/>
                <w:szCs w:val="21"/>
                <w:highlight w:val="none"/>
              </w:rPr>
              <w:t>/h</w:t>
            </w:r>
          </w:p>
        </w:tc>
        <w:tc>
          <w:tcPr>
            <w:tcW w:w="175"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收集效率</w:t>
            </w:r>
          </w:p>
        </w:tc>
        <w:tc>
          <w:tcPr>
            <w:tcW w:w="304"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治理工艺去除率</w:t>
            </w:r>
          </w:p>
        </w:tc>
        <w:tc>
          <w:tcPr>
            <w:tcW w:w="305"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是否为可行技术</w:t>
            </w:r>
          </w:p>
        </w:tc>
        <w:tc>
          <w:tcPr>
            <w:tcW w:w="186"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排放量t/a</w:t>
            </w:r>
          </w:p>
        </w:tc>
        <w:tc>
          <w:tcPr>
            <w:tcW w:w="262"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排放速率kg/h</w:t>
            </w:r>
          </w:p>
        </w:tc>
        <w:tc>
          <w:tcPr>
            <w:tcW w:w="301"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排放浓度mg/m</w:t>
            </w:r>
            <w:r>
              <w:rPr>
                <w:rFonts w:hint="eastAsia"/>
                <w:color w:val="auto"/>
                <w:sz w:val="21"/>
                <w:szCs w:val="21"/>
                <w:highlight w:val="none"/>
                <w:vertAlign w:val="superscript"/>
              </w:rPr>
              <w:t>3</w:t>
            </w:r>
          </w:p>
        </w:tc>
        <w:tc>
          <w:tcPr>
            <w:tcW w:w="132"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高度m</w:t>
            </w:r>
          </w:p>
        </w:tc>
        <w:tc>
          <w:tcPr>
            <w:tcW w:w="132"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内径m</w:t>
            </w:r>
          </w:p>
        </w:tc>
        <w:tc>
          <w:tcPr>
            <w:tcW w:w="89"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温度</w:t>
            </w:r>
          </w:p>
        </w:tc>
        <w:tc>
          <w:tcPr>
            <w:tcW w:w="219"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排放口编号</w:t>
            </w:r>
          </w:p>
        </w:tc>
        <w:tc>
          <w:tcPr>
            <w:tcW w:w="219"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类型</w:t>
            </w:r>
          </w:p>
        </w:tc>
        <w:tc>
          <w:tcPr>
            <w:tcW w:w="398" w:type="pct"/>
            <w:gridSpan w:val="2"/>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坐标</w:t>
            </w:r>
          </w:p>
        </w:tc>
        <w:tc>
          <w:tcPr>
            <w:tcW w:w="300"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排放浓度mg/m</w:t>
            </w:r>
            <w:r>
              <w:rPr>
                <w:rFonts w:hint="eastAsia"/>
                <w:color w:val="auto"/>
                <w:sz w:val="21"/>
                <w:szCs w:val="21"/>
                <w:highlight w:val="none"/>
                <w:vertAlign w:val="superscript"/>
              </w:rPr>
              <w:t>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56"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285" w:type="pct"/>
            <w:vMerge w:val="continue"/>
            <w:tcBorders>
              <w:tl2br w:val="nil"/>
              <w:tr2bl w:val="nil"/>
            </w:tcBorders>
            <w:noWrap/>
            <w:vAlign w:val="center"/>
          </w:tcPr>
          <w:p>
            <w:pPr>
              <w:pStyle w:val="71"/>
              <w:tabs>
                <w:tab w:val="left" w:pos="2422"/>
              </w:tabs>
              <w:spacing w:line="240" w:lineRule="auto"/>
              <w:rPr>
                <w:color w:val="auto"/>
                <w:sz w:val="21"/>
                <w:szCs w:val="21"/>
                <w:highlight w:val="none"/>
              </w:rPr>
            </w:pPr>
          </w:p>
        </w:tc>
        <w:tc>
          <w:tcPr>
            <w:tcW w:w="326"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54"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75"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66"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75"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304"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305"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86"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62"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301"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32"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132"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89"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19"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19"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c>
          <w:tcPr>
            <w:tcW w:w="206" w:type="pct"/>
            <w:tcBorders>
              <w:tl2br w:val="nil"/>
              <w:tr2bl w:val="nil"/>
            </w:tcBorders>
            <w:noWrap/>
            <w:vAlign w:val="center"/>
          </w:tcPr>
          <w:p>
            <w:pPr>
              <w:pStyle w:val="71"/>
              <w:tabs>
                <w:tab w:val="left" w:pos="2422"/>
              </w:tabs>
              <w:spacing w:line="240" w:lineRule="auto"/>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东经</w:t>
            </w:r>
          </w:p>
        </w:tc>
        <w:tc>
          <w:tcPr>
            <w:tcW w:w="191" w:type="pct"/>
            <w:tcBorders>
              <w:tl2br w:val="nil"/>
              <w:tr2bl w:val="nil"/>
            </w:tcBorders>
            <w:noWrap/>
            <w:vAlign w:val="center"/>
          </w:tcPr>
          <w:p>
            <w:pPr>
              <w:pStyle w:val="71"/>
              <w:tabs>
                <w:tab w:val="left" w:pos="2422"/>
              </w:tabs>
              <w:spacing w:line="240" w:lineRule="auto"/>
              <w:rPr>
                <w:color w:val="000000" w:themeColor="text1"/>
                <w:sz w:val="21"/>
                <w:szCs w:val="21"/>
                <w:highlight w:val="none"/>
                <w14:textFill>
                  <w14:solidFill>
                    <w14:schemeClr w14:val="tx1"/>
                  </w14:solidFill>
                </w14:textFill>
              </w:rPr>
            </w:pPr>
            <w:r>
              <w:rPr>
                <w:rFonts w:hint="eastAsia"/>
                <w:color w:val="000000" w:themeColor="text1"/>
                <w:sz w:val="21"/>
                <w:szCs w:val="21"/>
                <w:highlight w:val="none"/>
                <w14:textFill>
                  <w14:solidFill>
                    <w14:schemeClr w14:val="tx1"/>
                  </w14:solidFill>
                </w14:textFill>
              </w:rPr>
              <w:t>北纬</w:t>
            </w:r>
          </w:p>
        </w:tc>
        <w:tc>
          <w:tcPr>
            <w:tcW w:w="300" w:type="pct"/>
            <w:vMerge w:val="continue"/>
            <w:tcBorders>
              <w:tl2br w:val="nil"/>
              <w:tr2bl w:val="nil"/>
            </w:tcBorders>
            <w:noWrap w:val="0"/>
            <w:vAlign w:val="center"/>
          </w:tcPr>
          <w:p>
            <w:pPr>
              <w:pStyle w:val="71"/>
              <w:tabs>
                <w:tab w:val="left" w:pos="2422"/>
              </w:tabs>
              <w:spacing w:line="240" w:lineRule="auto"/>
              <w:rPr>
                <w:color w:val="auto"/>
                <w:sz w:val="21"/>
                <w:szCs w:val="21"/>
                <w:highlight w:val="non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restart"/>
            <w:tcBorders>
              <w:tl2br w:val="nil"/>
              <w:tr2bl w:val="nil"/>
            </w:tcBorders>
            <w:noWrap/>
            <w:vAlign w:val="center"/>
          </w:tcPr>
          <w:p>
            <w:pPr>
              <w:pStyle w:val="71"/>
              <w:tabs>
                <w:tab w:val="left" w:pos="2422"/>
              </w:tabs>
              <w:spacing w:line="240" w:lineRule="auto"/>
              <w:rPr>
                <w:color w:val="auto"/>
                <w:sz w:val="21"/>
                <w:szCs w:val="21"/>
                <w:highlight w:val="none"/>
              </w:rPr>
            </w:pPr>
            <w:r>
              <w:rPr>
                <w:rFonts w:hint="eastAsia"/>
                <w:color w:val="auto"/>
                <w:sz w:val="21"/>
                <w:szCs w:val="21"/>
                <w:highlight w:val="none"/>
              </w:rPr>
              <w:t>1</w:t>
            </w:r>
          </w:p>
        </w:tc>
        <w:tc>
          <w:tcPr>
            <w:tcW w:w="246" w:type="pct"/>
            <w:vMerge w:val="restart"/>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熔化、制芯、浇注、抛丸</w:t>
            </w:r>
            <w:r>
              <w:rPr>
                <w:rFonts w:hint="eastAsia" w:ascii="Times New Roman" w:hAnsi="Times New Roman" w:eastAsia="宋体" w:cs="Times New Roman"/>
                <w:color w:val="auto"/>
                <w:sz w:val="21"/>
                <w:szCs w:val="21"/>
                <w:highlight w:val="none"/>
                <w:lang w:val="en-US" w:eastAsia="zh-CN"/>
              </w:rPr>
              <w:t>废气</w:t>
            </w:r>
          </w:p>
        </w:tc>
        <w:tc>
          <w:tcPr>
            <w:tcW w:w="256" w:type="pct"/>
            <w:vMerge w:val="restart"/>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颗粒物</w:t>
            </w:r>
          </w:p>
        </w:tc>
        <w:tc>
          <w:tcPr>
            <w:tcW w:w="285" w:type="pct"/>
            <w:tcBorders>
              <w:bottom w:val="single" w:color="000000"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3.75</w:t>
            </w:r>
          </w:p>
        </w:tc>
        <w:tc>
          <w:tcPr>
            <w:tcW w:w="326" w:type="pct"/>
            <w:tcBorders>
              <w:bottom w:val="single" w:color="000000"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651</w:t>
            </w:r>
          </w:p>
        </w:tc>
        <w:tc>
          <w:tcPr>
            <w:tcW w:w="254" w:type="pct"/>
            <w:tcBorders>
              <w:bottom w:val="single" w:color="000000"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有组织</w:t>
            </w:r>
          </w:p>
        </w:tc>
        <w:tc>
          <w:tcPr>
            <w:tcW w:w="175" w:type="pct"/>
            <w:tcBorders>
              <w:bottom w:val="single" w:color="000000"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布袋除尘</w:t>
            </w:r>
          </w:p>
        </w:tc>
        <w:tc>
          <w:tcPr>
            <w:tcW w:w="266"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30</w:t>
            </w:r>
            <w:r>
              <w:rPr>
                <w:rFonts w:hint="eastAsia" w:ascii="Times New Roman" w:hAnsi="Times New Roman" w:eastAsia="宋体" w:cs="Times New Roman"/>
                <w:color w:val="auto"/>
                <w:sz w:val="21"/>
                <w:szCs w:val="21"/>
                <w:highlight w:val="none"/>
                <w:lang w:val="en-US" w:eastAsia="zh-CN"/>
              </w:rPr>
              <w:t>000</w:t>
            </w:r>
          </w:p>
        </w:tc>
        <w:tc>
          <w:tcPr>
            <w:tcW w:w="175"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95</w:t>
            </w:r>
          </w:p>
        </w:tc>
        <w:tc>
          <w:tcPr>
            <w:tcW w:w="304" w:type="pct"/>
            <w:tcBorders>
              <w:bottom w:val="single" w:color="000000"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9</w:t>
            </w:r>
            <w:r>
              <w:rPr>
                <w:rFonts w:hint="eastAsia" w:cs="Times New Roman"/>
                <w:color w:val="auto"/>
                <w:sz w:val="21"/>
                <w:szCs w:val="21"/>
                <w:highlight w:val="none"/>
                <w:lang w:val="en-US" w:eastAsia="zh-CN"/>
              </w:rPr>
              <w:t>5</w:t>
            </w:r>
          </w:p>
        </w:tc>
        <w:tc>
          <w:tcPr>
            <w:tcW w:w="305" w:type="pct"/>
            <w:tcBorders>
              <w:bottom w:val="single" w:color="000000"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是</w:t>
            </w:r>
          </w:p>
        </w:tc>
        <w:tc>
          <w:tcPr>
            <w:tcW w:w="186"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1875</w:t>
            </w:r>
          </w:p>
        </w:tc>
        <w:tc>
          <w:tcPr>
            <w:tcW w:w="262"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0.0</w:t>
            </w:r>
            <w:r>
              <w:rPr>
                <w:rFonts w:hint="eastAsia"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lang w:val="en-US" w:eastAsia="zh-CN"/>
              </w:rPr>
              <w:t>6</w:t>
            </w:r>
          </w:p>
        </w:tc>
        <w:tc>
          <w:tcPr>
            <w:tcW w:w="301"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w:t>
            </w:r>
            <w:r>
              <w:rPr>
                <w:rFonts w:hint="eastAsia" w:cs="Times New Roman"/>
                <w:color w:val="auto"/>
                <w:sz w:val="21"/>
                <w:szCs w:val="21"/>
                <w:highlight w:val="none"/>
                <w:lang w:val="en-US" w:eastAsia="zh-CN"/>
              </w:rPr>
              <w:t>.2</w:t>
            </w:r>
          </w:p>
        </w:tc>
        <w:tc>
          <w:tcPr>
            <w:tcW w:w="132"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15</w:t>
            </w:r>
          </w:p>
        </w:tc>
        <w:tc>
          <w:tcPr>
            <w:tcW w:w="132"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0.5</w:t>
            </w:r>
          </w:p>
        </w:tc>
        <w:tc>
          <w:tcPr>
            <w:tcW w:w="89"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5</w:t>
            </w:r>
            <w:r>
              <w:rPr>
                <w:rFonts w:hint="eastAsia" w:ascii="Times New Roman" w:hAnsi="Times New Roman" w:eastAsia="宋体" w:cs="Times New Roman"/>
                <w:color w:val="auto"/>
                <w:sz w:val="21"/>
                <w:szCs w:val="21"/>
                <w:highlight w:val="none"/>
                <w:lang w:val="en-US" w:eastAsia="zh-CN"/>
              </w:rPr>
              <w:t>0</w:t>
            </w:r>
          </w:p>
        </w:tc>
        <w:tc>
          <w:tcPr>
            <w:tcW w:w="219"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DA001</w:t>
            </w:r>
          </w:p>
        </w:tc>
        <w:tc>
          <w:tcPr>
            <w:tcW w:w="219" w:type="pct"/>
            <w:tcBorders>
              <w:bottom w:val="single" w:color="000000"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一般排放口</w:t>
            </w:r>
          </w:p>
        </w:tc>
        <w:tc>
          <w:tcPr>
            <w:tcW w:w="206"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111.362301</w:t>
            </w:r>
          </w:p>
        </w:tc>
        <w:tc>
          <w:tcPr>
            <w:tcW w:w="191"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000000" w:themeColor="text1"/>
                <w:sz w:val="21"/>
                <w:szCs w:val="21"/>
                <w:highlight w:val="none"/>
                <w:lang w:val="en-US" w:eastAsia="zh-CN"/>
                <w14:textFill>
                  <w14:solidFill>
                    <w14:schemeClr w14:val="tx1"/>
                  </w14:solidFill>
                </w14:textFill>
              </w:rPr>
            </w:pPr>
            <w:r>
              <w:rPr>
                <w:rFonts w:hint="eastAsia" w:cs="Times New Roman"/>
                <w:color w:val="000000" w:themeColor="text1"/>
                <w:sz w:val="21"/>
                <w:szCs w:val="21"/>
                <w:highlight w:val="none"/>
                <w:lang w:val="en-US" w:eastAsia="zh-CN"/>
                <w14:textFill>
                  <w14:solidFill>
                    <w14:schemeClr w14:val="tx1"/>
                  </w14:solidFill>
                </w14:textFill>
              </w:rPr>
              <w:t>25.227069</w:t>
            </w:r>
          </w:p>
        </w:tc>
        <w:tc>
          <w:tcPr>
            <w:tcW w:w="300" w:type="pct"/>
            <w:tcBorders>
              <w:bottom w:val="single" w:color="000000"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rFonts w:hint="eastAsia"/>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56" w:type="pct"/>
            <w:vMerge w:val="continue"/>
            <w:tcBorders>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85" w:type="pct"/>
            <w:tcBorders>
              <w:top w:val="single" w:color="000000" w:sz="4" w:space="0"/>
              <w:bottom w:val="single" w:color="auto"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2032</w:t>
            </w:r>
          </w:p>
        </w:tc>
        <w:tc>
          <w:tcPr>
            <w:tcW w:w="326" w:type="pct"/>
            <w:tcBorders>
              <w:top w:val="single" w:color="000000" w:sz="4" w:space="0"/>
              <w:bottom w:val="single" w:color="auto"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254"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无组织</w:t>
            </w:r>
          </w:p>
        </w:tc>
        <w:tc>
          <w:tcPr>
            <w:tcW w:w="175"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密闭厂房</w:t>
            </w:r>
          </w:p>
        </w:tc>
        <w:tc>
          <w:tcPr>
            <w:tcW w:w="266"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175"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w:t>
            </w:r>
          </w:p>
        </w:tc>
        <w:tc>
          <w:tcPr>
            <w:tcW w:w="304"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70</w:t>
            </w:r>
          </w:p>
        </w:tc>
        <w:tc>
          <w:tcPr>
            <w:tcW w:w="305"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是</w:t>
            </w:r>
          </w:p>
        </w:tc>
        <w:tc>
          <w:tcPr>
            <w:tcW w:w="186"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06</w:t>
            </w:r>
          </w:p>
        </w:tc>
        <w:tc>
          <w:tcPr>
            <w:tcW w:w="262"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0.0</w:t>
            </w:r>
            <w:r>
              <w:rPr>
                <w:rFonts w:hint="eastAsia" w:cs="Times New Roman"/>
                <w:color w:val="auto"/>
                <w:sz w:val="21"/>
                <w:szCs w:val="21"/>
                <w:highlight w:val="none"/>
                <w:lang w:val="en-US" w:eastAsia="zh-CN"/>
              </w:rPr>
              <w:t>11</w:t>
            </w:r>
          </w:p>
        </w:tc>
        <w:tc>
          <w:tcPr>
            <w:tcW w:w="301"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32"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32"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89"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19"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19"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06"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rPr>
              <w:t>/</w:t>
            </w:r>
          </w:p>
        </w:tc>
        <w:tc>
          <w:tcPr>
            <w:tcW w:w="191" w:type="pct"/>
            <w:tcBorders>
              <w:top w:val="single" w:color="000000"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rPr>
              <w:t>/</w:t>
            </w:r>
          </w:p>
        </w:tc>
        <w:tc>
          <w:tcPr>
            <w:tcW w:w="300" w:type="pct"/>
            <w:tcBorders>
              <w:top w:val="single" w:color="000000"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rFonts w:hint="eastAsia"/>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56" w:type="pct"/>
            <w:vMerge w:val="restart"/>
            <w:tcBorders>
              <w:top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非甲烷总烃</w:t>
            </w:r>
          </w:p>
        </w:tc>
        <w:tc>
          <w:tcPr>
            <w:tcW w:w="285" w:type="pct"/>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0.11</w:t>
            </w:r>
          </w:p>
        </w:tc>
        <w:tc>
          <w:tcPr>
            <w:tcW w:w="326" w:type="pct"/>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0.7</w:t>
            </w:r>
          </w:p>
        </w:tc>
        <w:tc>
          <w:tcPr>
            <w:tcW w:w="254"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有组织</w:t>
            </w:r>
          </w:p>
        </w:tc>
        <w:tc>
          <w:tcPr>
            <w:tcW w:w="175"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w:t>
            </w:r>
          </w:p>
        </w:tc>
        <w:tc>
          <w:tcPr>
            <w:tcW w:w="266"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30000</w:t>
            </w:r>
          </w:p>
        </w:tc>
        <w:tc>
          <w:tcPr>
            <w:tcW w:w="175"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95</w:t>
            </w:r>
          </w:p>
        </w:tc>
        <w:tc>
          <w:tcPr>
            <w:tcW w:w="304"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w:t>
            </w:r>
          </w:p>
        </w:tc>
        <w:tc>
          <w:tcPr>
            <w:tcW w:w="305"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rPr>
            </w:pPr>
            <w:r>
              <w:rPr>
                <w:rFonts w:hint="eastAsia" w:ascii="Times New Roman" w:hAnsi="Times New Roman" w:eastAsia="宋体" w:cs="Times New Roman"/>
                <w:color w:val="auto"/>
                <w:sz w:val="21"/>
                <w:szCs w:val="21"/>
                <w:highlight w:val="none"/>
              </w:rPr>
              <w:t>是</w:t>
            </w:r>
          </w:p>
        </w:tc>
        <w:tc>
          <w:tcPr>
            <w:tcW w:w="186"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0.11</w:t>
            </w:r>
          </w:p>
        </w:tc>
        <w:tc>
          <w:tcPr>
            <w:tcW w:w="262"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0.021</w:t>
            </w:r>
          </w:p>
        </w:tc>
        <w:tc>
          <w:tcPr>
            <w:tcW w:w="301"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0.7</w:t>
            </w:r>
          </w:p>
        </w:tc>
        <w:tc>
          <w:tcPr>
            <w:tcW w:w="132"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15</w:t>
            </w:r>
          </w:p>
        </w:tc>
        <w:tc>
          <w:tcPr>
            <w:tcW w:w="132"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0.5</w:t>
            </w:r>
          </w:p>
        </w:tc>
        <w:tc>
          <w:tcPr>
            <w:tcW w:w="8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80</w:t>
            </w:r>
          </w:p>
        </w:tc>
        <w:tc>
          <w:tcPr>
            <w:tcW w:w="21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DA001</w:t>
            </w:r>
          </w:p>
        </w:tc>
        <w:tc>
          <w:tcPr>
            <w:tcW w:w="21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eastAsia="zh-CN"/>
              </w:rPr>
              <w:t>一般排放口</w:t>
            </w:r>
          </w:p>
        </w:tc>
        <w:tc>
          <w:tcPr>
            <w:tcW w:w="206"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sz w:val="21"/>
                <w:szCs w:val="21"/>
                <w:highlight w:val="none"/>
              </w:rPr>
            </w:pPr>
            <w:r>
              <w:rPr>
                <w:rFonts w:hint="eastAsia" w:cs="Times New Roman"/>
                <w:color w:val="000000" w:themeColor="text1"/>
                <w:sz w:val="21"/>
                <w:szCs w:val="21"/>
                <w:highlight w:val="none"/>
                <w:lang w:val="en-US" w:eastAsia="zh-CN"/>
                <w14:textFill>
                  <w14:solidFill>
                    <w14:schemeClr w14:val="tx1"/>
                  </w14:solidFill>
                </w14:textFill>
              </w:rPr>
              <w:t>111.362301</w:t>
            </w:r>
          </w:p>
        </w:tc>
        <w:tc>
          <w:tcPr>
            <w:tcW w:w="191"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sz w:val="21"/>
                <w:szCs w:val="21"/>
                <w:highlight w:val="none"/>
              </w:rPr>
            </w:pPr>
            <w:r>
              <w:rPr>
                <w:rFonts w:hint="eastAsia" w:cs="Times New Roman"/>
                <w:color w:val="000000" w:themeColor="text1"/>
                <w:sz w:val="21"/>
                <w:szCs w:val="21"/>
                <w:highlight w:val="none"/>
                <w:lang w:val="en-US" w:eastAsia="zh-CN"/>
                <w14:textFill>
                  <w14:solidFill>
                    <w14:schemeClr w14:val="tx1"/>
                  </w14:solidFill>
                </w14:textFill>
              </w:rPr>
              <w:t>25.227069</w:t>
            </w:r>
          </w:p>
        </w:tc>
        <w:tc>
          <w:tcPr>
            <w:tcW w:w="300"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cs="Times New Roman"/>
                <w:color w:val="auto"/>
                <w:sz w:val="21"/>
                <w:szCs w:val="21"/>
                <w:highlight w:val="none"/>
                <w:lang w:val="en-US" w:eastAsia="zh-CN"/>
              </w:rPr>
              <w:t>120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rFonts w:hint="eastAsia"/>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56" w:type="pct"/>
            <w:vMerge w:val="continue"/>
            <w:tcBorders>
              <w:tl2br w:val="nil"/>
              <w:tr2bl w:val="nil"/>
            </w:tcBorders>
            <w:noWrap/>
            <w:vAlign w:val="center"/>
          </w:tcPr>
          <w:p>
            <w:pPr>
              <w:pStyle w:val="71"/>
              <w:tabs>
                <w:tab w:val="left" w:pos="2422"/>
              </w:tabs>
              <w:spacing w:line="240" w:lineRule="auto"/>
              <w:rPr>
                <w:rFonts w:hint="eastAsia" w:cs="Times New Roman"/>
                <w:color w:val="auto"/>
                <w:sz w:val="21"/>
                <w:szCs w:val="21"/>
                <w:highlight w:val="none"/>
                <w:lang w:val="en-US" w:eastAsia="zh-CN"/>
              </w:rPr>
            </w:pPr>
          </w:p>
        </w:tc>
        <w:tc>
          <w:tcPr>
            <w:tcW w:w="285" w:type="pct"/>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0.006</w:t>
            </w:r>
          </w:p>
        </w:tc>
        <w:tc>
          <w:tcPr>
            <w:tcW w:w="326" w:type="pct"/>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w:t>
            </w:r>
          </w:p>
        </w:tc>
        <w:tc>
          <w:tcPr>
            <w:tcW w:w="254"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无组织</w:t>
            </w:r>
          </w:p>
        </w:tc>
        <w:tc>
          <w:tcPr>
            <w:tcW w:w="175"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w:t>
            </w:r>
          </w:p>
        </w:tc>
        <w:tc>
          <w:tcPr>
            <w:tcW w:w="266"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75"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304"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w:t>
            </w:r>
          </w:p>
        </w:tc>
        <w:tc>
          <w:tcPr>
            <w:tcW w:w="305"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eastAsia="zh-CN"/>
              </w:rPr>
            </w:pPr>
            <w:r>
              <w:rPr>
                <w:rFonts w:hint="eastAsia" w:ascii="Times New Roman" w:hAnsi="Times New Roman" w:eastAsia="宋体" w:cs="Times New Roman"/>
                <w:color w:val="auto"/>
                <w:sz w:val="21"/>
                <w:szCs w:val="21"/>
                <w:highlight w:val="none"/>
                <w:lang w:eastAsia="zh-CN"/>
              </w:rPr>
              <w:t>是</w:t>
            </w:r>
          </w:p>
        </w:tc>
        <w:tc>
          <w:tcPr>
            <w:tcW w:w="186"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0.006</w:t>
            </w:r>
          </w:p>
        </w:tc>
        <w:tc>
          <w:tcPr>
            <w:tcW w:w="262"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cs="Times New Roman"/>
                <w:color w:val="auto"/>
                <w:sz w:val="21"/>
                <w:szCs w:val="21"/>
                <w:highlight w:val="none"/>
                <w:lang w:val="en-US" w:eastAsia="zh-CN"/>
              </w:rPr>
            </w:pPr>
            <w:r>
              <w:rPr>
                <w:rFonts w:hint="eastAsia" w:cs="Times New Roman"/>
                <w:color w:val="auto"/>
                <w:sz w:val="21"/>
                <w:szCs w:val="21"/>
                <w:highlight w:val="none"/>
                <w:lang w:val="en-US" w:eastAsia="zh-CN"/>
              </w:rPr>
              <w:t>0.0011</w:t>
            </w:r>
          </w:p>
        </w:tc>
        <w:tc>
          <w:tcPr>
            <w:tcW w:w="301"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32"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132"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8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1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19"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lang w:val="en-US" w:eastAsia="zh-CN"/>
              </w:rPr>
              <w:t>/</w:t>
            </w:r>
          </w:p>
        </w:tc>
        <w:tc>
          <w:tcPr>
            <w:tcW w:w="206"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rPr>
              <w:t>/</w:t>
            </w:r>
          </w:p>
        </w:tc>
        <w:tc>
          <w:tcPr>
            <w:tcW w:w="191" w:type="pct"/>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ind w:right="0" w:rightChars="0" w:firstLine="0" w:firstLineChars="0"/>
              <w:rPr>
                <w:rFonts w:hint="eastAsia" w:ascii="Times New Roman" w:hAnsi="Times New Roman" w:eastAsia="宋体" w:cs="Times New Roman"/>
                <w:color w:val="auto"/>
                <w:kern w:val="2"/>
                <w:sz w:val="21"/>
                <w:szCs w:val="21"/>
                <w:highlight w:val="none"/>
                <w:lang w:val="en-US" w:eastAsia="zh-CN" w:bidi="ar-SA"/>
              </w:rPr>
            </w:pPr>
            <w:r>
              <w:rPr>
                <w:rFonts w:hint="eastAsia" w:ascii="Times New Roman" w:hAnsi="Times New Roman" w:eastAsia="宋体" w:cs="Times New Roman"/>
                <w:color w:val="auto"/>
                <w:sz w:val="21"/>
                <w:szCs w:val="21"/>
                <w:highlight w:val="none"/>
              </w:rPr>
              <w:t>/</w:t>
            </w:r>
          </w:p>
        </w:tc>
        <w:tc>
          <w:tcPr>
            <w:tcW w:w="300" w:type="pct"/>
            <w:tcBorders>
              <w:top w:val="single" w:color="auto" w:sz="4" w:space="0"/>
              <w:bottom w:val="single" w:color="auto" w:sz="4" w:space="0"/>
              <w:tl2br w:val="nil"/>
              <w:tr2bl w:val="nil"/>
            </w:tcBorders>
            <w:noWrap/>
            <w:vAlign w:val="center"/>
          </w:tcPr>
          <w:p>
            <w:pPr>
              <w:pStyle w:val="71"/>
              <w:tabs>
                <w:tab w:val="left" w:pos="2422"/>
              </w:tabs>
              <w:spacing w:line="240" w:lineRule="auto"/>
              <w:rPr>
                <w:rFonts w:hint="default" w:ascii="Times New Roman" w:hAnsi="Times New Roman" w:eastAsia="宋体" w:cs="Times New Roman"/>
                <w:color w:val="auto"/>
                <w:sz w:val="21"/>
                <w:szCs w:val="21"/>
                <w:highlight w:val="none"/>
                <w:lang w:val="en-US" w:eastAsia="zh-CN"/>
              </w:rPr>
            </w:pPr>
            <w:r>
              <w:rPr>
                <w:rFonts w:hint="eastAsia" w:ascii="Times New Roman" w:hAnsi="Times New Roman" w:eastAsia="宋体" w:cs="Times New Roman"/>
                <w:color w:val="auto"/>
                <w:sz w:val="21"/>
                <w:szCs w:val="21"/>
                <w:highlight w:val="none"/>
                <w:lang w:val="en-US" w:eastAsia="zh-CN"/>
              </w:rPr>
              <w:t>4.0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rFonts w:hint="eastAsia"/>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56" w:type="pct"/>
            <w:vMerge w:val="restart"/>
            <w:tcBorders>
              <w:tl2br w:val="nil"/>
              <w:tr2bl w:val="nil"/>
            </w:tcBorders>
            <w:noWrap/>
            <w:vAlign w:val="center"/>
          </w:tcPr>
          <w:p>
            <w:pPr>
              <w:pStyle w:val="71"/>
              <w:tabs>
                <w:tab w:val="left" w:pos="2422"/>
              </w:tabs>
              <w:spacing w:line="240" w:lineRule="auto"/>
              <w:rPr>
                <w:rFonts w:hint="eastAsia" w:cs="Times New Roman"/>
                <w:color w:val="auto"/>
                <w:sz w:val="21"/>
                <w:szCs w:val="21"/>
                <w:highlight w:val="none"/>
                <w:lang w:val="en-US" w:eastAsia="zh-CN"/>
              </w:rPr>
            </w:pPr>
            <w:r>
              <w:rPr>
                <w:rFonts w:hint="eastAsia" w:cs="Times New Roman"/>
                <w:color w:val="auto"/>
                <w:sz w:val="21"/>
                <w:szCs w:val="21"/>
                <w:highlight w:val="none"/>
                <w:lang w:val="en-US" w:eastAsia="zh-CN"/>
              </w:rPr>
              <w:t>甲醛</w:t>
            </w:r>
          </w:p>
        </w:tc>
        <w:tc>
          <w:tcPr>
            <w:tcW w:w="807" w:type="dxa"/>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0.0035</w:t>
            </w:r>
          </w:p>
        </w:tc>
        <w:tc>
          <w:tcPr>
            <w:tcW w:w="923" w:type="dxa"/>
            <w:tcBorders>
              <w:top w:val="single" w:color="auto" w:sz="4" w:space="0"/>
              <w:bottom w:val="single" w:color="auto" w:sz="4" w:space="0"/>
              <w:tl2br w:val="nil"/>
              <w:tr2bl w:val="nil"/>
            </w:tcBorders>
            <w:noWrap w:val="0"/>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0.02</w:t>
            </w:r>
          </w:p>
        </w:tc>
        <w:tc>
          <w:tcPr>
            <w:tcW w:w="720"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有组织</w:t>
            </w:r>
          </w:p>
        </w:tc>
        <w:tc>
          <w:tcPr>
            <w:tcW w:w="496"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755"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30000</w:t>
            </w:r>
          </w:p>
        </w:tc>
        <w:tc>
          <w:tcPr>
            <w:tcW w:w="496"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95</w:t>
            </w:r>
          </w:p>
        </w:tc>
        <w:tc>
          <w:tcPr>
            <w:tcW w:w="861"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864"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rPr>
              <w:t>是</w:t>
            </w:r>
          </w:p>
        </w:tc>
        <w:tc>
          <w:tcPr>
            <w:tcW w:w="528"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0.0035</w:t>
            </w:r>
          </w:p>
        </w:tc>
        <w:tc>
          <w:tcPr>
            <w:tcW w:w="744"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0.00067</w:t>
            </w:r>
          </w:p>
        </w:tc>
        <w:tc>
          <w:tcPr>
            <w:tcW w:w="853"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0.02</w:t>
            </w:r>
          </w:p>
        </w:tc>
        <w:tc>
          <w:tcPr>
            <w:tcW w:w="375"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15</w:t>
            </w:r>
          </w:p>
        </w:tc>
        <w:tc>
          <w:tcPr>
            <w:tcW w:w="375"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0.5</w:t>
            </w:r>
          </w:p>
        </w:tc>
        <w:tc>
          <w:tcPr>
            <w:tcW w:w="252"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80</w:t>
            </w:r>
          </w:p>
        </w:tc>
        <w:tc>
          <w:tcPr>
            <w:tcW w:w="620"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DA001</w:t>
            </w:r>
          </w:p>
        </w:tc>
        <w:tc>
          <w:tcPr>
            <w:tcW w:w="620"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eastAsia="zh-CN"/>
              </w:rPr>
              <w:t>一般排放口</w:t>
            </w:r>
          </w:p>
        </w:tc>
        <w:tc>
          <w:tcPr>
            <w:tcW w:w="584"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111.362301</w:t>
            </w:r>
          </w:p>
        </w:tc>
        <w:tc>
          <w:tcPr>
            <w:tcW w:w="542"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25.227069</w:t>
            </w:r>
          </w:p>
        </w:tc>
        <w:tc>
          <w:tcPr>
            <w:tcW w:w="851" w:type="dxa"/>
            <w:tcBorders>
              <w:top w:val="single" w:color="auto" w:sz="4" w:space="0"/>
              <w:bottom w:val="single" w:color="auto" w:sz="4" w:space="0"/>
              <w:tl2br w:val="nil"/>
              <w:tr2bl w:val="nil"/>
            </w:tcBorders>
            <w:shd w:val="clear" w:color="auto" w:fill="auto"/>
            <w:noWrap/>
            <w:vAlign w:val="center"/>
          </w:tcPr>
          <w:p>
            <w:pPr>
              <w:pStyle w:val="71"/>
              <w:tabs>
                <w:tab w:val="left" w:pos="2422"/>
              </w:tabs>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25</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0" w:type="dxa"/>
            <w:bottom w:w="0" w:type="dxa"/>
            <w:right w:w="0" w:type="dxa"/>
          </w:tblCellMar>
        </w:tblPrEx>
        <w:trPr>
          <w:trHeight w:val="340" w:hRule="atLeast"/>
          <w:jc w:val="center"/>
        </w:trPr>
        <w:tc>
          <w:tcPr>
            <w:tcW w:w="160" w:type="pct"/>
            <w:vMerge w:val="continue"/>
            <w:tcBorders>
              <w:tl2br w:val="nil"/>
              <w:tr2bl w:val="nil"/>
            </w:tcBorders>
            <w:noWrap/>
            <w:vAlign w:val="center"/>
          </w:tcPr>
          <w:p>
            <w:pPr>
              <w:pStyle w:val="71"/>
              <w:tabs>
                <w:tab w:val="left" w:pos="2422"/>
              </w:tabs>
              <w:spacing w:line="240" w:lineRule="auto"/>
              <w:rPr>
                <w:rFonts w:hint="eastAsia"/>
                <w:color w:val="auto"/>
                <w:sz w:val="21"/>
                <w:szCs w:val="21"/>
                <w:highlight w:val="none"/>
              </w:rPr>
            </w:pPr>
          </w:p>
        </w:tc>
        <w:tc>
          <w:tcPr>
            <w:tcW w:w="246" w:type="pct"/>
            <w:vMerge w:val="continue"/>
            <w:tcBorders>
              <w:tl2br w:val="nil"/>
              <w:tr2bl w:val="nil"/>
            </w:tcBorders>
            <w:noWrap/>
            <w:vAlign w:val="center"/>
          </w:tcPr>
          <w:p>
            <w:pPr>
              <w:pStyle w:val="71"/>
              <w:tabs>
                <w:tab w:val="left" w:pos="2422"/>
              </w:tabs>
              <w:spacing w:line="240" w:lineRule="auto"/>
              <w:rPr>
                <w:rFonts w:hint="eastAsia" w:ascii="Times New Roman" w:hAnsi="Times New Roman" w:eastAsia="宋体" w:cs="Times New Roman"/>
                <w:color w:val="auto"/>
                <w:sz w:val="21"/>
                <w:szCs w:val="21"/>
                <w:highlight w:val="none"/>
                <w:lang w:val="en-US" w:eastAsia="zh-CN"/>
              </w:rPr>
            </w:pPr>
          </w:p>
        </w:tc>
        <w:tc>
          <w:tcPr>
            <w:tcW w:w="256" w:type="pct"/>
            <w:vMerge w:val="continue"/>
            <w:tcBorders>
              <w:tl2br w:val="nil"/>
              <w:tr2bl w:val="nil"/>
            </w:tcBorders>
            <w:noWrap/>
            <w:vAlign w:val="center"/>
          </w:tcPr>
          <w:p>
            <w:pPr>
              <w:pStyle w:val="71"/>
              <w:tabs>
                <w:tab w:val="left" w:pos="2422"/>
              </w:tabs>
              <w:spacing w:line="240" w:lineRule="auto"/>
              <w:rPr>
                <w:rFonts w:hint="eastAsia" w:cs="Times New Roman"/>
                <w:color w:val="auto"/>
                <w:sz w:val="21"/>
                <w:szCs w:val="21"/>
                <w:highlight w:val="none"/>
                <w:lang w:val="en-US" w:eastAsia="zh-CN"/>
              </w:rPr>
            </w:pPr>
          </w:p>
        </w:tc>
        <w:tc>
          <w:tcPr>
            <w:tcW w:w="807" w:type="dxa"/>
            <w:tcBorders>
              <w:top w:val="single" w:color="auto" w:sz="4" w:space="0"/>
              <w:tl2br w:val="nil"/>
              <w:tr2bl w:val="nil"/>
            </w:tcBorders>
            <w:noWrap w:val="0"/>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0.00025</w:t>
            </w:r>
          </w:p>
        </w:tc>
        <w:tc>
          <w:tcPr>
            <w:tcW w:w="923" w:type="dxa"/>
            <w:tcBorders>
              <w:top w:val="single" w:color="auto" w:sz="4" w:space="0"/>
              <w:tl2br w:val="nil"/>
              <w:tr2bl w:val="nil"/>
            </w:tcBorders>
            <w:noWrap w:val="0"/>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720"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无组织</w:t>
            </w:r>
          </w:p>
        </w:tc>
        <w:tc>
          <w:tcPr>
            <w:tcW w:w="496"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755"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496"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861"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864"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eastAsia="zh-CN"/>
              </w:rPr>
              <w:t>是</w:t>
            </w:r>
          </w:p>
        </w:tc>
        <w:tc>
          <w:tcPr>
            <w:tcW w:w="528"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0.00025</w:t>
            </w:r>
          </w:p>
        </w:tc>
        <w:tc>
          <w:tcPr>
            <w:tcW w:w="744"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0.00004</w:t>
            </w:r>
          </w:p>
        </w:tc>
        <w:tc>
          <w:tcPr>
            <w:tcW w:w="853"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375"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375"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252"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620"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620"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lang w:val="en-US" w:eastAsia="zh-CN"/>
              </w:rPr>
              <w:t>/</w:t>
            </w:r>
          </w:p>
        </w:tc>
        <w:tc>
          <w:tcPr>
            <w:tcW w:w="584"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rPr>
              <w:t>/</w:t>
            </w:r>
          </w:p>
        </w:tc>
        <w:tc>
          <w:tcPr>
            <w:tcW w:w="542" w:type="dxa"/>
            <w:tcBorders>
              <w:top w:val="single" w:color="auto" w:sz="4" w:space="0"/>
              <w:tl2br w:val="nil"/>
              <w:tr2bl w:val="nil"/>
            </w:tcBorders>
            <w:shd w:val="clear" w:color="auto" w:fill="auto"/>
            <w:noWrap/>
            <w:vAlign w:val="center"/>
          </w:tcPr>
          <w:p>
            <w:pPr>
              <w:pStyle w:val="71"/>
              <w:tabs>
                <w:tab w:val="left" w:pos="2422"/>
              </w:tabs>
              <w:spacing w:line="240" w:lineRule="auto"/>
              <w:rPr>
                <w:rFonts w:hint="eastAsia" w:eastAsia="宋体"/>
                <w:color w:val="auto"/>
                <w:sz w:val="21"/>
                <w:szCs w:val="21"/>
                <w:highlight w:val="none"/>
                <w:lang w:val="en-US" w:eastAsia="zh-CN"/>
              </w:rPr>
            </w:pPr>
            <w:r>
              <w:rPr>
                <w:rFonts w:hint="eastAsia" w:eastAsia="宋体"/>
                <w:color w:val="auto"/>
                <w:sz w:val="21"/>
                <w:szCs w:val="21"/>
                <w:highlight w:val="none"/>
              </w:rPr>
              <w:t>/</w:t>
            </w:r>
          </w:p>
        </w:tc>
        <w:tc>
          <w:tcPr>
            <w:tcW w:w="851" w:type="dxa"/>
            <w:tcBorders>
              <w:top w:val="single" w:color="auto" w:sz="4" w:space="0"/>
              <w:tl2br w:val="nil"/>
              <w:tr2bl w:val="nil"/>
            </w:tcBorders>
            <w:shd w:val="clear" w:color="auto" w:fill="auto"/>
            <w:noWrap/>
            <w:vAlign w:val="center"/>
          </w:tcPr>
          <w:p>
            <w:pPr>
              <w:pStyle w:val="71"/>
              <w:tabs>
                <w:tab w:val="left" w:pos="2422"/>
              </w:tabs>
              <w:spacing w:line="240" w:lineRule="auto"/>
              <w:rPr>
                <w:rFonts w:hint="default" w:eastAsia="宋体"/>
                <w:color w:val="auto"/>
                <w:sz w:val="21"/>
                <w:szCs w:val="21"/>
                <w:highlight w:val="none"/>
                <w:lang w:val="en-US" w:eastAsia="zh-CN"/>
              </w:rPr>
            </w:pPr>
            <w:r>
              <w:rPr>
                <w:rFonts w:hint="eastAsia" w:eastAsia="宋体"/>
                <w:color w:val="auto"/>
                <w:sz w:val="21"/>
                <w:szCs w:val="21"/>
                <w:highlight w:val="none"/>
                <w:lang w:val="en-US" w:eastAsia="zh-CN"/>
              </w:rPr>
              <w:t>0.2</w:t>
            </w:r>
          </w:p>
        </w:tc>
      </w:tr>
    </w:tbl>
    <w:p>
      <w:pPr>
        <w:ind w:firstLine="480"/>
        <w:rPr>
          <w:b/>
          <w:bCs/>
          <w:color w:val="000000"/>
        </w:rPr>
        <w:sectPr>
          <w:pgSz w:w="16838" w:h="11906" w:orient="landscape"/>
          <w:pgMar w:top="1800" w:right="1440" w:bottom="1800" w:left="1440" w:header="851" w:footer="992" w:gutter="0"/>
          <w:pgBorders>
            <w:top w:val="none" w:sz="0" w:space="0"/>
            <w:left w:val="none" w:sz="0" w:space="0"/>
            <w:bottom w:val="none" w:sz="0" w:space="0"/>
            <w:right w:val="none" w:sz="0" w:space="0"/>
          </w:pgBorders>
          <w:cols w:space="720" w:num="1"/>
          <w:docGrid w:type="lines" w:linePitch="312" w:charSpace="0"/>
        </w:sectPr>
      </w:pPr>
    </w:p>
    <w:p>
      <w:pPr>
        <w:pStyle w:val="4"/>
        <w:rPr>
          <w:rFonts w:hint="eastAsia"/>
          <w:color w:val="000000"/>
          <w:lang w:val="en-US" w:eastAsia="zh-CN"/>
        </w:rPr>
      </w:pPr>
      <w:bookmarkStart w:id="71" w:name="_Toc16152"/>
      <w:bookmarkStart w:id="72" w:name="_Toc2082"/>
      <w:r>
        <w:rPr>
          <w:rFonts w:hint="eastAsia"/>
          <w:color w:val="000000"/>
          <w:lang w:val="en-US" w:eastAsia="zh-CN"/>
        </w:rPr>
        <w:t>环境空气质量现状调查与评价</w:t>
      </w:r>
      <w:bookmarkEnd w:id="71"/>
    </w:p>
    <w:p>
      <w:pPr>
        <w:bidi w:val="0"/>
        <w:rPr>
          <w:rFonts w:hint="eastAsia"/>
          <w:lang w:val="en-US" w:eastAsia="zh-CN"/>
        </w:rPr>
      </w:pPr>
      <w:r>
        <w:rPr>
          <w:rFonts w:hint="eastAsia"/>
          <w:lang w:val="en-US" w:eastAsia="zh-CN"/>
        </w:rPr>
        <w:t>根据大气导则规定，三级评价项目只调查项目所在区域环境质量达标情况。</w:t>
      </w:r>
    </w:p>
    <w:p>
      <w:pPr>
        <w:bidi w:val="0"/>
        <w:rPr>
          <w:rFonts w:hint="eastAsia"/>
          <w:lang w:val="en-US" w:eastAsia="zh-CN"/>
        </w:rPr>
      </w:pPr>
      <w:r>
        <w:rPr>
          <w:rFonts w:hint="eastAsia"/>
          <w:lang w:val="en-US" w:eastAsia="zh-CN"/>
        </w:rPr>
        <w:t>根据</w:t>
      </w:r>
      <w:r>
        <w:rPr>
          <w:rFonts w:hint="eastAsia"/>
        </w:rPr>
        <w:t>永州市生态环境局公布的202</w:t>
      </w:r>
      <w:r>
        <w:rPr>
          <w:rFonts w:hint="eastAsia"/>
          <w:lang w:val="en-US" w:eastAsia="zh-CN"/>
        </w:rPr>
        <w:t>4</w:t>
      </w:r>
      <w:r>
        <w:rPr>
          <w:rFonts w:hint="eastAsia"/>
        </w:rPr>
        <w:t>年1月~202</w:t>
      </w:r>
      <w:r>
        <w:rPr>
          <w:rFonts w:hint="eastAsia"/>
          <w:lang w:val="en-US" w:eastAsia="zh-CN"/>
        </w:rPr>
        <w:t>4</w:t>
      </w:r>
      <w:r>
        <w:rPr>
          <w:rFonts w:hint="eastAsia"/>
        </w:rPr>
        <w:t>年12月</w:t>
      </w:r>
      <w:r>
        <w:rPr>
          <w:rFonts w:hint="eastAsia"/>
          <w:lang w:eastAsia="zh-CN"/>
        </w:rPr>
        <w:t>江永县</w:t>
      </w:r>
      <w:r>
        <w:rPr>
          <w:rFonts w:hint="default"/>
        </w:rPr>
        <w:t>的基本因子的</w:t>
      </w:r>
      <w:r>
        <w:rPr>
          <w:rFonts w:hint="eastAsia"/>
          <w:lang w:eastAsia="zh-CN"/>
        </w:rPr>
        <w:t>监测</w:t>
      </w:r>
      <w:r>
        <w:rPr>
          <w:rFonts w:hint="default"/>
        </w:rPr>
        <w:t>数据</w:t>
      </w:r>
      <w:r>
        <w:rPr>
          <w:rFonts w:hint="default"/>
          <w:lang w:eastAsia="zh-CN"/>
        </w:rPr>
        <w:t>，</w:t>
      </w:r>
      <w:r>
        <w:rPr>
          <w:rFonts w:hint="default"/>
        </w:rPr>
        <w:t>区域环境空气质量</w:t>
      </w:r>
      <w:r>
        <w:rPr>
          <w:rFonts w:hint="eastAsia"/>
          <w:lang w:eastAsia="zh-CN"/>
        </w:rPr>
        <w:t>为达标区。</w:t>
      </w:r>
    </w:p>
    <w:p>
      <w:pPr>
        <w:pStyle w:val="4"/>
        <w:rPr>
          <w:rFonts w:hint="eastAsia"/>
          <w:color w:val="000000"/>
          <w:lang w:eastAsia="zh-CN"/>
        </w:rPr>
      </w:pPr>
      <w:bookmarkStart w:id="73" w:name="_Toc24899"/>
      <w:r>
        <w:rPr>
          <w:rFonts w:hint="eastAsia"/>
          <w:color w:val="000000"/>
          <w:lang w:eastAsia="zh-CN"/>
        </w:rPr>
        <w:t>污染源调查</w:t>
      </w:r>
      <w:bookmarkEnd w:id="73"/>
    </w:p>
    <w:p>
      <w:pPr>
        <w:bidi w:val="0"/>
        <w:rPr>
          <w:rFonts w:hint="eastAsia"/>
          <w:lang w:eastAsia="zh-CN"/>
        </w:rPr>
      </w:pPr>
      <w:r>
        <w:rPr>
          <w:rFonts w:hint="eastAsia"/>
          <w:lang w:val="en-US" w:eastAsia="zh-CN"/>
        </w:rPr>
        <w:t>根据大气导则规定，</w:t>
      </w:r>
      <w:r>
        <w:rPr>
          <w:rFonts w:hint="eastAsia"/>
          <w:lang w:eastAsia="zh-CN"/>
        </w:rPr>
        <w:t>三级评价项目只调查本项目新增污染源和拟被替代的污染源。</w:t>
      </w:r>
    </w:p>
    <w:p>
      <w:pPr>
        <w:bidi w:val="0"/>
        <w:rPr>
          <w:rFonts w:hint="eastAsia"/>
          <w:lang w:eastAsia="zh-CN"/>
        </w:rPr>
      </w:pPr>
      <w:r>
        <w:rPr>
          <w:rFonts w:hint="eastAsia"/>
          <w:lang w:eastAsia="zh-CN"/>
        </w:rPr>
        <w:t>本项目无拟被替代的污染源，新增污染源详见</w:t>
      </w:r>
      <w:r>
        <w:rPr>
          <w:rFonts w:hint="eastAsia"/>
        </w:rPr>
        <w:t>表2.2-</w:t>
      </w:r>
      <w:r>
        <w:rPr>
          <w:rFonts w:hint="eastAsia"/>
          <w:lang w:val="en-US" w:eastAsia="zh-CN"/>
        </w:rPr>
        <w:t>1</w:t>
      </w:r>
      <w:r>
        <w:rPr>
          <w:rFonts w:hint="eastAsia"/>
          <w:lang w:eastAsia="zh-CN"/>
        </w:rPr>
        <w:t>。</w:t>
      </w:r>
    </w:p>
    <w:p>
      <w:pPr>
        <w:pStyle w:val="4"/>
        <w:rPr>
          <w:rFonts w:hint="eastAsia" w:eastAsia="宋体"/>
          <w:color w:val="000000"/>
          <w:lang w:eastAsia="zh-CN"/>
        </w:rPr>
      </w:pPr>
      <w:bookmarkStart w:id="74" w:name="_Toc14238"/>
      <w:r>
        <w:rPr>
          <w:rFonts w:hint="eastAsia" w:eastAsia="宋体"/>
          <w:color w:val="000000"/>
          <w:lang w:eastAsia="zh-CN"/>
        </w:rPr>
        <w:t>环境监测计划</w:t>
      </w:r>
      <w:bookmarkEnd w:id="74"/>
    </w:p>
    <w:p>
      <w:pPr>
        <w:rPr>
          <w:rFonts w:hint="eastAsia" w:eastAsia="宋体"/>
          <w:color w:val="000000"/>
          <w:lang w:eastAsia="zh-CN"/>
        </w:rPr>
      </w:pPr>
      <w:r>
        <w:rPr>
          <w:rFonts w:hint="eastAsia" w:eastAsia="宋体"/>
          <w:color w:val="000000"/>
          <w:lang w:eastAsia="zh-CN"/>
        </w:rPr>
        <w:t>本项目无排放污染物 P≥1%的其他污染物，本次不提出环境质量监测计划。</w:t>
      </w:r>
    </w:p>
    <w:p>
      <w:pPr>
        <w:bidi w:val="0"/>
        <w:rPr>
          <w:rFonts w:hint="eastAsia"/>
          <w:color w:val="auto"/>
          <w:u w:val="none" w:color="auto"/>
        </w:rPr>
      </w:pPr>
      <w:r>
        <w:rPr>
          <w:rFonts w:hint="eastAsia"/>
          <w:color w:val="auto"/>
          <w:u w:val="none" w:color="auto"/>
        </w:rPr>
        <w:t>本项目</w:t>
      </w:r>
      <w:r>
        <w:rPr>
          <w:rFonts w:hint="eastAsia"/>
          <w:color w:val="auto"/>
          <w:u w:val="none" w:color="auto"/>
          <w:lang w:eastAsia="zh-CN"/>
        </w:rPr>
        <w:t>属于金属铸造业</w:t>
      </w:r>
      <w:r>
        <w:rPr>
          <w:rFonts w:hint="eastAsia"/>
          <w:color w:val="auto"/>
          <w:u w:val="none" w:color="auto"/>
        </w:rPr>
        <w:t>，</w:t>
      </w:r>
      <w:r>
        <w:rPr>
          <w:rFonts w:hint="eastAsia"/>
          <w:color w:val="auto"/>
          <w:u w:val="none" w:color="auto"/>
          <w:lang w:val="en-US" w:eastAsia="zh-CN"/>
        </w:rPr>
        <w:t>根据《排污许可证申请与核发技术规范-金属铸造业》（HJ1115—2020）</w:t>
      </w:r>
      <w:r>
        <w:rPr>
          <w:rFonts w:hint="eastAsia"/>
          <w:color w:val="auto"/>
          <w:u w:val="none" w:color="auto"/>
        </w:rPr>
        <w:t>，</w:t>
      </w:r>
      <w:r>
        <w:rPr>
          <w:rFonts w:hint="eastAsia" w:eastAsia="宋体"/>
          <w:color w:val="000000"/>
          <w:u w:val="none" w:color="auto"/>
          <w:lang w:eastAsia="zh-CN"/>
        </w:rPr>
        <w:t>污染源监测计划</w:t>
      </w:r>
      <w:r>
        <w:rPr>
          <w:rFonts w:hint="eastAsia"/>
          <w:color w:val="auto"/>
          <w:u w:val="none" w:color="auto"/>
        </w:rPr>
        <w:t>要求如下：</w:t>
      </w:r>
    </w:p>
    <w:p>
      <w:pPr>
        <w:spacing w:line="240" w:lineRule="auto"/>
        <w:ind w:firstLine="422"/>
        <w:jc w:val="center"/>
        <w:rPr>
          <w:rFonts w:hint="eastAsia"/>
          <w:b/>
          <w:color w:val="auto"/>
          <w:kern w:val="21"/>
          <w:sz w:val="21"/>
          <w:szCs w:val="21"/>
          <w:u w:val="none" w:color="auto"/>
        </w:rPr>
      </w:pPr>
      <w:r>
        <w:rPr>
          <w:rFonts w:hint="eastAsia"/>
          <w:b/>
          <w:color w:val="auto"/>
          <w:kern w:val="21"/>
          <w:sz w:val="21"/>
          <w:szCs w:val="21"/>
          <w:u w:val="none" w:color="auto"/>
        </w:rPr>
        <w:t>表</w:t>
      </w:r>
      <w:r>
        <w:rPr>
          <w:rFonts w:hint="eastAsia"/>
          <w:b/>
          <w:color w:val="auto"/>
          <w:kern w:val="21"/>
          <w:sz w:val="21"/>
          <w:szCs w:val="21"/>
          <w:u w:val="none" w:color="auto"/>
          <w:lang w:val="en-US" w:eastAsia="zh-CN"/>
        </w:rPr>
        <w:t>5</w:t>
      </w:r>
      <w:r>
        <w:rPr>
          <w:rFonts w:hint="eastAsia"/>
          <w:b/>
          <w:color w:val="auto"/>
          <w:kern w:val="21"/>
          <w:sz w:val="21"/>
          <w:szCs w:val="21"/>
          <w:u w:val="none" w:color="auto"/>
        </w:rPr>
        <w:t>-</w:t>
      </w:r>
      <w:r>
        <w:rPr>
          <w:rFonts w:hint="eastAsia"/>
          <w:b/>
          <w:color w:val="auto"/>
          <w:kern w:val="21"/>
          <w:sz w:val="21"/>
          <w:szCs w:val="21"/>
          <w:u w:val="none" w:color="auto"/>
          <w:lang w:val="en-US" w:eastAsia="zh-CN"/>
        </w:rPr>
        <w:t>1</w:t>
      </w:r>
      <w:r>
        <w:rPr>
          <w:rFonts w:hint="eastAsia"/>
          <w:b/>
          <w:color w:val="auto"/>
          <w:kern w:val="21"/>
          <w:sz w:val="21"/>
          <w:szCs w:val="21"/>
          <w:u w:val="none" w:color="auto"/>
        </w:rPr>
        <w:t xml:space="preserve">   废气监测要求一览表</w:t>
      </w:r>
    </w:p>
    <w:tbl>
      <w:tblPr>
        <w:tblStyle w:val="36"/>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47"/>
        <w:gridCol w:w="882"/>
        <w:gridCol w:w="1069"/>
        <w:gridCol w:w="1435"/>
        <w:gridCol w:w="1188"/>
        <w:gridCol w:w="2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673"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监测项目</w:t>
            </w:r>
          </w:p>
        </w:tc>
        <w:tc>
          <w:tcPr>
            <w:tcW w:w="518"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监测内容</w:t>
            </w:r>
          </w:p>
        </w:tc>
        <w:tc>
          <w:tcPr>
            <w:tcW w:w="627"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监测点位</w:t>
            </w:r>
          </w:p>
        </w:tc>
        <w:tc>
          <w:tcPr>
            <w:tcW w:w="842"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监测项目</w:t>
            </w:r>
          </w:p>
        </w:tc>
        <w:tc>
          <w:tcPr>
            <w:tcW w:w="697"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监测频次</w:t>
            </w:r>
          </w:p>
        </w:tc>
        <w:tc>
          <w:tcPr>
            <w:tcW w:w="1640"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执行标准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3" w:type="pct"/>
            <w:vMerge w:val="restar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污染源监测</w:t>
            </w:r>
          </w:p>
        </w:tc>
        <w:tc>
          <w:tcPr>
            <w:tcW w:w="518" w:type="pct"/>
            <w:vMerge w:val="restar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废气</w:t>
            </w:r>
          </w:p>
        </w:tc>
        <w:tc>
          <w:tcPr>
            <w:tcW w:w="627"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排气筒</w:t>
            </w:r>
          </w:p>
        </w:tc>
        <w:tc>
          <w:tcPr>
            <w:tcW w:w="842"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lang w:eastAsia="zh-CN"/>
              </w:rPr>
            </w:pPr>
            <w:r>
              <w:rPr>
                <w:rFonts w:hint="eastAsia" w:ascii="Times New Roman" w:hAnsi="Times New Roman" w:eastAsia="宋体" w:cs="Times New Roman"/>
                <w:color w:val="auto"/>
                <w:kern w:val="0"/>
                <w:sz w:val="21"/>
                <w:szCs w:val="21"/>
                <w:u w:val="none" w:color="auto"/>
                <w:lang w:eastAsia="zh-CN"/>
              </w:rPr>
              <w:t>颗粒物</w:t>
            </w:r>
          </w:p>
        </w:tc>
        <w:tc>
          <w:tcPr>
            <w:tcW w:w="697"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1次/年</w:t>
            </w:r>
          </w:p>
        </w:tc>
        <w:tc>
          <w:tcPr>
            <w:tcW w:w="1640" w:type="pct"/>
            <w:vMerge w:val="restart"/>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u w:val="none" w:color="auto"/>
                <w:lang w:val="en-US" w:eastAsia="zh-CN"/>
              </w:rPr>
            </w:pPr>
            <w:r>
              <w:rPr>
                <w:rFonts w:hint="eastAsia"/>
                <w:color w:val="auto"/>
                <w:sz w:val="21"/>
                <w:szCs w:val="21"/>
                <w:u w:val="none" w:color="auto"/>
                <w:lang w:val="en-US" w:eastAsia="zh-CN"/>
              </w:rPr>
              <w:t>《铸造工业大气污染物排放标准》(GB39726-2020)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73" w:type="pct"/>
            <w:vMerge w:val="continue"/>
            <w:tcBorders>
              <w:bottom w:val="single" w:color="000000" w:sz="2" w:space="0"/>
            </w:tcBorders>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lang w:eastAsia="zh-CN"/>
              </w:rPr>
            </w:pPr>
          </w:p>
        </w:tc>
        <w:tc>
          <w:tcPr>
            <w:tcW w:w="518" w:type="pct"/>
            <w:vMerge w:val="continue"/>
            <w:tcBorders>
              <w:bottom w:val="single" w:color="000000" w:sz="2" w:space="0"/>
            </w:tcBorders>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lang w:eastAsia="zh-CN"/>
              </w:rPr>
            </w:pPr>
          </w:p>
        </w:tc>
        <w:tc>
          <w:tcPr>
            <w:tcW w:w="627" w:type="pct"/>
            <w:tcBorders>
              <w:bottom w:val="single" w:color="000000" w:sz="2" w:space="0"/>
            </w:tcBorders>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lang w:eastAsia="zh-CN"/>
              </w:rPr>
            </w:pPr>
            <w:r>
              <w:rPr>
                <w:rFonts w:hint="eastAsia" w:ascii="Times New Roman" w:hAnsi="Times New Roman" w:eastAsia="宋体" w:cs="Times New Roman"/>
                <w:color w:val="auto"/>
                <w:kern w:val="0"/>
                <w:sz w:val="21"/>
                <w:szCs w:val="21"/>
                <w:u w:val="none" w:color="auto"/>
                <w:lang w:eastAsia="zh-CN"/>
              </w:rPr>
              <w:t>厂</w:t>
            </w:r>
            <w:r>
              <w:rPr>
                <w:rFonts w:hint="eastAsia" w:cs="Times New Roman"/>
                <w:color w:val="auto"/>
                <w:kern w:val="0"/>
                <w:sz w:val="21"/>
                <w:szCs w:val="21"/>
                <w:u w:val="none" w:color="auto"/>
                <w:lang w:eastAsia="zh-CN"/>
              </w:rPr>
              <w:t>区</w:t>
            </w:r>
          </w:p>
        </w:tc>
        <w:tc>
          <w:tcPr>
            <w:tcW w:w="842" w:type="pct"/>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lang w:eastAsia="zh-CN"/>
              </w:rPr>
            </w:pPr>
            <w:r>
              <w:rPr>
                <w:rFonts w:hint="eastAsia" w:ascii="Times New Roman" w:hAnsi="Times New Roman" w:eastAsia="宋体" w:cs="Times New Roman"/>
                <w:color w:val="auto"/>
                <w:kern w:val="0"/>
                <w:sz w:val="21"/>
                <w:szCs w:val="21"/>
                <w:u w:val="none" w:color="auto"/>
                <w:lang w:eastAsia="zh-CN"/>
              </w:rPr>
              <w:t>颗粒物</w:t>
            </w:r>
            <w:r>
              <w:rPr>
                <w:rFonts w:hint="eastAsia" w:cs="Times New Roman"/>
                <w:color w:val="auto"/>
                <w:kern w:val="0"/>
                <w:sz w:val="21"/>
                <w:szCs w:val="21"/>
                <w:u w:val="none" w:color="auto"/>
                <w:lang w:eastAsia="zh-CN"/>
              </w:rPr>
              <w:t>、非甲烷总烃</w:t>
            </w:r>
          </w:p>
        </w:tc>
        <w:tc>
          <w:tcPr>
            <w:tcW w:w="697" w:type="pct"/>
            <w:tcBorders>
              <w:bottom w:val="single" w:color="000000" w:sz="2" w:space="0"/>
            </w:tcBorders>
            <w:noWrap w:val="0"/>
            <w:vAlign w:val="center"/>
          </w:tcPr>
          <w:p>
            <w:pPr>
              <w:widowControl/>
              <w:spacing w:line="240" w:lineRule="auto"/>
              <w:ind w:firstLine="0" w:firstLineChars="0"/>
              <w:jc w:val="center"/>
              <w:rPr>
                <w:rFonts w:hint="eastAsia" w:ascii="Times New Roman" w:hAnsi="Times New Roman" w:eastAsia="宋体" w:cs="Times New Roman"/>
                <w:color w:val="auto"/>
                <w:kern w:val="0"/>
                <w:sz w:val="21"/>
                <w:szCs w:val="21"/>
                <w:u w:val="none" w:color="auto"/>
              </w:rPr>
            </w:pPr>
            <w:r>
              <w:rPr>
                <w:rFonts w:hint="eastAsia" w:ascii="Times New Roman" w:hAnsi="Times New Roman" w:eastAsia="宋体" w:cs="Times New Roman"/>
                <w:color w:val="auto"/>
                <w:kern w:val="0"/>
                <w:sz w:val="21"/>
                <w:szCs w:val="21"/>
                <w:u w:val="none" w:color="auto"/>
              </w:rPr>
              <w:t>1次/年</w:t>
            </w:r>
          </w:p>
        </w:tc>
        <w:tc>
          <w:tcPr>
            <w:tcW w:w="1640" w:type="pct"/>
            <w:vMerge w:val="continue"/>
            <w:tcBorders>
              <w:bottom w:val="single" w:color="000000" w:sz="2" w:space="0"/>
            </w:tcBorders>
            <w:noWrap w:val="0"/>
            <w:vAlign w:val="center"/>
          </w:tcPr>
          <w:p>
            <w:pPr>
              <w:widowControl/>
              <w:spacing w:line="240" w:lineRule="auto"/>
              <w:ind w:firstLine="0" w:firstLineChars="0"/>
              <w:jc w:val="center"/>
              <w:rPr>
                <w:rFonts w:hint="default" w:ascii="Times New Roman" w:hAnsi="Times New Roman" w:eastAsia="宋体" w:cs="Times New Roman"/>
                <w:color w:val="auto"/>
                <w:kern w:val="0"/>
                <w:sz w:val="21"/>
                <w:szCs w:val="21"/>
                <w:u w:val="none" w:color="auto"/>
                <w:lang w:val="en-US" w:eastAsia="zh-CN"/>
              </w:rPr>
            </w:pPr>
          </w:p>
        </w:tc>
      </w:tr>
    </w:tbl>
    <w:p>
      <w:pPr>
        <w:rPr>
          <w:rFonts w:hint="eastAsia" w:eastAsia="宋体"/>
          <w:color w:val="000000"/>
          <w:lang w:eastAsia="zh-C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pPr>
        <w:pStyle w:val="4"/>
        <w:rPr>
          <w:rFonts w:hint="eastAsia"/>
          <w:color w:val="000000"/>
        </w:rPr>
      </w:pPr>
      <w:bookmarkStart w:id="75" w:name="_Toc2086"/>
      <w:r>
        <w:rPr>
          <w:rFonts w:hint="eastAsia"/>
          <w:color w:val="000000"/>
        </w:rPr>
        <w:t>大气环境影响</w:t>
      </w:r>
      <w:bookmarkEnd w:id="66"/>
      <w:bookmarkEnd w:id="67"/>
      <w:bookmarkEnd w:id="68"/>
      <w:bookmarkEnd w:id="69"/>
      <w:bookmarkEnd w:id="70"/>
      <w:bookmarkEnd w:id="72"/>
      <w:bookmarkStart w:id="76" w:name="_Toc4166"/>
      <w:bookmarkStart w:id="77" w:name="_Toc5727"/>
      <w:bookmarkStart w:id="78" w:name="_Toc2758"/>
      <w:r>
        <w:rPr>
          <w:rFonts w:hint="eastAsia"/>
          <w:color w:val="000000"/>
        </w:rPr>
        <w:t>评价</w:t>
      </w:r>
      <w:bookmarkEnd w:id="75"/>
    </w:p>
    <w:bookmarkEnd w:id="76"/>
    <w:bookmarkEnd w:id="77"/>
    <w:bookmarkEnd w:id="78"/>
    <w:p>
      <w:pPr>
        <w:pStyle w:val="5"/>
        <w:bidi w:val="0"/>
        <w:rPr>
          <w:rFonts w:hint="eastAsia"/>
        </w:rPr>
      </w:pPr>
      <w:bookmarkStart w:id="79" w:name="_Toc15667"/>
      <w:r>
        <w:rPr>
          <w:rFonts w:hint="eastAsia"/>
          <w:lang w:eastAsia="zh-CN"/>
        </w:rPr>
        <w:t>大气环境影响预测分析</w:t>
      </w:r>
      <w:bookmarkEnd w:id="79"/>
    </w:p>
    <w:p>
      <w:pPr>
        <w:bidi w:val="0"/>
        <w:rPr>
          <w:rFonts w:hint="default"/>
          <w:lang w:val="zh-CN" w:eastAsia="zh-CN"/>
        </w:rPr>
      </w:pPr>
      <w:r>
        <w:rPr>
          <w:rFonts w:hint="default"/>
          <w:lang w:val="zh-CN" w:eastAsia="zh-CN"/>
        </w:rPr>
        <w:t>（1）有组织排放</w:t>
      </w:r>
    </w:p>
    <w:p>
      <w:pPr>
        <w:bidi w:val="0"/>
        <w:rPr>
          <w:rFonts w:hint="default"/>
          <w:lang w:val="zh-CN" w:eastAsia="zh-CN"/>
        </w:rPr>
      </w:pPr>
      <w:r>
        <w:rPr>
          <w:rFonts w:hint="default"/>
          <w:lang w:val="zh-CN" w:eastAsia="zh-CN"/>
        </w:rPr>
        <w:t>根据ARESCREEN估算模型，本项目有组织废气预测结果见</w:t>
      </w:r>
      <w:r>
        <w:rPr>
          <w:rFonts w:hint="default"/>
          <w:lang w:val="en-US" w:eastAsia="zh-CN"/>
        </w:rPr>
        <w:t>下</w:t>
      </w:r>
      <w:r>
        <w:rPr>
          <w:rFonts w:hint="default"/>
          <w:lang w:val="zh-CN" w:eastAsia="zh-CN"/>
        </w:rPr>
        <w:t>表。</w:t>
      </w:r>
    </w:p>
    <w:p>
      <w:pPr>
        <w:pStyle w:val="16"/>
        <w:pageBreakBefore w:val="0"/>
        <w:kinsoku/>
        <w:wordWrap/>
        <w:topLinePunct w:val="0"/>
        <w:bidi w:val="0"/>
        <w:spacing w:line="240" w:lineRule="auto"/>
        <w:ind w:left="0" w:right="0" w:firstLine="483"/>
        <w:jc w:val="center"/>
        <w:rPr>
          <w:rFonts w:hint="default" w:ascii="Times New Roman" w:hAnsi="Times New Roman" w:eastAsia="宋体" w:cs="Times New Roman"/>
          <w:b/>
          <w:bCs/>
          <w:color w:val="auto"/>
          <w:kern w:val="2"/>
          <w:sz w:val="21"/>
          <w:szCs w:val="21"/>
          <w:highlight w:val="none"/>
          <w:u w:val="none" w:color="auto"/>
          <w:lang w:val="zh-CN" w:eastAsia="zh-CN" w:bidi="ar-SA"/>
        </w:rPr>
      </w:pPr>
      <w:r>
        <w:rPr>
          <w:rFonts w:hint="default" w:ascii="Times New Roman" w:hAnsi="Times New Roman" w:eastAsia="宋体" w:cs="Times New Roman"/>
          <w:b/>
          <w:bCs/>
          <w:color w:val="auto"/>
          <w:kern w:val="2"/>
          <w:sz w:val="21"/>
          <w:szCs w:val="21"/>
          <w:highlight w:val="none"/>
          <w:u w:val="none" w:color="auto"/>
          <w:lang w:val="zh-CN" w:eastAsia="zh-CN" w:bidi="ar-SA"/>
        </w:rPr>
        <w:t>表</w:t>
      </w:r>
      <w:r>
        <w:rPr>
          <w:rFonts w:hint="eastAsia" w:cs="Times New Roman"/>
          <w:b/>
          <w:bCs/>
          <w:color w:val="auto"/>
          <w:kern w:val="2"/>
          <w:sz w:val="21"/>
          <w:szCs w:val="21"/>
          <w:highlight w:val="none"/>
          <w:u w:val="none" w:color="auto"/>
          <w:lang w:val="en-US" w:eastAsia="zh-CN" w:bidi="ar-SA"/>
        </w:rPr>
        <w:t>6.1-1</w:t>
      </w:r>
      <w:r>
        <w:rPr>
          <w:rFonts w:hint="eastAsia" w:ascii="Times New Roman" w:hAnsi="Times New Roman" w:eastAsia="宋体" w:cs="Times New Roman"/>
          <w:b/>
          <w:bCs/>
          <w:color w:val="auto"/>
          <w:kern w:val="2"/>
          <w:sz w:val="21"/>
          <w:szCs w:val="21"/>
          <w:highlight w:val="none"/>
          <w:u w:val="none" w:color="auto"/>
          <w:lang w:val="en-US" w:eastAsia="zh-CN" w:bidi="ar-SA"/>
        </w:rPr>
        <w:t xml:space="preserve">  </w:t>
      </w:r>
      <w:r>
        <w:rPr>
          <w:rFonts w:hint="default" w:ascii="Times New Roman" w:hAnsi="Times New Roman" w:eastAsia="宋体" w:cs="Times New Roman"/>
          <w:b/>
          <w:bCs/>
          <w:color w:val="auto"/>
          <w:kern w:val="2"/>
          <w:sz w:val="21"/>
          <w:szCs w:val="21"/>
          <w:highlight w:val="none"/>
          <w:u w:val="none" w:color="auto"/>
          <w:lang w:val="zh-CN" w:eastAsia="zh-CN" w:bidi="ar-SA"/>
        </w:rPr>
        <w:t>DA001</w:t>
      </w:r>
      <w:r>
        <w:rPr>
          <w:rFonts w:hint="eastAsia" w:cs="Times New Roman"/>
          <w:b/>
          <w:bCs/>
          <w:color w:val="auto"/>
          <w:kern w:val="2"/>
          <w:sz w:val="21"/>
          <w:szCs w:val="21"/>
          <w:highlight w:val="none"/>
          <w:u w:val="none" w:color="auto"/>
          <w:lang w:val="zh-CN" w:eastAsia="zh-CN" w:bidi="ar-SA"/>
        </w:rPr>
        <w:t>熔铸废气</w:t>
      </w:r>
      <w:r>
        <w:rPr>
          <w:rFonts w:hint="default" w:ascii="Times New Roman" w:hAnsi="Times New Roman" w:eastAsia="宋体" w:cs="Times New Roman"/>
          <w:b/>
          <w:bCs/>
          <w:color w:val="auto"/>
          <w:kern w:val="2"/>
          <w:sz w:val="21"/>
          <w:szCs w:val="21"/>
          <w:highlight w:val="none"/>
          <w:u w:val="none" w:color="auto"/>
          <w:lang w:val="zh-CN" w:eastAsia="zh-CN" w:bidi="ar-SA"/>
        </w:rPr>
        <w:t>排气筒有组织废气</w:t>
      </w:r>
      <w:r>
        <w:rPr>
          <w:rFonts w:hint="eastAsia" w:cs="Times New Roman"/>
          <w:b/>
          <w:bCs/>
          <w:color w:val="auto"/>
          <w:kern w:val="2"/>
          <w:sz w:val="21"/>
          <w:szCs w:val="21"/>
          <w:highlight w:val="none"/>
          <w:u w:val="none" w:color="auto"/>
          <w:lang w:val="zh-CN" w:eastAsia="zh-CN" w:bidi="ar-SA"/>
        </w:rPr>
        <w:t>正常</w:t>
      </w:r>
      <w:r>
        <w:rPr>
          <w:rFonts w:hint="default" w:ascii="Times New Roman" w:hAnsi="Times New Roman" w:eastAsia="宋体" w:cs="Times New Roman"/>
          <w:b/>
          <w:bCs/>
          <w:color w:val="auto"/>
          <w:kern w:val="2"/>
          <w:sz w:val="21"/>
          <w:szCs w:val="21"/>
          <w:highlight w:val="none"/>
          <w:u w:val="none" w:color="auto"/>
          <w:lang w:val="zh-CN" w:eastAsia="zh-CN" w:bidi="ar-SA"/>
        </w:rPr>
        <w:t>排放预测结果表</w:t>
      </w:r>
    </w:p>
    <w:tbl>
      <w:tblPr>
        <w:tblStyle w:val="81"/>
        <w:tblW w:w="4999" w:type="pct"/>
        <w:tblInd w:w="0" w:type="dxa"/>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Layout w:type="autofit"/>
        <w:tblCellMar>
          <w:top w:w="0" w:type="dxa"/>
          <w:left w:w="0" w:type="dxa"/>
          <w:bottom w:w="0" w:type="dxa"/>
          <w:right w:w="0" w:type="dxa"/>
        </w:tblCellMar>
      </w:tblPr>
      <w:tblGrid>
        <w:gridCol w:w="801"/>
        <w:gridCol w:w="1317"/>
        <w:gridCol w:w="1145"/>
        <w:gridCol w:w="1486"/>
        <w:gridCol w:w="1203"/>
        <w:gridCol w:w="1153"/>
        <w:gridCol w:w="1215"/>
      </w:tblGrid>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restar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距源中心下风向距离</w:t>
            </w:r>
            <w:r>
              <w:rPr>
                <w:rFonts w:hint="eastAsia" w:eastAsia="宋体"/>
                <w:color w:val="000000"/>
                <w:sz w:val="21"/>
                <w:szCs w:val="21"/>
                <w:lang w:val="zh-CN" w:eastAsia="zh-CN"/>
              </w:rPr>
              <w:t>（</w:t>
            </w:r>
            <w:r>
              <w:rPr>
                <w:rFonts w:hint="eastAsia" w:eastAsia="宋体"/>
                <w:color w:val="000000"/>
                <w:sz w:val="21"/>
                <w:szCs w:val="21"/>
                <w:lang w:val="en-US" w:eastAsia="zh-CN"/>
              </w:rPr>
              <w:t>m</w:t>
            </w:r>
            <w:r>
              <w:rPr>
                <w:rFonts w:hint="eastAsia" w:eastAsia="宋体"/>
                <w:color w:val="000000"/>
                <w:sz w:val="21"/>
                <w:szCs w:val="21"/>
                <w:lang w:val="zh-CN" w:eastAsia="zh-CN"/>
              </w:rPr>
              <w:t>）</w:t>
            </w:r>
          </w:p>
        </w:tc>
        <w:tc>
          <w:tcPr>
            <w:tcW w:w="4518" w:type="pct"/>
            <w:gridSpan w:val="6"/>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DA001</w:t>
            </w:r>
            <w:r>
              <w:rPr>
                <w:rFonts w:hint="eastAsia" w:eastAsia="宋体"/>
                <w:color w:val="000000"/>
                <w:sz w:val="21"/>
                <w:szCs w:val="21"/>
                <w:lang w:val="zh-CN" w:eastAsia="zh-CN"/>
              </w:rPr>
              <w:t>熔铸废气</w:t>
            </w:r>
            <w:r>
              <w:rPr>
                <w:rFonts w:hint="default" w:eastAsia="宋体"/>
                <w:color w:val="000000"/>
                <w:sz w:val="21"/>
                <w:szCs w:val="21"/>
                <w:lang w:val="zh-CN" w:eastAsia="zh-CN"/>
              </w:rPr>
              <w:t>排气筒</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1479"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PM</w:t>
            </w:r>
            <w:r>
              <w:rPr>
                <w:rFonts w:hint="eastAsia" w:eastAsia="宋体"/>
                <w:color w:val="000000"/>
                <w:sz w:val="21"/>
                <w:szCs w:val="21"/>
                <w:vertAlign w:val="subscript"/>
                <w:lang w:val="en-US" w:eastAsia="zh-CN"/>
              </w:rPr>
              <w:t>10</w:t>
            </w:r>
          </w:p>
        </w:tc>
        <w:tc>
          <w:tcPr>
            <w:tcW w:w="1616"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甲醛</w:t>
            </w:r>
          </w:p>
        </w:tc>
        <w:tc>
          <w:tcPr>
            <w:tcW w:w="1422"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TVOC</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693"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 （mg/m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9"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 0.4065 </w:t>
            </w:r>
          </w:p>
        </w:tc>
        <w:tc>
          <w:tcPr>
            <w:tcW w:w="688"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0.090333333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0.7564E-02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0.00015128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0.2371</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0.000197583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21</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1.35</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0.025</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0.05</w:t>
            </w:r>
          </w:p>
        </w:tc>
        <w:tc>
          <w:tcPr>
            <w:tcW w:w="6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0.84</w:t>
            </w:r>
          </w:p>
        </w:tc>
        <w:tc>
          <w:tcPr>
            <w:tcW w:w="729"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1.218</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0.270666667</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0.2267E-01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0.0004534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0.7105</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0.059208333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1.103</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0.245111111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0.2052E-01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0.0004104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0.6432</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0.0536</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0.8799</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0.195533333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0.1637E-01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0.0003274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0.5132</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0.042766667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0.7576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0.168355556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0.1410E-01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0.000282</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0.4419</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0.036825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125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0.6818</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0.151511111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0.1269E-01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0.0002538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0.3977</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0.033141667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0.6660</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0.148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0.1240E-01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0.000248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0.3885</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0.032375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175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0.6224</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0.138311111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0.1158E-01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0.0002316</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0.3630</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0.03025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0.6164</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0.136977778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0.1147E-01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0.0002294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0.3595 </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0.029958333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300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0.6838</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0.151955556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0.1273E-01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0.0002546</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0.3989 </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0.033241667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400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0.6269</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0.139311111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0.1167E-01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0.0002334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0.3657 </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0.030475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0.5524</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0.122755556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0.1028E-01</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0.0002056</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0.3222</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0.02685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600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0.4836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0.107466667</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0.9000E-02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0.2821</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0.023508333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0.4244</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0.094311111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0.7899E-02 </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0.00015798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0.2476</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0.020633333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800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0.3749</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0.083311111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0.6977E-02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0.00013954</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0.2187</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0.018225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900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0.3336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0.074133333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0.6209E-02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0.00012418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0.1946</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0.016216667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0.2991</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0.066466667</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0.5566E-02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0.00011132</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0.1745</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0.014541667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0.1897</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0.042155556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0.3531E-02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0.00007062</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0.1107</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0.009225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0.1340</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0.029777778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0.2494E-02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0.00004988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0.7817E-01</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0.006514167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0.1012</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0.022488889</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0.1884E-02</w:t>
            </w:r>
          </w:p>
        </w:tc>
        <w:tc>
          <w:tcPr>
            <w:tcW w:w="72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0.00003768</w:t>
            </w:r>
          </w:p>
        </w:tc>
        <w:tc>
          <w:tcPr>
            <w:tcW w:w="693"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0.5904E-01</w:t>
            </w:r>
          </w:p>
        </w:tc>
        <w:tc>
          <w:tcPr>
            <w:tcW w:w="729"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0.00492</w:t>
            </w:r>
          </w:p>
        </w:tc>
      </w:tr>
    </w:tbl>
    <w:p>
      <w:pPr>
        <w:pStyle w:val="16"/>
        <w:pageBreakBefore w:val="0"/>
        <w:kinsoku/>
        <w:wordWrap/>
        <w:topLinePunct w:val="0"/>
        <w:bidi w:val="0"/>
        <w:spacing w:line="360" w:lineRule="auto"/>
        <w:ind w:left="0" w:right="0" w:firstLine="483"/>
        <w:jc w:val="both"/>
        <w:rPr>
          <w:rFonts w:hint="default" w:ascii="Times New Roman" w:hAnsi="Times New Roman" w:eastAsia="宋体" w:cs="Times New Roman"/>
          <w:color w:val="auto"/>
          <w:kern w:val="2"/>
          <w:sz w:val="24"/>
          <w:szCs w:val="24"/>
          <w:highlight w:val="none"/>
          <w:u w:val="none" w:color="auto"/>
          <w:lang w:val="zh-CN" w:eastAsia="zh-CN" w:bidi="ar-SA"/>
        </w:rPr>
      </w:pPr>
      <w:r>
        <w:rPr>
          <w:rFonts w:hint="default" w:ascii="Times New Roman" w:hAnsi="Times New Roman" w:eastAsia="宋体" w:cs="Times New Roman"/>
          <w:color w:val="auto"/>
          <w:kern w:val="2"/>
          <w:sz w:val="24"/>
          <w:szCs w:val="24"/>
          <w:highlight w:val="none"/>
          <w:u w:val="none" w:color="auto"/>
          <w:lang w:val="zh-CN" w:eastAsia="zh-CN" w:bidi="ar-SA"/>
        </w:rPr>
        <w:t>根据上表可以看出，</w:t>
      </w:r>
      <w:r>
        <w:rPr>
          <w:rFonts w:hint="eastAsia" w:cs="Times New Roman"/>
          <w:color w:val="auto"/>
          <w:kern w:val="2"/>
          <w:sz w:val="24"/>
          <w:szCs w:val="24"/>
          <w:highlight w:val="none"/>
          <w:u w:val="none" w:color="auto"/>
          <w:lang w:val="zh-CN" w:eastAsia="zh-CN" w:bidi="ar-SA"/>
        </w:rPr>
        <w:t>熔铸废气排气筒正常排放的</w:t>
      </w:r>
      <w:r>
        <w:rPr>
          <w:rFonts w:hint="default" w:ascii="Times New Roman" w:hAnsi="Times New Roman" w:eastAsia="宋体" w:cs="Times New Roman"/>
          <w:color w:val="auto"/>
          <w:kern w:val="2"/>
          <w:sz w:val="24"/>
          <w:szCs w:val="24"/>
          <w:highlight w:val="none"/>
          <w:u w:val="none" w:color="auto"/>
          <w:lang w:val="zh-CN" w:eastAsia="zh-CN" w:bidi="ar-SA"/>
        </w:rPr>
        <w:t>大气污染物</w:t>
      </w:r>
      <w:r>
        <w:rPr>
          <w:rFonts w:hint="eastAsia" w:cs="Times New Roman"/>
          <w:color w:val="auto"/>
          <w:kern w:val="2"/>
          <w:sz w:val="24"/>
          <w:szCs w:val="24"/>
          <w:highlight w:val="none"/>
          <w:u w:val="none" w:color="auto"/>
          <w:lang w:val="zh-CN" w:eastAsia="zh-CN" w:bidi="ar-SA"/>
        </w:rPr>
        <w:t>中</w:t>
      </w:r>
      <w:r>
        <w:rPr>
          <w:rFonts w:hint="eastAsia" w:cs="Times New Roman"/>
          <w:color w:val="auto"/>
          <w:kern w:val="2"/>
          <w:sz w:val="24"/>
          <w:szCs w:val="24"/>
          <w:highlight w:val="none"/>
          <w:u w:val="none" w:color="auto"/>
          <w:lang w:val="en-US" w:eastAsia="zh-CN" w:bidi="ar-SA"/>
        </w:rPr>
        <w:t>PM</w:t>
      </w:r>
      <w:r>
        <w:rPr>
          <w:rFonts w:hint="eastAsia" w:cs="Times New Roman"/>
          <w:color w:val="auto"/>
          <w:kern w:val="2"/>
          <w:sz w:val="24"/>
          <w:szCs w:val="24"/>
          <w:highlight w:val="none"/>
          <w:u w:val="none" w:color="auto"/>
          <w:vertAlign w:val="subscript"/>
          <w:lang w:val="en-US" w:eastAsia="zh-CN" w:bidi="ar-SA"/>
        </w:rPr>
        <w:t>10</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1.35</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0.3</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，甲醛</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0.025</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0.05</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en-US" w:eastAsia="zh-CN" w:bidi="ar-SA"/>
        </w:rPr>
        <w:t>TVOC</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0.84</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0.07</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熔铸废气</w:t>
      </w:r>
      <w:r>
        <w:rPr>
          <w:rFonts w:hint="default" w:ascii="Times New Roman" w:hAnsi="Times New Roman" w:eastAsia="宋体" w:cs="Times New Roman"/>
          <w:color w:val="auto"/>
          <w:kern w:val="2"/>
          <w:sz w:val="24"/>
          <w:szCs w:val="24"/>
          <w:highlight w:val="none"/>
          <w:u w:val="none" w:color="auto"/>
          <w:lang w:val="zh-CN" w:eastAsia="zh-CN" w:bidi="ar-SA"/>
        </w:rPr>
        <w:t>经处理后能实现达标排放</w:t>
      </w:r>
      <w:r>
        <w:rPr>
          <w:rFonts w:hint="eastAsia" w:eastAsia="宋体" w:cs="Times New Roman"/>
          <w:color w:val="auto"/>
          <w:kern w:val="2"/>
          <w:sz w:val="24"/>
          <w:szCs w:val="24"/>
          <w:highlight w:val="none"/>
          <w:u w:val="none" w:color="auto"/>
          <w:lang w:val="zh-CN" w:eastAsia="zh-CN" w:bidi="ar-SA"/>
        </w:rPr>
        <w:t>，</w:t>
      </w:r>
      <w:r>
        <w:rPr>
          <w:rFonts w:hint="default" w:ascii="Times New Roman" w:hAnsi="Times New Roman" w:eastAsia="宋体" w:cs="Times New Roman"/>
          <w:color w:val="auto"/>
          <w:kern w:val="2"/>
          <w:sz w:val="24"/>
          <w:szCs w:val="24"/>
          <w:highlight w:val="none"/>
          <w:u w:val="none" w:color="auto"/>
          <w:lang w:val="zh-CN" w:eastAsia="zh-CN" w:bidi="ar-SA"/>
        </w:rPr>
        <w:t>污染物落地浓度满足</w:t>
      </w:r>
      <w:r>
        <w:rPr>
          <w:rFonts w:hint="eastAsia" w:cs="Times New Roman"/>
          <w:color w:val="auto"/>
          <w:kern w:val="2"/>
          <w:sz w:val="24"/>
          <w:szCs w:val="24"/>
          <w:highlight w:val="none"/>
          <w:u w:val="none" w:color="auto"/>
          <w:lang w:val="zh-CN" w:eastAsia="zh-CN" w:bidi="ar-SA"/>
        </w:rPr>
        <w:t>《环境空气质量标准》（</w:t>
      </w:r>
      <w:r>
        <w:rPr>
          <w:rFonts w:hint="eastAsia" w:cs="Times New Roman"/>
          <w:color w:val="auto"/>
          <w:kern w:val="2"/>
          <w:sz w:val="24"/>
          <w:szCs w:val="24"/>
          <w:highlight w:val="none"/>
          <w:u w:val="none" w:color="auto"/>
          <w:lang w:val="en-US" w:eastAsia="zh-CN" w:bidi="ar-SA"/>
        </w:rPr>
        <w:t>GB3095-2012</w:t>
      </w:r>
      <w:r>
        <w:rPr>
          <w:rFonts w:hint="eastAsia" w:cs="Times New Roman"/>
          <w:color w:val="auto"/>
          <w:kern w:val="2"/>
          <w:sz w:val="24"/>
          <w:szCs w:val="24"/>
          <w:highlight w:val="none"/>
          <w:u w:val="none" w:color="auto"/>
          <w:lang w:val="zh-CN" w:eastAsia="zh-CN" w:bidi="ar-SA"/>
        </w:rPr>
        <w:t>）二级标准及</w:t>
      </w:r>
      <w:r>
        <w:rPr>
          <w:rFonts w:hint="eastAsia" w:ascii="Times New Roman" w:hAnsi="Times New Roman" w:cs="Times New Roman"/>
          <w:color w:val="auto"/>
          <w:kern w:val="2"/>
          <w:sz w:val="24"/>
          <w:szCs w:val="24"/>
          <w:highlight w:val="none"/>
          <w:u w:val="none" w:color="auto"/>
          <w:lang w:val="zh-CN" w:eastAsia="zh-CN" w:bidi="ar-SA"/>
        </w:rPr>
        <w:t>《</w:t>
      </w:r>
      <w:r>
        <w:rPr>
          <w:rFonts w:hint="default" w:ascii="Times New Roman" w:hAnsi="Times New Roman" w:eastAsia="宋体" w:cs="Times New Roman"/>
          <w:color w:val="auto"/>
          <w:kern w:val="2"/>
          <w:sz w:val="24"/>
          <w:szCs w:val="24"/>
          <w:highlight w:val="none"/>
          <w:u w:val="none" w:color="auto"/>
          <w:lang w:val="zh-CN" w:eastAsia="zh-CN" w:bidi="ar-SA"/>
        </w:rPr>
        <w:t>环境影响评价技术导则 大气环境》（HJ2.2-2018）附录D限值中的相关规定。</w:t>
      </w:r>
    </w:p>
    <w:p>
      <w:pPr>
        <w:pStyle w:val="16"/>
        <w:pageBreakBefore w:val="0"/>
        <w:kinsoku/>
        <w:wordWrap/>
        <w:topLinePunct w:val="0"/>
        <w:bidi w:val="0"/>
        <w:spacing w:line="240" w:lineRule="auto"/>
        <w:ind w:left="0" w:right="0" w:firstLine="483"/>
        <w:jc w:val="center"/>
        <w:rPr>
          <w:rFonts w:hint="default" w:ascii="Times New Roman" w:hAnsi="Times New Roman" w:eastAsia="宋体" w:cs="Times New Roman"/>
          <w:b/>
          <w:bCs/>
          <w:color w:val="auto"/>
          <w:kern w:val="2"/>
          <w:sz w:val="21"/>
          <w:szCs w:val="21"/>
          <w:highlight w:val="none"/>
          <w:u w:val="none" w:color="auto"/>
          <w:lang w:val="zh-CN" w:eastAsia="zh-CN" w:bidi="ar-SA"/>
        </w:rPr>
      </w:pPr>
      <w:r>
        <w:rPr>
          <w:rFonts w:hint="default" w:ascii="Times New Roman" w:hAnsi="Times New Roman" w:eastAsia="宋体" w:cs="Times New Roman"/>
          <w:b/>
          <w:bCs/>
          <w:color w:val="auto"/>
          <w:kern w:val="2"/>
          <w:sz w:val="21"/>
          <w:szCs w:val="21"/>
          <w:highlight w:val="none"/>
          <w:u w:val="none" w:color="auto"/>
          <w:lang w:val="zh-CN" w:eastAsia="zh-CN" w:bidi="ar-SA"/>
        </w:rPr>
        <w:t>表</w:t>
      </w:r>
      <w:r>
        <w:rPr>
          <w:rFonts w:hint="eastAsia" w:cs="Times New Roman"/>
          <w:b/>
          <w:bCs/>
          <w:color w:val="auto"/>
          <w:kern w:val="2"/>
          <w:sz w:val="21"/>
          <w:szCs w:val="21"/>
          <w:highlight w:val="none"/>
          <w:u w:val="none" w:color="auto"/>
          <w:lang w:val="en-US" w:eastAsia="zh-CN" w:bidi="ar-SA"/>
        </w:rPr>
        <w:t>6.1-2</w:t>
      </w:r>
      <w:r>
        <w:rPr>
          <w:rFonts w:hint="eastAsia" w:ascii="Times New Roman" w:hAnsi="Times New Roman" w:eastAsia="宋体" w:cs="Times New Roman"/>
          <w:b/>
          <w:bCs/>
          <w:color w:val="auto"/>
          <w:kern w:val="2"/>
          <w:sz w:val="21"/>
          <w:szCs w:val="21"/>
          <w:highlight w:val="none"/>
          <w:u w:val="none" w:color="auto"/>
          <w:lang w:val="en-US" w:eastAsia="zh-CN" w:bidi="ar-SA"/>
        </w:rPr>
        <w:t xml:space="preserve">  </w:t>
      </w:r>
      <w:r>
        <w:rPr>
          <w:rFonts w:hint="default" w:ascii="Times New Roman" w:hAnsi="Times New Roman" w:eastAsia="宋体" w:cs="Times New Roman"/>
          <w:b/>
          <w:bCs/>
          <w:color w:val="auto"/>
          <w:kern w:val="2"/>
          <w:sz w:val="21"/>
          <w:szCs w:val="21"/>
          <w:highlight w:val="none"/>
          <w:u w:val="none" w:color="auto"/>
          <w:lang w:val="zh-CN" w:eastAsia="zh-CN" w:bidi="ar-SA"/>
        </w:rPr>
        <w:t>DA001</w:t>
      </w:r>
      <w:r>
        <w:rPr>
          <w:rFonts w:hint="eastAsia" w:cs="Times New Roman"/>
          <w:b/>
          <w:bCs/>
          <w:color w:val="auto"/>
          <w:kern w:val="2"/>
          <w:sz w:val="21"/>
          <w:szCs w:val="21"/>
          <w:highlight w:val="none"/>
          <w:u w:val="none" w:color="auto"/>
          <w:lang w:val="zh-CN" w:eastAsia="zh-CN" w:bidi="ar-SA"/>
        </w:rPr>
        <w:t>熔铸废气</w:t>
      </w:r>
      <w:r>
        <w:rPr>
          <w:rFonts w:hint="default" w:ascii="Times New Roman" w:hAnsi="Times New Roman" w:eastAsia="宋体" w:cs="Times New Roman"/>
          <w:b/>
          <w:bCs/>
          <w:color w:val="auto"/>
          <w:kern w:val="2"/>
          <w:sz w:val="21"/>
          <w:szCs w:val="21"/>
          <w:highlight w:val="none"/>
          <w:u w:val="none" w:color="auto"/>
          <w:lang w:val="zh-CN" w:eastAsia="zh-CN" w:bidi="ar-SA"/>
        </w:rPr>
        <w:t>排气筒有组织废气</w:t>
      </w:r>
      <w:r>
        <w:rPr>
          <w:rFonts w:hint="eastAsia" w:eastAsia="宋体" w:cs="Times New Roman"/>
          <w:b/>
          <w:bCs/>
          <w:color w:val="auto"/>
          <w:kern w:val="2"/>
          <w:sz w:val="21"/>
          <w:szCs w:val="21"/>
          <w:highlight w:val="none"/>
          <w:u w:val="none" w:color="auto"/>
          <w:lang w:val="zh-CN" w:eastAsia="zh-CN" w:bidi="ar-SA"/>
        </w:rPr>
        <w:t>非</w:t>
      </w:r>
      <w:r>
        <w:rPr>
          <w:rFonts w:hint="eastAsia" w:cs="Times New Roman"/>
          <w:b/>
          <w:bCs/>
          <w:color w:val="auto"/>
          <w:kern w:val="2"/>
          <w:sz w:val="21"/>
          <w:szCs w:val="21"/>
          <w:highlight w:val="none"/>
          <w:u w:val="none" w:color="auto"/>
          <w:lang w:val="zh-CN" w:eastAsia="zh-CN" w:bidi="ar-SA"/>
        </w:rPr>
        <w:t>正常</w:t>
      </w:r>
      <w:r>
        <w:rPr>
          <w:rFonts w:hint="default" w:ascii="Times New Roman" w:hAnsi="Times New Roman" w:eastAsia="宋体" w:cs="Times New Roman"/>
          <w:b/>
          <w:bCs/>
          <w:color w:val="auto"/>
          <w:kern w:val="2"/>
          <w:sz w:val="21"/>
          <w:szCs w:val="21"/>
          <w:highlight w:val="none"/>
          <w:u w:val="none" w:color="auto"/>
          <w:lang w:val="zh-CN" w:eastAsia="zh-CN" w:bidi="ar-SA"/>
        </w:rPr>
        <w:t>排放预测结果表</w:t>
      </w:r>
    </w:p>
    <w:tbl>
      <w:tblPr>
        <w:tblStyle w:val="81"/>
        <w:tblW w:w="5008" w:type="pct"/>
        <w:tblInd w:w="0" w:type="dxa"/>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Layout w:type="autofit"/>
        <w:tblCellMar>
          <w:top w:w="0" w:type="dxa"/>
          <w:left w:w="0" w:type="dxa"/>
          <w:bottom w:w="0" w:type="dxa"/>
          <w:right w:w="0" w:type="dxa"/>
        </w:tblCellMar>
      </w:tblPr>
      <w:tblGrid>
        <w:gridCol w:w="802"/>
        <w:gridCol w:w="1320"/>
        <w:gridCol w:w="1147"/>
        <w:gridCol w:w="1490"/>
        <w:gridCol w:w="1205"/>
        <w:gridCol w:w="1157"/>
        <w:gridCol w:w="1214"/>
      </w:tblGrid>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restar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距源中心下风向距离</w:t>
            </w:r>
            <w:r>
              <w:rPr>
                <w:rFonts w:hint="eastAsia" w:eastAsia="宋体"/>
                <w:color w:val="000000"/>
                <w:sz w:val="21"/>
                <w:szCs w:val="21"/>
                <w:lang w:val="zh-CN" w:eastAsia="zh-CN"/>
              </w:rPr>
              <w:t>（</w:t>
            </w:r>
            <w:r>
              <w:rPr>
                <w:rFonts w:hint="eastAsia" w:eastAsia="宋体"/>
                <w:color w:val="000000"/>
                <w:sz w:val="21"/>
                <w:szCs w:val="21"/>
                <w:lang w:val="en-US" w:eastAsia="zh-CN"/>
              </w:rPr>
              <w:t>m</w:t>
            </w:r>
            <w:r>
              <w:rPr>
                <w:rFonts w:hint="eastAsia" w:eastAsia="宋体"/>
                <w:color w:val="000000"/>
                <w:sz w:val="21"/>
                <w:szCs w:val="21"/>
                <w:lang w:val="zh-CN" w:eastAsia="zh-CN"/>
              </w:rPr>
              <w:t>）</w:t>
            </w:r>
          </w:p>
        </w:tc>
        <w:tc>
          <w:tcPr>
            <w:tcW w:w="4518" w:type="pct"/>
            <w:gridSpan w:val="6"/>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DA001</w:t>
            </w:r>
            <w:r>
              <w:rPr>
                <w:rFonts w:hint="eastAsia" w:eastAsia="宋体"/>
                <w:color w:val="000000"/>
                <w:sz w:val="21"/>
                <w:szCs w:val="21"/>
                <w:lang w:val="zh-CN" w:eastAsia="zh-CN"/>
              </w:rPr>
              <w:t>熔铸废气</w:t>
            </w:r>
            <w:r>
              <w:rPr>
                <w:rFonts w:hint="default" w:eastAsia="宋体"/>
                <w:color w:val="000000"/>
                <w:sz w:val="21"/>
                <w:szCs w:val="21"/>
                <w:lang w:val="zh-CN" w:eastAsia="zh-CN"/>
              </w:rPr>
              <w:t>排气筒</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1480"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TSP</w:t>
            </w:r>
          </w:p>
        </w:tc>
        <w:tc>
          <w:tcPr>
            <w:tcW w:w="1617"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甲醛</w:t>
            </w:r>
          </w:p>
        </w:tc>
        <w:tc>
          <w:tcPr>
            <w:tcW w:w="1420"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TVOC</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894"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694"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 （mg/m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6"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8.141</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0.904555556</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0.7564E-02</w:t>
            </w:r>
          </w:p>
        </w:tc>
        <w:tc>
          <w:tcPr>
            <w:tcW w:w="1203" w:type="dxa"/>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ascii="Times New Roman" w:hAnsi="Times New Roman" w:eastAsia="宋体" w:cs="Times New Roman"/>
                <w:i w:val="0"/>
                <w:iCs w:val="0"/>
                <w:color w:val="000000"/>
                <w:kern w:val="2"/>
                <w:sz w:val="21"/>
                <w:szCs w:val="21"/>
                <w:u w:val="none"/>
                <w:lang w:val="zh-CN" w:eastAsia="zh-CN" w:bidi="ar-SA"/>
              </w:rPr>
            </w:pPr>
            <w:r>
              <w:rPr>
                <w:rFonts w:hint="default" w:eastAsia="宋体"/>
                <w:color w:val="000000"/>
                <w:sz w:val="21"/>
                <w:szCs w:val="21"/>
                <w:lang w:val="en-US" w:eastAsia="zh-CN"/>
              </w:rPr>
              <w:t>0.00015128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0.2371</w:t>
            </w:r>
          </w:p>
        </w:tc>
        <w:tc>
          <w:tcPr>
            <w:tcW w:w="1209" w:type="dxa"/>
            <w:tcBorders>
              <w:tl2br w:val="nil"/>
              <w:tr2bl w:val="nil"/>
            </w:tcBorders>
            <w:shd w:val="clear" w:color="auto" w:fill="auto"/>
            <w:noWrap w:val="0"/>
            <w:vAlign w:val="center"/>
          </w:tcPr>
          <w:p>
            <w:pPr>
              <w:autoSpaceDE w:val="0"/>
              <w:autoSpaceDN w:val="0"/>
              <w:spacing w:line="240" w:lineRule="auto"/>
              <w:ind w:firstLine="0" w:firstLineChars="0"/>
              <w:jc w:val="center"/>
              <w:rPr>
                <w:rFonts w:hint="eastAsia" w:ascii="宋体" w:hAnsi="宋体" w:eastAsia="宋体" w:cs="宋体"/>
                <w:i w:val="0"/>
                <w:iCs w:val="0"/>
                <w:color w:val="000000"/>
                <w:kern w:val="2"/>
                <w:sz w:val="22"/>
                <w:szCs w:val="22"/>
                <w:u w:val="none"/>
                <w:lang w:val="en-US" w:eastAsia="zh-CN" w:bidi="ar-SA"/>
              </w:rPr>
            </w:pPr>
            <w:r>
              <w:rPr>
                <w:rFonts w:hint="eastAsia" w:eastAsia="宋体"/>
                <w:color w:val="000000"/>
                <w:sz w:val="21"/>
                <w:szCs w:val="21"/>
                <w:lang w:val="en-US" w:eastAsia="zh-CN"/>
              </w:rPr>
              <w:t>0.000197583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21</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26.91</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default" w:eastAsia="宋体"/>
                <w:color w:val="000000"/>
                <w:sz w:val="21"/>
                <w:szCs w:val="21"/>
                <w:lang w:val="en-US" w:eastAsia="zh-CN"/>
              </w:rPr>
              <w:t>2.99</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0.025</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0.05</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0.84</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24.40</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2.711111111</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0.2267E-01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0.0004534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0.7105</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0.059208333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 22.09</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2.454444444</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0.2052E-01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0.0004104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0.6432</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0.0536</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75</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17.62</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1.957777778</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0.1637E-01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0.0003274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0.5132</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0.042766667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15.17</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1.685555556</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0.1410E-01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0.000282</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0.4419</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0.036825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125</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13.66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1.517777778</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0.1269E-01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0.0002538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0.3977</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0.033141667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13.34</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1.482222222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0.1240E-01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0.000248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0.3885</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0.032375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175</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12.47 </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1.385555556</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0.1158E-01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0.0002316</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0.3630</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0.03025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12.35</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1.372222222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0.1147E-01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0.0002294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0.3595 </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0.029958333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300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13.70</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1.522222222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0.1273E-01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0.0002546</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0.3989 </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0.033241667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400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12.56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1.395555556</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0.1167E-01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0.0002334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 xml:space="preserve">0.3657 </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0.030475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11.06</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1.228888889</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0.1028E-01</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0.0002056</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0.3222</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0.02685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600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9.687</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1.076333333</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0.9000E-02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0.2821</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0.023508333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8.502</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0.944666667</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0.7899E-02 </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0.00015798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0.2476</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0.020633333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800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7.510 </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0.834444444</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0.6977E-02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0.00013954</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0.2187</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0.018225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900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6.683</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0.742555556</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0.6209E-02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0.00012418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0.1946</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0.016216667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5.991</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0.665666667</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0.5566E-02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0.00011132</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0.1745</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0.014541667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3.800</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0.422222222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0.3531E-02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0.00007062</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0.1107</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0.009225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2.684 </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0.298222222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0.2494E-02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0.00004988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0.7817E-01</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0.006514167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2500</w:t>
            </w:r>
          </w:p>
        </w:tc>
        <w:tc>
          <w:tcPr>
            <w:tcW w:w="79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2.027</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0.225222222</w:t>
            </w:r>
          </w:p>
        </w:tc>
        <w:tc>
          <w:tcPr>
            <w:tcW w:w="1488"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0.1884E-02</w:t>
            </w:r>
          </w:p>
        </w:tc>
        <w:tc>
          <w:tcPr>
            <w:tcW w:w="120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0.00003768</w:t>
            </w:r>
          </w:p>
        </w:tc>
        <w:tc>
          <w:tcPr>
            <w:tcW w:w="1155"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0.5904E-01</w:t>
            </w:r>
          </w:p>
        </w:tc>
        <w:tc>
          <w:tcPr>
            <w:tcW w:w="1209"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0.00492</w:t>
            </w:r>
          </w:p>
        </w:tc>
      </w:tr>
    </w:tbl>
    <w:p>
      <w:pPr>
        <w:pStyle w:val="16"/>
        <w:pageBreakBefore w:val="0"/>
        <w:kinsoku/>
        <w:wordWrap/>
        <w:topLinePunct w:val="0"/>
        <w:bidi w:val="0"/>
        <w:spacing w:line="360" w:lineRule="auto"/>
        <w:ind w:left="0" w:right="0" w:firstLine="483"/>
        <w:jc w:val="both"/>
        <w:rPr>
          <w:rFonts w:hint="default" w:ascii="Times New Roman" w:hAnsi="Times New Roman" w:eastAsia="宋体" w:cs="Times New Roman"/>
          <w:color w:val="auto"/>
          <w:kern w:val="2"/>
          <w:sz w:val="24"/>
          <w:szCs w:val="24"/>
          <w:highlight w:val="none"/>
          <w:u w:val="none" w:color="auto"/>
          <w:lang w:val="zh-CN" w:eastAsia="zh-CN" w:bidi="ar-SA"/>
        </w:rPr>
      </w:pPr>
      <w:r>
        <w:rPr>
          <w:rFonts w:hint="default" w:ascii="Times New Roman" w:hAnsi="Times New Roman" w:eastAsia="宋体" w:cs="Times New Roman"/>
          <w:color w:val="auto"/>
          <w:kern w:val="2"/>
          <w:sz w:val="24"/>
          <w:szCs w:val="24"/>
          <w:highlight w:val="none"/>
          <w:u w:val="none" w:color="auto"/>
          <w:lang w:val="zh-CN" w:eastAsia="zh-CN" w:bidi="ar-SA"/>
        </w:rPr>
        <w:t>根据上表可以看出，</w:t>
      </w:r>
      <w:r>
        <w:rPr>
          <w:rFonts w:hint="eastAsia" w:cs="Times New Roman"/>
          <w:color w:val="auto"/>
          <w:kern w:val="2"/>
          <w:sz w:val="24"/>
          <w:szCs w:val="24"/>
          <w:highlight w:val="none"/>
          <w:u w:val="none" w:color="auto"/>
          <w:lang w:val="zh-CN" w:eastAsia="zh-CN" w:bidi="ar-SA"/>
        </w:rPr>
        <w:t>熔铸废气</w:t>
      </w:r>
      <w:r>
        <w:rPr>
          <w:rFonts w:hint="default" w:cs="Times New Roman"/>
          <w:color w:val="auto"/>
          <w:kern w:val="2"/>
          <w:sz w:val="24"/>
          <w:szCs w:val="24"/>
          <w:highlight w:val="none"/>
          <w:u w:val="none" w:color="auto"/>
          <w:lang w:eastAsia="zh-CN" w:bidi="ar-SA"/>
        </w:rPr>
        <w:t>非</w:t>
      </w:r>
      <w:r>
        <w:rPr>
          <w:rFonts w:hint="eastAsia" w:cs="Times New Roman"/>
          <w:color w:val="auto"/>
          <w:kern w:val="2"/>
          <w:sz w:val="24"/>
          <w:szCs w:val="24"/>
          <w:highlight w:val="none"/>
          <w:u w:val="none" w:color="auto"/>
          <w:lang w:val="zh-CN" w:eastAsia="zh-CN" w:bidi="ar-SA"/>
        </w:rPr>
        <w:t>正常排放的</w:t>
      </w:r>
      <w:r>
        <w:rPr>
          <w:rFonts w:hint="default" w:ascii="Times New Roman" w:hAnsi="Times New Roman" w:eastAsia="宋体" w:cs="Times New Roman"/>
          <w:color w:val="auto"/>
          <w:kern w:val="2"/>
          <w:sz w:val="24"/>
          <w:szCs w:val="24"/>
          <w:highlight w:val="none"/>
          <w:u w:val="none" w:color="auto"/>
          <w:lang w:val="zh-CN" w:eastAsia="zh-CN" w:bidi="ar-SA"/>
        </w:rPr>
        <w:t>大气污染物</w:t>
      </w:r>
      <w:r>
        <w:rPr>
          <w:rFonts w:hint="eastAsia" w:cs="Times New Roman"/>
          <w:color w:val="auto"/>
          <w:kern w:val="2"/>
          <w:sz w:val="24"/>
          <w:szCs w:val="24"/>
          <w:highlight w:val="none"/>
          <w:u w:val="none" w:color="auto"/>
          <w:lang w:val="zh-CN" w:eastAsia="zh-CN" w:bidi="ar-SA"/>
        </w:rPr>
        <w:t>中</w:t>
      </w:r>
      <w:r>
        <w:rPr>
          <w:rFonts w:hint="default" w:cs="Times New Roman"/>
          <w:color w:val="auto"/>
          <w:kern w:val="2"/>
          <w:sz w:val="24"/>
          <w:szCs w:val="24"/>
          <w:highlight w:val="none"/>
          <w:u w:val="none" w:color="auto"/>
          <w:lang w:eastAsia="zh-CN" w:bidi="ar-SA"/>
        </w:rPr>
        <w:t>TSP</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default" w:cs="Times New Roman"/>
          <w:color w:val="auto"/>
          <w:kern w:val="2"/>
          <w:sz w:val="24"/>
          <w:szCs w:val="24"/>
          <w:highlight w:val="none"/>
          <w:u w:val="none" w:color="auto"/>
          <w:lang w:eastAsia="zh-CN" w:bidi="ar-SA"/>
        </w:rPr>
        <w:t>26.91</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default" w:cs="Times New Roman"/>
          <w:color w:val="auto"/>
          <w:kern w:val="2"/>
          <w:sz w:val="24"/>
          <w:szCs w:val="24"/>
          <w:highlight w:val="none"/>
          <w:u w:val="none" w:color="auto"/>
          <w:lang w:eastAsia="zh-CN" w:bidi="ar-SA"/>
        </w:rPr>
        <w:t>2.99</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，甲醛</w:t>
      </w:r>
      <w:r>
        <w:rPr>
          <w:rFonts w:hint="default" w:cs="Times New Roman"/>
          <w:color w:val="auto"/>
          <w:kern w:val="2"/>
          <w:sz w:val="24"/>
          <w:szCs w:val="24"/>
          <w:highlight w:val="none"/>
          <w:u w:val="none" w:color="auto"/>
          <w:lang w:eastAsia="zh-CN" w:bidi="ar-SA"/>
        </w:rPr>
        <w:t>、</w:t>
      </w:r>
      <w:r>
        <w:rPr>
          <w:rFonts w:hint="eastAsia" w:cs="Times New Roman"/>
          <w:color w:val="auto"/>
          <w:kern w:val="2"/>
          <w:sz w:val="24"/>
          <w:szCs w:val="24"/>
          <w:highlight w:val="none"/>
          <w:u w:val="none" w:color="auto"/>
          <w:lang w:val="en-US" w:eastAsia="zh-CN" w:bidi="ar-SA"/>
        </w:rPr>
        <w:t>TVOC</w:t>
      </w:r>
      <w:r>
        <w:rPr>
          <w:rFonts w:hint="default" w:cs="Times New Roman"/>
          <w:color w:val="auto"/>
          <w:kern w:val="2"/>
          <w:sz w:val="24"/>
          <w:szCs w:val="24"/>
          <w:highlight w:val="none"/>
          <w:u w:val="none" w:color="auto"/>
          <w:lang w:eastAsia="zh-CN" w:bidi="ar-SA"/>
        </w:rPr>
        <w:t>于正常排放情况落地浓度一致，非正常排放情况TSP最大落地浓度</w:t>
      </w:r>
      <w:r>
        <w:rPr>
          <w:rFonts w:hint="eastAsia" w:cs="Times New Roman"/>
          <w:color w:val="auto"/>
          <w:kern w:val="2"/>
          <w:sz w:val="24"/>
          <w:szCs w:val="24"/>
          <w:highlight w:val="none"/>
          <w:u w:val="none" w:color="auto"/>
          <w:lang w:eastAsia="zh-CN" w:bidi="ar-SA"/>
        </w:rPr>
        <w:t>较正常排放增大近十倍，污染物排放量明显增加</w:t>
      </w:r>
      <w:r>
        <w:rPr>
          <w:rFonts w:hint="default" w:ascii="Times New Roman" w:hAnsi="Times New Roman" w:eastAsia="宋体" w:cs="Times New Roman"/>
          <w:color w:val="auto"/>
          <w:kern w:val="2"/>
          <w:sz w:val="24"/>
          <w:szCs w:val="24"/>
          <w:highlight w:val="none"/>
          <w:u w:val="none" w:color="auto"/>
          <w:lang w:val="zh-CN" w:eastAsia="zh-CN" w:bidi="ar-SA"/>
        </w:rPr>
        <w:t>。</w:t>
      </w:r>
    </w:p>
    <w:p>
      <w:pPr>
        <w:pStyle w:val="16"/>
        <w:pageBreakBefore w:val="0"/>
        <w:kinsoku/>
        <w:wordWrap/>
        <w:topLinePunct w:val="0"/>
        <w:bidi w:val="0"/>
        <w:spacing w:line="240" w:lineRule="auto"/>
        <w:ind w:left="0" w:right="0" w:firstLine="483"/>
        <w:jc w:val="center"/>
        <w:rPr>
          <w:rFonts w:hint="default" w:ascii="Times New Roman" w:hAnsi="Times New Roman" w:eastAsia="宋体" w:cs="Times New Roman"/>
          <w:b/>
          <w:bCs/>
          <w:color w:val="auto"/>
          <w:kern w:val="2"/>
          <w:sz w:val="21"/>
          <w:szCs w:val="21"/>
          <w:highlight w:val="none"/>
          <w:u w:val="none" w:color="auto"/>
          <w:lang w:val="zh-CN" w:eastAsia="zh-CN" w:bidi="ar-SA"/>
        </w:rPr>
      </w:pPr>
      <w:r>
        <w:rPr>
          <w:rFonts w:hint="default" w:ascii="Times New Roman" w:hAnsi="Times New Roman" w:eastAsia="宋体" w:cs="Times New Roman"/>
          <w:b/>
          <w:bCs/>
          <w:color w:val="auto"/>
          <w:kern w:val="2"/>
          <w:sz w:val="21"/>
          <w:szCs w:val="21"/>
          <w:highlight w:val="none"/>
          <w:u w:val="none" w:color="auto"/>
          <w:lang w:val="zh-CN" w:eastAsia="zh-CN" w:bidi="ar-SA"/>
        </w:rPr>
        <w:t>表</w:t>
      </w:r>
      <w:r>
        <w:rPr>
          <w:rFonts w:hint="eastAsia" w:cs="Times New Roman"/>
          <w:b/>
          <w:bCs/>
          <w:color w:val="auto"/>
          <w:kern w:val="2"/>
          <w:sz w:val="21"/>
          <w:szCs w:val="21"/>
          <w:highlight w:val="none"/>
          <w:u w:val="none" w:color="auto"/>
          <w:lang w:val="en-US" w:eastAsia="zh-CN" w:bidi="ar-SA"/>
        </w:rPr>
        <w:t>6.1-3</w:t>
      </w:r>
      <w:r>
        <w:rPr>
          <w:rFonts w:hint="eastAsia" w:ascii="Times New Roman" w:hAnsi="Times New Roman" w:eastAsia="宋体" w:cs="Times New Roman"/>
          <w:b/>
          <w:bCs/>
          <w:color w:val="auto"/>
          <w:kern w:val="2"/>
          <w:sz w:val="21"/>
          <w:szCs w:val="21"/>
          <w:highlight w:val="none"/>
          <w:u w:val="none" w:color="auto"/>
          <w:lang w:val="en-US" w:eastAsia="zh-CN" w:bidi="ar-SA"/>
        </w:rPr>
        <w:t xml:space="preserve">  </w:t>
      </w:r>
      <w:r>
        <w:rPr>
          <w:rFonts w:hint="eastAsia" w:cs="Times New Roman"/>
          <w:b/>
          <w:bCs/>
          <w:color w:val="auto"/>
          <w:kern w:val="2"/>
          <w:sz w:val="21"/>
          <w:szCs w:val="21"/>
          <w:highlight w:val="none"/>
          <w:u w:val="none" w:color="auto"/>
          <w:lang w:val="en-US" w:eastAsia="zh-CN" w:bidi="ar-SA"/>
        </w:rPr>
        <w:t>车间</w:t>
      </w:r>
      <w:r>
        <w:rPr>
          <w:rFonts w:hint="eastAsia" w:cs="Times New Roman"/>
          <w:b/>
          <w:bCs/>
          <w:color w:val="auto"/>
          <w:kern w:val="2"/>
          <w:sz w:val="21"/>
          <w:szCs w:val="21"/>
          <w:highlight w:val="none"/>
          <w:u w:val="none" w:color="auto"/>
          <w:lang w:val="zh-CN" w:eastAsia="zh-CN" w:bidi="ar-SA"/>
        </w:rPr>
        <w:t>面源无</w:t>
      </w:r>
      <w:r>
        <w:rPr>
          <w:rFonts w:hint="default" w:ascii="Times New Roman" w:hAnsi="Times New Roman" w:eastAsia="宋体" w:cs="Times New Roman"/>
          <w:b/>
          <w:bCs/>
          <w:color w:val="auto"/>
          <w:kern w:val="2"/>
          <w:sz w:val="21"/>
          <w:szCs w:val="21"/>
          <w:highlight w:val="none"/>
          <w:u w:val="none" w:color="auto"/>
          <w:lang w:val="zh-CN" w:eastAsia="zh-CN" w:bidi="ar-SA"/>
        </w:rPr>
        <w:t>组织废气排放预测结果表</w:t>
      </w:r>
    </w:p>
    <w:tbl>
      <w:tblPr>
        <w:tblStyle w:val="81"/>
        <w:tblW w:w="5017" w:type="pct"/>
        <w:tblInd w:w="0" w:type="dxa"/>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Layout w:type="autofit"/>
        <w:tblCellMar>
          <w:top w:w="0" w:type="dxa"/>
          <w:left w:w="0" w:type="dxa"/>
          <w:bottom w:w="0" w:type="dxa"/>
          <w:right w:w="0" w:type="dxa"/>
        </w:tblCellMar>
      </w:tblPr>
      <w:tblGrid>
        <w:gridCol w:w="803"/>
        <w:gridCol w:w="1321"/>
        <w:gridCol w:w="1149"/>
        <w:gridCol w:w="1491"/>
        <w:gridCol w:w="1207"/>
        <w:gridCol w:w="1159"/>
        <w:gridCol w:w="1220"/>
      </w:tblGrid>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restar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距源中心下风向距离</w:t>
            </w:r>
            <w:r>
              <w:rPr>
                <w:rFonts w:hint="eastAsia" w:eastAsia="宋体"/>
                <w:color w:val="000000"/>
                <w:sz w:val="21"/>
                <w:szCs w:val="21"/>
                <w:lang w:val="zh-CN" w:eastAsia="zh-CN"/>
              </w:rPr>
              <w:t>（</w:t>
            </w:r>
            <w:r>
              <w:rPr>
                <w:rFonts w:hint="eastAsia" w:eastAsia="宋体"/>
                <w:color w:val="000000"/>
                <w:sz w:val="21"/>
                <w:szCs w:val="21"/>
                <w:lang w:val="en-US" w:eastAsia="zh-CN"/>
              </w:rPr>
              <w:t>m</w:t>
            </w:r>
            <w:r>
              <w:rPr>
                <w:rFonts w:hint="eastAsia" w:eastAsia="宋体"/>
                <w:color w:val="000000"/>
                <w:sz w:val="21"/>
                <w:szCs w:val="21"/>
                <w:lang w:val="zh-CN" w:eastAsia="zh-CN"/>
              </w:rPr>
              <w:t>）</w:t>
            </w:r>
          </w:p>
        </w:tc>
        <w:tc>
          <w:tcPr>
            <w:tcW w:w="4518" w:type="pct"/>
            <w:gridSpan w:val="6"/>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color w:val="000000"/>
                <w:sz w:val="21"/>
                <w:szCs w:val="21"/>
                <w:lang w:val="zh-CN" w:eastAsia="zh-CN"/>
              </w:rPr>
              <w:t>车间面源</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1479"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TSP</w:t>
            </w:r>
          </w:p>
        </w:tc>
        <w:tc>
          <w:tcPr>
            <w:tcW w:w="1616"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甲醛</w:t>
            </w:r>
          </w:p>
        </w:tc>
        <w:tc>
          <w:tcPr>
            <w:tcW w:w="1422" w:type="pct"/>
            <w:gridSpan w:val="2"/>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TVOC</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vMerge w:val="continue"/>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688"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2"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c>
          <w:tcPr>
            <w:tcW w:w="694"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预测浓度 （mg/m</w:t>
            </w:r>
            <w:r>
              <w:rPr>
                <w:rFonts w:hint="default" w:eastAsia="宋体"/>
                <w:color w:val="000000"/>
                <w:sz w:val="21"/>
                <w:szCs w:val="21"/>
                <w:vertAlign w:val="superscript"/>
                <w:lang w:val="zh-CN" w:eastAsia="zh-CN"/>
              </w:rPr>
              <w:t>3</w:t>
            </w:r>
            <w:r>
              <w:rPr>
                <w:rFonts w:hint="default" w:eastAsia="宋体"/>
                <w:color w:val="000000"/>
                <w:sz w:val="21"/>
                <w:szCs w:val="21"/>
                <w:lang w:val="zh-CN" w:eastAsia="zh-CN"/>
              </w:rPr>
              <w:t>）</w:t>
            </w:r>
          </w:p>
        </w:tc>
        <w:tc>
          <w:tcPr>
            <w:tcW w:w="728" w:type="pct"/>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zh-CN" w:eastAsia="zh-CN"/>
              </w:rPr>
              <w:t>占标率（%）</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3.997</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0.444111111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0.1454E-01</w:t>
            </w:r>
          </w:p>
        </w:tc>
        <w:tc>
          <w:tcPr>
            <w:tcW w:w="1133" w:type="dxa"/>
            <w:tcBorders>
              <w:tl2br w:val="nil"/>
              <w:tr2bl w:val="nil"/>
            </w:tcBorders>
            <w:shd w:val="clear" w:color="auto" w:fill="auto"/>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0.02908</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0.3997</w:t>
            </w:r>
          </w:p>
        </w:tc>
        <w:tc>
          <w:tcPr>
            <w:tcW w:w="1096" w:type="dxa"/>
            <w:tcBorders>
              <w:tl2br w:val="nil"/>
              <w:tr2bl w:val="nil"/>
            </w:tcBorders>
            <w:shd w:val="clear" w:color="auto" w:fill="auto"/>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0.033308333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4.692</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0.521333333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0.1706E-01</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0.03412</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0.4692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0.0391</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w:t>
            </w:r>
            <w:r>
              <w:rPr>
                <w:rFonts w:hint="eastAsia"/>
                <w:color w:val="000000"/>
                <w:sz w:val="21"/>
                <w:szCs w:val="21"/>
                <w:lang w:val="en-US" w:eastAsia="zh-CN"/>
              </w:rPr>
              <w:t>6</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5.76</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default" w:eastAsia="宋体"/>
                <w:color w:val="000000"/>
                <w:sz w:val="21"/>
                <w:szCs w:val="21"/>
                <w:lang w:val="en-US" w:eastAsia="zh-CN"/>
              </w:rPr>
              <w:t>0.64</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default" w:eastAsia="宋体"/>
                <w:color w:val="000000"/>
                <w:sz w:val="21"/>
                <w:szCs w:val="21"/>
                <w:lang w:val="en-US" w:eastAsia="zh-CN"/>
              </w:rPr>
              <w:t>0.04</w:t>
            </w:r>
          </w:p>
        </w:tc>
        <w:tc>
          <w:tcPr>
            <w:tcW w:w="694"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0.6</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en-US" w:eastAsia="zh-CN"/>
              </w:rPr>
            </w:pPr>
            <w:r>
              <w:rPr>
                <w:rFonts w:hint="eastAsia" w:eastAsia="宋体"/>
                <w:color w:val="000000"/>
                <w:sz w:val="21"/>
                <w:szCs w:val="21"/>
                <w:lang w:val="en-US" w:eastAsia="zh-CN"/>
              </w:rPr>
              <w:t>0.05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5.342</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0.593555556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 0.1943E-01</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0.03886</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0.5342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0.044516667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3.791</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0.421222222</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0.1378E-01</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0.02756</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0.3791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0.031591667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125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2.862</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0.318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0.1041E-01</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0.02082</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0.2862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0.02385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2.265</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0.251666667</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0.8238E-02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0.016476</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0.2265</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0.018875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175</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1.852 </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0.205777778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0.6734E-02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0.013468</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0.1852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0.015433333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1.553 </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0.172555556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0.5647E-02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0.011294</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0.1553</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0.012941667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300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 xml:space="preserve">0.9038 </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0.100422222</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0.3286E-02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0.006572</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0.9038E-01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0.007531667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400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0.6136</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0.068177778</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0.2231E-02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0.004462</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0.6136E-01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0.005113333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0.4537</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0.050411111</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0.1650E-02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0.0033</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0.4537E-01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0.003780833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600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0.3545</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0.039388889</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0.1289E-02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0.002578</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0.3545E-01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0.002954167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700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0.2875</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0.031944444</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0.1045E-02</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0.00209</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0.2875E-01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0.002395833</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800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0.2399</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0.026655556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0.8724E-03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0.0017448</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0.2399E-01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0.001999167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900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0.2046</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0.022733333</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0.7441E-03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0.0014882</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0.2046E-01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0.001705</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1000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0.1778</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0.019755556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0.6465E-03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0.001293</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0.1778E-01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0.001481667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1500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0.1044</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0.0116</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0.3798E-03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0.0007596</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0.1044E-01</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0.00087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2000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0.7058E-01</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0.007842222</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0.2567E-03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0.0005134</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0.7058E-02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0.000588167</w:t>
            </w:r>
          </w:p>
        </w:tc>
      </w:tr>
      <w:tr>
        <w:tblPrEx>
          <w:tblBorders>
            <w:top w:val="single" w:color="000000" w:sz="6" w:space="0"/>
            <w:left w:val="single" w:color="000000" w:sz="6" w:space="0"/>
            <w:bottom w:val="single" w:color="000000" w:sz="4" w:space="0"/>
            <w:right w:val="single" w:color="000000" w:sz="6" w:space="0"/>
            <w:insideH w:val="single" w:color="000000" w:sz="4" w:space="0"/>
            <w:insideV w:val="single" w:color="000000" w:sz="4" w:space="0"/>
          </w:tblBorders>
        </w:tblPrEx>
        <w:trPr>
          <w:trHeight w:val="340" w:hRule="atLeast"/>
        </w:trPr>
        <w:tc>
          <w:tcPr>
            <w:tcW w:w="48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en-US" w:eastAsia="zh-CN"/>
              </w:rPr>
              <w:t>2500</w:t>
            </w:r>
          </w:p>
        </w:tc>
        <w:tc>
          <w:tcPr>
            <w:tcW w:w="791"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0.5208E-01</w:t>
            </w:r>
          </w:p>
        </w:tc>
        <w:tc>
          <w:tcPr>
            <w:tcW w:w="1149"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0.005786667</w:t>
            </w:r>
          </w:p>
        </w:tc>
        <w:tc>
          <w:tcPr>
            <w:tcW w:w="893" w:type="pct"/>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eastAsia" w:eastAsia="宋体"/>
                <w:color w:val="000000"/>
                <w:sz w:val="21"/>
                <w:szCs w:val="21"/>
                <w:lang w:val="zh-CN" w:eastAsia="zh-CN"/>
              </w:rPr>
              <w:t>0.1894E-03</w:t>
            </w:r>
          </w:p>
        </w:tc>
        <w:tc>
          <w:tcPr>
            <w:tcW w:w="1133" w:type="dxa"/>
            <w:tcBorders>
              <w:tl2br w:val="nil"/>
              <w:tr2bl w:val="nil"/>
            </w:tcBorders>
            <w:noWrap w:val="0"/>
            <w:vAlign w:val="center"/>
          </w:tcPr>
          <w:p>
            <w:pPr>
              <w:autoSpaceDE w:val="0"/>
              <w:autoSpaceDN w:val="0"/>
              <w:spacing w:line="240" w:lineRule="auto"/>
              <w:ind w:firstLine="0" w:firstLineChars="0"/>
              <w:jc w:val="center"/>
              <w:rPr>
                <w:rFonts w:hint="default" w:eastAsia="宋体"/>
                <w:color w:val="000000"/>
                <w:sz w:val="21"/>
                <w:szCs w:val="21"/>
                <w:lang w:val="zh-CN" w:eastAsia="zh-CN"/>
              </w:rPr>
            </w:pPr>
            <w:r>
              <w:rPr>
                <w:rFonts w:hint="default" w:eastAsia="宋体"/>
                <w:color w:val="000000"/>
                <w:sz w:val="21"/>
                <w:szCs w:val="21"/>
                <w:lang w:val="en-US" w:eastAsia="zh-CN"/>
              </w:rPr>
              <w:t>0.0003788</w:t>
            </w:r>
          </w:p>
        </w:tc>
        <w:tc>
          <w:tcPr>
            <w:tcW w:w="694" w:type="pct"/>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zh-CN" w:eastAsia="zh-CN"/>
              </w:rPr>
              <w:t>0.5208E-02</w:t>
            </w:r>
          </w:p>
        </w:tc>
        <w:tc>
          <w:tcPr>
            <w:tcW w:w="1096" w:type="dxa"/>
            <w:tcBorders>
              <w:tl2br w:val="nil"/>
              <w:tr2bl w:val="nil"/>
            </w:tcBorders>
            <w:noWrap w:val="0"/>
            <w:vAlign w:val="center"/>
          </w:tcPr>
          <w:p>
            <w:pPr>
              <w:autoSpaceDE w:val="0"/>
              <w:autoSpaceDN w:val="0"/>
              <w:spacing w:line="240" w:lineRule="auto"/>
              <w:ind w:firstLine="0" w:firstLineChars="0"/>
              <w:jc w:val="center"/>
              <w:rPr>
                <w:rFonts w:hint="eastAsia" w:eastAsia="宋体"/>
                <w:color w:val="000000"/>
                <w:sz w:val="21"/>
                <w:szCs w:val="21"/>
                <w:lang w:val="en-US" w:eastAsia="zh-CN"/>
              </w:rPr>
            </w:pPr>
            <w:r>
              <w:rPr>
                <w:rFonts w:hint="eastAsia" w:eastAsia="宋体"/>
                <w:color w:val="000000"/>
                <w:sz w:val="21"/>
                <w:szCs w:val="21"/>
                <w:lang w:val="en-US" w:eastAsia="zh-CN"/>
              </w:rPr>
              <w:t>0.000434</w:t>
            </w:r>
          </w:p>
        </w:tc>
      </w:tr>
    </w:tbl>
    <w:p>
      <w:pPr>
        <w:pStyle w:val="16"/>
        <w:pageBreakBefore w:val="0"/>
        <w:kinsoku/>
        <w:wordWrap/>
        <w:topLinePunct w:val="0"/>
        <w:bidi w:val="0"/>
        <w:spacing w:line="360" w:lineRule="auto"/>
        <w:ind w:left="0" w:right="0" w:firstLine="483"/>
        <w:jc w:val="both"/>
        <w:rPr>
          <w:rFonts w:hint="default" w:ascii="Times New Roman" w:hAnsi="Times New Roman" w:eastAsia="宋体" w:cs="Times New Roman"/>
          <w:color w:val="auto"/>
          <w:kern w:val="2"/>
          <w:sz w:val="24"/>
          <w:szCs w:val="24"/>
          <w:highlight w:val="none"/>
          <w:u w:val="none" w:color="auto"/>
          <w:lang w:val="zh-CN" w:eastAsia="zh-CN" w:bidi="ar-SA"/>
        </w:rPr>
      </w:pPr>
      <w:r>
        <w:rPr>
          <w:rFonts w:hint="default" w:ascii="Times New Roman" w:hAnsi="Times New Roman" w:eastAsia="宋体" w:cs="Times New Roman"/>
          <w:color w:val="auto"/>
          <w:kern w:val="2"/>
          <w:sz w:val="24"/>
          <w:szCs w:val="24"/>
          <w:highlight w:val="none"/>
          <w:u w:val="none" w:color="auto"/>
          <w:lang w:val="zh-CN" w:eastAsia="zh-CN" w:bidi="ar-SA"/>
        </w:rPr>
        <w:t>根据上表可以看出，</w:t>
      </w:r>
      <w:r>
        <w:rPr>
          <w:rFonts w:hint="eastAsia" w:cs="Times New Roman"/>
          <w:color w:val="auto"/>
          <w:kern w:val="2"/>
          <w:sz w:val="24"/>
          <w:szCs w:val="24"/>
          <w:highlight w:val="none"/>
          <w:u w:val="none" w:color="auto"/>
          <w:lang w:val="zh-CN" w:eastAsia="zh-CN" w:bidi="ar-SA"/>
        </w:rPr>
        <w:t>车间废气无组织排放</w:t>
      </w:r>
      <w:r>
        <w:rPr>
          <w:rFonts w:hint="default" w:ascii="Times New Roman" w:hAnsi="Times New Roman" w:eastAsia="宋体" w:cs="Times New Roman"/>
          <w:color w:val="auto"/>
          <w:kern w:val="2"/>
          <w:sz w:val="24"/>
          <w:szCs w:val="24"/>
          <w:highlight w:val="none"/>
          <w:u w:val="none" w:color="auto"/>
          <w:lang w:val="zh-CN" w:eastAsia="zh-CN" w:bidi="ar-SA"/>
        </w:rPr>
        <w:t>大气污染物</w:t>
      </w:r>
      <w:r>
        <w:rPr>
          <w:rFonts w:hint="eastAsia" w:cs="Times New Roman"/>
          <w:color w:val="auto"/>
          <w:kern w:val="2"/>
          <w:sz w:val="24"/>
          <w:szCs w:val="24"/>
          <w:highlight w:val="none"/>
          <w:u w:val="none" w:color="auto"/>
          <w:lang w:val="zh-CN" w:eastAsia="zh-CN" w:bidi="ar-SA"/>
        </w:rPr>
        <w:t>中</w:t>
      </w:r>
      <w:r>
        <w:rPr>
          <w:rFonts w:hint="eastAsia" w:cs="Times New Roman"/>
          <w:color w:val="auto"/>
          <w:kern w:val="2"/>
          <w:sz w:val="24"/>
          <w:szCs w:val="24"/>
          <w:highlight w:val="none"/>
          <w:u w:val="none" w:color="auto"/>
          <w:lang w:val="en-US" w:eastAsia="zh-CN" w:bidi="ar-SA"/>
        </w:rPr>
        <w:t>TSP</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5.76</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0.64</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，甲醛</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0.02</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0.04</w:t>
      </w:r>
      <w:r>
        <w:rPr>
          <w:rFonts w:hint="default" w:ascii="Times New Roman" w:hAnsi="Times New Roman" w:eastAsia="宋体"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zh-CN" w:eastAsia="zh-CN" w:bidi="ar-SA"/>
        </w:rPr>
        <w:t>，</w:t>
      </w:r>
      <w:r>
        <w:rPr>
          <w:rFonts w:hint="eastAsia" w:cs="Times New Roman"/>
          <w:color w:val="auto"/>
          <w:kern w:val="2"/>
          <w:sz w:val="24"/>
          <w:szCs w:val="24"/>
          <w:highlight w:val="none"/>
          <w:u w:val="none" w:color="auto"/>
          <w:lang w:val="en-US" w:eastAsia="zh-CN" w:bidi="ar-SA"/>
        </w:rPr>
        <w:t>TVOC</w:t>
      </w:r>
      <w:r>
        <w:rPr>
          <w:rFonts w:hint="default" w:ascii="Times New Roman" w:hAnsi="Times New Roman" w:eastAsia="宋体" w:cs="Times New Roman"/>
          <w:color w:val="auto"/>
          <w:kern w:val="2"/>
          <w:sz w:val="24"/>
          <w:szCs w:val="24"/>
          <w:highlight w:val="none"/>
          <w:u w:val="none" w:color="auto"/>
          <w:lang w:val="zh-CN" w:eastAsia="zh-CN" w:bidi="ar-SA"/>
        </w:rPr>
        <w:t>的最大落地浓度为</w:t>
      </w:r>
      <w:r>
        <w:rPr>
          <w:rFonts w:hint="eastAsia" w:cs="Times New Roman"/>
          <w:color w:val="auto"/>
          <w:kern w:val="2"/>
          <w:sz w:val="24"/>
          <w:szCs w:val="24"/>
          <w:highlight w:val="none"/>
          <w:u w:val="none" w:color="auto"/>
          <w:lang w:val="en-US" w:eastAsia="zh-CN" w:bidi="ar-SA"/>
        </w:rPr>
        <w:t>0.6</w:t>
      </w:r>
      <w:r>
        <w:rPr>
          <w:rFonts w:hint="default" w:ascii="Times New Roman" w:hAnsi="Times New Roman" w:eastAsia="宋体" w:cs="Times New Roman"/>
          <w:color w:val="auto"/>
          <w:kern w:val="2"/>
          <w:sz w:val="24"/>
          <w:szCs w:val="24"/>
          <w:highlight w:val="none"/>
          <w:u w:val="none" w:color="auto"/>
          <w:lang w:val="zh-CN" w:eastAsia="zh-CN" w:bidi="ar-SA"/>
        </w:rPr>
        <w:t>mg/m</w:t>
      </w:r>
      <w:r>
        <w:rPr>
          <w:rFonts w:hint="default" w:ascii="Times New Roman" w:hAnsi="Times New Roman" w:eastAsia="宋体" w:cs="Times New Roman"/>
          <w:color w:val="auto"/>
          <w:kern w:val="2"/>
          <w:sz w:val="24"/>
          <w:szCs w:val="24"/>
          <w:highlight w:val="none"/>
          <w:u w:val="none" w:color="auto"/>
          <w:vertAlign w:val="superscript"/>
          <w:lang w:val="zh-CN" w:eastAsia="zh-CN" w:bidi="ar-SA"/>
        </w:rPr>
        <w:t>3</w:t>
      </w:r>
      <w:r>
        <w:rPr>
          <w:rFonts w:hint="default" w:ascii="Times New Roman" w:hAnsi="Times New Roman" w:eastAsia="宋体" w:cs="Times New Roman"/>
          <w:color w:val="auto"/>
          <w:kern w:val="2"/>
          <w:sz w:val="24"/>
          <w:szCs w:val="24"/>
          <w:highlight w:val="none"/>
          <w:u w:val="none" w:color="auto"/>
          <w:lang w:val="zh-CN" w:eastAsia="zh-CN" w:bidi="ar-SA"/>
        </w:rPr>
        <w:t>，最大占标率为</w:t>
      </w:r>
      <w:r>
        <w:rPr>
          <w:rFonts w:hint="eastAsia" w:cs="Times New Roman"/>
          <w:color w:val="auto"/>
          <w:kern w:val="2"/>
          <w:sz w:val="24"/>
          <w:szCs w:val="24"/>
          <w:highlight w:val="none"/>
          <w:u w:val="none" w:color="auto"/>
          <w:lang w:val="en-US" w:eastAsia="zh-CN" w:bidi="ar-SA"/>
        </w:rPr>
        <w:t>0.05</w:t>
      </w:r>
      <w:r>
        <w:rPr>
          <w:rFonts w:hint="default" w:ascii="Times New Roman" w:hAnsi="Times New Roman" w:eastAsia="宋体" w:cs="Times New Roman"/>
          <w:color w:val="auto"/>
          <w:kern w:val="2"/>
          <w:sz w:val="24"/>
          <w:szCs w:val="24"/>
          <w:highlight w:val="none"/>
          <w:u w:val="none" w:color="auto"/>
          <w:lang w:val="zh-CN" w:eastAsia="zh-CN" w:bidi="ar-SA"/>
        </w:rPr>
        <w:t>%。</w:t>
      </w:r>
    </w:p>
    <w:p>
      <w:pPr>
        <w:ind w:firstLine="480"/>
        <w:rPr>
          <w:rFonts w:hint="eastAsia"/>
          <w:color w:val="000000"/>
        </w:rPr>
      </w:pPr>
      <w:r>
        <w:rPr>
          <w:rFonts w:hint="eastAsia"/>
          <w:color w:val="000000"/>
        </w:rPr>
        <w:t>据预测结果可知，本项目各污染物的贡献浓度较低，且出现距离较近，影响范围较小</w:t>
      </w:r>
      <w:r>
        <w:rPr>
          <w:rFonts w:hint="eastAsia"/>
          <w:color w:val="000000"/>
          <w:lang w:eastAsia="zh-CN"/>
        </w:rPr>
        <w:t>，</w:t>
      </w:r>
      <w:r>
        <w:rPr>
          <w:rFonts w:hint="eastAsia"/>
          <w:color w:val="000000"/>
        </w:rPr>
        <w:t>项目实施后不会对周围环境空气质量产生明显影响。</w:t>
      </w:r>
    </w:p>
    <w:p>
      <w:pPr>
        <w:ind w:firstLine="480"/>
        <w:rPr>
          <w:rFonts w:hint="eastAsia"/>
          <w:color w:val="000000"/>
        </w:rPr>
      </w:pPr>
      <w:r>
        <w:rPr>
          <w:rFonts w:hint="eastAsia"/>
          <w:color w:val="000000"/>
        </w:rPr>
        <w:t xml:space="preserve">根据报告表环境现状质量章节，本项目区域属于达标区。根据《环境影响评价技术导则 大气环境》（HJ2.2-2018）“8.1.2 </w:t>
      </w:r>
      <w:r>
        <w:rPr>
          <w:rFonts w:hint="eastAsia"/>
          <w:color w:val="000000"/>
          <w:lang w:eastAsia="zh-CN"/>
        </w:rPr>
        <w:t>三</w:t>
      </w:r>
      <w:r>
        <w:rPr>
          <w:rFonts w:hint="eastAsia"/>
          <w:color w:val="000000"/>
        </w:rPr>
        <w:t>级评价项目不进行进一步预测与评价，只对污染物排放量进行核算”。</w:t>
      </w:r>
    </w:p>
    <w:p>
      <w:pPr>
        <w:pStyle w:val="5"/>
        <w:rPr>
          <w:color w:val="000000"/>
        </w:rPr>
      </w:pPr>
      <w:bookmarkStart w:id="80" w:name="_Toc1488"/>
      <w:r>
        <w:rPr>
          <w:rFonts w:hint="eastAsia"/>
          <w:color w:val="000000"/>
        </w:rPr>
        <w:t>污染物排放量核算</w:t>
      </w:r>
      <w:bookmarkEnd w:id="80"/>
    </w:p>
    <w:p>
      <w:pPr>
        <w:pStyle w:val="6"/>
        <w:rPr>
          <w:color w:val="000000"/>
        </w:rPr>
      </w:pPr>
      <w:r>
        <w:rPr>
          <w:rFonts w:hint="eastAsia"/>
          <w:color w:val="000000"/>
        </w:rPr>
        <w:t>有组织排放量核算</w:t>
      </w:r>
    </w:p>
    <w:p>
      <w:pPr>
        <w:ind w:firstLine="480"/>
        <w:rPr>
          <w:rFonts w:hint="eastAsia" w:eastAsia="宋体"/>
          <w:color w:val="000000"/>
          <w:lang w:eastAsia="zh-CN"/>
        </w:rPr>
      </w:pPr>
      <w:r>
        <w:rPr>
          <w:rFonts w:hint="eastAsia"/>
          <w:color w:val="000000"/>
        </w:rPr>
        <w:t>本评价根据大气导则“8.8.7污染物排放量核算”的相关要求对本项目的新增污染源进行污染物排放量核算</w:t>
      </w:r>
      <w:r>
        <w:rPr>
          <w:rFonts w:hint="eastAsia"/>
          <w:color w:val="000000"/>
          <w:lang w:eastAsia="zh-CN"/>
        </w:rPr>
        <w:t>。</w:t>
      </w:r>
    </w:p>
    <w:p>
      <w:pPr>
        <w:ind w:firstLine="480"/>
        <w:rPr>
          <w:color w:val="000000"/>
        </w:rPr>
      </w:pPr>
      <w:r>
        <w:rPr>
          <w:rFonts w:hint="eastAsia"/>
          <w:color w:val="000000"/>
        </w:rPr>
        <w:t>根据工程分析，本项目有组织排气筒为窑尾烟气排气筒（DA001）。有组织排放量核算见下表。</w:t>
      </w:r>
    </w:p>
    <w:p>
      <w:pPr>
        <w:spacing w:line="240" w:lineRule="auto"/>
        <w:ind w:firstLine="422"/>
        <w:jc w:val="center"/>
        <w:rPr>
          <w:b/>
          <w:bCs/>
          <w:color w:val="000000"/>
          <w:sz w:val="21"/>
          <w:szCs w:val="21"/>
        </w:rPr>
      </w:pPr>
      <w:r>
        <w:rPr>
          <w:rFonts w:hint="eastAsia"/>
          <w:b/>
          <w:bCs/>
          <w:color w:val="000000"/>
          <w:sz w:val="21"/>
          <w:szCs w:val="21"/>
        </w:rPr>
        <w:t>表</w:t>
      </w:r>
      <w:r>
        <w:rPr>
          <w:rFonts w:hint="eastAsia"/>
          <w:b/>
          <w:bCs/>
          <w:color w:val="000000"/>
          <w:sz w:val="21"/>
          <w:szCs w:val="21"/>
          <w:lang w:val="en-US" w:eastAsia="zh-CN"/>
        </w:rPr>
        <w:t>6</w:t>
      </w:r>
      <w:r>
        <w:rPr>
          <w:rFonts w:hint="eastAsia"/>
          <w:b/>
          <w:bCs/>
          <w:color w:val="000000"/>
          <w:sz w:val="21"/>
          <w:szCs w:val="21"/>
        </w:rPr>
        <w:t>.</w:t>
      </w:r>
      <w:r>
        <w:rPr>
          <w:rFonts w:hint="eastAsia"/>
          <w:b/>
          <w:bCs/>
          <w:color w:val="000000"/>
          <w:sz w:val="21"/>
          <w:szCs w:val="21"/>
          <w:lang w:val="en-US" w:eastAsia="zh-CN"/>
        </w:rPr>
        <w:t>2</w:t>
      </w:r>
      <w:r>
        <w:rPr>
          <w:rFonts w:hint="eastAsia"/>
          <w:b/>
          <w:bCs/>
          <w:color w:val="000000"/>
          <w:sz w:val="21"/>
          <w:szCs w:val="21"/>
        </w:rPr>
        <w:t>-1  大气污染物有组织排放量核算表</w:t>
      </w:r>
    </w:p>
    <w:tbl>
      <w:tblPr>
        <w:tblStyle w:val="36"/>
        <w:tblW w:w="828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0" w:type="dxa"/>
          <w:bottom w:w="0" w:type="dxa"/>
          <w:right w:w="0" w:type="dxa"/>
        </w:tblCellMar>
      </w:tblPr>
      <w:tblGrid>
        <w:gridCol w:w="581"/>
        <w:gridCol w:w="1470"/>
        <w:gridCol w:w="1664"/>
        <w:gridCol w:w="1551"/>
        <w:gridCol w:w="1442"/>
        <w:gridCol w:w="1578"/>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581" w:type="dxa"/>
            <w:noWrap w:val="0"/>
            <w:vAlign w:val="center"/>
          </w:tcPr>
          <w:p>
            <w:pPr>
              <w:spacing w:line="240" w:lineRule="auto"/>
              <w:ind w:firstLine="0" w:firstLineChars="0"/>
              <w:jc w:val="center"/>
              <w:rPr>
                <w:color w:val="000000"/>
                <w:sz w:val="21"/>
                <w:szCs w:val="21"/>
              </w:rPr>
            </w:pPr>
            <w:r>
              <w:rPr>
                <w:rFonts w:hint="eastAsia"/>
                <w:color w:val="000000"/>
                <w:sz w:val="21"/>
                <w:szCs w:val="21"/>
              </w:rPr>
              <w:t>序号</w:t>
            </w:r>
          </w:p>
        </w:tc>
        <w:tc>
          <w:tcPr>
            <w:tcW w:w="1470" w:type="dxa"/>
            <w:noWrap w:val="0"/>
            <w:vAlign w:val="center"/>
          </w:tcPr>
          <w:p>
            <w:pPr>
              <w:spacing w:line="240" w:lineRule="auto"/>
              <w:ind w:firstLine="0" w:firstLineChars="0"/>
              <w:jc w:val="center"/>
              <w:rPr>
                <w:color w:val="000000"/>
                <w:sz w:val="21"/>
                <w:szCs w:val="21"/>
              </w:rPr>
            </w:pPr>
            <w:r>
              <w:rPr>
                <w:rFonts w:hint="eastAsia"/>
                <w:color w:val="000000"/>
                <w:sz w:val="21"/>
                <w:szCs w:val="21"/>
              </w:rPr>
              <w:t>排放口编号</w:t>
            </w:r>
          </w:p>
        </w:tc>
        <w:tc>
          <w:tcPr>
            <w:tcW w:w="1664" w:type="dxa"/>
            <w:noWrap w:val="0"/>
            <w:vAlign w:val="center"/>
          </w:tcPr>
          <w:p>
            <w:pPr>
              <w:spacing w:line="240" w:lineRule="auto"/>
              <w:ind w:firstLine="0" w:firstLineChars="0"/>
              <w:jc w:val="center"/>
              <w:rPr>
                <w:color w:val="000000"/>
                <w:sz w:val="21"/>
                <w:szCs w:val="21"/>
              </w:rPr>
            </w:pPr>
            <w:r>
              <w:rPr>
                <w:rFonts w:hint="eastAsia"/>
                <w:color w:val="000000"/>
                <w:sz w:val="21"/>
                <w:szCs w:val="21"/>
              </w:rPr>
              <w:t>污染物</w:t>
            </w:r>
          </w:p>
        </w:tc>
        <w:tc>
          <w:tcPr>
            <w:tcW w:w="1551" w:type="dxa"/>
            <w:noWrap w:val="0"/>
            <w:vAlign w:val="center"/>
          </w:tcPr>
          <w:p>
            <w:pPr>
              <w:spacing w:line="240" w:lineRule="auto"/>
              <w:ind w:firstLine="0" w:firstLineChars="0"/>
              <w:jc w:val="center"/>
              <w:rPr>
                <w:color w:val="000000"/>
                <w:sz w:val="21"/>
                <w:szCs w:val="21"/>
              </w:rPr>
            </w:pPr>
            <w:r>
              <w:rPr>
                <w:rFonts w:hint="eastAsia"/>
                <w:color w:val="000000"/>
                <w:sz w:val="21"/>
                <w:szCs w:val="21"/>
              </w:rPr>
              <w:t>核算排放浓度限值/（mg/m</w:t>
            </w:r>
            <w:r>
              <w:rPr>
                <w:rFonts w:hint="eastAsia"/>
                <w:color w:val="000000"/>
                <w:sz w:val="21"/>
                <w:szCs w:val="21"/>
                <w:vertAlign w:val="superscript"/>
              </w:rPr>
              <w:t>3</w:t>
            </w:r>
            <w:r>
              <w:rPr>
                <w:rFonts w:hint="eastAsia"/>
                <w:color w:val="000000"/>
                <w:sz w:val="21"/>
                <w:szCs w:val="21"/>
              </w:rPr>
              <w:t>）</w:t>
            </w:r>
          </w:p>
        </w:tc>
        <w:tc>
          <w:tcPr>
            <w:tcW w:w="1442" w:type="dxa"/>
            <w:noWrap w:val="0"/>
            <w:vAlign w:val="center"/>
          </w:tcPr>
          <w:p>
            <w:pPr>
              <w:spacing w:line="240" w:lineRule="auto"/>
              <w:ind w:firstLine="0" w:firstLineChars="0"/>
              <w:jc w:val="center"/>
              <w:rPr>
                <w:color w:val="000000"/>
                <w:sz w:val="21"/>
                <w:szCs w:val="21"/>
              </w:rPr>
            </w:pPr>
            <w:r>
              <w:rPr>
                <w:rFonts w:hint="eastAsia"/>
                <w:color w:val="000000"/>
                <w:sz w:val="21"/>
                <w:szCs w:val="21"/>
              </w:rPr>
              <w:t>核算排放速率限值/（kg/h）</w:t>
            </w:r>
          </w:p>
        </w:tc>
        <w:tc>
          <w:tcPr>
            <w:tcW w:w="1578" w:type="dxa"/>
            <w:noWrap w:val="0"/>
            <w:vAlign w:val="center"/>
          </w:tcPr>
          <w:p>
            <w:pPr>
              <w:spacing w:line="240" w:lineRule="auto"/>
              <w:ind w:firstLine="0" w:firstLineChars="0"/>
              <w:jc w:val="center"/>
              <w:rPr>
                <w:color w:val="000000"/>
                <w:sz w:val="21"/>
                <w:szCs w:val="21"/>
              </w:rPr>
            </w:pPr>
            <w:r>
              <w:rPr>
                <w:rFonts w:hint="eastAsia"/>
                <w:color w:val="000000"/>
                <w:sz w:val="21"/>
                <w:szCs w:val="21"/>
              </w:rPr>
              <w:t>核算年排放量/</w:t>
            </w:r>
          </w:p>
          <w:p>
            <w:pPr>
              <w:spacing w:line="240" w:lineRule="auto"/>
              <w:ind w:firstLine="0" w:firstLineChars="0"/>
              <w:jc w:val="center"/>
              <w:rPr>
                <w:color w:val="000000"/>
                <w:sz w:val="21"/>
                <w:szCs w:val="21"/>
              </w:rPr>
            </w:pPr>
            <w:r>
              <w:rPr>
                <w:rFonts w:hint="eastAsia"/>
                <w:color w:val="000000"/>
                <w:sz w:val="21"/>
                <w:szCs w:val="21"/>
              </w:rPr>
              <w:t>（t/a）</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8286" w:type="dxa"/>
            <w:gridSpan w:val="6"/>
            <w:noWrap w:val="0"/>
            <w:vAlign w:val="center"/>
          </w:tcPr>
          <w:p>
            <w:pPr>
              <w:spacing w:line="240" w:lineRule="auto"/>
              <w:ind w:firstLine="0" w:firstLineChars="0"/>
              <w:jc w:val="center"/>
              <w:rPr>
                <w:color w:val="000000"/>
                <w:sz w:val="21"/>
                <w:szCs w:val="21"/>
              </w:rPr>
            </w:pPr>
            <w:r>
              <w:rPr>
                <w:rFonts w:hint="eastAsia"/>
                <w:color w:val="000000"/>
                <w:sz w:val="21"/>
                <w:szCs w:val="21"/>
                <w:lang w:eastAsia="zh-CN"/>
              </w:rPr>
              <w:t>一般</w:t>
            </w:r>
            <w:r>
              <w:rPr>
                <w:rFonts w:hint="eastAsia"/>
                <w:color w:val="000000"/>
                <w:sz w:val="21"/>
                <w:szCs w:val="21"/>
              </w:rPr>
              <w:t>排放口</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581" w:type="dxa"/>
            <w:vMerge w:val="restart"/>
            <w:tcBorders>
              <w:top w:val="single" w:color="auto" w:sz="4" w:space="0"/>
            </w:tcBorders>
            <w:noWrap w:val="0"/>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1470" w:type="dxa"/>
            <w:vMerge w:val="restart"/>
            <w:tcBorders>
              <w:top w:val="single" w:color="auto" w:sz="4" w:space="0"/>
            </w:tcBorders>
            <w:noWrap w:val="0"/>
            <w:vAlign w:val="center"/>
          </w:tcPr>
          <w:p>
            <w:pPr>
              <w:spacing w:line="240" w:lineRule="auto"/>
              <w:ind w:firstLine="0" w:firstLineChars="0"/>
              <w:jc w:val="center"/>
              <w:rPr>
                <w:color w:val="000000"/>
                <w:sz w:val="21"/>
                <w:szCs w:val="21"/>
              </w:rPr>
            </w:pPr>
            <w:r>
              <w:rPr>
                <w:rFonts w:hint="eastAsia"/>
                <w:color w:val="000000"/>
                <w:sz w:val="21"/>
                <w:szCs w:val="21"/>
              </w:rPr>
              <w:t>DA0019</w:t>
            </w:r>
          </w:p>
        </w:tc>
        <w:tc>
          <w:tcPr>
            <w:tcW w:w="1664" w:type="dxa"/>
            <w:tcBorders>
              <w:top w:val="single" w:color="auto" w:sz="4" w:space="0"/>
              <w:bottom w:val="single" w:color="000000" w:sz="4" w:space="0"/>
            </w:tcBorders>
            <w:shd w:val="clear" w:color="auto" w:fill="auto"/>
            <w:noWrap w:val="0"/>
            <w:vAlign w:val="center"/>
          </w:tcPr>
          <w:p>
            <w:pPr>
              <w:spacing w:line="240" w:lineRule="auto"/>
              <w:ind w:firstLine="0" w:firstLineChars="0"/>
              <w:jc w:val="center"/>
              <w:rPr>
                <w:rFonts w:hint="eastAsia"/>
                <w:color w:val="000000"/>
                <w:kern w:val="2"/>
                <w:sz w:val="21"/>
                <w:szCs w:val="21"/>
                <w:lang w:val="en-US" w:eastAsia="zh-CN" w:bidi="ar-SA"/>
              </w:rPr>
            </w:pPr>
            <w:r>
              <w:rPr>
                <w:rFonts w:hint="eastAsia"/>
                <w:color w:val="000000"/>
                <w:sz w:val="21"/>
                <w:szCs w:val="21"/>
              </w:rPr>
              <w:t>颗粒物</w:t>
            </w:r>
          </w:p>
        </w:tc>
        <w:tc>
          <w:tcPr>
            <w:tcW w:w="1551" w:type="dxa"/>
            <w:tcBorders>
              <w:top w:val="single" w:color="auto" w:sz="4" w:space="0"/>
              <w:bottom w:val="single" w:color="000000" w:sz="6" w:space="0"/>
            </w:tcBorders>
            <w:shd w:val="clear" w:color="auto" w:fill="auto"/>
            <w:noWrap w:val="0"/>
            <w:vAlign w:val="center"/>
          </w:tcPr>
          <w:p>
            <w:pPr>
              <w:spacing w:line="320" w:lineRule="exact"/>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1.2</w:t>
            </w:r>
          </w:p>
        </w:tc>
        <w:tc>
          <w:tcPr>
            <w:tcW w:w="1442" w:type="dxa"/>
            <w:tcBorders>
              <w:top w:val="single" w:color="auto" w:sz="4" w:space="0"/>
              <w:bottom w:val="single" w:color="000000" w:sz="6"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0.0</w:t>
            </w:r>
            <w:r>
              <w:rPr>
                <w:rFonts w:hint="eastAsia" w:cs="Times New Roman"/>
                <w:color w:val="auto"/>
                <w:sz w:val="21"/>
                <w:szCs w:val="21"/>
                <w:highlight w:val="none"/>
                <w:lang w:val="en-US" w:eastAsia="zh-CN"/>
              </w:rPr>
              <w:t>3</w:t>
            </w:r>
            <w:r>
              <w:rPr>
                <w:rFonts w:hint="eastAsia" w:ascii="Times New Roman" w:hAnsi="Times New Roman" w:eastAsia="宋体" w:cs="Times New Roman"/>
                <w:color w:val="auto"/>
                <w:sz w:val="21"/>
                <w:szCs w:val="21"/>
                <w:highlight w:val="none"/>
                <w:lang w:val="en-US" w:eastAsia="zh-CN"/>
              </w:rPr>
              <w:t>6</w:t>
            </w:r>
          </w:p>
        </w:tc>
        <w:tc>
          <w:tcPr>
            <w:tcW w:w="1578" w:type="dxa"/>
            <w:tcBorders>
              <w:top w:val="single" w:color="auto" w:sz="4" w:space="0"/>
              <w:bottom w:val="single" w:color="000000" w:sz="6" w:space="0"/>
            </w:tcBorders>
            <w:shd w:val="clear" w:color="auto" w:fill="auto"/>
            <w:noWrap w:val="0"/>
            <w:vAlign w:val="center"/>
          </w:tcPr>
          <w:p>
            <w:pPr>
              <w:spacing w:line="320" w:lineRule="exact"/>
              <w:ind w:firstLine="0" w:firstLineChars="0"/>
              <w:jc w:val="center"/>
              <w:rPr>
                <w:rFonts w:hint="eastAsia"/>
                <w:color w:val="000000"/>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1875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581" w:type="dxa"/>
            <w:vMerge w:val="continue"/>
            <w:noWrap w:val="0"/>
            <w:vAlign w:val="center"/>
          </w:tcPr>
          <w:p>
            <w:pPr>
              <w:spacing w:line="240" w:lineRule="auto"/>
              <w:ind w:firstLine="0" w:firstLineChars="0"/>
              <w:jc w:val="center"/>
              <w:rPr>
                <w:color w:val="000000"/>
                <w:sz w:val="21"/>
                <w:szCs w:val="21"/>
              </w:rPr>
            </w:pPr>
          </w:p>
        </w:tc>
        <w:tc>
          <w:tcPr>
            <w:tcW w:w="1470" w:type="dxa"/>
            <w:vMerge w:val="continue"/>
            <w:noWrap w:val="0"/>
            <w:vAlign w:val="center"/>
          </w:tcPr>
          <w:p>
            <w:pPr>
              <w:spacing w:line="240" w:lineRule="auto"/>
              <w:ind w:firstLine="0" w:firstLineChars="0"/>
              <w:jc w:val="center"/>
              <w:rPr>
                <w:color w:val="000000"/>
                <w:sz w:val="21"/>
                <w:szCs w:val="21"/>
              </w:rPr>
            </w:pPr>
          </w:p>
        </w:tc>
        <w:tc>
          <w:tcPr>
            <w:tcW w:w="1664" w:type="dxa"/>
            <w:tcBorders>
              <w:top w:val="single" w:color="000000" w:sz="4" w:space="0"/>
              <w:bottom w:val="single" w:color="000000" w:sz="4" w:space="0"/>
            </w:tcBorders>
            <w:shd w:val="clear" w:color="auto" w:fill="auto"/>
            <w:noWrap w:val="0"/>
            <w:vAlign w:val="center"/>
          </w:tcPr>
          <w:p>
            <w:pPr>
              <w:spacing w:line="240" w:lineRule="auto"/>
              <w:ind w:firstLine="0" w:firstLineChars="0"/>
              <w:jc w:val="center"/>
              <w:rPr>
                <w:rFonts w:hint="eastAsia" w:eastAsia="宋体"/>
                <w:color w:val="000000"/>
                <w:kern w:val="2"/>
                <w:sz w:val="21"/>
                <w:szCs w:val="21"/>
                <w:lang w:val="en-US" w:eastAsia="zh-CN" w:bidi="ar-SA"/>
              </w:rPr>
            </w:pPr>
            <w:r>
              <w:rPr>
                <w:rFonts w:hint="eastAsia"/>
                <w:color w:val="000000"/>
                <w:sz w:val="21"/>
                <w:szCs w:val="21"/>
                <w:lang w:eastAsia="zh-CN"/>
              </w:rPr>
              <w:t>非甲烷总烃</w:t>
            </w:r>
          </w:p>
        </w:tc>
        <w:tc>
          <w:tcPr>
            <w:tcW w:w="1551"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0.7</w:t>
            </w:r>
          </w:p>
        </w:tc>
        <w:tc>
          <w:tcPr>
            <w:tcW w:w="1442"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auto"/>
                <w:sz w:val="21"/>
                <w:szCs w:val="21"/>
                <w:highlight w:val="none"/>
                <w:lang w:val="en-US" w:eastAsia="zh-CN"/>
              </w:rPr>
              <w:t>0.021</w:t>
            </w:r>
          </w:p>
        </w:tc>
        <w:tc>
          <w:tcPr>
            <w:tcW w:w="1578"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color w:val="000000"/>
                <w:kern w:val="2"/>
                <w:sz w:val="21"/>
                <w:szCs w:val="21"/>
                <w:lang w:val="en-US" w:eastAsia="zh-CN" w:bidi="ar-SA"/>
              </w:rPr>
            </w:pPr>
            <w:r>
              <w:rPr>
                <w:rFonts w:hint="eastAsia" w:cs="Times New Roman"/>
                <w:color w:val="auto"/>
                <w:sz w:val="21"/>
                <w:szCs w:val="21"/>
                <w:highlight w:val="none"/>
                <w:lang w:val="en-US" w:eastAsia="zh-CN"/>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581" w:type="dxa"/>
            <w:vMerge w:val="continue"/>
            <w:tcBorders>
              <w:bottom w:val="single" w:color="000000" w:sz="4" w:space="0"/>
            </w:tcBorders>
            <w:noWrap w:val="0"/>
            <w:vAlign w:val="center"/>
          </w:tcPr>
          <w:p>
            <w:pPr>
              <w:spacing w:line="240" w:lineRule="auto"/>
              <w:ind w:firstLine="0" w:firstLineChars="0"/>
              <w:jc w:val="center"/>
              <w:rPr>
                <w:color w:val="000000"/>
                <w:sz w:val="21"/>
                <w:szCs w:val="21"/>
              </w:rPr>
            </w:pPr>
          </w:p>
        </w:tc>
        <w:tc>
          <w:tcPr>
            <w:tcW w:w="1470" w:type="dxa"/>
            <w:vMerge w:val="continue"/>
            <w:tcBorders>
              <w:bottom w:val="single" w:color="000000" w:sz="4" w:space="0"/>
            </w:tcBorders>
            <w:noWrap w:val="0"/>
            <w:vAlign w:val="center"/>
          </w:tcPr>
          <w:p>
            <w:pPr>
              <w:spacing w:line="240" w:lineRule="auto"/>
              <w:ind w:firstLine="0" w:firstLineChars="0"/>
              <w:jc w:val="center"/>
              <w:rPr>
                <w:color w:val="000000"/>
                <w:sz w:val="21"/>
                <w:szCs w:val="21"/>
              </w:rPr>
            </w:pPr>
          </w:p>
        </w:tc>
        <w:tc>
          <w:tcPr>
            <w:tcW w:w="1664" w:type="dxa"/>
            <w:tcBorders>
              <w:top w:val="single" w:color="000000" w:sz="4" w:space="0"/>
              <w:bottom w:val="single" w:color="000000" w:sz="4" w:space="0"/>
            </w:tcBorders>
            <w:shd w:val="clear" w:color="auto" w:fill="auto"/>
            <w:noWrap w:val="0"/>
            <w:vAlign w:val="center"/>
          </w:tcPr>
          <w:p>
            <w:pPr>
              <w:spacing w:line="240" w:lineRule="auto"/>
              <w:ind w:firstLine="0" w:firstLineChars="0"/>
              <w:jc w:val="center"/>
              <w:rPr>
                <w:rFonts w:hint="eastAsia" w:eastAsia="宋体"/>
                <w:color w:val="000000"/>
                <w:kern w:val="2"/>
                <w:sz w:val="21"/>
                <w:szCs w:val="21"/>
                <w:lang w:val="en-US" w:eastAsia="zh-CN" w:bidi="ar-SA"/>
              </w:rPr>
            </w:pPr>
            <w:r>
              <w:rPr>
                <w:rFonts w:hint="eastAsia"/>
                <w:color w:val="000000"/>
                <w:sz w:val="21"/>
                <w:szCs w:val="21"/>
                <w:lang w:eastAsia="zh-CN"/>
              </w:rPr>
              <w:t>甲醛</w:t>
            </w:r>
          </w:p>
        </w:tc>
        <w:tc>
          <w:tcPr>
            <w:tcW w:w="1551"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default" w:ascii="Times New Roman" w:hAnsi="Times New Roman" w:eastAsia="宋体" w:cs="Times New Roman"/>
                <w:color w:val="000000"/>
                <w:kern w:val="2"/>
                <w:sz w:val="21"/>
                <w:szCs w:val="21"/>
                <w:lang w:val="en-US" w:eastAsia="zh-CN" w:bidi="ar-SA"/>
              </w:rPr>
            </w:pPr>
            <w:r>
              <w:rPr>
                <w:rFonts w:hint="eastAsia" w:cs="Times New Roman"/>
                <w:color w:val="000000"/>
                <w:kern w:val="2"/>
                <w:sz w:val="21"/>
                <w:szCs w:val="21"/>
                <w:lang w:val="en-US" w:eastAsia="zh-CN" w:bidi="ar-SA"/>
              </w:rPr>
              <w:t>0.02</w:t>
            </w:r>
          </w:p>
        </w:tc>
        <w:tc>
          <w:tcPr>
            <w:tcW w:w="1442"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eastAsia="宋体"/>
                <w:color w:val="auto"/>
                <w:sz w:val="21"/>
                <w:szCs w:val="21"/>
                <w:highlight w:val="none"/>
                <w:lang w:val="en-US" w:eastAsia="zh-CN"/>
              </w:rPr>
              <w:t>0.00067</w:t>
            </w:r>
          </w:p>
        </w:tc>
        <w:tc>
          <w:tcPr>
            <w:tcW w:w="1578"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color w:val="000000"/>
                <w:kern w:val="2"/>
                <w:sz w:val="21"/>
                <w:szCs w:val="21"/>
                <w:lang w:val="en-US" w:eastAsia="zh-CN" w:bidi="ar-SA"/>
              </w:rPr>
            </w:pPr>
            <w:r>
              <w:rPr>
                <w:rFonts w:hint="eastAsia" w:eastAsia="宋体"/>
                <w:color w:val="auto"/>
                <w:sz w:val="21"/>
                <w:szCs w:val="21"/>
                <w:highlight w:val="none"/>
                <w:lang w:val="en-US" w:eastAsia="zh-CN"/>
              </w:rPr>
              <w:t>0.0035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2051" w:type="dxa"/>
            <w:gridSpan w:val="2"/>
            <w:vMerge w:val="restart"/>
            <w:tcBorders>
              <w:top w:val="single" w:color="000000" w:sz="6" w:space="0"/>
            </w:tcBorders>
            <w:noWrap w:val="0"/>
            <w:vAlign w:val="center"/>
          </w:tcPr>
          <w:p>
            <w:pPr>
              <w:spacing w:line="240" w:lineRule="auto"/>
              <w:ind w:firstLine="0" w:firstLineChars="0"/>
              <w:jc w:val="center"/>
              <w:rPr>
                <w:color w:val="000000"/>
                <w:sz w:val="21"/>
                <w:szCs w:val="21"/>
              </w:rPr>
            </w:pPr>
            <w:r>
              <w:rPr>
                <w:rFonts w:hint="eastAsia"/>
                <w:color w:val="000000"/>
                <w:sz w:val="21"/>
                <w:szCs w:val="21"/>
                <w:lang w:eastAsia="zh-CN"/>
              </w:rPr>
              <w:t>一般</w:t>
            </w:r>
            <w:r>
              <w:rPr>
                <w:rFonts w:hint="eastAsia"/>
                <w:color w:val="000000"/>
                <w:sz w:val="21"/>
                <w:szCs w:val="21"/>
              </w:rPr>
              <w:t>排放口合计</w:t>
            </w:r>
          </w:p>
        </w:tc>
        <w:tc>
          <w:tcPr>
            <w:tcW w:w="4657" w:type="dxa"/>
            <w:gridSpan w:val="3"/>
            <w:tcBorders>
              <w:top w:val="single" w:color="000000" w:sz="6" w:space="0"/>
              <w:bottom w:val="single" w:color="000000" w:sz="4" w:space="0"/>
            </w:tcBorders>
            <w:shd w:val="clear" w:color="auto" w:fill="auto"/>
            <w:noWrap w:val="0"/>
            <w:vAlign w:val="center"/>
          </w:tcPr>
          <w:p>
            <w:pPr>
              <w:spacing w:line="240" w:lineRule="auto"/>
              <w:ind w:firstLine="0" w:firstLineChars="0"/>
              <w:jc w:val="center"/>
              <w:rPr>
                <w:rFonts w:hint="eastAsia"/>
                <w:color w:val="000000"/>
                <w:kern w:val="2"/>
                <w:sz w:val="21"/>
                <w:szCs w:val="21"/>
                <w:lang w:val="en-US" w:eastAsia="zh-CN" w:bidi="ar-SA"/>
              </w:rPr>
            </w:pPr>
            <w:r>
              <w:rPr>
                <w:rFonts w:hint="eastAsia"/>
                <w:color w:val="000000"/>
                <w:sz w:val="21"/>
                <w:szCs w:val="21"/>
              </w:rPr>
              <w:t>颗粒物</w:t>
            </w:r>
          </w:p>
        </w:tc>
        <w:tc>
          <w:tcPr>
            <w:tcW w:w="1578" w:type="dxa"/>
            <w:tcBorders>
              <w:top w:val="single" w:color="000000" w:sz="6"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1875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40" w:hRule="atLeast"/>
        </w:trPr>
        <w:tc>
          <w:tcPr>
            <w:tcW w:w="2051" w:type="dxa"/>
            <w:gridSpan w:val="2"/>
            <w:vMerge w:val="continue"/>
            <w:noWrap w:val="0"/>
            <w:vAlign w:val="center"/>
          </w:tcPr>
          <w:p>
            <w:pPr>
              <w:spacing w:line="240" w:lineRule="auto"/>
              <w:ind w:firstLine="0" w:firstLineChars="0"/>
              <w:jc w:val="center"/>
              <w:rPr>
                <w:color w:val="000000"/>
                <w:sz w:val="21"/>
                <w:szCs w:val="21"/>
              </w:rPr>
            </w:pPr>
          </w:p>
        </w:tc>
        <w:tc>
          <w:tcPr>
            <w:tcW w:w="4657" w:type="dxa"/>
            <w:gridSpan w:val="3"/>
            <w:tcBorders>
              <w:top w:val="single" w:color="000000" w:sz="4" w:space="0"/>
              <w:bottom w:val="single" w:color="000000" w:sz="4" w:space="0"/>
            </w:tcBorders>
            <w:shd w:val="clear" w:color="auto" w:fill="auto"/>
            <w:noWrap w:val="0"/>
            <w:vAlign w:val="center"/>
          </w:tcPr>
          <w:p>
            <w:pPr>
              <w:spacing w:line="240" w:lineRule="auto"/>
              <w:ind w:firstLine="0" w:firstLineChars="0"/>
              <w:jc w:val="center"/>
              <w:rPr>
                <w:rFonts w:ascii="Times New Roman"/>
                <w:color w:val="auto"/>
                <w:kern w:val="2"/>
                <w:sz w:val="21"/>
                <w:szCs w:val="21"/>
                <w:lang w:val="en-US" w:eastAsia="zh-CN" w:bidi="ar-SA"/>
              </w:rPr>
            </w:pPr>
            <w:r>
              <w:rPr>
                <w:rFonts w:hint="eastAsia"/>
                <w:color w:val="000000"/>
                <w:sz w:val="21"/>
                <w:szCs w:val="21"/>
                <w:lang w:eastAsia="zh-CN"/>
              </w:rPr>
              <w:t>非甲烷总烃</w:t>
            </w:r>
          </w:p>
        </w:tc>
        <w:tc>
          <w:tcPr>
            <w:tcW w:w="1578"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auto"/>
                <w:sz w:val="21"/>
                <w:szCs w:val="21"/>
                <w:highlight w:val="none"/>
                <w:lang w:val="en-US" w:eastAsia="zh-CN"/>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2051" w:type="dxa"/>
            <w:gridSpan w:val="2"/>
            <w:vMerge w:val="continue"/>
            <w:tcBorders>
              <w:bottom w:val="single" w:color="000000" w:sz="4" w:space="0"/>
            </w:tcBorders>
            <w:noWrap w:val="0"/>
            <w:vAlign w:val="center"/>
          </w:tcPr>
          <w:p>
            <w:pPr>
              <w:spacing w:line="240" w:lineRule="auto"/>
              <w:ind w:firstLine="0" w:firstLineChars="0"/>
              <w:jc w:val="center"/>
              <w:rPr>
                <w:color w:val="000000"/>
                <w:sz w:val="21"/>
                <w:szCs w:val="21"/>
              </w:rPr>
            </w:pPr>
          </w:p>
        </w:tc>
        <w:tc>
          <w:tcPr>
            <w:tcW w:w="4657" w:type="dxa"/>
            <w:gridSpan w:val="3"/>
            <w:tcBorders>
              <w:top w:val="single" w:color="000000" w:sz="4" w:space="0"/>
              <w:bottom w:val="single" w:color="000000" w:sz="4" w:space="0"/>
            </w:tcBorders>
            <w:shd w:val="clear" w:color="auto" w:fill="auto"/>
            <w:noWrap w:val="0"/>
            <w:vAlign w:val="center"/>
          </w:tcPr>
          <w:p>
            <w:pPr>
              <w:spacing w:line="240" w:lineRule="auto"/>
              <w:ind w:firstLine="0" w:firstLineChars="0"/>
              <w:jc w:val="center"/>
              <w:rPr>
                <w:rFonts w:ascii="Times New Roman"/>
                <w:color w:val="auto"/>
                <w:kern w:val="2"/>
                <w:sz w:val="21"/>
                <w:szCs w:val="21"/>
                <w:lang w:val="en-US" w:eastAsia="zh-CN" w:bidi="ar-SA"/>
              </w:rPr>
            </w:pPr>
            <w:r>
              <w:rPr>
                <w:rFonts w:hint="eastAsia"/>
                <w:color w:val="000000"/>
                <w:sz w:val="21"/>
                <w:szCs w:val="21"/>
                <w:lang w:eastAsia="zh-CN"/>
              </w:rPr>
              <w:t>甲醛</w:t>
            </w:r>
          </w:p>
        </w:tc>
        <w:tc>
          <w:tcPr>
            <w:tcW w:w="1578"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eastAsia="宋体"/>
                <w:color w:val="auto"/>
                <w:sz w:val="21"/>
                <w:szCs w:val="21"/>
                <w:highlight w:val="none"/>
                <w:lang w:val="en-US" w:eastAsia="zh-CN"/>
              </w:rPr>
              <w:t>0.0035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8286" w:type="dxa"/>
            <w:gridSpan w:val="6"/>
            <w:noWrap w:val="0"/>
            <w:vAlign w:val="center"/>
          </w:tcPr>
          <w:p>
            <w:pPr>
              <w:spacing w:line="240" w:lineRule="auto"/>
              <w:ind w:firstLine="0" w:firstLineChars="0"/>
              <w:jc w:val="center"/>
              <w:rPr>
                <w:color w:val="000000"/>
                <w:sz w:val="21"/>
                <w:szCs w:val="21"/>
              </w:rPr>
            </w:pPr>
            <w:r>
              <w:rPr>
                <w:rFonts w:hint="eastAsia"/>
                <w:color w:val="000000"/>
                <w:sz w:val="21"/>
                <w:szCs w:val="21"/>
              </w:rPr>
              <w:t>全厂有组织排放总计</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340" w:hRule="atLeast"/>
        </w:trPr>
        <w:tc>
          <w:tcPr>
            <w:tcW w:w="2051" w:type="dxa"/>
            <w:gridSpan w:val="2"/>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全厂有组织排放总计</w:t>
            </w:r>
          </w:p>
        </w:tc>
        <w:tc>
          <w:tcPr>
            <w:tcW w:w="4657" w:type="dxa"/>
            <w:gridSpan w:val="3"/>
            <w:tcBorders>
              <w:bottom w:val="single" w:color="000000" w:sz="4" w:space="0"/>
            </w:tcBorders>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rPr>
              <w:t>颗粒物</w:t>
            </w:r>
          </w:p>
        </w:tc>
        <w:tc>
          <w:tcPr>
            <w:tcW w:w="1578" w:type="dxa"/>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1875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2051" w:type="dxa"/>
            <w:gridSpan w:val="2"/>
            <w:vMerge w:val="continue"/>
            <w:noWrap w:val="0"/>
            <w:vAlign w:val="center"/>
          </w:tcPr>
          <w:p>
            <w:pPr>
              <w:spacing w:line="240" w:lineRule="auto"/>
              <w:ind w:firstLine="0" w:firstLineChars="0"/>
              <w:jc w:val="center"/>
              <w:rPr>
                <w:color w:val="000000"/>
                <w:sz w:val="21"/>
                <w:szCs w:val="21"/>
              </w:rPr>
            </w:pPr>
          </w:p>
        </w:tc>
        <w:tc>
          <w:tcPr>
            <w:tcW w:w="4657" w:type="dxa"/>
            <w:gridSpan w:val="3"/>
            <w:tcBorders>
              <w:top w:val="single" w:color="000000" w:sz="4" w:space="0"/>
              <w:bottom w:val="single" w:color="000000" w:sz="4" w:space="0"/>
            </w:tcBorders>
            <w:noWrap w:val="0"/>
            <w:vAlign w:val="center"/>
          </w:tcPr>
          <w:p>
            <w:pPr>
              <w:spacing w:line="240" w:lineRule="auto"/>
              <w:ind w:firstLine="0" w:firstLineChars="0"/>
              <w:jc w:val="center"/>
              <w:rPr>
                <w:color w:val="000000"/>
                <w:sz w:val="21"/>
                <w:szCs w:val="21"/>
              </w:rPr>
            </w:pPr>
            <w:r>
              <w:rPr>
                <w:rFonts w:hint="eastAsia"/>
                <w:color w:val="000000"/>
                <w:sz w:val="21"/>
                <w:szCs w:val="21"/>
                <w:lang w:eastAsia="zh-CN"/>
              </w:rPr>
              <w:t>非甲烷总烃</w:t>
            </w:r>
          </w:p>
        </w:tc>
        <w:tc>
          <w:tcPr>
            <w:tcW w:w="1578" w:type="dxa"/>
            <w:tcBorders>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auto"/>
                <w:sz w:val="21"/>
                <w:szCs w:val="21"/>
                <w:highlight w:val="none"/>
                <w:lang w:val="en-US" w:eastAsia="zh-CN"/>
              </w:rPr>
              <w:t>0.11</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340" w:hRule="atLeast"/>
        </w:trPr>
        <w:tc>
          <w:tcPr>
            <w:tcW w:w="2051" w:type="dxa"/>
            <w:gridSpan w:val="2"/>
            <w:vMerge w:val="continue"/>
            <w:tcBorders>
              <w:bottom w:val="single" w:color="000000" w:sz="4" w:space="0"/>
            </w:tcBorders>
            <w:noWrap w:val="0"/>
            <w:vAlign w:val="center"/>
          </w:tcPr>
          <w:p>
            <w:pPr>
              <w:spacing w:line="240" w:lineRule="auto"/>
              <w:ind w:firstLine="0" w:firstLineChars="0"/>
              <w:jc w:val="center"/>
              <w:rPr>
                <w:color w:val="000000"/>
                <w:sz w:val="21"/>
                <w:szCs w:val="21"/>
              </w:rPr>
            </w:pPr>
          </w:p>
        </w:tc>
        <w:tc>
          <w:tcPr>
            <w:tcW w:w="4657" w:type="dxa"/>
            <w:gridSpan w:val="3"/>
            <w:tcBorders>
              <w:top w:val="single" w:color="000000" w:sz="4" w:space="0"/>
              <w:bottom w:val="single" w:color="000000" w:sz="4" w:space="0"/>
            </w:tcBorders>
            <w:noWrap w:val="0"/>
            <w:vAlign w:val="center"/>
          </w:tcPr>
          <w:p>
            <w:pPr>
              <w:spacing w:line="240" w:lineRule="auto"/>
              <w:ind w:firstLine="0" w:firstLineChars="0"/>
              <w:jc w:val="center"/>
              <w:rPr>
                <w:rFonts w:ascii="Times New Roman"/>
                <w:color w:val="auto"/>
                <w:sz w:val="21"/>
                <w:szCs w:val="21"/>
                <w:lang w:val="en-US"/>
              </w:rPr>
            </w:pPr>
            <w:r>
              <w:rPr>
                <w:rFonts w:hint="eastAsia"/>
                <w:color w:val="000000"/>
                <w:sz w:val="21"/>
                <w:szCs w:val="21"/>
                <w:lang w:eastAsia="zh-CN"/>
              </w:rPr>
              <w:t>甲醛</w:t>
            </w:r>
          </w:p>
        </w:tc>
        <w:tc>
          <w:tcPr>
            <w:tcW w:w="1578" w:type="dxa"/>
            <w:tcBorders>
              <w:top w:val="single" w:color="000000" w:sz="4" w:space="0"/>
              <w:bottom w:val="single" w:color="000000" w:sz="4" w:space="0"/>
            </w:tcBorders>
            <w:shd w:val="clear" w:color="auto" w:fill="auto"/>
            <w:noWrap w:val="0"/>
            <w:vAlign w:val="center"/>
          </w:tcPr>
          <w:p>
            <w:pPr>
              <w:spacing w:line="320" w:lineRule="exact"/>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eastAsia="宋体"/>
                <w:color w:val="auto"/>
                <w:sz w:val="21"/>
                <w:szCs w:val="21"/>
                <w:highlight w:val="none"/>
                <w:lang w:val="en-US" w:eastAsia="zh-CN"/>
              </w:rPr>
              <w:t>0.0035</w:t>
            </w:r>
          </w:p>
        </w:tc>
      </w:tr>
    </w:tbl>
    <w:p>
      <w:pPr>
        <w:pStyle w:val="6"/>
        <w:rPr>
          <w:color w:val="000000"/>
        </w:rPr>
      </w:pPr>
      <w:r>
        <w:rPr>
          <w:rFonts w:hint="eastAsia"/>
          <w:color w:val="000000"/>
        </w:rPr>
        <w:t>无组织排放量核算</w:t>
      </w:r>
    </w:p>
    <w:p>
      <w:pPr>
        <w:ind w:firstLine="480"/>
        <w:rPr>
          <w:color w:val="000000"/>
        </w:rPr>
      </w:pPr>
      <w:r>
        <w:rPr>
          <w:color w:val="000000"/>
        </w:rPr>
        <w:t>根据工程分析，本项目无组织</w:t>
      </w:r>
      <w:r>
        <w:rPr>
          <w:rFonts w:hint="eastAsia"/>
          <w:color w:val="000000"/>
        </w:rPr>
        <w:t>排放源主要为有机固废存放期间无组织逸出的臭气、有机废气等</w:t>
      </w:r>
      <w:r>
        <w:rPr>
          <w:color w:val="000000"/>
        </w:rPr>
        <w:t>。其无组织排放量核算见下表。</w:t>
      </w:r>
    </w:p>
    <w:p>
      <w:pPr>
        <w:spacing w:line="240" w:lineRule="auto"/>
        <w:ind w:firstLine="422"/>
        <w:jc w:val="center"/>
        <w:rPr>
          <w:color w:val="000000"/>
        </w:rPr>
      </w:pPr>
      <w:r>
        <w:rPr>
          <w:rFonts w:hint="eastAsia"/>
          <w:b/>
          <w:bCs/>
          <w:color w:val="000000"/>
          <w:sz w:val="21"/>
          <w:szCs w:val="21"/>
        </w:rPr>
        <w:t>表</w:t>
      </w:r>
      <w:r>
        <w:rPr>
          <w:rFonts w:hint="eastAsia"/>
          <w:b/>
          <w:bCs/>
          <w:color w:val="000000"/>
          <w:sz w:val="21"/>
          <w:szCs w:val="21"/>
          <w:lang w:val="en-US" w:eastAsia="zh-CN"/>
        </w:rPr>
        <w:t>6.2</w:t>
      </w:r>
      <w:r>
        <w:rPr>
          <w:rFonts w:hint="eastAsia"/>
          <w:b/>
          <w:bCs/>
          <w:color w:val="000000"/>
          <w:sz w:val="21"/>
          <w:szCs w:val="21"/>
        </w:rPr>
        <w:t>-2  大气污染物无组织排放量核算表</w:t>
      </w:r>
    </w:p>
    <w:tbl>
      <w:tblPr>
        <w:tblStyle w:val="36"/>
        <w:tblW w:w="829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0" w:type="dxa"/>
          <w:bottom w:w="0" w:type="dxa"/>
          <w:right w:w="0" w:type="dxa"/>
        </w:tblCellMar>
      </w:tblPr>
      <w:tblGrid>
        <w:gridCol w:w="323"/>
        <w:gridCol w:w="618"/>
        <w:gridCol w:w="1110"/>
        <w:gridCol w:w="975"/>
        <w:gridCol w:w="1600"/>
        <w:gridCol w:w="1856"/>
        <w:gridCol w:w="1004"/>
        <w:gridCol w:w="8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23" w:type="dxa"/>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序号</w:t>
            </w:r>
          </w:p>
        </w:tc>
        <w:tc>
          <w:tcPr>
            <w:tcW w:w="618" w:type="dxa"/>
            <w:vMerge w:val="restart"/>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rPr>
              <w:t>排放口编号</w:t>
            </w:r>
          </w:p>
        </w:tc>
        <w:tc>
          <w:tcPr>
            <w:tcW w:w="1110" w:type="dxa"/>
            <w:vMerge w:val="restart"/>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rPr>
              <w:t>产污环节</w:t>
            </w:r>
          </w:p>
        </w:tc>
        <w:tc>
          <w:tcPr>
            <w:tcW w:w="975" w:type="dxa"/>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污染物种类</w:t>
            </w:r>
          </w:p>
        </w:tc>
        <w:tc>
          <w:tcPr>
            <w:tcW w:w="1600" w:type="dxa"/>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主要污染防治措施</w:t>
            </w:r>
          </w:p>
        </w:tc>
        <w:tc>
          <w:tcPr>
            <w:tcW w:w="2860" w:type="dxa"/>
            <w:gridSpan w:val="2"/>
            <w:noWrap w:val="0"/>
            <w:vAlign w:val="center"/>
          </w:tcPr>
          <w:p>
            <w:pPr>
              <w:spacing w:line="240" w:lineRule="auto"/>
              <w:ind w:firstLine="0" w:firstLineChars="0"/>
              <w:jc w:val="center"/>
              <w:rPr>
                <w:color w:val="000000"/>
                <w:sz w:val="21"/>
                <w:szCs w:val="21"/>
              </w:rPr>
            </w:pPr>
            <w:r>
              <w:rPr>
                <w:rFonts w:hint="eastAsia"/>
                <w:color w:val="000000"/>
                <w:sz w:val="21"/>
                <w:szCs w:val="21"/>
              </w:rPr>
              <w:t>国家或地方污染物排放标准</w:t>
            </w:r>
          </w:p>
        </w:tc>
        <w:tc>
          <w:tcPr>
            <w:tcW w:w="810" w:type="dxa"/>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年排放量/</w:t>
            </w:r>
          </w:p>
          <w:p>
            <w:pPr>
              <w:spacing w:line="240" w:lineRule="auto"/>
              <w:ind w:firstLine="0" w:firstLineChars="0"/>
              <w:jc w:val="center"/>
              <w:rPr>
                <w:color w:val="000000"/>
                <w:sz w:val="21"/>
                <w:szCs w:val="21"/>
              </w:rPr>
            </w:pPr>
            <w:r>
              <w:rPr>
                <w:rFonts w:hint="eastAsia"/>
                <w:color w:val="000000"/>
                <w:sz w:val="21"/>
                <w:szCs w:val="21"/>
              </w:rPr>
              <w:t>（t/a）</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0" w:hRule="atLeast"/>
        </w:trPr>
        <w:tc>
          <w:tcPr>
            <w:tcW w:w="323" w:type="dxa"/>
            <w:vMerge w:val="continue"/>
            <w:tcBorders>
              <w:top w:val="nil"/>
            </w:tcBorders>
            <w:noWrap w:val="0"/>
            <w:vAlign w:val="center"/>
          </w:tcPr>
          <w:p>
            <w:pPr>
              <w:spacing w:line="240" w:lineRule="auto"/>
              <w:ind w:firstLine="0" w:firstLineChars="0"/>
              <w:jc w:val="center"/>
              <w:rPr>
                <w:color w:val="000000"/>
                <w:sz w:val="21"/>
                <w:szCs w:val="21"/>
              </w:rPr>
            </w:pPr>
          </w:p>
        </w:tc>
        <w:tc>
          <w:tcPr>
            <w:tcW w:w="618" w:type="dxa"/>
            <w:vMerge w:val="continue"/>
            <w:tcBorders>
              <w:top w:val="nil"/>
            </w:tcBorders>
            <w:noWrap w:val="0"/>
            <w:vAlign w:val="center"/>
          </w:tcPr>
          <w:p>
            <w:pPr>
              <w:spacing w:line="240" w:lineRule="auto"/>
              <w:ind w:firstLine="0" w:firstLineChars="0"/>
              <w:jc w:val="center"/>
              <w:rPr>
                <w:rFonts w:hint="eastAsia"/>
                <w:color w:val="000000"/>
                <w:sz w:val="21"/>
                <w:szCs w:val="21"/>
              </w:rPr>
            </w:pPr>
          </w:p>
        </w:tc>
        <w:tc>
          <w:tcPr>
            <w:tcW w:w="1110" w:type="dxa"/>
            <w:vMerge w:val="continue"/>
            <w:tcBorders>
              <w:top w:val="nil"/>
            </w:tcBorders>
            <w:noWrap w:val="0"/>
            <w:vAlign w:val="center"/>
          </w:tcPr>
          <w:p>
            <w:pPr>
              <w:spacing w:line="240" w:lineRule="auto"/>
              <w:ind w:firstLine="0" w:firstLineChars="0"/>
              <w:jc w:val="center"/>
              <w:rPr>
                <w:rFonts w:hint="eastAsia"/>
                <w:color w:val="000000"/>
                <w:sz w:val="21"/>
                <w:szCs w:val="21"/>
              </w:rPr>
            </w:pPr>
          </w:p>
        </w:tc>
        <w:tc>
          <w:tcPr>
            <w:tcW w:w="975" w:type="dxa"/>
            <w:vMerge w:val="continue"/>
            <w:tcBorders>
              <w:top w:val="nil"/>
            </w:tcBorders>
            <w:noWrap w:val="0"/>
            <w:vAlign w:val="center"/>
          </w:tcPr>
          <w:p>
            <w:pPr>
              <w:spacing w:line="240" w:lineRule="auto"/>
              <w:ind w:firstLine="0" w:firstLineChars="0"/>
              <w:jc w:val="center"/>
              <w:rPr>
                <w:color w:val="000000"/>
                <w:sz w:val="21"/>
                <w:szCs w:val="21"/>
              </w:rPr>
            </w:pPr>
          </w:p>
        </w:tc>
        <w:tc>
          <w:tcPr>
            <w:tcW w:w="1600" w:type="dxa"/>
            <w:vMerge w:val="continue"/>
            <w:tcBorders>
              <w:top w:val="nil"/>
            </w:tcBorders>
            <w:noWrap w:val="0"/>
            <w:vAlign w:val="center"/>
          </w:tcPr>
          <w:p>
            <w:pPr>
              <w:spacing w:line="240" w:lineRule="auto"/>
              <w:ind w:firstLine="0" w:firstLineChars="0"/>
              <w:jc w:val="center"/>
              <w:rPr>
                <w:color w:val="000000"/>
                <w:sz w:val="21"/>
                <w:szCs w:val="21"/>
              </w:rPr>
            </w:pPr>
          </w:p>
        </w:tc>
        <w:tc>
          <w:tcPr>
            <w:tcW w:w="1856" w:type="dxa"/>
            <w:noWrap w:val="0"/>
            <w:vAlign w:val="center"/>
          </w:tcPr>
          <w:p>
            <w:pPr>
              <w:spacing w:line="240" w:lineRule="auto"/>
              <w:ind w:firstLine="0" w:firstLineChars="0"/>
              <w:jc w:val="center"/>
              <w:rPr>
                <w:color w:val="000000"/>
                <w:sz w:val="21"/>
                <w:szCs w:val="21"/>
              </w:rPr>
            </w:pPr>
            <w:r>
              <w:rPr>
                <w:rFonts w:hint="eastAsia"/>
                <w:color w:val="000000"/>
                <w:sz w:val="21"/>
                <w:szCs w:val="21"/>
              </w:rPr>
              <w:t>标准名称</w:t>
            </w:r>
          </w:p>
        </w:tc>
        <w:tc>
          <w:tcPr>
            <w:tcW w:w="1004" w:type="dxa"/>
            <w:noWrap w:val="0"/>
            <w:vAlign w:val="center"/>
          </w:tcPr>
          <w:p>
            <w:pPr>
              <w:spacing w:line="240" w:lineRule="auto"/>
              <w:ind w:firstLine="0" w:firstLineChars="0"/>
              <w:jc w:val="center"/>
              <w:rPr>
                <w:color w:val="000000"/>
                <w:sz w:val="21"/>
                <w:szCs w:val="21"/>
              </w:rPr>
            </w:pPr>
            <w:r>
              <w:rPr>
                <w:rFonts w:hint="eastAsia"/>
                <w:color w:val="000000"/>
                <w:sz w:val="21"/>
                <w:szCs w:val="21"/>
              </w:rPr>
              <w:t>浓度限值/</w:t>
            </w:r>
          </w:p>
          <w:p>
            <w:pPr>
              <w:spacing w:line="240" w:lineRule="auto"/>
              <w:ind w:firstLine="0" w:firstLineChars="0"/>
              <w:jc w:val="center"/>
              <w:rPr>
                <w:color w:val="000000"/>
                <w:sz w:val="21"/>
                <w:szCs w:val="21"/>
              </w:rPr>
            </w:pPr>
            <w:r>
              <w:rPr>
                <w:rFonts w:hint="eastAsia"/>
                <w:color w:val="000000"/>
                <w:sz w:val="21"/>
                <w:szCs w:val="21"/>
              </w:rPr>
              <w:t>（mg/m</w:t>
            </w:r>
            <w:r>
              <w:rPr>
                <w:rFonts w:hint="eastAsia"/>
                <w:color w:val="000000"/>
                <w:sz w:val="21"/>
                <w:szCs w:val="21"/>
                <w:vertAlign w:val="superscript"/>
              </w:rPr>
              <w:t>3</w:t>
            </w:r>
            <w:r>
              <w:rPr>
                <w:rFonts w:hint="eastAsia"/>
                <w:color w:val="000000"/>
                <w:sz w:val="21"/>
                <w:szCs w:val="21"/>
              </w:rPr>
              <w:t>）</w:t>
            </w:r>
          </w:p>
        </w:tc>
        <w:tc>
          <w:tcPr>
            <w:tcW w:w="810" w:type="dxa"/>
            <w:vMerge w:val="continue"/>
            <w:tcBorders>
              <w:top w:val="nil"/>
            </w:tcBorders>
            <w:noWrap w:val="0"/>
            <w:vAlign w:val="center"/>
          </w:tcPr>
          <w:p>
            <w:pPr>
              <w:spacing w:line="240" w:lineRule="auto"/>
              <w:ind w:firstLine="0" w:firstLineChars="0"/>
              <w:jc w:val="center"/>
              <w:rPr>
                <w:color w:val="000000"/>
                <w:sz w:val="21"/>
                <w:szCs w:val="21"/>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323" w:type="dxa"/>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1</w:t>
            </w:r>
          </w:p>
        </w:tc>
        <w:tc>
          <w:tcPr>
            <w:tcW w:w="618" w:type="dxa"/>
            <w:vMerge w:val="restart"/>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rPr>
              <w:t>S1</w:t>
            </w:r>
          </w:p>
        </w:tc>
        <w:tc>
          <w:tcPr>
            <w:tcW w:w="1110" w:type="dxa"/>
            <w:vMerge w:val="restart"/>
            <w:noWrap w:val="0"/>
            <w:vAlign w:val="center"/>
          </w:tcPr>
          <w:p>
            <w:pPr>
              <w:spacing w:line="240" w:lineRule="auto"/>
              <w:ind w:firstLine="0" w:firstLineChars="0"/>
              <w:jc w:val="center"/>
              <w:rPr>
                <w:rFonts w:hint="eastAsia" w:eastAsia="宋体"/>
                <w:color w:val="000000"/>
                <w:sz w:val="21"/>
                <w:szCs w:val="21"/>
                <w:lang w:eastAsia="zh-CN"/>
              </w:rPr>
            </w:pPr>
            <w:r>
              <w:rPr>
                <w:rFonts w:hint="eastAsia"/>
                <w:color w:val="000000"/>
                <w:sz w:val="21"/>
                <w:szCs w:val="21"/>
                <w:lang w:eastAsia="zh-CN"/>
              </w:rPr>
              <w:t>熔化、制芯、浇注、抛丸</w:t>
            </w:r>
          </w:p>
        </w:tc>
        <w:tc>
          <w:tcPr>
            <w:tcW w:w="975" w:type="dxa"/>
            <w:tcBorders>
              <w:top w:val="single" w:color="auto" w:sz="4" w:space="0"/>
              <w:bottom w:val="single" w:color="000000" w:sz="4" w:space="0"/>
            </w:tcBorders>
            <w:noWrap w:val="0"/>
            <w:vAlign w:val="center"/>
          </w:tcPr>
          <w:p>
            <w:pPr>
              <w:spacing w:line="240" w:lineRule="auto"/>
              <w:ind w:firstLine="0" w:firstLineChars="0"/>
              <w:jc w:val="center"/>
              <w:rPr>
                <w:rFonts w:hint="eastAsia" w:eastAsia="宋体"/>
                <w:color w:val="000000"/>
                <w:sz w:val="21"/>
                <w:szCs w:val="21"/>
                <w:lang w:eastAsia="zh-CN"/>
              </w:rPr>
            </w:pPr>
            <w:r>
              <w:rPr>
                <w:rFonts w:hint="eastAsia"/>
                <w:color w:val="000000"/>
                <w:sz w:val="21"/>
                <w:szCs w:val="21"/>
                <w:lang w:eastAsia="zh-CN"/>
              </w:rPr>
              <w:t>颗粒物</w:t>
            </w:r>
          </w:p>
        </w:tc>
        <w:tc>
          <w:tcPr>
            <w:tcW w:w="1600" w:type="dxa"/>
            <w:vMerge w:val="restart"/>
            <w:tcBorders>
              <w:top w:val="single" w:color="000000" w:sz="4" w:space="0"/>
            </w:tcBorders>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rPr>
              <w:t>厂房密闭设置</w:t>
            </w:r>
            <w:r>
              <w:rPr>
                <w:rFonts w:hint="eastAsia"/>
                <w:color w:val="000000"/>
                <w:sz w:val="21"/>
                <w:szCs w:val="21"/>
                <w:lang w:eastAsia="zh-CN"/>
              </w:rPr>
              <w:t>，加强废气有组织收集，</w:t>
            </w:r>
            <w:r>
              <w:rPr>
                <w:rFonts w:hint="eastAsia"/>
                <w:color w:val="000000"/>
                <w:sz w:val="21"/>
                <w:szCs w:val="21"/>
              </w:rPr>
              <w:t>减少无组织废气排放</w:t>
            </w:r>
          </w:p>
        </w:tc>
        <w:tc>
          <w:tcPr>
            <w:tcW w:w="1856" w:type="dxa"/>
            <w:vMerge w:val="restart"/>
            <w:tcBorders>
              <w:top w:val="single" w:color="000000" w:sz="4" w:space="0"/>
            </w:tcBorders>
            <w:noWrap w:val="0"/>
            <w:vAlign w:val="center"/>
          </w:tcPr>
          <w:p>
            <w:pPr>
              <w:spacing w:line="240" w:lineRule="auto"/>
              <w:ind w:firstLine="0" w:firstLineChars="0"/>
              <w:jc w:val="center"/>
              <w:rPr>
                <w:rFonts w:hint="eastAsia" w:ascii="Times New Roman" w:hAnsi="Times New Roman" w:eastAsia="宋体" w:cs="Times New Roman"/>
                <w:color w:val="000000"/>
                <w:sz w:val="21"/>
                <w:szCs w:val="21"/>
              </w:rPr>
            </w:pPr>
            <w:r>
              <w:rPr>
                <w:rFonts w:hint="eastAsia" w:ascii="Times New Roman" w:hAnsi="Times New Roman" w:eastAsia="宋体" w:cs="Times New Roman"/>
                <w:color w:val="000000"/>
                <w:sz w:val="21"/>
                <w:szCs w:val="21"/>
                <w:lang w:val="en-US" w:eastAsia="zh-CN"/>
              </w:rPr>
              <w:t>《大气污染物综合排放标准》（GB16297-1996）表2中二级标准限值</w:t>
            </w:r>
          </w:p>
        </w:tc>
        <w:tc>
          <w:tcPr>
            <w:tcW w:w="1004" w:type="dxa"/>
            <w:tcBorders>
              <w:bottom w:val="single" w:color="000000" w:sz="4" w:space="0"/>
            </w:tcBorders>
            <w:noWrap w:val="0"/>
            <w:vAlign w:val="center"/>
          </w:tcPr>
          <w:p>
            <w:pPr>
              <w:spacing w:line="240" w:lineRule="auto"/>
              <w:ind w:firstLine="0" w:firstLineChars="0"/>
              <w:jc w:val="center"/>
              <w:rPr>
                <w:rFonts w:hint="default" w:ascii="Times New Roman" w:hAnsi="Times New Roman" w:eastAsia="宋体" w:cs="Times New Roman"/>
                <w:color w:val="000000"/>
                <w:sz w:val="21"/>
                <w:szCs w:val="21"/>
                <w:lang w:val="en-US" w:eastAsia="zh-CN"/>
              </w:rPr>
            </w:pPr>
            <w:r>
              <w:rPr>
                <w:rFonts w:hint="eastAsia" w:cs="Times New Roman"/>
                <w:color w:val="000000"/>
                <w:sz w:val="21"/>
                <w:szCs w:val="21"/>
                <w:lang w:val="en-US" w:eastAsia="zh-CN"/>
              </w:rPr>
              <w:t>1.0</w:t>
            </w:r>
          </w:p>
        </w:tc>
        <w:tc>
          <w:tcPr>
            <w:tcW w:w="810" w:type="dxa"/>
            <w:tcBorders>
              <w:bottom w:val="single" w:color="000000" w:sz="4" w:space="0"/>
            </w:tcBorders>
            <w:noWrap w:val="0"/>
            <w:vAlign w:val="center"/>
          </w:tcPr>
          <w:p>
            <w:pPr>
              <w:spacing w:line="240" w:lineRule="auto"/>
              <w:ind w:firstLine="0" w:firstLineChars="0"/>
              <w:jc w:val="center"/>
              <w:rPr>
                <w:rFonts w:hint="eastAsia"/>
                <w:color w:val="000000"/>
                <w:sz w:val="21"/>
                <w:szCs w:val="21"/>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3" w:hRule="atLeast"/>
        </w:trPr>
        <w:tc>
          <w:tcPr>
            <w:tcW w:w="323" w:type="dxa"/>
            <w:vMerge w:val="continue"/>
            <w:tcBorders>
              <w:bottom w:val="single" w:color="000000" w:sz="6" w:space="0"/>
            </w:tcBorders>
            <w:noWrap w:val="0"/>
            <w:vAlign w:val="center"/>
          </w:tcPr>
          <w:p>
            <w:pPr>
              <w:spacing w:line="240" w:lineRule="auto"/>
              <w:ind w:firstLine="0" w:firstLineChars="0"/>
              <w:jc w:val="center"/>
              <w:rPr>
                <w:rFonts w:hint="eastAsia"/>
                <w:color w:val="000000"/>
                <w:sz w:val="21"/>
                <w:szCs w:val="21"/>
              </w:rPr>
            </w:pPr>
          </w:p>
        </w:tc>
        <w:tc>
          <w:tcPr>
            <w:tcW w:w="618" w:type="dxa"/>
            <w:vMerge w:val="continue"/>
            <w:tcBorders>
              <w:bottom w:val="single" w:color="000000" w:sz="6" w:space="0"/>
            </w:tcBorders>
            <w:noWrap w:val="0"/>
            <w:vAlign w:val="center"/>
          </w:tcPr>
          <w:p>
            <w:pPr>
              <w:spacing w:line="240" w:lineRule="auto"/>
              <w:ind w:firstLine="0" w:firstLineChars="0"/>
              <w:jc w:val="center"/>
              <w:rPr>
                <w:rFonts w:hint="eastAsia"/>
                <w:color w:val="000000"/>
                <w:sz w:val="21"/>
                <w:szCs w:val="21"/>
              </w:rPr>
            </w:pPr>
          </w:p>
        </w:tc>
        <w:tc>
          <w:tcPr>
            <w:tcW w:w="1110" w:type="dxa"/>
            <w:vMerge w:val="continue"/>
            <w:tcBorders>
              <w:bottom w:val="single" w:color="000000" w:sz="6" w:space="0"/>
            </w:tcBorders>
            <w:noWrap w:val="0"/>
            <w:vAlign w:val="center"/>
          </w:tcPr>
          <w:p>
            <w:pPr>
              <w:pStyle w:val="50"/>
              <w:rPr>
                <w:color w:val="000000"/>
                <w:sz w:val="21"/>
                <w:szCs w:val="21"/>
              </w:rPr>
            </w:pPr>
          </w:p>
        </w:tc>
        <w:tc>
          <w:tcPr>
            <w:tcW w:w="975" w:type="dxa"/>
            <w:tcBorders>
              <w:top w:val="single" w:color="000000" w:sz="4" w:space="0"/>
              <w:bottom w:val="single" w:color="000000" w:sz="4" w:space="0"/>
            </w:tcBorders>
            <w:noWrap w:val="0"/>
            <w:vAlign w:val="center"/>
          </w:tcPr>
          <w:p>
            <w:pPr>
              <w:spacing w:line="240" w:lineRule="auto"/>
              <w:ind w:firstLine="0" w:firstLineChars="0"/>
              <w:jc w:val="center"/>
              <w:rPr>
                <w:rFonts w:hint="eastAsia" w:eastAsia="宋体"/>
                <w:color w:val="000000"/>
                <w:sz w:val="21"/>
                <w:szCs w:val="21"/>
                <w:lang w:eastAsia="zh-CN"/>
              </w:rPr>
            </w:pPr>
            <w:r>
              <w:rPr>
                <w:rFonts w:hint="eastAsia"/>
                <w:color w:val="000000"/>
                <w:sz w:val="21"/>
                <w:szCs w:val="21"/>
                <w:lang w:eastAsia="zh-CN"/>
              </w:rPr>
              <w:t>非甲烷总烃</w:t>
            </w:r>
          </w:p>
        </w:tc>
        <w:tc>
          <w:tcPr>
            <w:tcW w:w="1600" w:type="dxa"/>
            <w:vMerge w:val="continue"/>
            <w:noWrap w:val="0"/>
            <w:vAlign w:val="center"/>
          </w:tcPr>
          <w:p>
            <w:pPr>
              <w:spacing w:line="240" w:lineRule="auto"/>
              <w:ind w:firstLine="0" w:firstLineChars="0"/>
              <w:jc w:val="center"/>
              <w:rPr>
                <w:rFonts w:hint="eastAsia"/>
                <w:color w:val="000000"/>
                <w:sz w:val="21"/>
                <w:szCs w:val="21"/>
              </w:rPr>
            </w:pPr>
          </w:p>
        </w:tc>
        <w:tc>
          <w:tcPr>
            <w:tcW w:w="1856" w:type="dxa"/>
            <w:vMerge w:val="continue"/>
            <w:noWrap w:val="0"/>
            <w:vAlign w:val="center"/>
          </w:tcPr>
          <w:p>
            <w:pPr>
              <w:spacing w:line="240" w:lineRule="auto"/>
              <w:ind w:firstLine="0" w:firstLineChars="0"/>
              <w:jc w:val="center"/>
              <w:rPr>
                <w:rFonts w:hint="eastAsia" w:ascii="Times New Roman" w:hAnsi="Times New Roman" w:eastAsia="宋体" w:cs="Times New Roman"/>
                <w:color w:val="000000"/>
                <w:sz w:val="21"/>
                <w:szCs w:val="21"/>
              </w:rPr>
            </w:pPr>
          </w:p>
        </w:tc>
        <w:tc>
          <w:tcPr>
            <w:tcW w:w="1004" w:type="dxa"/>
            <w:tcBorders>
              <w:bottom w:val="single" w:color="000000" w:sz="8" w:space="0"/>
            </w:tcBorders>
            <w:noWrap w:val="0"/>
            <w:vAlign w:val="center"/>
          </w:tcPr>
          <w:p>
            <w:pPr>
              <w:spacing w:line="240" w:lineRule="auto"/>
              <w:ind w:firstLine="0" w:firstLineChars="0"/>
              <w:jc w:val="center"/>
              <w:rPr>
                <w:rFonts w:hint="default" w:ascii="Times New Roman" w:hAnsi="Times New Roman" w:eastAsia="宋体" w:cs="Times New Roman"/>
                <w:color w:val="000000"/>
                <w:sz w:val="21"/>
                <w:szCs w:val="21"/>
                <w:lang w:val="en-US" w:eastAsia="zh-CN"/>
              </w:rPr>
            </w:pPr>
            <w:r>
              <w:rPr>
                <w:rFonts w:hint="eastAsia" w:cs="Times New Roman"/>
                <w:color w:val="000000"/>
                <w:sz w:val="21"/>
                <w:szCs w:val="21"/>
                <w:lang w:val="en-US" w:eastAsia="zh-CN"/>
              </w:rPr>
              <w:t>0.2</w:t>
            </w:r>
          </w:p>
        </w:tc>
        <w:tc>
          <w:tcPr>
            <w:tcW w:w="810" w:type="dxa"/>
            <w:tcBorders>
              <w:bottom w:val="single" w:color="000000" w:sz="4" w:space="0"/>
            </w:tcBorders>
            <w:noWrap w:val="0"/>
            <w:vAlign w:val="center"/>
          </w:tcPr>
          <w:p>
            <w:pPr>
              <w:spacing w:line="240" w:lineRule="auto"/>
              <w:ind w:firstLine="0" w:firstLineChars="0"/>
              <w:jc w:val="center"/>
              <w:rPr>
                <w:rFonts w:hint="eastAsia"/>
                <w:color w:val="000000"/>
                <w:sz w:val="21"/>
                <w:szCs w:val="21"/>
              </w:rPr>
            </w:pPr>
            <w:r>
              <w:rPr>
                <w:rFonts w:hint="eastAsia" w:eastAsia="宋体"/>
                <w:color w:val="auto"/>
                <w:sz w:val="21"/>
                <w:szCs w:val="21"/>
                <w:highlight w:val="none"/>
                <w:lang w:val="en-US" w:eastAsia="zh-CN"/>
              </w:rPr>
              <w:t>0.00025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9" w:hRule="atLeast"/>
        </w:trPr>
        <w:tc>
          <w:tcPr>
            <w:tcW w:w="323" w:type="dxa"/>
            <w:vMerge w:val="continue"/>
            <w:tcBorders>
              <w:bottom w:val="single" w:color="000000" w:sz="6" w:space="0"/>
            </w:tcBorders>
            <w:noWrap w:val="0"/>
            <w:vAlign w:val="center"/>
          </w:tcPr>
          <w:p>
            <w:pPr>
              <w:spacing w:line="240" w:lineRule="auto"/>
              <w:ind w:firstLine="0" w:firstLineChars="0"/>
              <w:jc w:val="center"/>
              <w:rPr>
                <w:rFonts w:hint="eastAsia"/>
                <w:color w:val="000000"/>
                <w:sz w:val="21"/>
                <w:szCs w:val="21"/>
              </w:rPr>
            </w:pPr>
          </w:p>
        </w:tc>
        <w:tc>
          <w:tcPr>
            <w:tcW w:w="618" w:type="dxa"/>
            <w:vMerge w:val="continue"/>
            <w:tcBorders>
              <w:bottom w:val="single" w:color="000000" w:sz="6" w:space="0"/>
            </w:tcBorders>
            <w:noWrap w:val="0"/>
            <w:vAlign w:val="center"/>
          </w:tcPr>
          <w:p>
            <w:pPr>
              <w:spacing w:line="240" w:lineRule="auto"/>
              <w:ind w:firstLine="0" w:firstLineChars="0"/>
              <w:jc w:val="center"/>
              <w:rPr>
                <w:rFonts w:hint="eastAsia"/>
                <w:color w:val="000000"/>
                <w:sz w:val="21"/>
                <w:szCs w:val="21"/>
              </w:rPr>
            </w:pPr>
          </w:p>
        </w:tc>
        <w:tc>
          <w:tcPr>
            <w:tcW w:w="1110" w:type="dxa"/>
            <w:vMerge w:val="continue"/>
            <w:tcBorders>
              <w:bottom w:val="single" w:color="000000" w:sz="6" w:space="0"/>
            </w:tcBorders>
            <w:noWrap w:val="0"/>
            <w:vAlign w:val="center"/>
          </w:tcPr>
          <w:p>
            <w:pPr>
              <w:pStyle w:val="50"/>
              <w:rPr>
                <w:color w:val="000000"/>
                <w:sz w:val="21"/>
                <w:szCs w:val="21"/>
              </w:rPr>
            </w:pPr>
          </w:p>
        </w:tc>
        <w:tc>
          <w:tcPr>
            <w:tcW w:w="975" w:type="dxa"/>
            <w:tcBorders>
              <w:top w:val="single" w:color="000000" w:sz="4" w:space="0"/>
              <w:bottom w:val="single" w:color="000000" w:sz="6" w:space="0"/>
            </w:tcBorders>
            <w:noWrap w:val="0"/>
            <w:vAlign w:val="center"/>
          </w:tcPr>
          <w:p>
            <w:pPr>
              <w:spacing w:line="240" w:lineRule="auto"/>
              <w:ind w:firstLine="0" w:firstLineChars="0"/>
              <w:jc w:val="center"/>
              <w:rPr>
                <w:rFonts w:hint="eastAsia" w:eastAsia="宋体"/>
                <w:color w:val="000000"/>
                <w:sz w:val="21"/>
                <w:szCs w:val="21"/>
                <w:lang w:eastAsia="zh-CN"/>
              </w:rPr>
            </w:pPr>
            <w:r>
              <w:rPr>
                <w:rFonts w:hint="eastAsia"/>
                <w:color w:val="000000"/>
                <w:sz w:val="21"/>
                <w:szCs w:val="21"/>
                <w:lang w:eastAsia="zh-CN"/>
              </w:rPr>
              <w:t>甲醛</w:t>
            </w:r>
          </w:p>
        </w:tc>
        <w:tc>
          <w:tcPr>
            <w:tcW w:w="1600" w:type="dxa"/>
            <w:vMerge w:val="continue"/>
            <w:tcBorders>
              <w:bottom w:val="single" w:color="000000" w:sz="4" w:space="0"/>
            </w:tcBorders>
            <w:noWrap w:val="0"/>
            <w:vAlign w:val="center"/>
          </w:tcPr>
          <w:p>
            <w:pPr>
              <w:spacing w:line="240" w:lineRule="auto"/>
              <w:ind w:firstLine="0" w:firstLineChars="0"/>
              <w:jc w:val="center"/>
              <w:rPr>
                <w:rFonts w:hint="eastAsia"/>
                <w:color w:val="000000"/>
                <w:sz w:val="21"/>
                <w:szCs w:val="21"/>
              </w:rPr>
            </w:pPr>
          </w:p>
        </w:tc>
        <w:tc>
          <w:tcPr>
            <w:tcW w:w="1856" w:type="dxa"/>
            <w:vMerge w:val="continue"/>
            <w:tcBorders>
              <w:bottom w:val="single" w:color="000000" w:sz="4" w:space="0"/>
            </w:tcBorders>
            <w:noWrap w:val="0"/>
            <w:vAlign w:val="center"/>
          </w:tcPr>
          <w:p>
            <w:pPr>
              <w:spacing w:line="240" w:lineRule="auto"/>
              <w:ind w:firstLine="0" w:firstLineChars="0"/>
              <w:jc w:val="center"/>
              <w:rPr>
                <w:rFonts w:hint="eastAsia"/>
                <w:color w:val="000000"/>
                <w:sz w:val="21"/>
                <w:szCs w:val="21"/>
              </w:rPr>
            </w:pPr>
          </w:p>
        </w:tc>
        <w:tc>
          <w:tcPr>
            <w:tcW w:w="1004" w:type="dxa"/>
            <w:tcBorders>
              <w:top w:val="single" w:color="000000" w:sz="8" w:space="0"/>
              <w:bottom w:val="single" w:color="000000" w:sz="4" w:space="0"/>
            </w:tcBorders>
            <w:noWrap w:val="0"/>
            <w:vAlign w:val="center"/>
          </w:tcPr>
          <w:p>
            <w:pPr>
              <w:spacing w:line="240" w:lineRule="auto"/>
              <w:ind w:firstLine="0" w:firstLineChars="0"/>
              <w:jc w:val="center"/>
              <w:rPr>
                <w:rFonts w:hint="default" w:eastAsia="宋体"/>
                <w:color w:val="000000"/>
                <w:sz w:val="21"/>
                <w:szCs w:val="21"/>
                <w:lang w:val="en-US" w:eastAsia="zh-CN"/>
              </w:rPr>
            </w:pPr>
            <w:r>
              <w:rPr>
                <w:rFonts w:hint="eastAsia"/>
                <w:color w:val="000000"/>
                <w:sz w:val="21"/>
                <w:szCs w:val="21"/>
                <w:lang w:val="en-US" w:eastAsia="zh-CN"/>
              </w:rPr>
              <w:t>4.0</w:t>
            </w:r>
          </w:p>
        </w:tc>
        <w:tc>
          <w:tcPr>
            <w:tcW w:w="810" w:type="dxa"/>
            <w:tcBorders>
              <w:bottom w:val="single" w:color="000000" w:sz="6" w:space="0"/>
            </w:tcBorders>
            <w:noWrap w:val="0"/>
            <w:vAlign w:val="center"/>
          </w:tcPr>
          <w:p>
            <w:pPr>
              <w:spacing w:line="240" w:lineRule="auto"/>
              <w:ind w:firstLine="0" w:firstLineChars="0"/>
              <w:jc w:val="center"/>
              <w:rPr>
                <w:rFonts w:hint="eastAsia"/>
                <w:color w:val="000000"/>
                <w:sz w:val="21"/>
                <w:szCs w:val="21"/>
              </w:rPr>
            </w:pPr>
            <w:r>
              <w:rPr>
                <w:rFonts w:hint="eastAsia" w:cs="Times New Roman"/>
                <w:color w:val="auto"/>
                <w:sz w:val="21"/>
                <w:szCs w:val="21"/>
                <w:highlight w:val="none"/>
                <w:lang w:val="en-US" w:eastAsia="zh-CN"/>
              </w:rPr>
              <w:t>0.006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40" w:hRule="atLeast"/>
        </w:trPr>
        <w:tc>
          <w:tcPr>
            <w:tcW w:w="8296" w:type="dxa"/>
            <w:gridSpan w:val="8"/>
            <w:noWrap w:val="0"/>
            <w:vAlign w:val="center"/>
          </w:tcPr>
          <w:p>
            <w:pPr>
              <w:spacing w:line="240" w:lineRule="auto"/>
              <w:ind w:firstLine="0" w:firstLineChars="0"/>
              <w:jc w:val="center"/>
              <w:rPr>
                <w:color w:val="000000"/>
                <w:sz w:val="21"/>
                <w:szCs w:val="21"/>
              </w:rPr>
            </w:pPr>
            <w:r>
              <w:rPr>
                <w:rFonts w:hint="eastAsia"/>
                <w:color w:val="000000"/>
                <w:sz w:val="21"/>
                <w:szCs w:val="21"/>
              </w:rPr>
              <w:t>全厂无组织排放总计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026" w:type="dxa"/>
            <w:gridSpan w:val="4"/>
            <w:vMerge w:val="restart"/>
            <w:noWrap w:val="0"/>
            <w:vAlign w:val="center"/>
          </w:tcPr>
          <w:p>
            <w:pPr>
              <w:spacing w:line="240" w:lineRule="auto"/>
              <w:ind w:firstLine="0" w:firstLineChars="0"/>
              <w:jc w:val="center"/>
              <w:rPr>
                <w:color w:val="000000"/>
                <w:sz w:val="21"/>
                <w:szCs w:val="21"/>
              </w:rPr>
            </w:pPr>
            <w:r>
              <w:rPr>
                <w:rFonts w:hint="eastAsia"/>
                <w:color w:val="000000"/>
                <w:sz w:val="21"/>
                <w:szCs w:val="21"/>
              </w:rPr>
              <w:t>全厂无组织排放总计</w:t>
            </w:r>
          </w:p>
        </w:tc>
        <w:tc>
          <w:tcPr>
            <w:tcW w:w="3456" w:type="dxa"/>
            <w:gridSpan w:val="2"/>
            <w:noWrap w:val="0"/>
            <w:vAlign w:val="center"/>
          </w:tcPr>
          <w:p>
            <w:pPr>
              <w:spacing w:line="240" w:lineRule="auto"/>
              <w:ind w:firstLine="0" w:firstLineChars="0"/>
              <w:jc w:val="center"/>
              <w:rPr>
                <w:color w:val="000000"/>
                <w:sz w:val="21"/>
                <w:szCs w:val="21"/>
              </w:rPr>
            </w:pPr>
            <w:r>
              <w:rPr>
                <w:rFonts w:hint="eastAsia"/>
                <w:color w:val="000000"/>
                <w:sz w:val="21"/>
                <w:szCs w:val="21"/>
                <w:lang w:eastAsia="zh-CN"/>
              </w:rPr>
              <w:t>颗粒物</w:t>
            </w:r>
          </w:p>
        </w:tc>
        <w:tc>
          <w:tcPr>
            <w:tcW w:w="1814" w:type="dxa"/>
            <w:gridSpan w:val="2"/>
            <w:shd w:val="clear" w:color="auto" w:fill="auto"/>
            <w:noWrap w:val="0"/>
            <w:vAlign w:val="center"/>
          </w:tcPr>
          <w:p>
            <w:pPr>
              <w:spacing w:line="240" w:lineRule="auto"/>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ascii="Times New Roman" w:hAnsi="Times New Roman" w:eastAsia="宋体" w:cs="Times New Roman"/>
                <w:color w:val="auto"/>
                <w:sz w:val="21"/>
                <w:szCs w:val="21"/>
                <w:highlight w:val="none"/>
                <w:lang w:val="en-US" w:eastAsia="zh-CN"/>
              </w:rPr>
              <w:t>0.</w:t>
            </w:r>
            <w:r>
              <w:rPr>
                <w:rFonts w:hint="eastAsia" w:cs="Times New Roman"/>
                <w:color w:val="auto"/>
                <w:sz w:val="21"/>
                <w:szCs w:val="21"/>
                <w:highlight w:val="none"/>
                <w:lang w:val="en-US" w:eastAsia="zh-CN"/>
              </w:rPr>
              <w:t>06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026" w:type="dxa"/>
            <w:gridSpan w:val="4"/>
            <w:vMerge w:val="continue"/>
            <w:noWrap w:val="0"/>
            <w:vAlign w:val="center"/>
          </w:tcPr>
          <w:p>
            <w:pPr>
              <w:spacing w:line="240" w:lineRule="auto"/>
              <w:ind w:firstLine="0" w:firstLineChars="0"/>
              <w:jc w:val="center"/>
              <w:rPr>
                <w:rFonts w:hint="eastAsia"/>
                <w:color w:val="000000"/>
                <w:sz w:val="21"/>
                <w:szCs w:val="21"/>
              </w:rPr>
            </w:pPr>
          </w:p>
        </w:tc>
        <w:tc>
          <w:tcPr>
            <w:tcW w:w="3456" w:type="dxa"/>
            <w:gridSpan w:val="2"/>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lang w:eastAsia="zh-CN"/>
              </w:rPr>
              <w:t>非甲烷总烃</w:t>
            </w:r>
          </w:p>
        </w:tc>
        <w:tc>
          <w:tcPr>
            <w:tcW w:w="1814" w:type="dxa"/>
            <w:gridSpan w:val="2"/>
            <w:shd w:val="clear" w:color="auto" w:fill="auto"/>
            <w:noWrap w:val="0"/>
            <w:vAlign w:val="center"/>
          </w:tcPr>
          <w:p>
            <w:pPr>
              <w:spacing w:line="240" w:lineRule="auto"/>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eastAsia="宋体"/>
                <w:color w:val="auto"/>
                <w:sz w:val="21"/>
                <w:szCs w:val="21"/>
                <w:highlight w:val="none"/>
                <w:lang w:val="en-US" w:eastAsia="zh-CN"/>
              </w:rPr>
              <w:t>0.00025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9" w:hRule="atLeast"/>
        </w:trPr>
        <w:tc>
          <w:tcPr>
            <w:tcW w:w="3026" w:type="dxa"/>
            <w:gridSpan w:val="4"/>
            <w:vMerge w:val="continue"/>
            <w:noWrap w:val="0"/>
            <w:vAlign w:val="center"/>
          </w:tcPr>
          <w:p>
            <w:pPr>
              <w:spacing w:line="240" w:lineRule="auto"/>
              <w:ind w:firstLine="0" w:firstLineChars="0"/>
              <w:jc w:val="center"/>
              <w:rPr>
                <w:rFonts w:hint="eastAsia"/>
                <w:color w:val="000000"/>
                <w:sz w:val="21"/>
                <w:szCs w:val="21"/>
              </w:rPr>
            </w:pPr>
          </w:p>
        </w:tc>
        <w:tc>
          <w:tcPr>
            <w:tcW w:w="3456" w:type="dxa"/>
            <w:gridSpan w:val="2"/>
            <w:noWrap w:val="0"/>
            <w:vAlign w:val="center"/>
          </w:tcPr>
          <w:p>
            <w:pPr>
              <w:spacing w:line="240" w:lineRule="auto"/>
              <w:ind w:firstLine="0" w:firstLineChars="0"/>
              <w:jc w:val="center"/>
              <w:rPr>
                <w:rFonts w:hint="eastAsia"/>
                <w:color w:val="000000"/>
                <w:sz w:val="21"/>
                <w:szCs w:val="21"/>
              </w:rPr>
            </w:pPr>
            <w:r>
              <w:rPr>
                <w:rFonts w:hint="eastAsia"/>
                <w:color w:val="000000"/>
                <w:sz w:val="21"/>
                <w:szCs w:val="21"/>
                <w:lang w:eastAsia="zh-CN"/>
              </w:rPr>
              <w:t>甲醛</w:t>
            </w:r>
          </w:p>
        </w:tc>
        <w:tc>
          <w:tcPr>
            <w:tcW w:w="1814" w:type="dxa"/>
            <w:gridSpan w:val="2"/>
            <w:shd w:val="clear" w:color="auto" w:fill="auto"/>
            <w:noWrap w:val="0"/>
            <w:vAlign w:val="center"/>
          </w:tcPr>
          <w:p>
            <w:pPr>
              <w:spacing w:line="240" w:lineRule="auto"/>
              <w:ind w:firstLine="0" w:firstLineChars="0"/>
              <w:jc w:val="center"/>
              <w:rPr>
                <w:rFonts w:hint="eastAsia" w:ascii="Times New Roman" w:hAnsi="Times New Roman" w:eastAsia="宋体" w:cs="Times New Roman"/>
                <w:color w:val="000000"/>
                <w:kern w:val="2"/>
                <w:sz w:val="21"/>
                <w:szCs w:val="21"/>
                <w:lang w:val="en-US" w:eastAsia="zh-CN" w:bidi="ar-SA"/>
              </w:rPr>
            </w:pPr>
            <w:r>
              <w:rPr>
                <w:rFonts w:hint="eastAsia" w:cs="Times New Roman"/>
                <w:color w:val="auto"/>
                <w:sz w:val="21"/>
                <w:szCs w:val="21"/>
                <w:highlight w:val="none"/>
                <w:lang w:val="en-US" w:eastAsia="zh-CN"/>
              </w:rPr>
              <w:t>0.006</w:t>
            </w:r>
          </w:p>
        </w:tc>
      </w:tr>
    </w:tbl>
    <w:p>
      <w:pPr>
        <w:pStyle w:val="6"/>
        <w:rPr>
          <w:color w:val="000000"/>
        </w:rPr>
      </w:pPr>
      <w:r>
        <w:rPr>
          <w:rFonts w:hint="eastAsia"/>
          <w:color w:val="000000"/>
        </w:rPr>
        <w:t>大气污染物年排放量核算</w:t>
      </w:r>
    </w:p>
    <w:p>
      <w:pPr>
        <w:ind w:firstLine="480"/>
        <w:rPr>
          <w:color w:val="000000"/>
        </w:rPr>
      </w:pPr>
      <w:r>
        <w:rPr>
          <w:rFonts w:hint="eastAsia"/>
          <w:color w:val="000000"/>
        </w:rPr>
        <w:t>项目大气污染物年排放量核算统计如下表：</w:t>
      </w:r>
    </w:p>
    <w:p>
      <w:pPr>
        <w:spacing w:line="240" w:lineRule="auto"/>
        <w:ind w:firstLine="422"/>
        <w:jc w:val="center"/>
        <w:rPr>
          <w:b/>
          <w:bCs/>
          <w:color w:val="000000"/>
          <w:sz w:val="21"/>
          <w:szCs w:val="21"/>
        </w:rPr>
      </w:pPr>
      <w:r>
        <w:rPr>
          <w:rFonts w:hint="eastAsia"/>
          <w:b/>
          <w:bCs/>
          <w:color w:val="000000"/>
          <w:sz w:val="21"/>
          <w:szCs w:val="21"/>
        </w:rPr>
        <w:t>表</w:t>
      </w:r>
      <w:r>
        <w:rPr>
          <w:rFonts w:hint="eastAsia"/>
          <w:b/>
          <w:bCs/>
          <w:color w:val="000000"/>
          <w:sz w:val="21"/>
          <w:szCs w:val="21"/>
          <w:lang w:val="en-US" w:eastAsia="zh-CN"/>
        </w:rPr>
        <w:t>6.3</w:t>
      </w:r>
      <w:r>
        <w:rPr>
          <w:rFonts w:hint="eastAsia"/>
          <w:b/>
          <w:bCs/>
          <w:color w:val="000000"/>
          <w:sz w:val="21"/>
          <w:szCs w:val="21"/>
        </w:rPr>
        <w:t>-3  大气污染物年排放量核算表</w:t>
      </w:r>
    </w:p>
    <w:tbl>
      <w:tblPr>
        <w:tblStyle w:val="36"/>
        <w:tblW w:w="8286" w:type="dxa"/>
        <w:tblInd w:w="0" w:type="dxa"/>
        <w:tblLayout w:type="autofit"/>
        <w:tblCellMar>
          <w:top w:w="0" w:type="dxa"/>
          <w:left w:w="0" w:type="dxa"/>
          <w:bottom w:w="0" w:type="dxa"/>
          <w:right w:w="0" w:type="dxa"/>
        </w:tblCellMar>
      </w:tblPr>
      <w:tblGrid>
        <w:gridCol w:w="2133"/>
        <w:gridCol w:w="3347"/>
        <w:gridCol w:w="2806"/>
      </w:tblGrid>
      <w:tr>
        <w:tblPrEx>
          <w:tblCellMar>
            <w:top w:w="0" w:type="dxa"/>
            <w:left w:w="0" w:type="dxa"/>
            <w:bottom w:w="0" w:type="dxa"/>
            <w:right w:w="0" w:type="dxa"/>
          </w:tblCellMar>
        </w:tblPrEx>
        <w:trPr>
          <w:trHeight w:val="340" w:hRule="atLeast"/>
        </w:trPr>
        <w:tc>
          <w:tcPr>
            <w:tcW w:w="2133"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color w:val="000000"/>
                <w:sz w:val="21"/>
                <w:szCs w:val="21"/>
              </w:rPr>
            </w:pPr>
            <w:r>
              <w:rPr>
                <w:rFonts w:hint="eastAsia"/>
                <w:color w:val="000000"/>
                <w:sz w:val="21"/>
                <w:szCs w:val="21"/>
              </w:rPr>
              <w:t>序号</w:t>
            </w:r>
          </w:p>
        </w:tc>
        <w:tc>
          <w:tcPr>
            <w:tcW w:w="334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color w:val="000000"/>
                <w:sz w:val="21"/>
                <w:szCs w:val="21"/>
              </w:rPr>
            </w:pPr>
            <w:r>
              <w:rPr>
                <w:rFonts w:hint="eastAsia"/>
                <w:color w:val="000000"/>
                <w:sz w:val="21"/>
                <w:szCs w:val="21"/>
              </w:rPr>
              <w:t>污染物</w:t>
            </w:r>
          </w:p>
        </w:tc>
        <w:tc>
          <w:tcPr>
            <w:tcW w:w="280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color w:val="000000"/>
                <w:sz w:val="21"/>
                <w:szCs w:val="21"/>
              </w:rPr>
            </w:pPr>
            <w:r>
              <w:rPr>
                <w:rFonts w:hint="eastAsia"/>
                <w:color w:val="000000"/>
                <w:sz w:val="21"/>
                <w:szCs w:val="21"/>
              </w:rPr>
              <w:t>年排放量/（t/a）</w:t>
            </w:r>
          </w:p>
        </w:tc>
      </w:tr>
      <w:tr>
        <w:tblPrEx>
          <w:tblCellMar>
            <w:top w:w="0" w:type="dxa"/>
            <w:left w:w="0" w:type="dxa"/>
            <w:bottom w:w="0" w:type="dxa"/>
            <w:right w:w="0" w:type="dxa"/>
          </w:tblCellMar>
        </w:tblPrEx>
        <w:trPr>
          <w:trHeight w:val="340" w:hRule="atLeast"/>
        </w:trPr>
        <w:tc>
          <w:tcPr>
            <w:tcW w:w="2133"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color w:val="000000"/>
                <w:sz w:val="21"/>
                <w:szCs w:val="21"/>
              </w:rPr>
            </w:pPr>
            <w:r>
              <w:rPr>
                <w:color w:val="000000"/>
                <w:sz w:val="21"/>
                <w:szCs w:val="21"/>
              </w:rPr>
              <w:t>1</w:t>
            </w:r>
          </w:p>
        </w:tc>
        <w:tc>
          <w:tcPr>
            <w:tcW w:w="3347"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eastAsia"/>
                <w:color w:val="000000"/>
                <w:sz w:val="21"/>
                <w:szCs w:val="21"/>
              </w:rPr>
            </w:pPr>
            <w:r>
              <w:rPr>
                <w:rFonts w:hint="eastAsia"/>
                <w:color w:val="000000"/>
                <w:sz w:val="21"/>
                <w:szCs w:val="21"/>
                <w:lang w:eastAsia="zh-CN"/>
              </w:rPr>
              <w:t>颗粒物</w:t>
            </w:r>
          </w:p>
        </w:tc>
        <w:tc>
          <w:tcPr>
            <w:tcW w:w="2806" w:type="dxa"/>
            <w:tcBorders>
              <w:top w:val="single" w:color="000000" w:sz="8" w:space="0"/>
              <w:left w:val="single" w:color="000000" w:sz="8" w:space="0"/>
              <w:bottom w:val="single" w:color="000000" w:sz="8"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default" w:eastAsia="宋体"/>
                <w:color w:val="000000"/>
                <w:sz w:val="21"/>
                <w:szCs w:val="21"/>
                <w:lang w:val="en-US" w:eastAsia="zh-CN"/>
              </w:rPr>
            </w:pPr>
            <w:r>
              <w:rPr>
                <w:rFonts w:hint="eastAsia"/>
                <w:color w:val="000000"/>
                <w:sz w:val="21"/>
                <w:szCs w:val="21"/>
                <w:lang w:val="en-US" w:eastAsia="zh-CN"/>
              </w:rPr>
              <w:t>0.2475</w:t>
            </w:r>
          </w:p>
        </w:tc>
      </w:tr>
      <w:tr>
        <w:tblPrEx>
          <w:tblCellMar>
            <w:top w:w="0" w:type="dxa"/>
            <w:left w:w="0" w:type="dxa"/>
            <w:bottom w:w="0" w:type="dxa"/>
            <w:right w:w="0" w:type="dxa"/>
          </w:tblCellMar>
        </w:tblPrEx>
        <w:trPr>
          <w:trHeight w:val="266" w:hRule="atLeast"/>
        </w:trPr>
        <w:tc>
          <w:tcPr>
            <w:tcW w:w="2133" w:type="dxa"/>
            <w:tcBorders>
              <w:top w:val="single" w:color="000000" w:sz="8" w:space="0"/>
              <w:left w:val="single" w:color="000000" w:sz="8" w:space="0"/>
              <w:bottom w:val="single" w:color="000000" w:sz="4"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eastAsia"/>
                <w:color w:val="000000"/>
                <w:sz w:val="21"/>
                <w:szCs w:val="21"/>
              </w:rPr>
            </w:pPr>
            <w:r>
              <w:rPr>
                <w:rFonts w:hint="eastAsia"/>
                <w:color w:val="000000"/>
                <w:sz w:val="21"/>
                <w:szCs w:val="21"/>
              </w:rPr>
              <w:t>2</w:t>
            </w:r>
          </w:p>
        </w:tc>
        <w:tc>
          <w:tcPr>
            <w:tcW w:w="3347" w:type="dxa"/>
            <w:tcBorders>
              <w:top w:val="single" w:color="000000" w:sz="8" w:space="0"/>
              <w:left w:val="single" w:color="000000" w:sz="8" w:space="0"/>
              <w:bottom w:val="single" w:color="000000" w:sz="4"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eastAsia"/>
                <w:color w:val="000000"/>
                <w:sz w:val="21"/>
                <w:szCs w:val="21"/>
              </w:rPr>
            </w:pPr>
            <w:r>
              <w:rPr>
                <w:rFonts w:hint="eastAsia"/>
                <w:color w:val="000000"/>
                <w:sz w:val="21"/>
                <w:szCs w:val="21"/>
                <w:lang w:eastAsia="zh-CN"/>
              </w:rPr>
              <w:t>非甲烷总烃</w:t>
            </w:r>
          </w:p>
        </w:tc>
        <w:tc>
          <w:tcPr>
            <w:tcW w:w="2806" w:type="dxa"/>
            <w:tcBorders>
              <w:top w:val="single" w:color="000000" w:sz="8" w:space="0"/>
              <w:left w:val="single" w:color="000000" w:sz="8" w:space="0"/>
              <w:bottom w:val="single" w:color="000000" w:sz="4"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default" w:eastAsia="宋体"/>
                <w:color w:val="000000"/>
                <w:sz w:val="21"/>
                <w:szCs w:val="21"/>
                <w:lang w:val="en-US" w:eastAsia="zh-CN"/>
              </w:rPr>
            </w:pPr>
            <w:r>
              <w:rPr>
                <w:rFonts w:hint="eastAsia"/>
                <w:color w:val="000000"/>
                <w:sz w:val="21"/>
                <w:szCs w:val="21"/>
                <w:lang w:val="en-US" w:eastAsia="zh-CN"/>
              </w:rPr>
              <w:t>0.11025</w:t>
            </w:r>
          </w:p>
        </w:tc>
      </w:tr>
      <w:tr>
        <w:tblPrEx>
          <w:tblCellMar>
            <w:top w:w="0" w:type="dxa"/>
            <w:left w:w="0" w:type="dxa"/>
            <w:bottom w:w="0" w:type="dxa"/>
            <w:right w:w="0" w:type="dxa"/>
          </w:tblCellMar>
        </w:tblPrEx>
        <w:trPr>
          <w:trHeight w:val="191" w:hRule="atLeast"/>
        </w:trPr>
        <w:tc>
          <w:tcPr>
            <w:tcW w:w="2133" w:type="dxa"/>
            <w:tcBorders>
              <w:top w:val="single" w:color="000000" w:sz="4" w:space="0"/>
              <w:left w:val="single" w:color="000000" w:sz="8" w:space="0"/>
              <w:bottom w:val="single" w:color="000000" w:sz="4"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hint="eastAsia"/>
                <w:color w:val="000000"/>
                <w:sz w:val="21"/>
                <w:szCs w:val="21"/>
              </w:rPr>
            </w:pPr>
            <w:r>
              <w:rPr>
                <w:rFonts w:hint="eastAsia"/>
                <w:color w:val="000000"/>
                <w:sz w:val="21"/>
                <w:szCs w:val="21"/>
              </w:rPr>
              <w:t>3</w:t>
            </w:r>
          </w:p>
        </w:tc>
        <w:tc>
          <w:tcPr>
            <w:tcW w:w="3347" w:type="dxa"/>
            <w:tcBorders>
              <w:top w:val="single" w:color="000000" w:sz="4" w:space="0"/>
              <w:left w:val="single" w:color="000000" w:sz="8" w:space="0"/>
              <w:bottom w:val="single" w:color="000000" w:sz="4" w:space="0"/>
              <w:right w:val="single" w:color="000000" w:sz="8" w:space="0"/>
            </w:tcBorders>
            <w:noWrap w:val="0"/>
            <w:tcMar>
              <w:top w:w="15" w:type="dxa"/>
              <w:left w:w="15" w:type="dxa"/>
              <w:right w:w="15" w:type="dxa"/>
            </w:tcMar>
            <w:vAlign w:val="center"/>
          </w:tcPr>
          <w:p>
            <w:pPr>
              <w:spacing w:line="240" w:lineRule="auto"/>
              <w:ind w:firstLine="0" w:firstLineChars="0"/>
              <w:jc w:val="center"/>
              <w:rPr>
                <w:rFonts w:ascii="Times New Roman"/>
                <w:color w:val="auto"/>
                <w:sz w:val="21"/>
                <w:szCs w:val="21"/>
                <w:lang w:val="en-US"/>
              </w:rPr>
            </w:pPr>
            <w:r>
              <w:rPr>
                <w:rFonts w:hint="eastAsia"/>
                <w:color w:val="000000"/>
                <w:sz w:val="21"/>
                <w:szCs w:val="21"/>
                <w:lang w:eastAsia="zh-CN"/>
              </w:rPr>
              <w:t>甲醛</w:t>
            </w:r>
          </w:p>
        </w:tc>
        <w:tc>
          <w:tcPr>
            <w:tcW w:w="2806" w:type="dxa"/>
            <w:tcBorders>
              <w:top w:val="single" w:color="000000" w:sz="4" w:space="0"/>
              <w:left w:val="single" w:color="000000" w:sz="8" w:space="0"/>
              <w:bottom w:val="single" w:color="000000" w:sz="4" w:space="0"/>
              <w:right w:val="single" w:color="000000" w:sz="8" w:space="0"/>
            </w:tcBorders>
            <w:noWrap w:val="0"/>
            <w:tcMar>
              <w:top w:w="15" w:type="dxa"/>
              <w:left w:w="15" w:type="dxa"/>
              <w:right w:w="15" w:type="dxa"/>
            </w:tcMar>
            <w:vAlign w:val="center"/>
          </w:tcPr>
          <w:p>
            <w:pPr>
              <w:pStyle w:val="75"/>
              <w:overflowPunct w:val="0"/>
              <w:autoSpaceDE w:val="0"/>
              <w:autoSpaceDN w:val="0"/>
              <w:adjustRightInd w:val="0"/>
              <w:spacing w:line="320" w:lineRule="exact"/>
              <w:ind w:firstLine="0" w:firstLineChars="0"/>
              <w:jc w:val="center"/>
              <w:textAlignment w:val="baseline"/>
              <w:rPr>
                <w:rFonts w:hint="default" w:ascii="Times New Roman" w:eastAsia="宋体"/>
                <w:sz w:val="21"/>
                <w:szCs w:val="21"/>
                <w:lang w:val="en-US" w:eastAsia="zh-CN"/>
              </w:rPr>
            </w:pPr>
            <w:r>
              <w:rPr>
                <w:rFonts w:hint="eastAsia" w:ascii="Times New Roman"/>
                <w:sz w:val="21"/>
                <w:szCs w:val="21"/>
                <w:lang w:val="en-US" w:eastAsia="zh-CN"/>
              </w:rPr>
              <w:t>0.0095</w:t>
            </w:r>
          </w:p>
        </w:tc>
      </w:tr>
    </w:tbl>
    <w:p>
      <w:pPr>
        <w:pStyle w:val="5"/>
        <w:rPr>
          <w:color w:val="000000"/>
        </w:rPr>
      </w:pPr>
      <w:bookmarkStart w:id="81" w:name="_Toc8598"/>
      <w:r>
        <w:rPr>
          <w:rFonts w:hint="eastAsia"/>
          <w:color w:val="000000"/>
        </w:rPr>
        <w:t>防护距离的确定</w:t>
      </w:r>
      <w:bookmarkEnd w:id="81"/>
    </w:p>
    <w:p>
      <w:pPr>
        <w:ind w:firstLine="480"/>
        <w:rPr>
          <w:rFonts w:hint="eastAsia"/>
          <w:color w:val="000000"/>
        </w:rPr>
      </w:pPr>
      <w:r>
        <w:rPr>
          <w:rFonts w:hint="eastAsia"/>
          <w:color w:val="000000"/>
        </w:rPr>
        <w:t>大气防护距离：根据《环境影响评价技术导则 大气环境（HJ2.2-2018）》，对于项目厂界浓度满足大气污染物厂界浓度限值，但厂界外大气污染物短期贡献浓度超过环境质量浓度限值的，可以自厂界外设置一定范围的大气环境防护区域，以确保大气环境防护区域外的污染物贡献浓度满足环境质量标准。根据估算模式的预测结果，本项目有组织废气及无组织废气最大落地浓度占标率均小于10%，厂界外不存在短期贡献浓度超标点，对周围大气环境及敏感点产生明显影响，不设置大气防护距离。</w:t>
      </w:r>
    </w:p>
    <w:p>
      <w:pPr>
        <w:pStyle w:val="5"/>
      </w:pPr>
      <w:bookmarkStart w:id="82" w:name="_Toc522406623"/>
      <w:bookmarkStart w:id="83" w:name="_Toc504937203"/>
      <w:bookmarkStart w:id="84" w:name="_Toc9886"/>
      <w:r>
        <w:t>废气治理措施</w:t>
      </w:r>
      <w:bookmarkEnd w:id="82"/>
      <w:bookmarkEnd w:id="83"/>
      <w:r>
        <w:rPr>
          <w:rFonts w:hint="eastAsia"/>
        </w:rPr>
        <w:t>可行性分析</w:t>
      </w:r>
      <w:bookmarkEnd w:id="84"/>
      <w:r>
        <w:rPr>
          <w:rFonts w:hint="eastAsia"/>
        </w:rPr>
        <w:t xml:space="preserve"> </w:t>
      </w:r>
    </w:p>
    <w:p>
      <w:pPr>
        <w:ind w:firstLine="480"/>
        <w:rPr>
          <w:rFonts w:hint="eastAsia"/>
          <w:color w:val="000000"/>
          <w:lang w:val="zh-CN"/>
        </w:rPr>
      </w:pPr>
      <w:r>
        <w:rPr>
          <w:rFonts w:hint="eastAsia"/>
          <w:color w:val="000000"/>
          <w:lang w:val="zh-CN"/>
        </w:rPr>
        <w:t>根据《排污许可证申请与核发技术规范</w:t>
      </w:r>
      <w:r>
        <w:rPr>
          <w:rFonts w:hint="eastAsia"/>
          <w:color w:val="000000"/>
          <w:lang w:val="en-US" w:eastAsia="zh-CN"/>
        </w:rPr>
        <w:t xml:space="preserve"> </w:t>
      </w:r>
      <w:r>
        <w:rPr>
          <w:rFonts w:hint="eastAsia"/>
          <w:color w:val="000000"/>
          <w:lang w:val="zh-CN"/>
        </w:rPr>
        <w:t>金属铸造工业》(HJ1115-2020)、《铸造工业污染防治可行技术指南》(T/CFA030823-2023)，有组织废气处理可行技术分析详见下表。</w:t>
      </w:r>
    </w:p>
    <w:p>
      <w:pPr>
        <w:spacing w:line="240" w:lineRule="auto"/>
        <w:ind w:firstLine="422"/>
        <w:jc w:val="center"/>
        <w:rPr>
          <w:rFonts w:hint="eastAsia"/>
          <w:b/>
          <w:bCs/>
          <w:color w:val="000000"/>
          <w:sz w:val="21"/>
          <w:szCs w:val="21"/>
          <w:lang w:val="en-US" w:eastAsia="zh-CN"/>
        </w:rPr>
      </w:pPr>
      <w:r>
        <w:rPr>
          <w:rFonts w:hint="eastAsia"/>
          <w:b/>
          <w:bCs/>
          <w:color w:val="000000"/>
          <w:sz w:val="21"/>
          <w:szCs w:val="21"/>
          <w:lang w:val="zh-CN"/>
        </w:rPr>
        <w:t>表</w:t>
      </w:r>
      <w:r>
        <w:rPr>
          <w:rFonts w:hint="eastAsia"/>
          <w:b/>
          <w:bCs/>
          <w:color w:val="000000"/>
          <w:sz w:val="21"/>
          <w:szCs w:val="21"/>
          <w:lang w:val="en-US" w:eastAsia="zh-CN"/>
        </w:rPr>
        <w:t>6.3-1  废气处理措施可行性分析一览表</w:t>
      </w:r>
    </w:p>
    <w:tbl>
      <w:tblPr>
        <w:tblStyle w:val="3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4"/>
        <w:gridCol w:w="1770"/>
        <w:gridCol w:w="2806"/>
        <w:gridCol w:w="1981"/>
        <w:gridCol w:w="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污染源</w:t>
            </w:r>
          </w:p>
        </w:tc>
        <w:tc>
          <w:tcPr>
            <w:tcW w:w="1038"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主要污染物</w:t>
            </w:r>
          </w:p>
        </w:tc>
        <w:tc>
          <w:tcPr>
            <w:tcW w:w="164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铸造工业污染防治可行技术指南中可行技术</w:t>
            </w:r>
          </w:p>
        </w:tc>
        <w:tc>
          <w:tcPr>
            <w:tcW w:w="11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本项目采取的措施</w:t>
            </w:r>
          </w:p>
        </w:tc>
        <w:tc>
          <w:tcPr>
            <w:tcW w:w="5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是否可行技术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熔化</w:t>
            </w:r>
          </w:p>
        </w:tc>
        <w:tc>
          <w:tcPr>
            <w:tcW w:w="1038"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颗粒物</w:t>
            </w:r>
          </w:p>
        </w:tc>
        <w:tc>
          <w:tcPr>
            <w:tcW w:w="164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①旋风除尘技术(可选)+②袋式除尘技术/滤筒除尘技术</w:t>
            </w:r>
          </w:p>
        </w:tc>
        <w:tc>
          <w:tcPr>
            <w:tcW w:w="1162"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袋式除尘技术</w:t>
            </w:r>
          </w:p>
        </w:tc>
        <w:tc>
          <w:tcPr>
            <w:tcW w:w="5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制芯</w:t>
            </w:r>
          </w:p>
        </w:tc>
        <w:tc>
          <w:tcPr>
            <w:tcW w:w="1038"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颗粒物、非甲烷总烃</w:t>
            </w:r>
          </w:p>
        </w:tc>
        <w:tc>
          <w:tcPr>
            <w:tcW w:w="164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①旋风除尘技术(可选)+②袋式除尘技术/滤简除尘技术+固定床吸附技术</w:t>
            </w:r>
          </w:p>
        </w:tc>
        <w:tc>
          <w:tcPr>
            <w:tcW w:w="1162"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袋式除尘技术</w:t>
            </w:r>
          </w:p>
        </w:tc>
        <w:tc>
          <w:tcPr>
            <w:tcW w:w="5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浇注</w:t>
            </w:r>
          </w:p>
        </w:tc>
        <w:tc>
          <w:tcPr>
            <w:tcW w:w="1038"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颗粒物、非甲烷总烃</w:t>
            </w:r>
          </w:p>
        </w:tc>
        <w:tc>
          <w:tcPr>
            <w:tcW w:w="164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①旋风除尘技术(可选)+②袋式除尘技术/滤筒除尘技术+③物理吸收法技术</w:t>
            </w:r>
          </w:p>
        </w:tc>
        <w:tc>
          <w:tcPr>
            <w:tcW w:w="1162"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袋式除尘技术</w:t>
            </w:r>
          </w:p>
        </w:tc>
        <w:tc>
          <w:tcPr>
            <w:tcW w:w="5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89"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抛丸</w:t>
            </w:r>
          </w:p>
        </w:tc>
        <w:tc>
          <w:tcPr>
            <w:tcW w:w="1038"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颗粒物</w:t>
            </w:r>
          </w:p>
        </w:tc>
        <w:tc>
          <w:tcPr>
            <w:tcW w:w="1646"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w:t>
            </w:r>
          </w:p>
        </w:tc>
        <w:tc>
          <w:tcPr>
            <w:tcW w:w="1162"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袋式除尘技术</w:t>
            </w:r>
          </w:p>
        </w:tc>
        <w:tc>
          <w:tcPr>
            <w:tcW w:w="56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bl>
    <w:p>
      <w:pPr>
        <w:ind w:firstLine="480"/>
        <w:rPr>
          <w:rFonts w:hint="default"/>
          <w:color w:val="000000"/>
          <w:lang w:val="en-US" w:eastAsia="zh-CN"/>
        </w:rPr>
      </w:pPr>
      <w:r>
        <w:rPr>
          <w:rFonts w:hint="default"/>
          <w:color w:val="000000"/>
          <w:lang w:val="en-US" w:eastAsia="zh-CN"/>
        </w:rPr>
        <w:t>根据《铸造工业大气污染物排放标准》(GB39726-202</w:t>
      </w:r>
      <w:r>
        <w:rPr>
          <w:rFonts w:hint="eastAsia"/>
          <w:color w:val="000000"/>
          <w:lang w:val="en-US" w:eastAsia="zh-CN"/>
        </w:rPr>
        <w:t>3</w:t>
      </w:r>
      <w:r>
        <w:rPr>
          <w:rFonts w:hint="default"/>
          <w:color w:val="000000"/>
          <w:lang w:val="en-US" w:eastAsia="zh-CN"/>
        </w:rPr>
        <w:t>)，本项目无组织控制要求详见表</w:t>
      </w:r>
      <w:r>
        <w:rPr>
          <w:rFonts w:hint="eastAsia"/>
          <w:color w:val="000000"/>
          <w:lang w:val="en-US" w:eastAsia="zh-CN"/>
        </w:rPr>
        <w:t>6.3-2</w:t>
      </w:r>
      <w:r>
        <w:rPr>
          <w:rFonts w:hint="default"/>
          <w:color w:val="000000"/>
          <w:lang w:val="en-US" w:eastAsia="zh-CN"/>
        </w:rPr>
        <w:t>。</w:t>
      </w:r>
    </w:p>
    <w:p>
      <w:pPr>
        <w:spacing w:line="240" w:lineRule="auto"/>
        <w:ind w:firstLine="422"/>
        <w:jc w:val="center"/>
        <w:rPr>
          <w:rFonts w:hint="eastAsia"/>
          <w:b/>
          <w:bCs/>
          <w:color w:val="000000"/>
          <w:sz w:val="21"/>
          <w:szCs w:val="21"/>
          <w:lang w:val="en-US" w:eastAsia="zh-CN"/>
        </w:rPr>
      </w:pPr>
      <w:r>
        <w:rPr>
          <w:rFonts w:hint="eastAsia"/>
          <w:b/>
          <w:bCs/>
          <w:color w:val="000000"/>
          <w:sz w:val="21"/>
          <w:szCs w:val="21"/>
          <w:lang w:val="zh-CN" w:eastAsia="zh-CN"/>
        </w:rPr>
        <w:t>表</w:t>
      </w:r>
      <w:r>
        <w:rPr>
          <w:rFonts w:hint="eastAsia"/>
          <w:b/>
          <w:bCs/>
          <w:color w:val="000000"/>
          <w:sz w:val="21"/>
          <w:szCs w:val="21"/>
          <w:lang w:val="en-US" w:eastAsia="zh-CN"/>
        </w:rPr>
        <w:t>6.3-2  与</w:t>
      </w:r>
      <w:r>
        <w:rPr>
          <w:rFonts w:hint="default"/>
          <w:b/>
          <w:bCs/>
          <w:color w:val="000000"/>
          <w:sz w:val="21"/>
          <w:szCs w:val="21"/>
          <w:lang w:val="en-US" w:eastAsia="zh-CN"/>
        </w:rPr>
        <w:t>《铸造工业大气污染物排放标准》</w:t>
      </w:r>
      <w:r>
        <w:rPr>
          <w:rFonts w:hint="eastAsia"/>
          <w:b/>
          <w:bCs/>
          <w:color w:val="000000"/>
          <w:sz w:val="21"/>
          <w:szCs w:val="21"/>
          <w:lang w:val="en-US" w:eastAsia="zh-CN"/>
        </w:rPr>
        <w:t>符合性分析一览表</w:t>
      </w:r>
    </w:p>
    <w:tbl>
      <w:tblPr>
        <w:tblStyle w:val="37"/>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6"/>
        <w:gridCol w:w="3465"/>
        <w:gridCol w:w="3555"/>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污染源</w:t>
            </w: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文件要求</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本项目采取措施</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是否可行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restar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无组织排放控制要求</w:t>
            </w: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生铁、废钢、焦炭和铁合金等粒状、块状散装物料应储存于封闭储库、料仓中，或储存于半封闭料场(堆棚)中，或四周设置防风抑尘网、挡风墙，或采取覆盖措施。</w:t>
            </w:r>
          </w:p>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半封闭料场(堆棚)应至少两面有围墙(围挡)及屋顶；防风抑尘网、挡风墙高度应不低于堆存物料高度的1.1倍。</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本项目原料储存在原料库内，属于封闭储库，符合相关要求</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vAlign w:val="center"/>
          </w:tcPr>
          <w:p>
            <w:pPr>
              <w:spacing w:line="240" w:lineRule="auto"/>
              <w:ind w:firstLine="0" w:firstLineChars="0"/>
              <w:jc w:val="center"/>
              <w:rPr>
                <w:rFonts w:hint="default"/>
                <w:color w:val="000000"/>
                <w:sz w:val="21"/>
                <w:szCs w:val="21"/>
                <w:lang w:val="en-US" w:eastAsia="zh-CN"/>
              </w:rPr>
            </w:pP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粉状、粒状等易散发粉尘的物料厂内转移、输送过程，应封闭或采取覆盖等抑尘措施；转移、输送、装卸过程中产尘点应采取集气除尘措施，或喷淋(雾)等抑尘措施。</w:t>
            </w:r>
          </w:p>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除尘器卸灰口应采取遮挡等抑尘措施，除尘灰不得直接卸落到地面。除尘灰采取袋装、罐装等密闭措施收集、存放和运输。厂区道路应硬化，并采取定期清扫、洒水等措施，保持清洁</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本项目</w:t>
            </w:r>
            <w:r>
              <w:rPr>
                <w:rFonts w:hint="default"/>
                <w:color w:val="000000"/>
                <w:sz w:val="21"/>
                <w:szCs w:val="21"/>
                <w:lang w:val="en-US" w:eastAsia="zh-CN"/>
              </w:rPr>
              <w:t>易散发粉尘的物料厂内转移、输送过程采取封闭或采取覆盖等抑尘措施。除尘器卸灰口采取遮挡等抑尘措施，除尘灰不得直接卸落到地面。除尘灰采取袋装、罐装等密闭措施收集、存放和运输。</w:t>
            </w:r>
          </w:p>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厂区道路应硬化，并采取定期清扫、洒水等措施，保持清洁</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vAlign w:val="center"/>
          </w:tcPr>
          <w:p>
            <w:pPr>
              <w:spacing w:line="240" w:lineRule="auto"/>
              <w:ind w:firstLine="0" w:firstLineChars="0"/>
              <w:jc w:val="center"/>
              <w:rPr>
                <w:rFonts w:hint="default"/>
                <w:color w:val="000000"/>
                <w:sz w:val="21"/>
                <w:szCs w:val="21"/>
                <w:lang w:val="en-US" w:eastAsia="zh-CN"/>
              </w:rPr>
            </w:pP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造型、制芯、浇注工序产尘点应安装集气罩并配备除尘设施，或采取喷淋(雾)等抑尘措施。</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制芯工序废气负压收集，浇注产尘点设施集气罩并安装袋式除尘器，处理后经15m高排气筒排放</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center"/>
          </w:tcPr>
          <w:p>
            <w:pPr>
              <w:spacing w:line="240" w:lineRule="auto"/>
              <w:ind w:firstLine="0" w:firstLineChars="0"/>
              <w:jc w:val="center"/>
              <w:rPr>
                <w:rFonts w:hint="default"/>
                <w:color w:val="000000"/>
                <w:sz w:val="21"/>
                <w:szCs w:val="21"/>
                <w:lang w:val="en-US" w:eastAsia="zh-CN"/>
              </w:rPr>
            </w:pP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落砂、抛丸清理、砂处理工序应在封闭空间内操作，废气收集至除尘设施；未在封闭空间内操作的，应采用固定式、移动式集气设备，并配备除尘设施。</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生产车间密闭，喷砂设置集气罩收集后，并配套袋式除尘器有组织排放</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Align w:val="center"/>
          </w:tcPr>
          <w:p>
            <w:pPr>
              <w:spacing w:line="240" w:lineRule="auto"/>
              <w:ind w:firstLine="0" w:firstLineChars="0"/>
              <w:jc w:val="center"/>
              <w:rPr>
                <w:rFonts w:hint="default"/>
                <w:color w:val="000000"/>
                <w:sz w:val="21"/>
                <w:szCs w:val="21"/>
                <w:lang w:val="en-US" w:eastAsia="zh-CN"/>
              </w:rPr>
            </w:pP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清理(去除浇冒口、铲飞边毛刺等)和浇包、渣包的维修工序应在封闭空间内操作，废气收集至除尘设施；未在封闭空间内操作的，应采用固定式、移动式集气设备并配备除尘设施，或采取喷淋(雾)等抑尘措施</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清理(去除浇冒口、铲飞边毛刺等)在封闭空间内操作</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restar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VOCs无组织排放</w:t>
            </w:r>
          </w:p>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控制措施</w:t>
            </w: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涂料、树脂、固化剂、稀释剂、清洗剂等VOCs物料应储存于密闭的容器、包装袋、储库中。</w:t>
            </w:r>
          </w:p>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盛装VOCs物料的容器或包装袋应存放于室内，或存放于设置有雨棚、遮阳和防渗设施的专用场地。盛装VOCs物料的容器或包装袋在非取用状态时应加盖、封口，保持密闭。转移VOCs物料时，应采用密闭容器</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本项目</w:t>
            </w:r>
            <w:r>
              <w:rPr>
                <w:rFonts w:hint="eastAsia"/>
                <w:color w:val="000000"/>
                <w:sz w:val="21"/>
                <w:szCs w:val="21"/>
                <w:lang w:val="en-US" w:eastAsia="zh-CN"/>
              </w:rPr>
              <w:t>购买成品覆膜砂金属涂料395采用桶装密封存放</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7" w:type="pct"/>
            <w:vMerge w:val="continue"/>
            <w:vAlign w:val="center"/>
          </w:tcPr>
          <w:p>
            <w:pPr>
              <w:spacing w:line="240" w:lineRule="auto"/>
              <w:ind w:firstLine="0" w:firstLineChars="0"/>
              <w:jc w:val="center"/>
              <w:rPr>
                <w:rFonts w:hint="default"/>
                <w:color w:val="000000"/>
                <w:sz w:val="21"/>
                <w:szCs w:val="21"/>
                <w:lang w:val="en-US" w:eastAsia="zh-CN"/>
              </w:rPr>
            </w:pPr>
          </w:p>
        </w:tc>
        <w:tc>
          <w:tcPr>
            <w:tcW w:w="2033"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设备与管线组件VOCs泄漏控制要求、敞开液面VOCs无组织排放控制要求，应符合GB37822的规定</w:t>
            </w:r>
          </w:p>
        </w:tc>
        <w:tc>
          <w:tcPr>
            <w:tcW w:w="2086" w:type="pct"/>
            <w:vAlign w:val="center"/>
          </w:tcPr>
          <w:p>
            <w:pPr>
              <w:spacing w:line="240" w:lineRule="auto"/>
              <w:ind w:firstLine="0" w:firstLineChars="0"/>
              <w:jc w:val="center"/>
              <w:rPr>
                <w:rFonts w:hint="default"/>
                <w:color w:val="000000"/>
                <w:sz w:val="21"/>
                <w:szCs w:val="21"/>
                <w:lang w:val="en-US" w:eastAsia="zh-CN"/>
              </w:rPr>
            </w:pPr>
            <w:r>
              <w:rPr>
                <w:rFonts w:hint="default"/>
                <w:color w:val="000000"/>
                <w:sz w:val="21"/>
                <w:szCs w:val="21"/>
                <w:lang w:val="en-US" w:eastAsia="zh-CN"/>
              </w:rPr>
              <w:t>本项目涉VOC液体物料储存采用密闭桶装存储，无敞开液面</w:t>
            </w:r>
          </w:p>
        </w:tc>
        <w:tc>
          <w:tcPr>
            <w:tcW w:w="412" w:type="pct"/>
            <w:vAlign w:val="center"/>
          </w:tcPr>
          <w:p>
            <w:pPr>
              <w:spacing w:line="240" w:lineRule="auto"/>
              <w:ind w:firstLine="0" w:firstLineChars="0"/>
              <w:jc w:val="center"/>
              <w:rPr>
                <w:rFonts w:hint="default"/>
                <w:color w:val="000000"/>
                <w:sz w:val="21"/>
                <w:szCs w:val="21"/>
                <w:lang w:val="en-US" w:eastAsia="zh-CN"/>
              </w:rPr>
            </w:pPr>
            <w:r>
              <w:rPr>
                <w:rFonts w:hint="eastAsia"/>
                <w:color w:val="000000"/>
                <w:sz w:val="21"/>
                <w:szCs w:val="21"/>
                <w:lang w:val="en-US" w:eastAsia="zh-CN"/>
              </w:rPr>
              <w:t>是</w:t>
            </w:r>
          </w:p>
        </w:tc>
      </w:tr>
    </w:tbl>
    <w:p>
      <w:pPr>
        <w:ind w:firstLine="480"/>
        <w:rPr>
          <w:rFonts w:hint="eastAsia" w:ascii="Times New Roman"/>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color w:val="000000"/>
          <w:lang w:val="zh-CN"/>
        </w:rPr>
        <w:t>综上，本项目采取废气处理措施属于可行技术，本项目无组织排放控制要求符合《铸 造工业大气污染物排放标准》 (GB39726-2020)</w:t>
      </w:r>
      <w:r>
        <w:rPr>
          <w:rFonts w:hint="eastAsia" w:ascii="Times New Roman"/>
        </w:rPr>
        <w:t>。</w:t>
      </w:r>
    </w:p>
    <w:p>
      <w:pPr>
        <w:pStyle w:val="4"/>
        <w:rPr>
          <w:rFonts w:hint="eastAsia"/>
          <w:color w:val="000000"/>
        </w:rPr>
      </w:pPr>
      <w:bookmarkStart w:id="85" w:name="_Toc11391"/>
      <w:bookmarkStart w:id="86" w:name="_Toc5028"/>
      <w:bookmarkStart w:id="87" w:name="_Toc32764"/>
      <w:bookmarkStart w:id="88" w:name="_Toc1772"/>
      <w:bookmarkStart w:id="89" w:name="_Toc6662"/>
      <w:bookmarkStart w:id="90" w:name="_Toc70"/>
      <w:bookmarkStart w:id="91" w:name="_Toc8936"/>
      <w:r>
        <w:rPr>
          <w:rFonts w:hint="eastAsia"/>
          <w:color w:val="000000"/>
          <w:lang w:eastAsia="zh-CN"/>
        </w:rPr>
        <w:t>大气环境影响评价</w:t>
      </w:r>
      <w:r>
        <w:rPr>
          <w:rFonts w:hint="eastAsia"/>
          <w:color w:val="000000"/>
        </w:rPr>
        <w:t>结论与建议</w:t>
      </w:r>
      <w:bookmarkEnd w:id="85"/>
      <w:bookmarkEnd w:id="86"/>
      <w:bookmarkEnd w:id="87"/>
      <w:bookmarkEnd w:id="88"/>
      <w:bookmarkEnd w:id="89"/>
      <w:bookmarkEnd w:id="90"/>
      <w:bookmarkEnd w:id="91"/>
    </w:p>
    <w:p>
      <w:pPr>
        <w:pStyle w:val="5"/>
        <w:rPr>
          <w:rFonts w:hint="eastAsia"/>
          <w:color w:val="000000"/>
        </w:rPr>
      </w:pPr>
      <w:bookmarkStart w:id="92" w:name="_Toc4016"/>
      <w:bookmarkStart w:id="93" w:name="_Toc8532"/>
      <w:bookmarkStart w:id="94" w:name="_Toc2665"/>
      <w:bookmarkStart w:id="95" w:name="_Toc20980"/>
      <w:bookmarkStart w:id="96" w:name="_Toc3736"/>
      <w:r>
        <w:rPr>
          <w:rFonts w:hint="eastAsia"/>
          <w:color w:val="000000"/>
        </w:rPr>
        <w:t>评价结论</w:t>
      </w:r>
      <w:bookmarkEnd w:id="92"/>
      <w:bookmarkEnd w:id="93"/>
      <w:bookmarkEnd w:id="94"/>
      <w:bookmarkEnd w:id="95"/>
      <w:bookmarkEnd w:id="96"/>
    </w:p>
    <w:p>
      <w:pPr>
        <w:ind w:firstLine="480"/>
        <w:rPr>
          <w:color w:val="000000"/>
        </w:rPr>
      </w:pPr>
      <w:r>
        <w:rPr>
          <w:rFonts w:hint="eastAsia"/>
          <w:color w:val="000000"/>
        </w:rPr>
        <w:t>本项目投产后废气通过采取污染防治措施可得到有效处置，污染物满足达标排放要求对周围环境影响较小，不会改变区域环境质量现状。在落实本环评所提出的污染防治措施保证其稳定运行的前提下，从环保角度分析，本项目的建设是合理可行的。</w:t>
      </w:r>
      <w:r>
        <w:rPr>
          <w:color w:val="000000"/>
        </w:rPr>
        <w:t>因此，本项目大气环境影响评价结论为可接受。</w:t>
      </w:r>
    </w:p>
    <w:p>
      <w:pPr>
        <w:pStyle w:val="5"/>
        <w:rPr>
          <w:rFonts w:hint="eastAsia"/>
          <w:color w:val="000000"/>
        </w:rPr>
      </w:pPr>
      <w:bookmarkStart w:id="97" w:name="_Toc25010"/>
      <w:bookmarkStart w:id="98" w:name="_Toc25254"/>
      <w:bookmarkStart w:id="99" w:name="_Toc8700"/>
      <w:bookmarkStart w:id="100" w:name="_Toc17673"/>
      <w:bookmarkStart w:id="101" w:name="_Toc25041"/>
      <w:r>
        <w:rPr>
          <w:rFonts w:hint="eastAsia"/>
          <w:color w:val="000000"/>
        </w:rPr>
        <w:t>建议</w:t>
      </w:r>
      <w:bookmarkEnd w:id="97"/>
      <w:bookmarkEnd w:id="98"/>
      <w:bookmarkEnd w:id="99"/>
      <w:bookmarkEnd w:id="100"/>
      <w:bookmarkEnd w:id="101"/>
    </w:p>
    <w:p>
      <w:pPr>
        <w:ind w:firstLine="480"/>
        <w:rPr>
          <w:rFonts w:hint="default" w:eastAsia="宋体"/>
          <w:color w:val="000000"/>
          <w:lang w:val="en-US" w:eastAsia="zh-CN"/>
        </w:rPr>
      </w:pPr>
      <w:r>
        <w:rPr>
          <w:rFonts w:hint="eastAsia" w:eastAsia="宋体"/>
          <w:color w:val="000000"/>
          <w:lang w:val="en-US" w:eastAsia="zh-CN"/>
        </w:rPr>
        <w:t>1、加强废气治理设施的维护，避免出现非正常排放的情况。</w:t>
      </w:r>
    </w:p>
    <w:p>
      <w:pPr>
        <w:ind w:firstLine="480"/>
        <w:rPr>
          <w:rFonts w:hint="eastAsia" w:eastAsia="宋体"/>
          <w:color w:val="000000"/>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eastAsia="宋体"/>
          <w:color w:val="000000"/>
          <w:lang w:val="en-US" w:eastAsia="zh-CN"/>
        </w:rPr>
        <w:t>2、</w:t>
      </w:r>
      <w:r>
        <w:rPr>
          <w:rFonts w:hint="eastAsia" w:eastAsia="宋体"/>
          <w:color w:val="000000"/>
        </w:rPr>
        <w:t>做好环境管理，减少废气的无组织排放。</w:t>
      </w:r>
    </w:p>
    <w:p>
      <w:pPr>
        <w:ind w:firstLine="482"/>
        <w:jc w:val="center"/>
        <w:rPr>
          <w:rFonts w:hint="eastAsia"/>
          <w:b/>
          <w:bCs/>
          <w:color w:val="000000"/>
        </w:rPr>
      </w:pPr>
      <w:r>
        <w:rPr>
          <w:rFonts w:hint="eastAsia"/>
          <w:b/>
          <w:bCs/>
          <w:color w:val="000000"/>
        </w:rPr>
        <w:t>建设项目大气环境影响评价自查表</w:t>
      </w:r>
    </w:p>
    <w:tbl>
      <w:tblPr>
        <w:tblStyle w:val="36"/>
        <w:tblW w:w="4999" w:type="pct"/>
        <w:tblInd w:w="0" w:type="dxa"/>
        <w:tblLayout w:type="autofit"/>
        <w:tblCellMar>
          <w:top w:w="15" w:type="dxa"/>
          <w:left w:w="15" w:type="dxa"/>
          <w:bottom w:w="15" w:type="dxa"/>
          <w:right w:w="15" w:type="dxa"/>
        </w:tblCellMar>
      </w:tblPr>
      <w:tblGrid>
        <w:gridCol w:w="892"/>
        <w:gridCol w:w="1041"/>
        <w:gridCol w:w="1220"/>
        <w:gridCol w:w="1026"/>
        <w:gridCol w:w="987"/>
        <w:gridCol w:w="642"/>
        <w:gridCol w:w="1490"/>
        <w:gridCol w:w="1385"/>
        <w:gridCol w:w="1175"/>
        <w:gridCol w:w="942"/>
      </w:tblGrid>
      <w:tr>
        <w:tblPrEx>
          <w:tblCellMar>
            <w:top w:w="15" w:type="dxa"/>
            <w:left w:w="15" w:type="dxa"/>
            <w:bottom w:w="15" w:type="dxa"/>
            <w:right w:w="15" w:type="dxa"/>
          </w:tblCellMar>
        </w:tblPrEx>
        <w:trPr>
          <w:trHeight w:val="340" w:hRule="atLeast"/>
        </w:trPr>
        <w:tc>
          <w:tcPr>
            <w:tcW w:w="895" w:type="pct"/>
            <w:gridSpan w:val="2"/>
            <w:tcBorders>
              <w:top w:val="single" w:color="000000" w:sz="12" w:space="0"/>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工作内容</w:t>
            </w:r>
          </w:p>
        </w:tc>
        <w:tc>
          <w:tcPr>
            <w:tcW w:w="4104" w:type="pct"/>
            <w:gridSpan w:val="8"/>
            <w:tcBorders>
              <w:top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自查项目</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评价等级与范围</w:t>
            </w: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评价等级</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一级□</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rFonts w:hint="eastAsia" w:eastAsia="宋体"/>
                <w:color w:val="000000"/>
                <w:kern w:val="0"/>
                <w:sz w:val="21"/>
                <w:szCs w:val="21"/>
                <w:lang w:eastAsia="zh-CN" w:bidi="ar"/>
              </w:rPr>
            </w:pPr>
            <w:r>
              <w:rPr>
                <w:color w:val="000000"/>
                <w:kern w:val="0"/>
                <w:sz w:val="21"/>
                <w:szCs w:val="21"/>
                <w:lang w:bidi="ar"/>
              </w:rPr>
              <w:t>二级</w:t>
            </w:r>
            <w:r>
              <w:rPr>
                <w:rFonts w:hint="eastAsia"/>
                <w:color w:val="000000"/>
                <w:kern w:val="0"/>
                <w:sz w:val="21"/>
                <w:szCs w:val="21"/>
                <w:lang w:eastAsia="zh-CN" w:bidi="ar"/>
              </w:rPr>
              <w:t>□</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三级</w:t>
            </w:r>
            <w:r>
              <w:rPr>
                <w:color w:val="000000"/>
                <w:kern w:val="0"/>
                <w:sz w:val="21"/>
                <w:szCs w:val="21"/>
                <w:lang w:bidi="ar"/>
              </w:rPr>
              <w:sym w:font="Wingdings 2" w:char="0052"/>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评价范围</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边长=50km□</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边长=5~50km□</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rFonts w:hint="eastAsia" w:eastAsia="宋体"/>
                <w:color w:val="000000"/>
                <w:kern w:val="0"/>
                <w:sz w:val="21"/>
                <w:szCs w:val="21"/>
                <w:lang w:eastAsia="zh-CN" w:bidi="ar"/>
              </w:rPr>
            </w:pPr>
            <w:r>
              <w:rPr>
                <w:color w:val="000000"/>
                <w:kern w:val="0"/>
                <w:sz w:val="21"/>
                <w:szCs w:val="21"/>
                <w:lang w:bidi="ar"/>
              </w:rPr>
              <w:t>边长=5km</w:t>
            </w:r>
            <w:r>
              <w:rPr>
                <w:rFonts w:hint="eastAsia"/>
                <w:color w:val="000000"/>
                <w:kern w:val="0"/>
                <w:sz w:val="21"/>
                <w:szCs w:val="21"/>
                <w:lang w:eastAsia="zh-CN" w:bidi="ar"/>
              </w:rPr>
              <w:t>□</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评价因子</w:t>
            </w: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SO</w:t>
            </w:r>
            <w:r>
              <w:rPr>
                <w:color w:val="000000"/>
                <w:kern w:val="0"/>
                <w:sz w:val="21"/>
                <w:szCs w:val="21"/>
                <w:vertAlign w:val="subscript"/>
                <w:lang w:bidi="ar"/>
              </w:rPr>
              <w:t>2</w:t>
            </w:r>
            <w:r>
              <w:rPr>
                <w:color w:val="000000"/>
                <w:kern w:val="0"/>
                <w:sz w:val="21"/>
                <w:szCs w:val="21"/>
                <w:lang w:bidi="ar"/>
              </w:rPr>
              <w:t>+NOx排放量</w:t>
            </w:r>
          </w:p>
        </w:tc>
        <w:tc>
          <w:tcPr>
            <w:tcW w:w="1040"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≥2000t/a□</w:t>
            </w:r>
          </w:p>
        </w:tc>
        <w:tc>
          <w:tcPr>
            <w:tcW w:w="1443"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500~2000t/a□</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&lt;500t/a☑</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评价因子</w:t>
            </w:r>
          </w:p>
        </w:tc>
        <w:tc>
          <w:tcPr>
            <w:tcW w:w="2484" w:type="pct"/>
            <w:gridSpan w:val="5"/>
            <w:tcBorders>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基本污染物（SO</w:t>
            </w:r>
            <w:r>
              <w:rPr>
                <w:color w:val="000000"/>
                <w:kern w:val="0"/>
                <w:sz w:val="21"/>
                <w:szCs w:val="21"/>
                <w:vertAlign w:val="subscript"/>
                <w:lang w:bidi="ar"/>
              </w:rPr>
              <w:t>2</w:t>
            </w:r>
            <w:r>
              <w:rPr>
                <w:color w:val="000000"/>
                <w:kern w:val="0"/>
                <w:sz w:val="21"/>
                <w:szCs w:val="21"/>
                <w:lang w:bidi="ar"/>
              </w:rPr>
              <w:t>、NO</w:t>
            </w:r>
            <w:r>
              <w:rPr>
                <w:color w:val="000000"/>
                <w:kern w:val="0"/>
                <w:sz w:val="21"/>
                <w:szCs w:val="21"/>
                <w:vertAlign w:val="subscript"/>
                <w:lang w:bidi="ar"/>
              </w:rPr>
              <w:t>2</w:t>
            </w:r>
            <w:r>
              <w:rPr>
                <w:color w:val="000000"/>
                <w:kern w:val="0"/>
                <w:sz w:val="21"/>
                <w:szCs w:val="21"/>
                <w:lang w:bidi="ar"/>
              </w:rPr>
              <w:t>、PM</w:t>
            </w:r>
            <w:r>
              <w:rPr>
                <w:color w:val="000000"/>
                <w:kern w:val="0"/>
                <w:sz w:val="21"/>
                <w:szCs w:val="21"/>
                <w:vertAlign w:val="subscript"/>
                <w:lang w:bidi="ar"/>
              </w:rPr>
              <w:t>10</w:t>
            </w:r>
            <w:r>
              <w:rPr>
                <w:color w:val="000000"/>
                <w:kern w:val="0"/>
                <w:sz w:val="21"/>
                <w:szCs w:val="21"/>
                <w:lang w:bidi="ar"/>
              </w:rPr>
              <w:t>、细PM</w:t>
            </w:r>
            <w:r>
              <w:rPr>
                <w:color w:val="000000"/>
                <w:kern w:val="0"/>
                <w:sz w:val="21"/>
                <w:szCs w:val="21"/>
                <w:vertAlign w:val="subscript"/>
                <w:lang w:bidi="ar"/>
              </w:rPr>
              <w:t>2.5</w:t>
            </w:r>
            <w:r>
              <w:rPr>
                <w:color w:val="000000"/>
                <w:kern w:val="0"/>
                <w:sz w:val="21"/>
                <w:szCs w:val="21"/>
                <w:lang w:bidi="ar"/>
              </w:rPr>
              <w:t>、CO、O</w:t>
            </w:r>
            <w:r>
              <w:rPr>
                <w:color w:val="000000"/>
                <w:kern w:val="0"/>
                <w:sz w:val="21"/>
                <w:szCs w:val="21"/>
                <w:vertAlign w:val="subscript"/>
                <w:lang w:bidi="ar"/>
              </w:rPr>
              <w:t>3</w:t>
            </w:r>
            <w:r>
              <w:rPr>
                <w:color w:val="000000"/>
                <w:kern w:val="0"/>
                <w:sz w:val="21"/>
                <w:szCs w:val="21"/>
                <w:lang w:bidi="ar"/>
              </w:rPr>
              <w:t>）</w:t>
            </w:r>
          </w:p>
        </w:tc>
        <w:tc>
          <w:tcPr>
            <w:tcW w:w="1620" w:type="pct"/>
            <w:gridSpan w:val="3"/>
            <w:tcBorders>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包括二次PM</w:t>
            </w:r>
            <w:r>
              <w:rPr>
                <w:color w:val="000000"/>
                <w:kern w:val="0"/>
                <w:sz w:val="21"/>
                <w:szCs w:val="21"/>
                <w:vertAlign w:val="subscript"/>
                <w:lang w:bidi="ar"/>
              </w:rPr>
              <w:t>2.5</w:t>
            </w:r>
            <w:r>
              <w:rPr>
                <w:color w:val="000000"/>
                <w:kern w:val="0"/>
                <w:sz w:val="21"/>
                <w:szCs w:val="21"/>
                <w:lang w:bidi="ar"/>
              </w:rPr>
              <w:t>□</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2484" w:type="pct"/>
            <w:gridSpan w:val="5"/>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其他污染物（</w:t>
            </w:r>
            <w:r>
              <w:rPr>
                <w:rFonts w:hint="eastAsia"/>
                <w:color w:val="000000"/>
                <w:kern w:val="0"/>
                <w:sz w:val="21"/>
                <w:szCs w:val="21"/>
                <w:lang w:bidi="ar"/>
              </w:rPr>
              <w:t>颗粒物、</w:t>
            </w:r>
            <w:r>
              <w:rPr>
                <w:rFonts w:hint="eastAsia"/>
                <w:color w:val="000000"/>
                <w:kern w:val="0"/>
                <w:sz w:val="21"/>
                <w:szCs w:val="21"/>
                <w:lang w:eastAsia="zh-CN" w:bidi="ar"/>
              </w:rPr>
              <w:t>甲醛、</w:t>
            </w:r>
            <w:r>
              <w:rPr>
                <w:rFonts w:hint="eastAsia"/>
                <w:color w:val="000000"/>
                <w:kern w:val="0"/>
                <w:sz w:val="21"/>
                <w:szCs w:val="21"/>
                <w:lang w:val="en-US" w:eastAsia="zh-CN" w:bidi="ar"/>
              </w:rPr>
              <w:t>TVOC</w:t>
            </w:r>
            <w:r>
              <w:rPr>
                <w:color w:val="000000"/>
                <w:kern w:val="0"/>
                <w:sz w:val="21"/>
                <w:szCs w:val="21"/>
                <w:lang w:bidi="ar"/>
              </w:rPr>
              <w:t>）</w:t>
            </w:r>
          </w:p>
        </w:tc>
        <w:tc>
          <w:tcPr>
            <w:tcW w:w="1620" w:type="pct"/>
            <w:gridSpan w:val="3"/>
            <w:tcBorders>
              <w:bottom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不包括二次PM</w:t>
            </w:r>
            <w:r>
              <w:rPr>
                <w:color w:val="000000"/>
                <w:kern w:val="0"/>
                <w:sz w:val="21"/>
                <w:szCs w:val="21"/>
                <w:vertAlign w:val="subscript"/>
                <w:lang w:bidi="ar"/>
              </w:rPr>
              <w:t>2.5</w:t>
            </w:r>
            <w:r>
              <w:rPr>
                <w:color w:val="000000"/>
                <w:kern w:val="0"/>
                <w:sz w:val="21"/>
                <w:szCs w:val="21"/>
                <w:lang w:bidi="ar"/>
              </w:rPr>
              <w:t>☑</w:t>
            </w:r>
          </w:p>
        </w:tc>
      </w:tr>
      <w:tr>
        <w:tblPrEx>
          <w:tblCellMar>
            <w:top w:w="15" w:type="dxa"/>
            <w:left w:w="15" w:type="dxa"/>
            <w:bottom w:w="15" w:type="dxa"/>
            <w:right w:w="15" w:type="dxa"/>
          </w:tblCellMar>
        </w:tblPrEx>
        <w:trPr>
          <w:trHeight w:val="340" w:hRule="atLeast"/>
        </w:trPr>
        <w:tc>
          <w:tcPr>
            <w:tcW w:w="413" w:type="pc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评价标准</w:t>
            </w: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评价标准</w:t>
            </w:r>
          </w:p>
        </w:tc>
        <w:tc>
          <w:tcPr>
            <w:tcW w:w="1497"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国家标准☑</w:t>
            </w:r>
          </w:p>
        </w:tc>
        <w:tc>
          <w:tcPr>
            <w:tcW w:w="986"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地方标准□</w:t>
            </w:r>
          </w:p>
        </w:tc>
        <w:tc>
          <w:tcPr>
            <w:tcW w:w="64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附录D</w:t>
            </w:r>
            <w:r>
              <w:rPr>
                <w:color w:val="000000"/>
                <w:kern w:val="0"/>
                <w:sz w:val="21"/>
                <w:szCs w:val="21"/>
                <w:lang w:bidi="ar"/>
              </w:rPr>
              <w:sym w:font="Wingdings 2" w:char="0052"/>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其他标准□</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现状评价</w:t>
            </w: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评价功能区</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一类区□</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二类区☑</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一类区和二类区□</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评价基准年</w:t>
            </w:r>
          </w:p>
        </w:tc>
        <w:tc>
          <w:tcPr>
            <w:tcW w:w="4104" w:type="pct"/>
            <w:gridSpan w:val="8"/>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（202</w:t>
            </w:r>
            <w:r>
              <w:rPr>
                <w:rFonts w:hint="eastAsia"/>
                <w:color w:val="000000"/>
                <w:kern w:val="0"/>
                <w:sz w:val="21"/>
                <w:szCs w:val="21"/>
                <w:lang w:val="en-US" w:eastAsia="zh-CN" w:bidi="ar"/>
              </w:rPr>
              <w:t>4</w:t>
            </w:r>
            <w:r>
              <w:rPr>
                <w:color w:val="000000"/>
                <w:kern w:val="0"/>
                <w:sz w:val="21"/>
                <w:szCs w:val="21"/>
                <w:lang w:bidi="ar"/>
              </w:rPr>
              <w:t>）年</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环境空气质量现状调查数据来源</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长期例行监测数据□</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主管部门发布的数据☑</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现状补充检测</w:t>
            </w:r>
            <w:r>
              <w:rPr>
                <w:color w:val="000000"/>
                <w:kern w:val="0"/>
                <w:sz w:val="21"/>
                <w:szCs w:val="21"/>
                <w:lang w:bidi="ar"/>
              </w:rPr>
              <w:sym w:font="Wingdings 2" w:char="0052"/>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现状评价</w:t>
            </w:r>
          </w:p>
        </w:tc>
        <w:tc>
          <w:tcPr>
            <w:tcW w:w="2484" w:type="pct"/>
            <w:gridSpan w:val="5"/>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达标区☑</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不达标□</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污染源调查</w:t>
            </w: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调查内容</w:t>
            </w:r>
          </w:p>
        </w:tc>
        <w:tc>
          <w:tcPr>
            <w:tcW w:w="1497" w:type="pct"/>
            <w:gridSpan w:val="3"/>
            <w:tcBorders>
              <w:right w:val="single" w:color="000000" w:sz="12" w:space="0"/>
            </w:tcBorders>
            <w:noWrap w:val="0"/>
            <w:vAlign w:val="center"/>
          </w:tcPr>
          <w:p>
            <w:pPr>
              <w:widowControl/>
              <w:spacing w:line="240" w:lineRule="auto"/>
              <w:ind w:firstLine="0" w:firstLineChars="0"/>
              <w:jc w:val="center"/>
              <w:textAlignment w:val="center"/>
              <w:rPr>
                <w:rFonts w:hint="eastAsia" w:eastAsia="宋体"/>
                <w:color w:val="000000"/>
                <w:kern w:val="0"/>
                <w:sz w:val="21"/>
                <w:szCs w:val="21"/>
                <w:lang w:eastAsia="zh-CN" w:bidi="ar"/>
              </w:rPr>
            </w:pPr>
            <w:r>
              <w:rPr>
                <w:color w:val="000000"/>
                <w:kern w:val="0"/>
                <w:sz w:val="21"/>
                <w:szCs w:val="21"/>
                <w:lang w:bidi="ar"/>
              </w:rPr>
              <w:t>本项目正常排放源</w:t>
            </w:r>
            <w:r>
              <w:rPr>
                <w:rFonts w:hint="eastAsia"/>
                <w:color w:val="000000"/>
                <w:kern w:val="0"/>
                <w:sz w:val="21"/>
                <w:szCs w:val="21"/>
                <w:lang w:eastAsia="zh-CN" w:bidi="ar"/>
              </w:rPr>
              <w:t>□</w:t>
            </w:r>
          </w:p>
        </w:tc>
        <w:tc>
          <w:tcPr>
            <w:tcW w:w="986" w:type="pct"/>
            <w:gridSpan w:val="2"/>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拟替代的污染源□</w:t>
            </w:r>
          </w:p>
        </w:tc>
        <w:tc>
          <w:tcPr>
            <w:tcW w:w="64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其他在建、拟建项目污染源☑</w:t>
            </w:r>
          </w:p>
        </w:tc>
        <w:tc>
          <w:tcPr>
            <w:tcW w:w="979" w:type="pct"/>
            <w:gridSpan w:val="2"/>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区域污染源□</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497" w:type="pct"/>
            <w:gridSpan w:val="3"/>
            <w:tcBorders>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本项目非正常排放源□</w:t>
            </w:r>
          </w:p>
        </w:tc>
        <w:tc>
          <w:tcPr>
            <w:tcW w:w="986"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64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979"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497"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现有污染源□</w:t>
            </w:r>
          </w:p>
        </w:tc>
        <w:tc>
          <w:tcPr>
            <w:tcW w:w="986"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64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979"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大气环境影响预测与评价</w:t>
            </w:r>
          </w:p>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预测模型</w:t>
            </w:r>
          </w:p>
        </w:tc>
        <w:tc>
          <w:tcPr>
            <w:tcW w:w="565"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AERMOD□</w:t>
            </w:r>
          </w:p>
        </w:tc>
        <w:tc>
          <w:tcPr>
            <w:tcW w:w="474"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ADMS□</w:t>
            </w:r>
          </w:p>
        </w:tc>
        <w:tc>
          <w:tcPr>
            <w:tcW w:w="754"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AUSTAL2000□</w:t>
            </w:r>
          </w:p>
        </w:tc>
        <w:tc>
          <w:tcPr>
            <w:tcW w:w="689"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EDMS/AEDT□</w:t>
            </w:r>
          </w:p>
        </w:tc>
        <w:tc>
          <w:tcPr>
            <w:tcW w:w="64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CALPUFF□</w:t>
            </w:r>
          </w:p>
        </w:tc>
        <w:tc>
          <w:tcPr>
            <w:tcW w:w="544"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网格模型□</w:t>
            </w:r>
          </w:p>
        </w:tc>
        <w:tc>
          <w:tcPr>
            <w:tcW w:w="434"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其他□</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预测范围</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边长≥50km□</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边长5~50km□</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边长=5km□</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预测因子</w:t>
            </w:r>
          </w:p>
        </w:tc>
        <w:tc>
          <w:tcPr>
            <w:tcW w:w="2484" w:type="pct"/>
            <w:gridSpan w:val="5"/>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预测因子（</w:t>
            </w:r>
            <w:r>
              <w:rPr>
                <w:rFonts w:hint="eastAsia"/>
                <w:color w:val="000000"/>
                <w:kern w:val="0"/>
                <w:sz w:val="21"/>
                <w:szCs w:val="21"/>
                <w:lang w:val="en-US" w:eastAsia="zh-CN" w:bidi="ar"/>
              </w:rPr>
              <w:t>TSP、甲醛、非甲烷总烃</w:t>
            </w:r>
            <w:r>
              <w:rPr>
                <w:color w:val="000000"/>
                <w:kern w:val="0"/>
                <w:sz w:val="21"/>
                <w:szCs w:val="21"/>
                <w:lang w:bidi="ar"/>
              </w:rPr>
              <w:t>）</w:t>
            </w:r>
          </w:p>
        </w:tc>
        <w:tc>
          <w:tcPr>
            <w:tcW w:w="1620" w:type="pct"/>
            <w:gridSpan w:val="3"/>
            <w:tcBorders>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包括二次PM</w:t>
            </w:r>
            <w:r>
              <w:rPr>
                <w:color w:val="000000"/>
                <w:kern w:val="0"/>
                <w:sz w:val="21"/>
                <w:szCs w:val="21"/>
                <w:vertAlign w:val="subscript"/>
                <w:lang w:bidi="ar"/>
              </w:rPr>
              <w:t>2.5</w:t>
            </w:r>
            <w:r>
              <w:rPr>
                <w:color w:val="000000"/>
                <w:kern w:val="0"/>
                <w:sz w:val="21"/>
                <w:szCs w:val="21"/>
                <w:lang w:bidi="ar"/>
              </w:rPr>
              <w:t>□</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2484" w:type="pct"/>
            <w:gridSpan w:val="5"/>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rFonts w:hint="eastAsia" w:eastAsia="宋体"/>
                <w:color w:val="000000"/>
                <w:kern w:val="0"/>
                <w:sz w:val="21"/>
                <w:szCs w:val="21"/>
                <w:lang w:eastAsia="zh-CN" w:bidi="ar"/>
              </w:rPr>
            </w:pPr>
            <w:r>
              <w:rPr>
                <w:color w:val="000000"/>
                <w:kern w:val="0"/>
                <w:sz w:val="21"/>
                <w:szCs w:val="21"/>
                <w:lang w:bidi="ar"/>
              </w:rPr>
              <w:t>不包括二次PM</w:t>
            </w:r>
            <w:r>
              <w:rPr>
                <w:color w:val="000000"/>
                <w:kern w:val="0"/>
                <w:sz w:val="21"/>
                <w:szCs w:val="21"/>
                <w:vertAlign w:val="subscript"/>
                <w:lang w:bidi="ar"/>
              </w:rPr>
              <w:t>2.5</w:t>
            </w:r>
            <w:r>
              <w:rPr>
                <w:rFonts w:hint="eastAsia"/>
                <w:color w:val="000000"/>
                <w:kern w:val="0"/>
                <w:sz w:val="21"/>
                <w:szCs w:val="21"/>
                <w:lang w:eastAsia="zh-CN" w:bidi="ar"/>
              </w:rPr>
              <w:t>☑</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正常排放短期浓度贡献值</w:t>
            </w:r>
          </w:p>
        </w:tc>
        <w:tc>
          <w:tcPr>
            <w:tcW w:w="2484" w:type="pct"/>
            <w:gridSpan w:val="5"/>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C本项目最大占标率≤100%□</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C本项目最大占标率&gt;100%□</w:t>
            </w:r>
          </w:p>
        </w:tc>
      </w:tr>
      <w:tr>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正常排放年均浓度贡献值</w:t>
            </w:r>
          </w:p>
        </w:tc>
        <w:tc>
          <w:tcPr>
            <w:tcW w:w="1040"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一类区</w:t>
            </w:r>
          </w:p>
        </w:tc>
        <w:tc>
          <w:tcPr>
            <w:tcW w:w="1443"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C本项目最大占标率≤10%□</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C本项目最大占标率&gt;10%□</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040"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二类区</w:t>
            </w:r>
          </w:p>
        </w:tc>
        <w:tc>
          <w:tcPr>
            <w:tcW w:w="1443"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C本项目最大占标率≤30%□</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C本项目最大占标率&gt;30%□</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非正常1h浓度贡献值</w:t>
            </w:r>
          </w:p>
        </w:tc>
        <w:tc>
          <w:tcPr>
            <w:tcW w:w="1497" w:type="pct"/>
            <w:gridSpan w:val="3"/>
            <w:tcBorders>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非正常持续时长</w:t>
            </w:r>
          </w:p>
        </w:tc>
        <w:tc>
          <w:tcPr>
            <w:tcW w:w="1627" w:type="pct"/>
            <w:gridSpan w:val="3"/>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C非正常占标率≤100%□</w:t>
            </w:r>
          </w:p>
        </w:tc>
        <w:tc>
          <w:tcPr>
            <w:tcW w:w="979" w:type="pct"/>
            <w:gridSpan w:val="2"/>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C非正常占标率&gt;100%□</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497"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（/）h</w:t>
            </w:r>
          </w:p>
        </w:tc>
        <w:tc>
          <w:tcPr>
            <w:tcW w:w="1627" w:type="pct"/>
            <w:gridSpan w:val="3"/>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979"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保证率日平均浓度和年平均浓度叠加值</w:t>
            </w:r>
          </w:p>
        </w:tc>
        <w:tc>
          <w:tcPr>
            <w:tcW w:w="2484" w:type="pct"/>
            <w:gridSpan w:val="5"/>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C叠加达标□</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C叠加不达标□</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bottom"/>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区域环境质量的整体变化情况</w:t>
            </w:r>
          </w:p>
        </w:tc>
        <w:tc>
          <w:tcPr>
            <w:tcW w:w="2484" w:type="pct"/>
            <w:gridSpan w:val="5"/>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k≤-20%□</w:t>
            </w:r>
          </w:p>
        </w:tc>
        <w:tc>
          <w:tcPr>
            <w:tcW w:w="1620"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k&gt;-20%□</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环境监测计划</w:t>
            </w:r>
          </w:p>
        </w:tc>
        <w:tc>
          <w:tcPr>
            <w:tcW w:w="481" w:type="pct"/>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污染源</w:t>
            </w:r>
          </w:p>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监测</w:t>
            </w:r>
          </w:p>
        </w:tc>
        <w:tc>
          <w:tcPr>
            <w:tcW w:w="1794" w:type="pct"/>
            <w:gridSpan w:val="4"/>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sz w:val="21"/>
                <w:szCs w:val="21"/>
              </w:rPr>
            </w:pPr>
            <w:r>
              <w:rPr>
                <w:color w:val="000000"/>
                <w:sz w:val="21"/>
                <w:szCs w:val="21"/>
              </w:rPr>
              <w:t>监测因子：（</w:t>
            </w:r>
            <w:r>
              <w:rPr>
                <w:rFonts w:hint="eastAsia"/>
                <w:color w:val="000000"/>
                <w:sz w:val="21"/>
                <w:szCs w:val="21"/>
                <w:lang w:eastAsia="zh-CN"/>
              </w:rPr>
              <w:t>颗粒物、甲醛、非甲烷总烃</w:t>
            </w:r>
            <w:r>
              <w:rPr>
                <w:color w:val="000000"/>
                <w:sz w:val="21"/>
                <w:szCs w:val="21"/>
              </w:rPr>
              <w:t>）</w:t>
            </w:r>
          </w:p>
        </w:tc>
        <w:tc>
          <w:tcPr>
            <w:tcW w:w="1331" w:type="pct"/>
            <w:gridSpan w:val="2"/>
            <w:tcBorders>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有组织废气监测☑</w:t>
            </w:r>
          </w:p>
        </w:tc>
        <w:tc>
          <w:tcPr>
            <w:tcW w:w="979" w:type="pct"/>
            <w:gridSpan w:val="2"/>
            <w:vMerge w:val="restar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无监测□</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1794" w:type="pct"/>
            <w:gridSpan w:val="4"/>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sz w:val="21"/>
                <w:szCs w:val="21"/>
              </w:rPr>
            </w:pP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无组织废气监测☑</w:t>
            </w:r>
          </w:p>
        </w:tc>
        <w:tc>
          <w:tcPr>
            <w:tcW w:w="979" w:type="pct"/>
            <w:gridSpan w:val="2"/>
            <w:vMerge w:val="continue"/>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环境质量监测</w:t>
            </w:r>
          </w:p>
        </w:tc>
        <w:tc>
          <w:tcPr>
            <w:tcW w:w="1794" w:type="pct"/>
            <w:gridSpan w:val="4"/>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sz w:val="21"/>
                <w:szCs w:val="21"/>
              </w:rPr>
            </w:pPr>
            <w:r>
              <w:rPr>
                <w:color w:val="000000"/>
                <w:sz w:val="21"/>
                <w:szCs w:val="21"/>
              </w:rPr>
              <w:t>监测因子：（</w:t>
            </w:r>
            <w:r>
              <w:rPr>
                <w:rFonts w:hint="eastAsia"/>
                <w:color w:val="000000"/>
                <w:sz w:val="21"/>
                <w:szCs w:val="21"/>
                <w:lang w:val="en-US" w:eastAsia="zh-CN"/>
              </w:rPr>
              <w:t>/</w:t>
            </w:r>
            <w:r>
              <w:rPr>
                <w:color w:val="000000"/>
                <w:sz w:val="21"/>
                <w:szCs w:val="21"/>
              </w:rPr>
              <w:t>）</w:t>
            </w:r>
          </w:p>
        </w:tc>
        <w:tc>
          <w:tcPr>
            <w:tcW w:w="1331"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监测点位数（）</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无监测□</w:t>
            </w:r>
          </w:p>
        </w:tc>
      </w:tr>
      <w:tr>
        <w:tblPrEx>
          <w:tblCellMar>
            <w:top w:w="15" w:type="dxa"/>
            <w:left w:w="15" w:type="dxa"/>
            <w:bottom w:w="15" w:type="dxa"/>
            <w:right w:w="15" w:type="dxa"/>
          </w:tblCellMar>
        </w:tblPrEx>
        <w:trPr>
          <w:trHeight w:val="340" w:hRule="atLeast"/>
        </w:trPr>
        <w:tc>
          <w:tcPr>
            <w:tcW w:w="413" w:type="pct"/>
            <w:vMerge w:val="restart"/>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评价结论</w:t>
            </w: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环境影响</w:t>
            </w:r>
          </w:p>
        </w:tc>
        <w:tc>
          <w:tcPr>
            <w:tcW w:w="4104" w:type="pct"/>
            <w:gridSpan w:val="8"/>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可以接受 ☑            不可以接受 □</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大气环境防护距离</w:t>
            </w:r>
          </w:p>
        </w:tc>
        <w:tc>
          <w:tcPr>
            <w:tcW w:w="4104" w:type="pct"/>
            <w:gridSpan w:val="8"/>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距（/)厂界最远（/）m</w:t>
            </w:r>
          </w:p>
        </w:tc>
      </w:tr>
      <w:tr>
        <w:tblPrEx>
          <w:tblCellMar>
            <w:top w:w="15" w:type="dxa"/>
            <w:left w:w="15" w:type="dxa"/>
            <w:bottom w:w="15" w:type="dxa"/>
            <w:right w:w="15" w:type="dxa"/>
          </w:tblCellMar>
        </w:tblPrEx>
        <w:trPr>
          <w:trHeight w:val="340" w:hRule="atLeast"/>
        </w:trPr>
        <w:tc>
          <w:tcPr>
            <w:tcW w:w="413" w:type="pct"/>
            <w:vMerge w:val="continue"/>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p>
        </w:tc>
        <w:tc>
          <w:tcPr>
            <w:tcW w:w="48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污染源年排放量</w:t>
            </w:r>
          </w:p>
        </w:tc>
        <w:tc>
          <w:tcPr>
            <w:tcW w:w="1497" w:type="pct"/>
            <w:gridSpan w:val="3"/>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SO</w:t>
            </w:r>
            <w:r>
              <w:rPr>
                <w:color w:val="000000"/>
                <w:kern w:val="0"/>
                <w:sz w:val="21"/>
                <w:szCs w:val="21"/>
                <w:vertAlign w:val="subscript"/>
                <w:lang w:bidi="ar"/>
              </w:rPr>
              <w:t>2</w:t>
            </w:r>
            <w:r>
              <w:rPr>
                <w:color w:val="000000"/>
                <w:kern w:val="0"/>
                <w:sz w:val="21"/>
                <w:szCs w:val="21"/>
                <w:lang w:bidi="ar"/>
              </w:rPr>
              <w:t xml:space="preserve">:( </w:t>
            </w:r>
            <w:r>
              <w:rPr>
                <w:rFonts w:hint="eastAsia"/>
                <w:color w:val="000000"/>
                <w:kern w:val="0"/>
                <w:sz w:val="21"/>
                <w:szCs w:val="21"/>
                <w:lang w:bidi="ar"/>
              </w:rPr>
              <w:t>/</w:t>
            </w:r>
            <w:r>
              <w:rPr>
                <w:color w:val="000000"/>
                <w:kern w:val="0"/>
                <w:sz w:val="21"/>
                <w:szCs w:val="21"/>
                <w:lang w:bidi="ar"/>
              </w:rPr>
              <w:t xml:space="preserve"> )t/a</w:t>
            </w:r>
          </w:p>
        </w:tc>
        <w:tc>
          <w:tcPr>
            <w:tcW w:w="986"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NOx:(</w:t>
            </w:r>
            <w:r>
              <w:rPr>
                <w:rFonts w:hint="eastAsia"/>
                <w:color w:val="000000"/>
                <w:kern w:val="0"/>
                <w:sz w:val="21"/>
                <w:szCs w:val="21"/>
                <w:lang w:bidi="ar"/>
              </w:rPr>
              <w:t>/</w:t>
            </w:r>
            <w:r>
              <w:rPr>
                <w:color w:val="000000"/>
                <w:kern w:val="0"/>
                <w:sz w:val="21"/>
                <w:szCs w:val="21"/>
                <w:lang w:bidi="ar"/>
              </w:rPr>
              <w:t xml:space="preserve"> )t/a</w:t>
            </w:r>
          </w:p>
        </w:tc>
        <w:tc>
          <w:tcPr>
            <w:tcW w:w="641" w:type="pct"/>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颗粒物:(</w:t>
            </w:r>
            <w:r>
              <w:rPr>
                <w:rFonts w:hint="eastAsia"/>
                <w:color w:val="000000"/>
                <w:kern w:val="0"/>
                <w:sz w:val="21"/>
                <w:szCs w:val="21"/>
                <w:lang w:bidi="ar"/>
              </w:rPr>
              <w:t>/</w:t>
            </w:r>
            <w:r>
              <w:rPr>
                <w:color w:val="000000"/>
                <w:kern w:val="0"/>
                <w:sz w:val="21"/>
                <w:szCs w:val="21"/>
                <w:lang w:bidi="ar"/>
              </w:rPr>
              <w:t>)t/a</w:t>
            </w:r>
          </w:p>
        </w:tc>
        <w:tc>
          <w:tcPr>
            <w:tcW w:w="979" w:type="pct"/>
            <w:gridSpan w:val="2"/>
            <w:tcBorders>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VOCs:(</w:t>
            </w:r>
            <w:r>
              <w:rPr>
                <w:rFonts w:hint="eastAsia"/>
                <w:sz w:val="21"/>
                <w:szCs w:val="21"/>
              </w:rPr>
              <w:t>0.0</w:t>
            </w:r>
            <w:r>
              <w:rPr>
                <w:rFonts w:hint="eastAsia"/>
                <w:sz w:val="21"/>
                <w:szCs w:val="21"/>
                <w:lang w:val="en-US" w:eastAsia="zh-CN"/>
              </w:rPr>
              <w:t>116</w:t>
            </w:r>
            <w:r>
              <w:rPr>
                <w:color w:val="000000"/>
                <w:kern w:val="0"/>
                <w:sz w:val="21"/>
                <w:szCs w:val="21"/>
                <w:lang w:bidi="ar"/>
              </w:rPr>
              <w:t>)t/a</w:t>
            </w:r>
          </w:p>
        </w:tc>
      </w:tr>
      <w:tr>
        <w:tblPrEx>
          <w:tblCellMar>
            <w:top w:w="15" w:type="dxa"/>
            <w:left w:w="15" w:type="dxa"/>
            <w:bottom w:w="15" w:type="dxa"/>
            <w:right w:w="15" w:type="dxa"/>
          </w:tblCellMar>
        </w:tblPrEx>
        <w:trPr>
          <w:trHeight w:val="340" w:hRule="atLeast"/>
        </w:trPr>
        <w:tc>
          <w:tcPr>
            <w:tcW w:w="5000" w:type="pct"/>
            <w:gridSpan w:val="10"/>
            <w:tcBorders>
              <w:left w:val="single" w:color="000000" w:sz="12" w:space="0"/>
              <w:bottom w:val="single" w:color="000000" w:sz="12" w:space="0"/>
              <w:right w:val="single" w:color="000000" w:sz="12" w:space="0"/>
            </w:tcBorders>
            <w:noWrap w:val="0"/>
            <w:vAlign w:val="center"/>
          </w:tcPr>
          <w:p>
            <w:pPr>
              <w:widowControl/>
              <w:spacing w:line="240" w:lineRule="auto"/>
              <w:ind w:firstLine="0" w:firstLineChars="0"/>
              <w:jc w:val="center"/>
              <w:textAlignment w:val="center"/>
              <w:rPr>
                <w:color w:val="000000"/>
                <w:kern w:val="0"/>
                <w:sz w:val="21"/>
                <w:szCs w:val="21"/>
                <w:lang w:bidi="ar"/>
              </w:rPr>
            </w:pPr>
            <w:r>
              <w:rPr>
                <w:color w:val="000000"/>
                <w:kern w:val="0"/>
                <w:sz w:val="21"/>
                <w:szCs w:val="21"/>
                <w:lang w:bidi="ar"/>
              </w:rPr>
              <w:t>注：“□”，填“√”；“（  ）”为内容填写项</w:t>
            </w:r>
          </w:p>
        </w:tc>
      </w:tr>
    </w:tbl>
    <w:p>
      <w:pPr>
        <w:ind w:firstLine="480"/>
        <w:jc w:val="center"/>
        <w:rPr>
          <w:rFonts w:hint="eastAsia"/>
          <w:color w:val="000000"/>
        </w:rPr>
      </w:pPr>
    </w:p>
    <w:sectPr>
      <w:pgSz w:w="11906" w:h="16838"/>
      <w:pgMar w:top="1440" w:right="567" w:bottom="1440" w:left="567"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华文仿宋">
    <w:altName w:val="仿宋"/>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2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36</w:t>
                          </w:r>
                          <w:r>
                            <w:rPr>
                              <w:rFonts w:hint="eastAsia"/>
                            </w:rPr>
                            <w:fldChar w:fldCharType="end"/>
                          </w:r>
                        </w:p>
                      </w:txbxContent>
                    </wps:txbx>
                    <wps:bodyPr wrap="none" lIns="0" tIns="0" rIns="0" bIns="0" upright="0">
                      <a:spAutoFit/>
                    </wps:bodyPr>
                  </wps:wsp>
                </a:graphicData>
              </a:graphic>
            </wp:anchor>
          </w:drawing>
        </mc:Choice>
        <mc:Fallback>
          <w:pict>
            <v:shape id="文本框 1028"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WzGPcsoBAACcAwAADgAAAAAAAAABACAAAAAeAQAAZHJzL2Uyb0Rv&#10;Yy54bWxQSwUGAAAAAAYABgBZAQAAWgUAAAAA&#10;">
              <v:fill on="f" focussize="0,0"/>
              <v:stroke on="f"/>
              <v:imagedata o:title=""/>
              <o:lock v:ext="edit" aspectratio="f"/>
              <v:textbox inset="0mm,0mm,0mm,0mm" style="mso-fit-shape-to-text:t;">
                <w:txbxContent>
                  <w:p>
                    <w:pPr>
                      <w:pStyle w:val="28"/>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36</w:t>
                    </w:r>
                    <w:r>
                      <w:rPr>
                        <w:rFonts w:hint="eastAsia"/>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01D5C0"/>
    <w:multiLevelType w:val="singleLevel"/>
    <w:tmpl w:val="AB01D5C0"/>
    <w:lvl w:ilvl="0" w:tentative="0">
      <w:start w:val="1"/>
      <w:numFmt w:val="bullet"/>
      <w:pStyle w:val="21"/>
      <w:lvlText w:val=""/>
      <w:lvlJc w:val="left"/>
      <w:pPr>
        <w:tabs>
          <w:tab w:val="left" w:pos="780"/>
        </w:tabs>
        <w:ind w:left="780" w:hanging="360"/>
      </w:pPr>
      <w:rPr>
        <w:rFonts w:hint="default" w:ascii="Wingdings" w:hAnsi="Wingdings"/>
      </w:rPr>
    </w:lvl>
  </w:abstractNum>
  <w:abstractNum w:abstractNumId="1">
    <w:nsid w:val="F0FFE3AD"/>
    <w:multiLevelType w:val="multilevel"/>
    <w:tmpl w:val="F0FFE3AD"/>
    <w:lvl w:ilvl="0" w:tentative="0">
      <w:start w:val="1"/>
      <w:numFmt w:val="decimal"/>
      <w:pStyle w:val="4"/>
      <w:lvlText w:val="%1."/>
      <w:lvlJc w:val="left"/>
      <w:pPr>
        <w:ind w:left="432" w:hanging="432"/>
      </w:pPr>
      <w:rPr>
        <w:rFonts w:hint="default"/>
      </w:rPr>
    </w:lvl>
    <w:lvl w:ilvl="1" w:tentative="0">
      <w:start w:val="1"/>
      <w:numFmt w:val="decimal"/>
      <w:pStyle w:val="5"/>
      <w:lvlText w:val="%1.%2."/>
      <w:lvlJc w:val="left"/>
      <w:pPr>
        <w:ind w:left="575" w:hanging="575"/>
      </w:pPr>
      <w:rPr>
        <w:rFonts w:hint="default"/>
      </w:rPr>
    </w:lvl>
    <w:lvl w:ilvl="2" w:tentative="0">
      <w:start w:val="1"/>
      <w:numFmt w:val="decimal"/>
      <w:pStyle w:val="6"/>
      <w:lvlText w:val="%1.%2.%3."/>
      <w:lvlJc w:val="left"/>
      <w:pPr>
        <w:ind w:left="720" w:hanging="720"/>
      </w:pPr>
      <w:rPr>
        <w:rFonts w:hint="default"/>
      </w:rPr>
    </w:lvl>
    <w:lvl w:ilvl="3" w:tentative="0">
      <w:start w:val="1"/>
      <w:numFmt w:val="decimal"/>
      <w:pStyle w:val="7"/>
      <w:lvlText w:val="%1.%2.%3.%4."/>
      <w:lvlJc w:val="left"/>
      <w:pPr>
        <w:ind w:left="864" w:hanging="864"/>
      </w:pPr>
      <w:rPr>
        <w:rFonts w:hint="default"/>
      </w:rPr>
    </w:lvl>
    <w:lvl w:ilvl="4" w:tentative="0">
      <w:start w:val="1"/>
      <w:numFmt w:val="decimal"/>
      <w:pStyle w:val="8"/>
      <w:lvlText w:val="%1.%2.%3.%4.%5."/>
      <w:lvlJc w:val="left"/>
      <w:pPr>
        <w:ind w:left="1008" w:hanging="1008"/>
      </w:pPr>
      <w:rPr>
        <w:rFonts w:hint="default"/>
      </w:rPr>
    </w:lvl>
    <w:lvl w:ilvl="5" w:tentative="0">
      <w:start w:val="1"/>
      <w:numFmt w:val="decimal"/>
      <w:pStyle w:val="9"/>
      <w:lvlText w:val="%1.%2.%3.%4.%5.%6."/>
      <w:lvlJc w:val="left"/>
      <w:pPr>
        <w:ind w:left="1151" w:hanging="1151"/>
      </w:pPr>
      <w:rPr>
        <w:rFonts w:hint="default"/>
      </w:rPr>
    </w:lvl>
    <w:lvl w:ilvl="6" w:tentative="0">
      <w:start w:val="1"/>
      <w:numFmt w:val="decimal"/>
      <w:pStyle w:val="10"/>
      <w:lvlText w:val="%1.%2.%3.%4.%5.%6.%7."/>
      <w:lvlJc w:val="left"/>
      <w:pPr>
        <w:ind w:left="1296" w:hanging="1296"/>
      </w:pPr>
      <w:rPr>
        <w:rFonts w:hint="default"/>
      </w:rPr>
    </w:lvl>
    <w:lvl w:ilvl="7" w:tentative="0">
      <w:start w:val="1"/>
      <w:numFmt w:val="decimal"/>
      <w:pStyle w:val="11"/>
      <w:lvlText w:val="%1.%2.%3.%4.%5.%6.%7.%8."/>
      <w:lvlJc w:val="left"/>
      <w:pPr>
        <w:ind w:left="1440" w:hanging="1440"/>
      </w:pPr>
      <w:rPr>
        <w:rFonts w:hint="default"/>
      </w:rPr>
    </w:lvl>
    <w:lvl w:ilvl="8" w:tentative="0">
      <w:start w:val="1"/>
      <w:numFmt w:val="decimal"/>
      <w:pStyle w:val="12"/>
      <w:lvlText w:val="%1.%2.%3.%4.%5.%6.%7.%8.%9."/>
      <w:lvlJc w:val="left"/>
      <w:pPr>
        <w:ind w:left="1583" w:hanging="1583"/>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0ZjY3MGRlYjMzYjYzZmE1MDMyMzE5MjExN2Q2YzQifQ=="/>
  </w:docVars>
  <w:rsids>
    <w:rsidRoot w:val="00172A27"/>
    <w:rsid w:val="001D1539"/>
    <w:rsid w:val="001E5AC2"/>
    <w:rsid w:val="004C3D36"/>
    <w:rsid w:val="005506D5"/>
    <w:rsid w:val="00557737"/>
    <w:rsid w:val="005B6364"/>
    <w:rsid w:val="00695B84"/>
    <w:rsid w:val="007B3ACF"/>
    <w:rsid w:val="008329E7"/>
    <w:rsid w:val="00905F62"/>
    <w:rsid w:val="00AB4931"/>
    <w:rsid w:val="00B34C7E"/>
    <w:rsid w:val="00B72CFB"/>
    <w:rsid w:val="00BF3E43"/>
    <w:rsid w:val="00C06AD6"/>
    <w:rsid w:val="00C711DB"/>
    <w:rsid w:val="00CE2DC7"/>
    <w:rsid w:val="00D40BF8"/>
    <w:rsid w:val="00DA26CC"/>
    <w:rsid w:val="00DF3CB0"/>
    <w:rsid w:val="00DF7819"/>
    <w:rsid w:val="00E160DE"/>
    <w:rsid w:val="01110C76"/>
    <w:rsid w:val="0120451D"/>
    <w:rsid w:val="01374BBA"/>
    <w:rsid w:val="016947CB"/>
    <w:rsid w:val="01822E80"/>
    <w:rsid w:val="01C72805"/>
    <w:rsid w:val="01EB2698"/>
    <w:rsid w:val="01EE0A83"/>
    <w:rsid w:val="01F9799A"/>
    <w:rsid w:val="01FD1E83"/>
    <w:rsid w:val="02091AA0"/>
    <w:rsid w:val="021D3A44"/>
    <w:rsid w:val="022237E1"/>
    <w:rsid w:val="029209E0"/>
    <w:rsid w:val="02A8722A"/>
    <w:rsid w:val="02E1697D"/>
    <w:rsid w:val="03017277"/>
    <w:rsid w:val="03032B73"/>
    <w:rsid w:val="03600D99"/>
    <w:rsid w:val="0374150A"/>
    <w:rsid w:val="03930E30"/>
    <w:rsid w:val="03BE2C24"/>
    <w:rsid w:val="03EF2605"/>
    <w:rsid w:val="040716CC"/>
    <w:rsid w:val="04CF19AB"/>
    <w:rsid w:val="05296A2E"/>
    <w:rsid w:val="052C5ECD"/>
    <w:rsid w:val="052D3A1F"/>
    <w:rsid w:val="052D5532"/>
    <w:rsid w:val="054E4C15"/>
    <w:rsid w:val="058E362F"/>
    <w:rsid w:val="05B57CE5"/>
    <w:rsid w:val="05CA5990"/>
    <w:rsid w:val="05D4093F"/>
    <w:rsid w:val="05DA1A28"/>
    <w:rsid w:val="05EE403F"/>
    <w:rsid w:val="060471CB"/>
    <w:rsid w:val="061156EF"/>
    <w:rsid w:val="06287A8D"/>
    <w:rsid w:val="0637375F"/>
    <w:rsid w:val="065007B6"/>
    <w:rsid w:val="06770BCA"/>
    <w:rsid w:val="068A6CC7"/>
    <w:rsid w:val="06D06874"/>
    <w:rsid w:val="06DA3F4F"/>
    <w:rsid w:val="06F041CB"/>
    <w:rsid w:val="070E658F"/>
    <w:rsid w:val="07392CDC"/>
    <w:rsid w:val="07407234"/>
    <w:rsid w:val="074A66D8"/>
    <w:rsid w:val="074C7236"/>
    <w:rsid w:val="078F5BE4"/>
    <w:rsid w:val="07A34526"/>
    <w:rsid w:val="07E45CD0"/>
    <w:rsid w:val="081832DD"/>
    <w:rsid w:val="0838205C"/>
    <w:rsid w:val="096A369E"/>
    <w:rsid w:val="09BE5239"/>
    <w:rsid w:val="09DD78BC"/>
    <w:rsid w:val="09E72674"/>
    <w:rsid w:val="09F95D84"/>
    <w:rsid w:val="0A0F530F"/>
    <w:rsid w:val="0A0F5824"/>
    <w:rsid w:val="0A475671"/>
    <w:rsid w:val="0A4F5423"/>
    <w:rsid w:val="0AC43E48"/>
    <w:rsid w:val="0B132569"/>
    <w:rsid w:val="0B1F0737"/>
    <w:rsid w:val="0B253B33"/>
    <w:rsid w:val="0B3A505C"/>
    <w:rsid w:val="0B3F5FF5"/>
    <w:rsid w:val="0B4B42B4"/>
    <w:rsid w:val="0B5C2DB3"/>
    <w:rsid w:val="0BB53C07"/>
    <w:rsid w:val="0C2912AD"/>
    <w:rsid w:val="0C367EEB"/>
    <w:rsid w:val="0C427D9E"/>
    <w:rsid w:val="0C486068"/>
    <w:rsid w:val="0C763BA6"/>
    <w:rsid w:val="0CA612EE"/>
    <w:rsid w:val="0CB35433"/>
    <w:rsid w:val="0CEA15D3"/>
    <w:rsid w:val="0D0E335B"/>
    <w:rsid w:val="0D483402"/>
    <w:rsid w:val="0D604782"/>
    <w:rsid w:val="0DB55485"/>
    <w:rsid w:val="0E1C46CF"/>
    <w:rsid w:val="0E561E72"/>
    <w:rsid w:val="0E6D6ACE"/>
    <w:rsid w:val="0E8C15C2"/>
    <w:rsid w:val="0E906F5F"/>
    <w:rsid w:val="0ED63AEC"/>
    <w:rsid w:val="0EEC0AF7"/>
    <w:rsid w:val="0F2723FC"/>
    <w:rsid w:val="0F2A08C7"/>
    <w:rsid w:val="0F316173"/>
    <w:rsid w:val="0F80734C"/>
    <w:rsid w:val="0F90582A"/>
    <w:rsid w:val="0FD20345"/>
    <w:rsid w:val="0FDD6336"/>
    <w:rsid w:val="0FE81DFF"/>
    <w:rsid w:val="100B3E5D"/>
    <w:rsid w:val="103B7B56"/>
    <w:rsid w:val="107204D6"/>
    <w:rsid w:val="10B96E88"/>
    <w:rsid w:val="111233E5"/>
    <w:rsid w:val="11604FDF"/>
    <w:rsid w:val="11C5784C"/>
    <w:rsid w:val="11C764CC"/>
    <w:rsid w:val="11CD6B24"/>
    <w:rsid w:val="11D77193"/>
    <w:rsid w:val="123B0402"/>
    <w:rsid w:val="124A5BC1"/>
    <w:rsid w:val="12784385"/>
    <w:rsid w:val="128B155B"/>
    <w:rsid w:val="12A8661C"/>
    <w:rsid w:val="131B2450"/>
    <w:rsid w:val="132D3D5C"/>
    <w:rsid w:val="13860453"/>
    <w:rsid w:val="13900B15"/>
    <w:rsid w:val="1422046F"/>
    <w:rsid w:val="147E2D76"/>
    <w:rsid w:val="14807087"/>
    <w:rsid w:val="148F7543"/>
    <w:rsid w:val="149A0DA0"/>
    <w:rsid w:val="149C6596"/>
    <w:rsid w:val="14C123E3"/>
    <w:rsid w:val="14E0196E"/>
    <w:rsid w:val="14F70FF5"/>
    <w:rsid w:val="150A6991"/>
    <w:rsid w:val="156A222E"/>
    <w:rsid w:val="156C1B3C"/>
    <w:rsid w:val="161810CD"/>
    <w:rsid w:val="167D7D0B"/>
    <w:rsid w:val="16915B21"/>
    <w:rsid w:val="16D13311"/>
    <w:rsid w:val="174F5A8E"/>
    <w:rsid w:val="177318F9"/>
    <w:rsid w:val="179C1DA8"/>
    <w:rsid w:val="17A11279"/>
    <w:rsid w:val="17AE0F3A"/>
    <w:rsid w:val="17B8007C"/>
    <w:rsid w:val="17BD6A55"/>
    <w:rsid w:val="17C51563"/>
    <w:rsid w:val="17FB3B91"/>
    <w:rsid w:val="181E09D3"/>
    <w:rsid w:val="18863FD0"/>
    <w:rsid w:val="18931719"/>
    <w:rsid w:val="18A772FC"/>
    <w:rsid w:val="18C67AA6"/>
    <w:rsid w:val="18C72F35"/>
    <w:rsid w:val="1928674E"/>
    <w:rsid w:val="199B134C"/>
    <w:rsid w:val="19AA5DE0"/>
    <w:rsid w:val="19BE79E8"/>
    <w:rsid w:val="1A0F2DBD"/>
    <w:rsid w:val="1A153EA1"/>
    <w:rsid w:val="1A2376BA"/>
    <w:rsid w:val="1A273773"/>
    <w:rsid w:val="1A533F73"/>
    <w:rsid w:val="1A977672"/>
    <w:rsid w:val="1AB605E8"/>
    <w:rsid w:val="1B2202E6"/>
    <w:rsid w:val="1B317B2B"/>
    <w:rsid w:val="1B4A3D5A"/>
    <w:rsid w:val="1B4F188E"/>
    <w:rsid w:val="1BA06AFB"/>
    <w:rsid w:val="1BC811BD"/>
    <w:rsid w:val="1BDC3F52"/>
    <w:rsid w:val="1BE537AE"/>
    <w:rsid w:val="1BF4566B"/>
    <w:rsid w:val="1BFA6684"/>
    <w:rsid w:val="1C22557C"/>
    <w:rsid w:val="1C704660"/>
    <w:rsid w:val="1C8803F6"/>
    <w:rsid w:val="1CA1159A"/>
    <w:rsid w:val="1CB512AE"/>
    <w:rsid w:val="1CC6112A"/>
    <w:rsid w:val="1CE921A5"/>
    <w:rsid w:val="1CF53CF7"/>
    <w:rsid w:val="1CF856A2"/>
    <w:rsid w:val="1CFA7000"/>
    <w:rsid w:val="1CFF6225"/>
    <w:rsid w:val="1D28659F"/>
    <w:rsid w:val="1D330575"/>
    <w:rsid w:val="1D365A28"/>
    <w:rsid w:val="1D4C5A47"/>
    <w:rsid w:val="1D6A134D"/>
    <w:rsid w:val="1D875897"/>
    <w:rsid w:val="1DE46887"/>
    <w:rsid w:val="1E0F0331"/>
    <w:rsid w:val="1E0F30FF"/>
    <w:rsid w:val="1E594436"/>
    <w:rsid w:val="1E623E22"/>
    <w:rsid w:val="1E6E4A7A"/>
    <w:rsid w:val="1EA61B09"/>
    <w:rsid w:val="1EC504EA"/>
    <w:rsid w:val="1EDF6919"/>
    <w:rsid w:val="1F2E4F53"/>
    <w:rsid w:val="1F335DFE"/>
    <w:rsid w:val="1F645DFA"/>
    <w:rsid w:val="1FB320BA"/>
    <w:rsid w:val="1FCB20ED"/>
    <w:rsid w:val="1FEC5DBD"/>
    <w:rsid w:val="20602CAB"/>
    <w:rsid w:val="20757533"/>
    <w:rsid w:val="20B6593D"/>
    <w:rsid w:val="20C2439B"/>
    <w:rsid w:val="20E505E0"/>
    <w:rsid w:val="20EE43D5"/>
    <w:rsid w:val="213D1395"/>
    <w:rsid w:val="217D4EFA"/>
    <w:rsid w:val="218239BF"/>
    <w:rsid w:val="21C40374"/>
    <w:rsid w:val="21D354AF"/>
    <w:rsid w:val="21E52649"/>
    <w:rsid w:val="22722ADC"/>
    <w:rsid w:val="22C2764E"/>
    <w:rsid w:val="22C47F17"/>
    <w:rsid w:val="23080B09"/>
    <w:rsid w:val="230E39EA"/>
    <w:rsid w:val="23631248"/>
    <w:rsid w:val="237A5F51"/>
    <w:rsid w:val="23895BDC"/>
    <w:rsid w:val="23AE1054"/>
    <w:rsid w:val="23FE0122"/>
    <w:rsid w:val="2467166B"/>
    <w:rsid w:val="24CA13ED"/>
    <w:rsid w:val="24CE2A14"/>
    <w:rsid w:val="24D7020F"/>
    <w:rsid w:val="24F0481D"/>
    <w:rsid w:val="25120F22"/>
    <w:rsid w:val="254B12AE"/>
    <w:rsid w:val="258B44F6"/>
    <w:rsid w:val="25CC4129"/>
    <w:rsid w:val="26096D48"/>
    <w:rsid w:val="26234158"/>
    <w:rsid w:val="263F7DF7"/>
    <w:rsid w:val="26767DE7"/>
    <w:rsid w:val="26A94BA5"/>
    <w:rsid w:val="26B049B6"/>
    <w:rsid w:val="26B63B96"/>
    <w:rsid w:val="26D25328"/>
    <w:rsid w:val="26F7116E"/>
    <w:rsid w:val="271202C0"/>
    <w:rsid w:val="272B715D"/>
    <w:rsid w:val="272E1052"/>
    <w:rsid w:val="27583E46"/>
    <w:rsid w:val="275A21B7"/>
    <w:rsid w:val="275A6277"/>
    <w:rsid w:val="27663773"/>
    <w:rsid w:val="27D24D61"/>
    <w:rsid w:val="280B08F7"/>
    <w:rsid w:val="2848335A"/>
    <w:rsid w:val="28865B09"/>
    <w:rsid w:val="289502F8"/>
    <w:rsid w:val="289624E4"/>
    <w:rsid w:val="28C61BB1"/>
    <w:rsid w:val="29376334"/>
    <w:rsid w:val="293B3E17"/>
    <w:rsid w:val="29CF776F"/>
    <w:rsid w:val="2A2F7C04"/>
    <w:rsid w:val="2A395D78"/>
    <w:rsid w:val="2A622A37"/>
    <w:rsid w:val="2ABD56C4"/>
    <w:rsid w:val="2ACB4458"/>
    <w:rsid w:val="2B033ECA"/>
    <w:rsid w:val="2B8B7290"/>
    <w:rsid w:val="2B992655"/>
    <w:rsid w:val="2BFE0E5F"/>
    <w:rsid w:val="2C670360"/>
    <w:rsid w:val="2C8412EB"/>
    <w:rsid w:val="2CA77772"/>
    <w:rsid w:val="2CB97A0B"/>
    <w:rsid w:val="2D085DB4"/>
    <w:rsid w:val="2D476278"/>
    <w:rsid w:val="2D5F2EB8"/>
    <w:rsid w:val="2D6F6104"/>
    <w:rsid w:val="2D7C5E2D"/>
    <w:rsid w:val="2DC62FA4"/>
    <w:rsid w:val="2E066C68"/>
    <w:rsid w:val="2E582714"/>
    <w:rsid w:val="2E704040"/>
    <w:rsid w:val="2E8C74CC"/>
    <w:rsid w:val="2F075408"/>
    <w:rsid w:val="2F3B78FE"/>
    <w:rsid w:val="2F5142AE"/>
    <w:rsid w:val="2F5F3BAD"/>
    <w:rsid w:val="2FE44951"/>
    <w:rsid w:val="2FFC58BC"/>
    <w:rsid w:val="30082B07"/>
    <w:rsid w:val="30782913"/>
    <w:rsid w:val="310560F2"/>
    <w:rsid w:val="31167D62"/>
    <w:rsid w:val="312B7A22"/>
    <w:rsid w:val="315A2BDC"/>
    <w:rsid w:val="31AB7F38"/>
    <w:rsid w:val="31D2654B"/>
    <w:rsid w:val="31E85C31"/>
    <w:rsid w:val="32052FF1"/>
    <w:rsid w:val="321E1D17"/>
    <w:rsid w:val="32591CA8"/>
    <w:rsid w:val="32A606B7"/>
    <w:rsid w:val="32A9142F"/>
    <w:rsid w:val="32C84D5E"/>
    <w:rsid w:val="32D75778"/>
    <w:rsid w:val="32DD5BCC"/>
    <w:rsid w:val="32EF7CAA"/>
    <w:rsid w:val="32F869B7"/>
    <w:rsid w:val="33086857"/>
    <w:rsid w:val="33883098"/>
    <w:rsid w:val="33C42AD7"/>
    <w:rsid w:val="34006E2C"/>
    <w:rsid w:val="34560C04"/>
    <w:rsid w:val="34561F83"/>
    <w:rsid w:val="3481189F"/>
    <w:rsid w:val="34BC74D8"/>
    <w:rsid w:val="34FC7CFD"/>
    <w:rsid w:val="352356B7"/>
    <w:rsid w:val="35394D44"/>
    <w:rsid w:val="35596570"/>
    <w:rsid w:val="35A406F5"/>
    <w:rsid w:val="35DA788B"/>
    <w:rsid w:val="35EE1D26"/>
    <w:rsid w:val="35F500F1"/>
    <w:rsid w:val="362E139A"/>
    <w:rsid w:val="368C088E"/>
    <w:rsid w:val="36BF0C62"/>
    <w:rsid w:val="375A73AA"/>
    <w:rsid w:val="3777794B"/>
    <w:rsid w:val="379C707F"/>
    <w:rsid w:val="37E50898"/>
    <w:rsid w:val="38020FC0"/>
    <w:rsid w:val="38061C31"/>
    <w:rsid w:val="384061A7"/>
    <w:rsid w:val="38877EC4"/>
    <w:rsid w:val="38A80783"/>
    <w:rsid w:val="38E42012"/>
    <w:rsid w:val="38ED7023"/>
    <w:rsid w:val="3902348E"/>
    <w:rsid w:val="397E4ED7"/>
    <w:rsid w:val="39843224"/>
    <w:rsid w:val="3A175030"/>
    <w:rsid w:val="3A3241AF"/>
    <w:rsid w:val="3A4C0E33"/>
    <w:rsid w:val="3A57622F"/>
    <w:rsid w:val="3A7B2A1F"/>
    <w:rsid w:val="3AB407D9"/>
    <w:rsid w:val="3ABF1CF5"/>
    <w:rsid w:val="3AE71095"/>
    <w:rsid w:val="3B023B83"/>
    <w:rsid w:val="3B115A56"/>
    <w:rsid w:val="3B1F5B2D"/>
    <w:rsid w:val="3B1F6ACE"/>
    <w:rsid w:val="3B661026"/>
    <w:rsid w:val="3BBA0FDA"/>
    <w:rsid w:val="3BD80A06"/>
    <w:rsid w:val="3C88295C"/>
    <w:rsid w:val="3C9D1911"/>
    <w:rsid w:val="3CE225E6"/>
    <w:rsid w:val="3D3A0096"/>
    <w:rsid w:val="3D523CC7"/>
    <w:rsid w:val="3D5A013C"/>
    <w:rsid w:val="3D5E3F5A"/>
    <w:rsid w:val="3DA1732C"/>
    <w:rsid w:val="3DFC45EC"/>
    <w:rsid w:val="3E0953D7"/>
    <w:rsid w:val="3E2741FA"/>
    <w:rsid w:val="3E3552F6"/>
    <w:rsid w:val="3E527ABA"/>
    <w:rsid w:val="3E6364E9"/>
    <w:rsid w:val="3E7E1661"/>
    <w:rsid w:val="3E7E7763"/>
    <w:rsid w:val="3E821E32"/>
    <w:rsid w:val="3E90381A"/>
    <w:rsid w:val="3EB532FC"/>
    <w:rsid w:val="3F3943D2"/>
    <w:rsid w:val="3F4E57AE"/>
    <w:rsid w:val="3F74531E"/>
    <w:rsid w:val="3F760B05"/>
    <w:rsid w:val="3F94705D"/>
    <w:rsid w:val="3FCF3A3E"/>
    <w:rsid w:val="3FE72C1A"/>
    <w:rsid w:val="3FE86E1B"/>
    <w:rsid w:val="3FF3644E"/>
    <w:rsid w:val="40037AE0"/>
    <w:rsid w:val="4011026E"/>
    <w:rsid w:val="405B65DC"/>
    <w:rsid w:val="41017C6D"/>
    <w:rsid w:val="41A328E6"/>
    <w:rsid w:val="41EB2AB3"/>
    <w:rsid w:val="41F40B8C"/>
    <w:rsid w:val="42025DC8"/>
    <w:rsid w:val="42264AC1"/>
    <w:rsid w:val="4244088C"/>
    <w:rsid w:val="427D777B"/>
    <w:rsid w:val="42AC5F35"/>
    <w:rsid w:val="4348374C"/>
    <w:rsid w:val="434D1529"/>
    <w:rsid w:val="43971302"/>
    <w:rsid w:val="43A712F4"/>
    <w:rsid w:val="44293F5E"/>
    <w:rsid w:val="4430343B"/>
    <w:rsid w:val="4478268B"/>
    <w:rsid w:val="448F6101"/>
    <w:rsid w:val="44CF6003"/>
    <w:rsid w:val="45467296"/>
    <w:rsid w:val="45C41A31"/>
    <w:rsid w:val="46277EE4"/>
    <w:rsid w:val="465832BF"/>
    <w:rsid w:val="46FB623B"/>
    <w:rsid w:val="47A73A57"/>
    <w:rsid w:val="47B57B31"/>
    <w:rsid w:val="47B93DA5"/>
    <w:rsid w:val="47BA0C85"/>
    <w:rsid w:val="47E221F9"/>
    <w:rsid w:val="47EC57D5"/>
    <w:rsid w:val="48DC0B3C"/>
    <w:rsid w:val="48DF6E5D"/>
    <w:rsid w:val="491837F3"/>
    <w:rsid w:val="49307FD7"/>
    <w:rsid w:val="494500BD"/>
    <w:rsid w:val="49575175"/>
    <w:rsid w:val="49804F79"/>
    <w:rsid w:val="49953B44"/>
    <w:rsid w:val="49E45010"/>
    <w:rsid w:val="49E83175"/>
    <w:rsid w:val="49F77B2C"/>
    <w:rsid w:val="4A1309C9"/>
    <w:rsid w:val="4A3E2371"/>
    <w:rsid w:val="4A870BEC"/>
    <w:rsid w:val="4AA00AD0"/>
    <w:rsid w:val="4AA21953"/>
    <w:rsid w:val="4ADF0D45"/>
    <w:rsid w:val="4AF53B6A"/>
    <w:rsid w:val="4AFD713D"/>
    <w:rsid w:val="4BB8095C"/>
    <w:rsid w:val="4BC051C8"/>
    <w:rsid w:val="4BCF4DD3"/>
    <w:rsid w:val="4C050CB8"/>
    <w:rsid w:val="4C382CB2"/>
    <w:rsid w:val="4C6E3BD8"/>
    <w:rsid w:val="4CA469B3"/>
    <w:rsid w:val="4D100053"/>
    <w:rsid w:val="4D2F2EE3"/>
    <w:rsid w:val="4D483AB5"/>
    <w:rsid w:val="4D5E0507"/>
    <w:rsid w:val="4D696E3B"/>
    <w:rsid w:val="4D7372A0"/>
    <w:rsid w:val="4D7A6F87"/>
    <w:rsid w:val="4D9017BA"/>
    <w:rsid w:val="4DAD5E2A"/>
    <w:rsid w:val="4DD84DE1"/>
    <w:rsid w:val="4E01012B"/>
    <w:rsid w:val="4E0760A7"/>
    <w:rsid w:val="4E137126"/>
    <w:rsid w:val="4E14345B"/>
    <w:rsid w:val="4E4B78C0"/>
    <w:rsid w:val="4E506DF6"/>
    <w:rsid w:val="4E786963"/>
    <w:rsid w:val="4E9B2579"/>
    <w:rsid w:val="4EF617CF"/>
    <w:rsid w:val="4EFE2624"/>
    <w:rsid w:val="4F0938DC"/>
    <w:rsid w:val="4F825D67"/>
    <w:rsid w:val="4F9A02CF"/>
    <w:rsid w:val="4FEC15FC"/>
    <w:rsid w:val="503F3728"/>
    <w:rsid w:val="50CE4B52"/>
    <w:rsid w:val="50D33843"/>
    <w:rsid w:val="50E82B0B"/>
    <w:rsid w:val="513E66CF"/>
    <w:rsid w:val="518A74AB"/>
    <w:rsid w:val="51A02ADA"/>
    <w:rsid w:val="51C84858"/>
    <w:rsid w:val="51D02973"/>
    <w:rsid w:val="51F41470"/>
    <w:rsid w:val="51FE3281"/>
    <w:rsid w:val="524D6655"/>
    <w:rsid w:val="52537527"/>
    <w:rsid w:val="52D944BA"/>
    <w:rsid w:val="52E61BA0"/>
    <w:rsid w:val="53E37401"/>
    <w:rsid w:val="53F82B23"/>
    <w:rsid w:val="541F2B8E"/>
    <w:rsid w:val="54207E3C"/>
    <w:rsid w:val="54A512D7"/>
    <w:rsid w:val="54CE6E46"/>
    <w:rsid w:val="54F16AE3"/>
    <w:rsid w:val="55187A17"/>
    <w:rsid w:val="55546EF9"/>
    <w:rsid w:val="55722C5A"/>
    <w:rsid w:val="55785749"/>
    <w:rsid w:val="55A84C13"/>
    <w:rsid w:val="55BE7467"/>
    <w:rsid w:val="55FB76F9"/>
    <w:rsid w:val="5606687A"/>
    <w:rsid w:val="562E5414"/>
    <w:rsid w:val="564323D0"/>
    <w:rsid w:val="568E0A5A"/>
    <w:rsid w:val="56941592"/>
    <w:rsid w:val="56991A08"/>
    <w:rsid w:val="56AB614A"/>
    <w:rsid w:val="56CB63B9"/>
    <w:rsid w:val="57060A6B"/>
    <w:rsid w:val="57484A81"/>
    <w:rsid w:val="57826103"/>
    <w:rsid w:val="5785783C"/>
    <w:rsid w:val="57BF044B"/>
    <w:rsid w:val="57C03085"/>
    <w:rsid w:val="586C63CB"/>
    <w:rsid w:val="58B5454A"/>
    <w:rsid w:val="59530EBE"/>
    <w:rsid w:val="5970253A"/>
    <w:rsid w:val="59AD702D"/>
    <w:rsid w:val="59F846AE"/>
    <w:rsid w:val="5A08314A"/>
    <w:rsid w:val="5AA03D72"/>
    <w:rsid w:val="5AF10233"/>
    <w:rsid w:val="5B0B5E97"/>
    <w:rsid w:val="5B1F534C"/>
    <w:rsid w:val="5B216568"/>
    <w:rsid w:val="5B374F10"/>
    <w:rsid w:val="5B6D6A3A"/>
    <w:rsid w:val="5B716904"/>
    <w:rsid w:val="5BC11F1F"/>
    <w:rsid w:val="5BD00B41"/>
    <w:rsid w:val="5BEE6631"/>
    <w:rsid w:val="5BF75DD2"/>
    <w:rsid w:val="5C2C69D8"/>
    <w:rsid w:val="5C5A14E3"/>
    <w:rsid w:val="5C790226"/>
    <w:rsid w:val="5C8617F9"/>
    <w:rsid w:val="5CB14FCD"/>
    <w:rsid w:val="5CC25CF5"/>
    <w:rsid w:val="5D1074BF"/>
    <w:rsid w:val="5D246F13"/>
    <w:rsid w:val="5D4E33FE"/>
    <w:rsid w:val="5D6D7439"/>
    <w:rsid w:val="5D944BBE"/>
    <w:rsid w:val="5DAA5938"/>
    <w:rsid w:val="5E2211C5"/>
    <w:rsid w:val="5E811F6F"/>
    <w:rsid w:val="5EA10793"/>
    <w:rsid w:val="5EF25199"/>
    <w:rsid w:val="5F0705A9"/>
    <w:rsid w:val="5F0E0B29"/>
    <w:rsid w:val="5F1D3915"/>
    <w:rsid w:val="5F3608E4"/>
    <w:rsid w:val="5FB52CFD"/>
    <w:rsid w:val="5FFF38BD"/>
    <w:rsid w:val="602306BA"/>
    <w:rsid w:val="60646BEE"/>
    <w:rsid w:val="60884467"/>
    <w:rsid w:val="60FE69AF"/>
    <w:rsid w:val="61575E6F"/>
    <w:rsid w:val="61643330"/>
    <w:rsid w:val="61750F43"/>
    <w:rsid w:val="61770029"/>
    <w:rsid w:val="618E472F"/>
    <w:rsid w:val="61C529C5"/>
    <w:rsid w:val="62172F59"/>
    <w:rsid w:val="62867E41"/>
    <w:rsid w:val="62D07446"/>
    <w:rsid w:val="63C21FAF"/>
    <w:rsid w:val="63E71B00"/>
    <w:rsid w:val="642D7244"/>
    <w:rsid w:val="64760FBC"/>
    <w:rsid w:val="64AA719F"/>
    <w:rsid w:val="64EA2B43"/>
    <w:rsid w:val="65827BD1"/>
    <w:rsid w:val="664F5A3C"/>
    <w:rsid w:val="667522A7"/>
    <w:rsid w:val="669F5D17"/>
    <w:rsid w:val="66C40C6D"/>
    <w:rsid w:val="66CD6041"/>
    <w:rsid w:val="66D42DC2"/>
    <w:rsid w:val="66D76E11"/>
    <w:rsid w:val="671F0EBD"/>
    <w:rsid w:val="67302F6D"/>
    <w:rsid w:val="67412CAF"/>
    <w:rsid w:val="67544ABF"/>
    <w:rsid w:val="675B43D6"/>
    <w:rsid w:val="679F7A50"/>
    <w:rsid w:val="67B322F4"/>
    <w:rsid w:val="67E6011E"/>
    <w:rsid w:val="6820200B"/>
    <w:rsid w:val="68221ADE"/>
    <w:rsid w:val="683C3648"/>
    <w:rsid w:val="684A7D13"/>
    <w:rsid w:val="68676260"/>
    <w:rsid w:val="68767091"/>
    <w:rsid w:val="68AE1CC0"/>
    <w:rsid w:val="68C854E0"/>
    <w:rsid w:val="68F811AE"/>
    <w:rsid w:val="693B58A9"/>
    <w:rsid w:val="694C6F25"/>
    <w:rsid w:val="69955344"/>
    <w:rsid w:val="69B3202B"/>
    <w:rsid w:val="6A1F04D3"/>
    <w:rsid w:val="6A201EA9"/>
    <w:rsid w:val="6A2429EC"/>
    <w:rsid w:val="6A7E0B45"/>
    <w:rsid w:val="6AC35AEB"/>
    <w:rsid w:val="6B280003"/>
    <w:rsid w:val="6B40401C"/>
    <w:rsid w:val="6B4D6EAE"/>
    <w:rsid w:val="6B5265D0"/>
    <w:rsid w:val="6B7518A2"/>
    <w:rsid w:val="6B7760D6"/>
    <w:rsid w:val="6B920694"/>
    <w:rsid w:val="6BB651C3"/>
    <w:rsid w:val="6C125E96"/>
    <w:rsid w:val="6C892BEE"/>
    <w:rsid w:val="6CCA0B74"/>
    <w:rsid w:val="6CF67A02"/>
    <w:rsid w:val="6D0F2C9A"/>
    <w:rsid w:val="6D20301C"/>
    <w:rsid w:val="6D863966"/>
    <w:rsid w:val="6DE47A52"/>
    <w:rsid w:val="6E8F5E8A"/>
    <w:rsid w:val="6EB417B7"/>
    <w:rsid w:val="6EC15981"/>
    <w:rsid w:val="6EE20B58"/>
    <w:rsid w:val="6F9B02C3"/>
    <w:rsid w:val="6FEB66F4"/>
    <w:rsid w:val="70550BE0"/>
    <w:rsid w:val="705708DB"/>
    <w:rsid w:val="70680EEB"/>
    <w:rsid w:val="7075193B"/>
    <w:rsid w:val="70E54BAE"/>
    <w:rsid w:val="711F37A7"/>
    <w:rsid w:val="713F678D"/>
    <w:rsid w:val="717E24D8"/>
    <w:rsid w:val="71861E8F"/>
    <w:rsid w:val="71B0036F"/>
    <w:rsid w:val="71B433A2"/>
    <w:rsid w:val="71F15F23"/>
    <w:rsid w:val="71F92D37"/>
    <w:rsid w:val="7299100C"/>
    <w:rsid w:val="72A25473"/>
    <w:rsid w:val="72B33E6B"/>
    <w:rsid w:val="72DC071B"/>
    <w:rsid w:val="72FB0C65"/>
    <w:rsid w:val="737C4C4C"/>
    <w:rsid w:val="737F05BA"/>
    <w:rsid w:val="73FA70DD"/>
    <w:rsid w:val="74417B3B"/>
    <w:rsid w:val="744917D0"/>
    <w:rsid w:val="74672E40"/>
    <w:rsid w:val="74984422"/>
    <w:rsid w:val="74DE4EC3"/>
    <w:rsid w:val="74F556AA"/>
    <w:rsid w:val="75254B53"/>
    <w:rsid w:val="758B4974"/>
    <w:rsid w:val="75966E12"/>
    <w:rsid w:val="761168F0"/>
    <w:rsid w:val="764613EC"/>
    <w:rsid w:val="76651F9C"/>
    <w:rsid w:val="77456EE0"/>
    <w:rsid w:val="77662861"/>
    <w:rsid w:val="77B33A2A"/>
    <w:rsid w:val="77EF79E2"/>
    <w:rsid w:val="77F01EC1"/>
    <w:rsid w:val="7830489A"/>
    <w:rsid w:val="786D6404"/>
    <w:rsid w:val="78C95DB6"/>
    <w:rsid w:val="79041EBB"/>
    <w:rsid w:val="791803E2"/>
    <w:rsid w:val="791B3236"/>
    <w:rsid w:val="791F2F0B"/>
    <w:rsid w:val="793F46E7"/>
    <w:rsid w:val="795B603B"/>
    <w:rsid w:val="799A1329"/>
    <w:rsid w:val="79A34500"/>
    <w:rsid w:val="79DD7978"/>
    <w:rsid w:val="79EF3102"/>
    <w:rsid w:val="79F76829"/>
    <w:rsid w:val="7A1D5EBA"/>
    <w:rsid w:val="7A30113E"/>
    <w:rsid w:val="7A4663BA"/>
    <w:rsid w:val="7A6540FC"/>
    <w:rsid w:val="7A8803C3"/>
    <w:rsid w:val="7AE9027B"/>
    <w:rsid w:val="7B1A4805"/>
    <w:rsid w:val="7B4657B1"/>
    <w:rsid w:val="7B95170F"/>
    <w:rsid w:val="7BBE3034"/>
    <w:rsid w:val="7BEA2A9B"/>
    <w:rsid w:val="7BFA3211"/>
    <w:rsid w:val="7C0B1F7C"/>
    <w:rsid w:val="7CA03260"/>
    <w:rsid w:val="7CCA730D"/>
    <w:rsid w:val="7CD42967"/>
    <w:rsid w:val="7CDF5F26"/>
    <w:rsid w:val="7D2408F6"/>
    <w:rsid w:val="7D2A4CBA"/>
    <w:rsid w:val="7D487381"/>
    <w:rsid w:val="7D4A57D9"/>
    <w:rsid w:val="7D6C6A80"/>
    <w:rsid w:val="7D81685E"/>
    <w:rsid w:val="7DA97EE3"/>
    <w:rsid w:val="7DE16743"/>
    <w:rsid w:val="7DF41F99"/>
    <w:rsid w:val="7DF561DC"/>
    <w:rsid w:val="7E0D6D03"/>
    <w:rsid w:val="7E796E62"/>
    <w:rsid w:val="7E9E54C4"/>
    <w:rsid w:val="7EA06DFA"/>
    <w:rsid w:val="7F580C39"/>
    <w:rsid w:val="7F645E05"/>
    <w:rsid w:val="7F695E80"/>
    <w:rsid w:val="7F8D3BA2"/>
    <w:rsid w:val="7FDC2D30"/>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qFormat="1"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iPriority="99"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1044" w:firstLineChars="200"/>
      <w:jc w:val="both"/>
    </w:pPr>
    <w:rPr>
      <w:rFonts w:ascii="Times New Roman" w:hAnsi="Times New Roman" w:eastAsia="宋体" w:cs="Times New Roman"/>
      <w:kern w:val="2"/>
      <w:sz w:val="24"/>
      <w:szCs w:val="24"/>
      <w:lang w:val="en-US" w:eastAsia="zh-CN" w:bidi="ar-SA"/>
    </w:rPr>
  </w:style>
  <w:style w:type="paragraph" w:styleId="4">
    <w:name w:val="heading 1"/>
    <w:basedOn w:val="1"/>
    <w:next w:val="1"/>
    <w:qFormat/>
    <w:uiPriority w:val="0"/>
    <w:pPr>
      <w:keepNext/>
      <w:keepLines/>
      <w:numPr>
        <w:ilvl w:val="0"/>
        <w:numId w:val="1"/>
      </w:numPr>
      <w:spacing w:beforeLines="0" w:beforeAutospacing="0" w:afterLines="0" w:afterAutospacing="0" w:line="576" w:lineRule="auto"/>
      <w:ind w:left="0" w:right="480" w:rightChars="200" w:firstLine="0" w:firstLineChars="0"/>
      <w:outlineLvl w:val="0"/>
    </w:pPr>
    <w:rPr>
      <w:b/>
      <w:kern w:val="44"/>
      <w:sz w:val="32"/>
    </w:rPr>
  </w:style>
  <w:style w:type="paragraph" w:styleId="5">
    <w:name w:val="heading 2"/>
    <w:basedOn w:val="1"/>
    <w:next w:val="1"/>
    <w:qFormat/>
    <w:uiPriority w:val="0"/>
    <w:pPr>
      <w:keepNext/>
      <w:keepLines/>
      <w:numPr>
        <w:ilvl w:val="1"/>
        <w:numId w:val="1"/>
      </w:numPr>
      <w:spacing w:line="408" w:lineRule="auto"/>
      <w:ind w:left="575" w:hanging="575" w:firstLineChars="0"/>
      <w:outlineLvl w:val="1"/>
    </w:pPr>
    <w:rPr>
      <w:rFonts w:cs="Times New Roman"/>
      <w:b/>
      <w:bCs/>
      <w:sz w:val="30"/>
      <w:szCs w:val="32"/>
    </w:rPr>
  </w:style>
  <w:style w:type="paragraph" w:styleId="6">
    <w:name w:val="heading 3"/>
    <w:basedOn w:val="1"/>
    <w:next w:val="1"/>
    <w:link w:val="43"/>
    <w:qFormat/>
    <w:uiPriority w:val="0"/>
    <w:pPr>
      <w:keepNext/>
      <w:keepLines/>
      <w:numPr>
        <w:ilvl w:val="2"/>
        <w:numId w:val="1"/>
      </w:numPr>
      <w:ind w:left="720" w:hanging="720" w:firstLineChars="0"/>
      <w:outlineLvl w:val="2"/>
    </w:pPr>
    <w:rPr>
      <w:rFonts w:ascii="Times New Roman" w:hAnsi="Times New Roman" w:eastAsia="宋体" w:cs="Times New Roman"/>
      <w:b/>
      <w:bCs/>
      <w:sz w:val="28"/>
    </w:rPr>
  </w:style>
  <w:style w:type="paragraph" w:styleId="7">
    <w:name w:val="heading 4"/>
    <w:basedOn w:val="1"/>
    <w:next w:val="1"/>
    <w:qFormat/>
    <w:uiPriority w:val="0"/>
    <w:pPr>
      <w:keepNext/>
      <w:keepLines/>
      <w:numPr>
        <w:ilvl w:val="3"/>
        <w:numId w:val="1"/>
      </w:numPr>
      <w:spacing w:before="280" w:beforeLines="0" w:beforeAutospacing="0" w:after="290" w:afterLines="0" w:afterAutospacing="0" w:line="372" w:lineRule="auto"/>
      <w:ind w:left="864" w:hanging="864" w:firstLineChars="0"/>
      <w:outlineLvl w:val="3"/>
    </w:pPr>
    <w:rPr>
      <w:rFonts w:ascii="Arial" w:hAnsi="Arial" w:eastAsia="黑体"/>
      <w:b/>
      <w:sz w:val="28"/>
    </w:rPr>
  </w:style>
  <w:style w:type="paragraph" w:styleId="8">
    <w:name w:val="heading 5"/>
    <w:basedOn w:val="1"/>
    <w:next w:val="1"/>
    <w:qFormat/>
    <w:uiPriority w:val="0"/>
    <w:pPr>
      <w:keepNext/>
      <w:keepLines/>
      <w:numPr>
        <w:ilvl w:val="4"/>
        <w:numId w:val="1"/>
      </w:numPr>
      <w:spacing w:before="280" w:beforeLines="0" w:beforeAutospacing="0" w:after="290" w:afterLines="0" w:afterAutospacing="0" w:line="372" w:lineRule="auto"/>
      <w:ind w:left="1008" w:hanging="1008" w:firstLineChars="0"/>
      <w:outlineLvl w:val="4"/>
    </w:pPr>
    <w:rPr>
      <w:b/>
      <w:sz w:val="28"/>
    </w:rPr>
  </w:style>
  <w:style w:type="paragraph" w:styleId="9">
    <w:name w:val="heading 6"/>
    <w:basedOn w:val="1"/>
    <w:next w:val="1"/>
    <w:qFormat/>
    <w:uiPriority w:val="0"/>
    <w:pPr>
      <w:keepNext/>
      <w:keepLines/>
      <w:numPr>
        <w:ilvl w:val="5"/>
        <w:numId w:val="1"/>
      </w:numPr>
      <w:spacing w:before="240" w:beforeLines="0" w:beforeAutospacing="0" w:after="64" w:afterLines="0" w:afterAutospacing="0" w:line="317" w:lineRule="auto"/>
      <w:ind w:left="1151" w:hanging="1151" w:firstLineChars="0"/>
      <w:outlineLvl w:val="5"/>
    </w:pPr>
    <w:rPr>
      <w:rFonts w:ascii="Arial" w:hAnsi="Arial" w:eastAsia="黑体"/>
      <w:b/>
      <w:sz w:val="24"/>
    </w:rPr>
  </w:style>
  <w:style w:type="paragraph" w:styleId="10">
    <w:name w:val="heading 7"/>
    <w:basedOn w:val="1"/>
    <w:next w:val="1"/>
    <w:qFormat/>
    <w:uiPriority w:val="0"/>
    <w:pPr>
      <w:keepNext/>
      <w:keepLines/>
      <w:numPr>
        <w:ilvl w:val="6"/>
        <w:numId w:val="1"/>
      </w:numPr>
      <w:spacing w:before="240" w:beforeLines="0" w:beforeAutospacing="0" w:after="64" w:afterLines="0" w:afterAutospacing="0" w:line="317" w:lineRule="auto"/>
      <w:ind w:left="1296" w:hanging="1296" w:firstLineChars="0"/>
      <w:outlineLvl w:val="6"/>
    </w:pPr>
    <w:rPr>
      <w:b/>
      <w:sz w:val="24"/>
    </w:rPr>
  </w:style>
  <w:style w:type="paragraph" w:styleId="11">
    <w:name w:val="heading 8"/>
    <w:basedOn w:val="1"/>
    <w:next w:val="1"/>
    <w:qFormat/>
    <w:uiPriority w:val="0"/>
    <w:pPr>
      <w:keepNext/>
      <w:keepLines/>
      <w:numPr>
        <w:ilvl w:val="7"/>
        <w:numId w:val="1"/>
      </w:numPr>
      <w:spacing w:before="240" w:beforeLines="0" w:beforeAutospacing="0" w:after="64" w:afterLines="0" w:afterAutospacing="0" w:line="317" w:lineRule="auto"/>
      <w:ind w:left="1440" w:hanging="1440" w:firstLineChars="0"/>
      <w:outlineLvl w:val="7"/>
    </w:pPr>
    <w:rPr>
      <w:rFonts w:ascii="Arial" w:hAnsi="Arial" w:eastAsia="黑体"/>
      <w:sz w:val="24"/>
    </w:rPr>
  </w:style>
  <w:style w:type="paragraph" w:styleId="12">
    <w:name w:val="heading 9"/>
    <w:basedOn w:val="1"/>
    <w:next w:val="1"/>
    <w:qFormat/>
    <w:uiPriority w:val="0"/>
    <w:pPr>
      <w:keepNext/>
      <w:keepLines/>
      <w:numPr>
        <w:ilvl w:val="8"/>
        <w:numId w:val="1"/>
      </w:numPr>
      <w:spacing w:before="240" w:beforeLines="0" w:beforeAutospacing="0" w:after="64" w:afterLines="0" w:afterAutospacing="0" w:line="317" w:lineRule="auto"/>
      <w:ind w:left="1583" w:hanging="1583" w:firstLineChars="0"/>
      <w:outlineLvl w:val="8"/>
    </w:pPr>
    <w:rPr>
      <w:rFonts w:ascii="Arial" w:hAnsi="Arial" w:eastAsia="黑体"/>
      <w:sz w:val="21"/>
    </w:rPr>
  </w:style>
  <w:style w:type="character" w:default="1" w:styleId="38">
    <w:name w:val="Default Paragraph Font"/>
    <w:semiHidden/>
    <w:qFormat/>
    <w:uiPriority w:val="0"/>
  </w:style>
  <w:style w:type="table" w:default="1" w:styleId="36">
    <w:name w:val="Normal Table"/>
    <w:semiHidden/>
    <w:qFormat/>
    <w:uiPriority w:val="0"/>
    <w:tblPr>
      <w:tblCellMar>
        <w:top w:w="0" w:type="dxa"/>
        <w:left w:w="108" w:type="dxa"/>
        <w:bottom w:w="0" w:type="dxa"/>
        <w:right w:w="108" w:type="dxa"/>
      </w:tblCellMar>
    </w:tblPr>
  </w:style>
  <w:style w:type="paragraph" w:customStyle="1" w:styleId="2">
    <w:name w:val="guo-正文缩进2"/>
    <w:basedOn w:val="3"/>
    <w:qFormat/>
    <w:uiPriority w:val="0"/>
    <w:pPr>
      <w:tabs>
        <w:tab w:val="left" w:pos="1021"/>
      </w:tabs>
      <w:ind w:firstLine="562"/>
    </w:pPr>
  </w:style>
  <w:style w:type="paragraph" w:customStyle="1" w:styleId="3">
    <w:name w:val="guo-正文不缩进"/>
    <w:basedOn w:val="1"/>
    <w:qFormat/>
    <w:uiPriority w:val="0"/>
    <w:pPr>
      <w:tabs>
        <w:tab w:val="left" w:pos="1021"/>
      </w:tabs>
      <w:ind w:firstLine="0"/>
    </w:pPr>
  </w:style>
  <w:style w:type="paragraph" w:styleId="13">
    <w:name w:val="Normal Indent"/>
    <w:basedOn w:val="1"/>
    <w:qFormat/>
    <w:uiPriority w:val="0"/>
    <w:pPr>
      <w:topLinePunct/>
      <w:adjustRightInd w:val="0"/>
      <w:snapToGrid w:val="0"/>
      <w:spacing w:line="360" w:lineRule="auto"/>
      <w:ind w:firstLine="420"/>
    </w:pPr>
    <w:rPr>
      <w:rFonts w:ascii="宋体" w:hAnsi="宋体"/>
      <w:snapToGrid w:val="0"/>
      <w:kern w:val="0"/>
      <w:sz w:val="24"/>
      <w:szCs w:val="20"/>
    </w:rPr>
  </w:style>
  <w:style w:type="paragraph" w:styleId="14">
    <w:name w:val="caption"/>
    <w:basedOn w:val="1"/>
    <w:next w:val="1"/>
    <w:qFormat/>
    <w:uiPriority w:val="0"/>
    <w:pPr>
      <w:widowControl w:val="0"/>
      <w:adjustRightInd w:val="0"/>
      <w:snapToGrid w:val="0"/>
      <w:ind w:left="210"/>
      <w:jc w:val="center"/>
    </w:pPr>
    <w:rPr>
      <w:b/>
      <w:sz w:val="24"/>
      <w:szCs w:val="20"/>
    </w:rPr>
  </w:style>
  <w:style w:type="paragraph" w:styleId="15">
    <w:name w:val="annotation text"/>
    <w:basedOn w:val="1"/>
    <w:link w:val="44"/>
    <w:semiHidden/>
    <w:qFormat/>
    <w:uiPriority w:val="0"/>
    <w:pPr>
      <w:jc w:val="left"/>
    </w:pPr>
    <w:rPr>
      <w:kern w:val="0"/>
      <w:sz w:val="24"/>
      <w:szCs w:val="20"/>
    </w:rPr>
  </w:style>
  <w:style w:type="paragraph" w:styleId="16">
    <w:name w:val="Body Text"/>
    <w:basedOn w:val="1"/>
    <w:next w:val="17"/>
    <w:qFormat/>
    <w:uiPriority w:val="0"/>
    <w:pPr>
      <w:spacing w:after="120"/>
    </w:pPr>
  </w:style>
  <w:style w:type="paragraph" w:customStyle="1" w:styleId="17">
    <w:name w:val="xl27"/>
    <w:basedOn w:val="1"/>
    <w:qFormat/>
    <w:uiPriority w:val="0"/>
    <w:pPr>
      <w:widowControl/>
      <w:spacing w:before="100" w:beforeAutospacing="1" w:after="100" w:afterAutospacing="1"/>
      <w:jc w:val="left"/>
    </w:pPr>
    <w:rPr>
      <w:color w:val="FF0000"/>
      <w:kern w:val="0"/>
    </w:rPr>
  </w:style>
  <w:style w:type="paragraph" w:styleId="18">
    <w:name w:val="Body Text Indent"/>
    <w:basedOn w:val="1"/>
    <w:next w:val="19"/>
    <w:qFormat/>
    <w:uiPriority w:val="0"/>
    <w:pPr>
      <w:spacing w:after="120"/>
      <w:ind w:left="420" w:leftChars="200"/>
    </w:pPr>
  </w:style>
  <w:style w:type="paragraph" w:customStyle="1" w:styleId="19">
    <w:name w:val="样式 正文文本缩进 + 行距: 1.5 倍行距"/>
    <w:basedOn w:val="1"/>
    <w:qFormat/>
    <w:uiPriority w:val="0"/>
    <w:pPr>
      <w:tabs>
        <w:tab w:val="left" w:pos="8020"/>
      </w:tabs>
      <w:spacing w:after="120" w:line="360" w:lineRule="auto"/>
      <w:ind w:left="90" w:leftChars="32" w:firstLine="560" w:firstLineChars="200"/>
    </w:pPr>
    <w:rPr>
      <w:rFonts w:cs="宋体"/>
    </w:rPr>
  </w:style>
  <w:style w:type="paragraph" w:styleId="20">
    <w:name w:val="Block Text"/>
    <w:basedOn w:val="1"/>
    <w:qFormat/>
    <w:uiPriority w:val="0"/>
    <w:pPr>
      <w:widowControl/>
      <w:tabs>
        <w:tab w:val="left" w:pos="8020"/>
      </w:tabs>
      <w:spacing w:line="440" w:lineRule="exact"/>
      <w:ind w:left="113" w:right="113" w:firstLine="567"/>
    </w:pPr>
    <w:rPr>
      <w:rFonts w:ascii="仿宋_GB2312" w:hAnsi="Times New Roman" w:eastAsia="仿宋_GB2312"/>
      <w:kern w:val="0"/>
      <w:sz w:val="28"/>
      <w:szCs w:val="20"/>
    </w:rPr>
  </w:style>
  <w:style w:type="paragraph" w:styleId="21">
    <w:name w:val="List Bullet 2"/>
    <w:basedOn w:val="1"/>
    <w:next w:val="22"/>
    <w:qFormat/>
    <w:uiPriority w:val="0"/>
    <w:pPr>
      <w:numPr>
        <w:ilvl w:val="0"/>
        <w:numId w:val="2"/>
      </w:numPr>
    </w:pPr>
  </w:style>
  <w:style w:type="paragraph" w:customStyle="1" w:styleId="22">
    <w:name w:val="xl70"/>
    <w:basedOn w:val="1"/>
    <w:next w:val="23"/>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eastAsia="宋体" w:cs="宋体"/>
      <w:kern w:val="0"/>
      <w:sz w:val="24"/>
    </w:rPr>
  </w:style>
  <w:style w:type="paragraph" w:customStyle="1" w:styleId="23">
    <w:name w:val="正文缩进1"/>
    <w:basedOn w:val="1"/>
    <w:next w:val="24"/>
    <w:qFormat/>
    <w:uiPriority w:val="0"/>
    <w:pPr>
      <w:ind w:firstLine="420"/>
    </w:pPr>
    <w:rPr>
      <w:rFonts w:ascii="Times New Roman" w:eastAsia="宋体"/>
    </w:rPr>
  </w:style>
  <w:style w:type="paragraph" w:customStyle="1" w:styleId="24">
    <w:name w:val="td1"/>
    <w:basedOn w:val="1"/>
    <w:next w:val="1"/>
    <w:qFormat/>
    <w:uiPriority w:val="0"/>
    <w:pPr>
      <w:widowControl/>
      <w:spacing w:before="280" w:after="280" w:line="300" w:lineRule="atLeast"/>
    </w:pPr>
    <w:rPr>
      <w:rFonts w:ascii="Times New Roman" w:eastAsia="宋体"/>
      <w:color w:val="000000"/>
      <w:sz w:val="18"/>
    </w:rPr>
  </w:style>
  <w:style w:type="paragraph" w:styleId="25">
    <w:name w:val="Plain Text"/>
    <w:basedOn w:val="1"/>
    <w:qFormat/>
    <w:uiPriority w:val="0"/>
    <w:pPr>
      <w:spacing w:line="380" w:lineRule="exact"/>
      <w:jc w:val="center"/>
    </w:pPr>
    <w:rPr>
      <w:rFonts w:hAnsi="宋体"/>
      <w:color w:val="000000"/>
      <w:kern w:val="21"/>
      <w:lang w:val="de-DE"/>
    </w:rPr>
  </w:style>
  <w:style w:type="paragraph" w:styleId="26">
    <w:name w:val="Body Text Indent 2"/>
    <w:basedOn w:val="1"/>
    <w:next w:val="1"/>
    <w:qFormat/>
    <w:uiPriority w:val="0"/>
    <w:pPr>
      <w:ind w:firstLine="720" w:firstLineChars="225"/>
    </w:pPr>
    <w:rPr>
      <w:rFonts w:ascii="华文仿宋" w:hAnsi="华文仿宋" w:eastAsia="华文仿宋"/>
      <w:sz w:val="32"/>
    </w:rPr>
  </w:style>
  <w:style w:type="paragraph" w:styleId="27">
    <w:name w:val="Balloon Text"/>
    <w:basedOn w:val="1"/>
    <w:link w:val="45"/>
    <w:qFormat/>
    <w:uiPriority w:val="0"/>
    <w:rPr>
      <w:sz w:val="18"/>
      <w:szCs w:val="18"/>
    </w:rPr>
  </w:style>
  <w:style w:type="paragraph" w:styleId="28">
    <w:name w:val="footer"/>
    <w:basedOn w:val="1"/>
    <w:qFormat/>
    <w:uiPriority w:val="99"/>
    <w:pPr>
      <w:tabs>
        <w:tab w:val="center" w:pos="4153"/>
        <w:tab w:val="right" w:pos="8306"/>
      </w:tabs>
      <w:snapToGrid w:val="0"/>
      <w:jc w:val="left"/>
    </w:pPr>
    <w:rPr>
      <w:kern w:val="0"/>
      <w:sz w:val="18"/>
      <w:szCs w:val="20"/>
    </w:rPr>
  </w:style>
  <w:style w:type="paragraph" w:styleId="2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30">
    <w:name w:val="toc 1"/>
    <w:basedOn w:val="1"/>
    <w:next w:val="1"/>
    <w:qFormat/>
    <w:uiPriority w:val="0"/>
    <w:pPr>
      <w:ind w:firstLine="0" w:firstLineChars="0"/>
    </w:pPr>
  </w:style>
  <w:style w:type="paragraph" w:styleId="31">
    <w:name w:val="List"/>
    <w:basedOn w:val="1"/>
    <w:next w:val="21"/>
    <w:qFormat/>
    <w:uiPriority w:val="0"/>
    <w:pPr>
      <w:ind w:left="200" w:hanging="200" w:hangingChars="200"/>
      <w:jc w:val="center"/>
    </w:pPr>
  </w:style>
  <w:style w:type="paragraph" w:styleId="32">
    <w:name w:val="toc 2"/>
    <w:basedOn w:val="1"/>
    <w:next w:val="1"/>
    <w:qFormat/>
    <w:uiPriority w:val="0"/>
    <w:pPr>
      <w:tabs>
        <w:tab w:val="left" w:pos="426"/>
        <w:tab w:val="left" w:pos="567"/>
        <w:tab w:val="right" w:leader="dot" w:pos="8607"/>
      </w:tabs>
      <w:adjustRightInd w:val="0"/>
      <w:snapToGrid w:val="0"/>
      <w:spacing w:line="300" w:lineRule="auto"/>
    </w:pPr>
    <w:rPr>
      <w:rFonts w:ascii="Times New Roman" w:hAnsi="Times New Roman"/>
      <w:smallCaps/>
    </w:rPr>
  </w:style>
  <w:style w:type="paragraph" w:styleId="33">
    <w:name w:val="annotation subject"/>
    <w:basedOn w:val="15"/>
    <w:next w:val="15"/>
    <w:link w:val="46"/>
    <w:qFormat/>
    <w:uiPriority w:val="0"/>
    <w:rPr>
      <w:b/>
      <w:bCs/>
      <w:kern w:val="2"/>
      <w:sz w:val="21"/>
      <w:szCs w:val="24"/>
    </w:rPr>
  </w:style>
  <w:style w:type="paragraph" w:styleId="34">
    <w:name w:val="Body Text First Indent"/>
    <w:basedOn w:val="16"/>
    <w:qFormat/>
    <w:uiPriority w:val="0"/>
    <w:pPr>
      <w:ind w:firstLine="420" w:firstLineChars="100"/>
    </w:pPr>
  </w:style>
  <w:style w:type="paragraph" w:styleId="35">
    <w:name w:val="Body Text First Indent 2"/>
    <w:basedOn w:val="18"/>
    <w:next w:val="1"/>
    <w:qFormat/>
    <w:uiPriority w:val="0"/>
    <w:pPr>
      <w:ind w:firstLine="420" w:firstLineChars="200"/>
    </w:pPr>
  </w:style>
  <w:style w:type="table" w:styleId="37">
    <w:name w:val="Table Grid"/>
    <w:basedOn w:val="36"/>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9">
    <w:name w:val="page number"/>
    <w:qFormat/>
    <w:uiPriority w:val="0"/>
  </w:style>
  <w:style w:type="character" w:styleId="40">
    <w:name w:val="Hyperlink"/>
    <w:qFormat/>
    <w:uiPriority w:val="0"/>
    <w:rPr>
      <w:color w:val="0000FF"/>
      <w:u w:val="single"/>
    </w:rPr>
  </w:style>
  <w:style w:type="character" w:styleId="41">
    <w:name w:val="annotation reference"/>
    <w:semiHidden/>
    <w:qFormat/>
    <w:uiPriority w:val="0"/>
    <w:rPr>
      <w:sz w:val="21"/>
    </w:rPr>
  </w:style>
  <w:style w:type="paragraph" w:customStyle="1" w:styleId="42">
    <w:name w:val="WPSOffice手动目录 1"/>
    <w:qFormat/>
    <w:uiPriority w:val="0"/>
    <w:rPr>
      <w:rFonts w:ascii="Times New Roman" w:hAnsi="Times New Roman" w:eastAsia="宋体" w:cs="Times New Roman"/>
      <w:lang w:val="en-US" w:eastAsia="zh-CN" w:bidi="ar-SA"/>
    </w:rPr>
  </w:style>
  <w:style w:type="character" w:customStyle="1" w:styleId="43">
    <w:name w:val="标题 3 Char"/>
    <w:link w:val="6"/>
    <w:qFormat/>
    <w:uiPriority w:val="0"/>
    <w:rPr>
      <w:rFonts w:ascii="Times New Roman" w:hAnsi="Times New Roman" w:eastAsia="宋体" w:cs="Times New Roman"/>
      <w:b/>
      <w:bCs/>
      <w:sz w:val="28"/>
    </w:rPr>
  </w:style>
  <w:style w:type="character" w:customStyle="1" w:styleId="44">
    <w:name w:val="批注文字 Char"/>
    <w:link w:val="15"/>
    <w:qFormat/>
    <w:uiPriority w:val="0"/>
    <w:rPr>
      <w:rFonts w:ascii="Calibri" w:hAnsi="Calibri"/>
      <w:sz w:val="24"/>
    </w:rPr>
  </w:style>
  <w:style w:type="character" w:customStyle="1" w:styleId="45">
    <w:name w:val="批注框文本 Char"/>
    <w:link w:val="27"/>
    <w:qFormat/>
    <w:uiPriority w:val="0"/>
    <w:rPr>
      <w:rFonts w:ascii="Calibri" w:hAnsi="Calibri"/>
      <w:kern w:val="2"/>
      <w:sz w:val="18"/>
      <w:szCs w:val="18"/>
    </w:rPr>
  </w:style>
  <w:style w:type="character" w:customStyle="1" w:styleId="46">
    <w:name w:val="批注主题 Char"/>
    <w:link w:val="33"/>
    <w:qFormat/>
    <w:uiPriority w:val="0"/>
    <w:rPr>
      <w:rFonts w:ascii="Calibri" w:hAnsi="Calibri"/>
      <w:b/>
      <w:bCs/>
      <w:kern w:val="2"/>
      <w:sz w:val="21"/>
      <w:szCs w:val="24"/>
    </w:rPr>
  </w:style>
  <w:style w:type="paragraph" w:customStyle="1" w:styleId="47">
    <w:name w:val="表格内容"/>
    <w:basedOn w:val="48"/>
    <w:next w:val="49"/>
    <w:qFormat/>
    <w:uiPriority w:val="0"/>
    <w:pPr>
      <w:spacing w:line="240" w:lineRule="auto"/>
    </w:pPr>
    <w:rPr>
      <w:rFonts w:ascii="Times New Roman"/>
    </w:rPr>
  </w:style>
  <w:style w:type="paragraph" w:customStyle="1" w:styleId="48">
    <w:name w:val="表格"/>
    <w:basedOn w:val="31"/>
    <w:next w:val="1"/>
    <w:qFormat/>
    <w:uiPriority w:val="0"/>
    <w:pPr>
      <w:adjustRightInd w:val="0"/>
      <w:snapToGrid w:val="0"/>
      <w:spacing w:beforeLines="10" w:afterLines="10" w:line="259" w:lineRule="auto"/>
      <w:jc w:val="center"/>
    </w:pPr>
    <w:rPr>
      <w:rFonts w:ascii="宋体"/>
      <w:kern w:val="0"/>
      <w:szCs w:val="20"/>
    </w:rPr>
  </w:style>
  <w:style w:type="paragraph" w:customStyle="1" w:styleId="49">
    <w:name w:val="文本正文"/>
    <w:basedOn w:val="1"/>
    <w:qFormat/>
    <w:uiPriority w:val="0"/>
    <w:pPr>
      <w:spacing w:line="360" w:lineRule="auto"/>
      <w:ind w:firstLine="480" w:firstLineChars="200"/>
    </w:pPr>
    <w:rPr>
      <w:sz w:val="24"/>
      <w:szCs w:val="24"/>
    </w:rPr>
  </w:style>
  <w:style w:type="paragraph" w:customStyle="1" w:styleId="50">
    <w:name w:val="表格文字"/>
    <w:basedOn w:val="34"/>
    <w:next w:val="1"/>
    <w:qFormat/>
    <w:uiPriority w:val="0"/>
    <w:pPr>
      <w:snapToGrid w:val="0"/>
      <w:spacing w:line="240" w:lineRule="auto"/>
      <w:ind w:firstLine="0" w:firstLineChars="0"/>
      <w:jc w:val="both"/>
    </w:pPr>
    <w:rPr>
      <w:rFonts w:ascii="Times New Roman" w:hAnsi="Times New Roman" w:eastAsia="Times New Roman"/>
      <w:kern w:val="2"/>
      <w:sz w:val="21"/>
      <w:szCs w:val="20"/>
    </w:rPr>
  </w:style>
  <w:style w:type="paragraph" w:customStyle="1" w:styleId="51">
    <w:name w:val="WPSOffice手动目录 2"/>
    <w:qFormat/>
    <w:uiPriority w:val="0"/>
    <w:pPr>
      <w:ind w:leftChars="200"/>
    </w:pPr>
    <w:rPr>
      <w:rFonts w:ascii="Times New Roman" w:hAnsi="Times New Roman" w:eastAsia="宋体" w:cs="Times New Roman"/>
      <w:lang w:val="en-US" w:eastAsia="zh-CN" w:bidi="ar-SA"/>
    </w:rPr>
  </w:style>
  <w:style w:type="paragraph" w:customStyle="1" w:styleId="52">
    <w:name w:val="表格正文"/>
    <w:basedOn w:val="1"/>
    <w:qFormat/>
    <w:uiPriority w:val="0"/>
    <w:pPr>
      <w:adjustRightInd w:val="0"/>
      <w:snapToGrid w:val="0"/>
      <w:spacing w:line="0" w:lineRule="atLeast"/>
      <w:jc w:val="center"/>
    </w:pPr>
    <w:rPr>
      <w:kern w:val="0"/>
      <w:sz w:val="20"/>
      <w:szCs w:val="21"/>
      <w:lang w:val="zh-CN"/>
    </w:rPr>
  </w:style>
  <w:style w:type="character" w:customStyle="1" w:styleId="53">
    <w:name w:val="font41"/>
    <w:qFormat/>
    <w:uiPriority w:val="0"/>
    <w:rPr>
      <w:rFonts w:hint="default" w:ascii="Times New Roman" w:hAnsi="Times New Roman" w:cs="Times New Roman"/>
      <w:color w:val="000000"/>
      <w:sz w:val="22"/>
      <w:szCs w:val="22"/>
      <w:u w:val="none"/>
    </w:rPr>
  </w:style>
  <w:style w:type="character" w:customStyle="1" w:styleId="54">
    <w:name w:val="font01"/>
    <w:qFormat/>
    <w:uiPriority w:val="0"/>
    <w:rPr>
      <w:rFonts w:hint="eastAsia" w:ascii="宋体" w:hAnsi="宋体" w:eastAsia="宋体" w:cs="宋体"/>
      <w:color w:val="000000"/>
      <w:sz w:val="22"/>
      <w:szCs w:val="22"/>
      <w:u w:val="none"/>
      <w:vertAlign w:val="subscript"/>
    </w:rPr>
  </w:style>
  <w:style w:type="character" w:customStyle="1" w:styleId="55">
    <w:name w:val="font11"/>
    <w:qFormat/>
    <w:uiPriority w:val="0"/>
    <w:rPr>
      <w:rFonts w:hint="default" w:ascii="Times New Roman" w:hAnsi="Times New Roman" w:cs="Times New Roman"/>
      <w:color w:val="000000"/>
      <w:sz w:val="22"/>
      <w:szCs w:val="22"/>
      <w:u w:val="none"/>
      <w:vertAlign w:val="subscript"/>
    </w:rPr>
  </w:style>
  <w:style w:type="character" w:customStyle="1" w:styleId="56">
    <w:name w:val="fontstyle01"/>
    <w:qFormat/>
    <w:uiPriority w:val="0"/>
    <w:rPr>
      <w:rFonts w:ascii="宋体" w:hAnsi="宋体" w:eastAsia="宋体" w:cs="宋体"/>
      <w:color w:val="000000"/>
      <w:sz w:val="24"/>
      <w:szCs w:val="24"/>
    </w:rPr>
  </w:style>
  <w:style w:type="character" w:customStyle="1" w:styleId="57">
    <w:name w:val="font21"/>
    <w:qFormat/>
    <w:uiPriority w:val="0"/>
    <w:rPr>
      <w:rFonts w:hint="eastAsia" w:ascii="宋体" w:hAnsi="宋体" w:eastAsia="宋体" w:cs="宋体"/>
      <w:color w:val="000000"/>
      <w:sz w:val="22"/>
      <w:szCs w:val="22"/>
      <w:u w:val="none"/>
    </w:rPr>
  </w:style>
  <w:style w:type="character" w:customStyle="1" w:styleId="58">
    <w:name w:val="content1"/>
    <w:qFormat/>
    <w:uiPriority w:val="0"/>
    <w:rPr>
      <w:rFonts w:ascii="Times New Roman" w:hAnsi="Times New Roman" w:eastAsia="宋体" w:cs="Times New Roman"/>
      <w:color w:val="000000"/>
      <w:sz w:val="20"/>
      <w:szCs w:val="20"/>
    </w:rPr>
  </w:style>
  <w:style w:type="character" w:customStyle="1" w:styleId="59">
    <w:name w:val="font81"/>
    <w:qFormat/>
    <w:uiPriority w:val="0"/>
    <w:rPr>
      <w:rFonts w:hint="default" w:ascii="Times New Roman" w:hAnsi="Times New Roman" w:cs="Times New Roman"/>
      <w:color w:val="000000"/>
      <w:sz w:val="21"/>
      <w:szCs w:val="21"/>
      <w:u w:val="none"/>
    </w:rPr>
  </w:style>
  <w:style w:type="paragraph" w:customStyle="1" w:styleId="60">
    <w:name w:val="Default1"/>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61">
    <w:name w:val="BG-表头"/>
    <w:basedOn w:val="1"/>
    <w:qFormat/>
    <w:uiPriority w:val="0"/>
    <w:pPr>
      <w:spacing w:line="240" w:lineRule="auto"/>
      <w:ind w:firstLine="0" w:firstLineChars="0"/>
      <w:jc w:val="center"/>
    </w:pPr>
    <w:rPr>
      <w:b/>
      <w:sz w:val="21"/>
    </w:rPr>
  </w:style>
  <w:style w:type="paragraph" w:customStyle="1" w:styleId="62">
    <w:name w:val="Table Paragraph"/>
    <w:basedOn w:val="1"/>
    <w:qFormat/>
    <w:uiPriority w:val="1"/>
    <w:pPr>
      <w:widowControl w:val="0"/>
      <w:autoSpaceDE w:val="0"/>
      <w:autoSpaceDN w:val="0"/>
      <w:jc w:val="center"/>
    </w:pPr>
    <w:rPr>
      <w:rFonts w:eastAsia="Times New Roman"/>
      <w:kern w:val="0"/>
      <w:sz w:val="22"/>
      <w:szCs w:val="22"/>
      <w:lang w:eastAsia="en-US"/>
    </w:rPr>
  </w:style>
  <w:style w:type="paragraph" w:customStyle="1" w:styleId="63">
    <w:name w:val="Default"/>
    <w:basedOn w:val="64"/>
    <w:next w:val="16"/>
    <w:qFormat/>
    <w:uiPriority w:val="0"/>
    <w:pPr>
      <w:autoSpaceDE w:val="0"/>
      <w:autoSpaceDN w:val="0"/>
      <w:jc w:val="left"/>
    </w:pPr>
    <w:rPr>
      <w:color w:val="000000"/>
      <w:kern w:val="0"/>
      <w:sz w:val="24"/>
      <w:szCs w:val="24"/>
    </w:rPr>
  </w:style>
  <w:style w:type="paragraph" w:customStyle="1" w:styleId="64">
    <w:name w:val="纯文本1"/>
    <w:basedOn w:val="1"/>
    <w:qFormat/>
    <w:uiPriority w:val="0"/>
    <w:pPr>
      <w:adjustRightInd w:val="0"/>
    </w:pPr>
    <w:rPr>
      <w:rFonts w:hAnsi="Courier New"/>
      <w:szCs w:val="20"/>
    </w:rPr>
  </w:style>
  <w:style w:type="paragraph" w:customStyle="1" w:styleId="65">
    <w:name w:val="1文章"/>
    <w:basedOn w:val="1"/>
    <w:qFormat/>
    <w:uiPriority w:val="0"/>
    <w:pPr>
      <w:snapToGrid w:val="0"/>
      <w:spacing w:line="360" w:lineRule="auto"/>
      <w:ind w:firstLine="573"/>
    </w:pPr>
    <w:rPr>
      <w:rFonts w:eastAsia="仿宋_GB2312"/>
      <w:sz w:val="28"/>
    </w:rPr>
  </w:style>
  <w:style w:type="paragraph" w:customStyle="1" w:styleId="66">
    <w:name w:val="样式 样式 行距: 1.5 倍行距 + 首行缩进:  2 字符"/>
    <w:basedOn w:val="1"/>
    <w:qFormat/>
    <w:uiPriority w:val="0"/>
    <w:pPr>
      <w:widowControl w:val="0"/>
      <w:adjustRightInd w:val="0"/>
      <w:snapToGrid w:val="0"/>
      <w:spacing w:line="360" w:lineRule="auto"/>
      <w:ind w:firstLine="480" w:firstLineChars="200"/>
      <w:jc w:val="both"/>
    </w:pPr>
    <w:rPr>
      <w:rFonts w:ascii="宋体" w:hAnsi="宋体"/>
      <w:sz w:val="24"/>
    </w:rPr>
  </w:style>
  <w:style w:type="paragraph" w:customStyle="1" w:styleId="67">
    <w:name w:val="标题二"/>
    <w:basedOn w:val="1"/>
    <w:qFormat/>
    <w:uiPriority w:val="0"/>
  </w:style>
  <w:style w:type="paragraph" w:customStyle="1" w:styleId="68">
    <w:name w:val="表格内正文"/>
    <w:basedOn w:val="1"/>
    <w:qFormat/>
    <w:uiPriority w:val="0"/>
    <w:pPr>
      <w:spacing w:line="360" w:lineRule="auto"/>
      <w:ind w:firstLine="493"/>
    </w:pPr>
    <w:rPr>
      <w:rFonts w:hint="eastAsia" w:ascii="宋体" w:hAnsi="宋体" w:eastAsia="宋体" w:cs="Times New Roman"/>
      <w:spacing w:val="4"/>
      <w:kern w:val="18"/>
      <w:sz w:val="24"/>
    </w:rPr>
  </w:style>
  <w:style w:type="paragraph" w:customStyle="1" w:styleId="69">
    <w:name w:val="样式1"/>
    <w:basedOn w:val="1"/>
    <w:qFormat/>
    <w:uiPriority w:val="0"/>
    <w:pPr>
      <w:spacing w:line="360" w:lineRule="auto"/>
      <w:jc w:val="center"/>
    </w:pPr>
    <w:rPr>
      <w:b/>
      <w:snapToGrid w:val="0"/>
      <w:sz w:val="24"/>
    </w:rPr>
  </w:style>
  <w:style w:type="paragraph" w:customStyle="1" w:styleId="70">
    <w:name w:val="Date1"/>
    <w:basedOn w:val="1"/>
    <w:next w:val="1"/>
    <w:qFormat/>
    <w:uiPriority w:val="0"/>
    <w:pPr>
      <w:adjustRightInd w:val="0"/>
      <w:jc w:val="left"/>
      <w:textAlignment w:val="baseline"/>
    </w:pPr>
    <w:rPr>
      <w:rFonts w:ascii="宋体" w:hAnsi="宋体"/>
      <w:sz w:val="28"/>
      <w:szCs w:val="20"/>
    </w:rPr>
  </w:style>
  <w:style w:type="paragraph" w:customStyle="1" w:styleId="71">
    <w:name w:val="S表格文字"/>
    <w:basedOn w:val="34"/>
    <w:qFormat/>
    <w:uiPriority w:val="0"/>
    <w:pPr>
      <w:adjustRightInd w:val="0"/>
      <w:snapToGrid w:val="0"/>
      <w:spacing w:before="20" w:after="20"/>
      <w:ind w:firstLine="0" w:firstLineChars="0"/>
      <w:jc w:val="center"/>
    </w:pPr>
    <w:rPr>
      <w:szCs w:val="20"/>
    </w:rPr>
  </w:style>
  <w:style w:type="paragraph" w:customStyle="1" w:styleId="72">
    <w:name w:val="BG-表内文字"/>
    <w:basedOn w:val="1"/>
    <w:qFormat/>
    <w:uiPriority w:val="0"/>
    <w:pPr>
      <w:spacing w:line="240" w:lineRule="auto"/>
      <w:ind w:firstLine="0" w:firstLineChars="0"/>
      <w:jc w:val="center"/>
    </w:pPr>
    <w:rPr>
      <w:rFonts w:ascii="宋体" w:hAnsi="宋体"/>
      <w:sz w:val="21"/>
      <w:szCs w:val="21"/>
    </w:rPr>
  </w:style>
  <w:style w:type="paragraph" w:customStyle="1" w:styleId="73">
    <w:name w:val="正文样式1"/>
    <w:basedOn w:val="1"/>
    <w:qFormat/>
    <w:uiPriority w:val="0"/>
    <w:pPr>
      <w:adjustRightInd w:val="0"/>
      <w:spacing w:beforeLines="10" w:afterLines="10" w:line="312" w:lineRule="auto"/>
      <w:ind w:firstLine="200" w:firstLineChars="200"/>
      <w:textAlignment w:val="baseline"/>
    </w:pPr>
    <w:rPr>
      <w:rFonts w:ascii="Times New Roman" w:hAnsi="Times New Roman" w:eastAsia="宋体" w:cs="Times New Roman"/>
      <w:position w:val="-12"/>
      <w:sz w:val="24"/>
      <w:szCs w:val="24"/>
    </w:rPr>
  </w:style>
  <w:style w:type="paragraph" w:styleId="74">
    <w:name w:val="No Spacing"/>
    <w:qFormat/>
    <w:uiPriority w:val="1"/>
    <w:pPr>
      <w:widowControl w:val="0"/>
      <w:jc w:val="center"/>
    </w:pPr>
    <w:rPr>
      <w:rFonts w:ascii="Times New Roman" w:hAnsi="Times New Roman" w:eastAsia="宋体" w:cs="Times New Roman"/>
      <w:kern w:val="2"/>
      <w:sz w:val="21"/>
      <w:szCs w:val="22"/>
      <w:lang w:val="en-US" w:eastAsia="zh-CN" w:bidi="ar-SA"/>
    </w:rPr>
  </w:style>
  <w:style w:type="paragraph" w:customStyle="1" w:styleId="75">
    <w:name w:val="段落(G)"/>
    <w:basedOn w:val="1"/>
    <w:qFormat/>
    <w:uiPriority w:val="0"/>
    <w:pPr>
      <w:tabs>
        <w:tab w:val="left" w:pos="1021"/>
        <w:tab w:val="left" w:pos="1320"/>
      </w:tabs>
      <w:spacing w:line="360" w:lineRule="auto"/>
      <w:ind w:firstLine="480" w:firstLineChars="200"/>
    </w:pPr>
    <w:rPr>
      <w:rFonts w:ascii="Calibri"/>
      <w:color w:val="000000"/>
      <w:kern w:val="24"/>
      <w:szCs w:val="24"/>
      <w:lang w:val="zh-CN"/>
    </w:rPr>
  </w:style>
  <w:style w:type="character" w:customStyle="1" w:styleId="76">
    <w:name w:val="日期 字符"/>
    <w:semiHidden/>
    <w:qFormat/>
    <w:uiPriority w:val="0"/>
    <w:rPr>
      <w:rFonts w:ascii="Times New Roman" w:hAnsi="Times New Roman" w:eastAsia="宋体"/>
      <w:sz w:val="24"/>
    </w:rPr>
  </w:style>
  <w:style w:type="paragraph" w:customStyle="1" w:styleId="77">
    <w:name w:val="Other|1"/>
    <w:basedOn w:val="1"/>
    <w:qFormat/>
    <w:uiPriority w:val="0"/>
    <w:pPr>
      <w:widowControl w:val="0"/>
      <w:shd w:val="clear" w:color="auto" w:fill="auto"/>
      <w:spacing w:line="480" w:lineRule="auto"/>
      <w:ind w:firstLine="400"/>
    </w:pPr>
    <w:rPr>
      <w:rFonts w:ascii="宋体" w:hAnsi="宋体" w:eastAsia="宋体" w:cs="宋体"/>
      <w:sz w:val="22"/>
      <w:szCs w:val="22"/>
      <w:u w:val="none"/>
      <w:shd w:val="clear" w:color="auto" w:fill="auto"/>
      <w:lang w:val="zh-TW" w:eastAsia="zh-TW" w:bidi="zh-TW"/>
    </w:rPr>
  </w:style>
  <w:style w:type="paragraph" w:customStyle="1" w:styleId="78">
    <w:name w:val="表"/>
    <w:basedOn w:val="1"/>
    <w:qFormat/>
    <w:uiPriority w:val="0"/>
    <w:pPr>
      <w:snapToGrid w:val="0"/>
      <w:spacing w:line="240" w:lineRule="auto"/>
      <w:ind w:firstLine="0" w:firstLineChars="0"/>
      <w:jc w:val="center"/>
    </w:pPr>
    <w:rPr>
      <w:spacing w:val="2"/>
      <w:sz w:val="21"/>
    </w:rPr>
  </w:style>
  <w:style w:type="paragraph" w:customStyle="1" w:styleId="79">
    <w:name w:val="宋文杰-表标题"/>
    <w:basedOn w:val="80"/>
    <w:qFormat/>
    <w:uiPriority w:val="0"/>
    <w:pPr>
      <w:spacing w:line="240" w:lineRule="auto"/>
      <w:ind w:firstLine="0" w:firstLineChars="0"/>
      <w:jc w:val="center"/>
    </w:pPr>
    <w:rPr>
      <w:b/>
      <w:sz w:val="21"/>
    </w:rPr>
  </w:style>
  <w:style w:type="paragraph" w:customStyle="1" w:styleId="80">
    <w:name w:val="宋文杰-正文"/>
    <w:basedOn w:val="1"/>
    <w:qFormat/>
    <w:uiPriority w:val="0"/>
    <w:rPr>
      <w:color w:val="000000"/>
    </w:rPr>
  </w:style>
  <w:style w:type="table" w:customStyle="1" w:styleId="81">
    <w:name w:val="Table Normal"/>
    <w:unhideWhenUsed/>
    <w:qFormat/>
    <w:uiPriority w:val="2"/>
    <w:pPr>
      <w:widowControl w:val="0"/>
      <w:autoSpaceDE w:val="0"/>
      <w:autoSpaceDN w:val="0"/>
    </w:pPr>
    <w:rPr>
      <w:rFonts w:ascii="Calibri" w:hAnsi="Calibri"/>
      <w:sz w:val="22"/>
      <w:szCs w:val="22"/>
      <w:lang w:val="en-US" w:eastAsia="en-US" w:bidi="ar-SA"/>
    </w:rPr>
    <w:tblPr>
      <w:tblCellMar>
        <w:top w:w="0" w:type="dxa"/>
        <w:left w:w="0" w:type="dxa"/>
        <w:bottom w:w="0" w:type="dxa"/>
        <w:right w:w="0" w:type="dxa"/>
      </w:tblCellMar>
    </w:tblPr>
  </w:style>
  <w:style w:type="paragraph" w:customStyle="1" w:styleId="82">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extobjs>
    <extobj name="ECB019B1-382A-4266-B25C-5B523AA43C14-1">
      <extobjdata type="ECB019B1-382A-4266-B25C-5B523AA43C14" data="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"/>
    </extobj>
  </extobj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大气专项-江永新能源汽车大型零部件一体化成型及精密加工制造项目.dotx</Template>
  <Pages>25</Pages>
  <Words>3094</Words>
  <Characters>4064</Characters>
  <Lines>209</Lines>
  <Paragraphs>58</Paragraphs>
  <TotalTime>0</TotalTime>
  <ScaleCrop>false</ScaleCrop>
  <LinksUpToDate>false</LinksUpToDate>
  <CharactersWithSpaces>4127</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2025-08-22T05:01:00Z</dcterms:created>
  <dc:creator>赵海文</dc:creator>
  <cp:lastModifiedBy>Administrator</cp:lastModifiedBy>
  <dcterms:modified xsi:type="dcterms:W3CDTF">2025-09-30T01:14:05Z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CB7D81BBA0074F0DAC6AE945D6C67623_11</vt:lpwstr>
  </property>
  <property fmtid="{D5CDD505-2E9C-101B-9397-08002B2CF9AE}" pid="4" name="KSOTemplateDocerSaveRecord">
    <vt:lpwstr>eyJoZGlkIjoiMTFlN2Y0ZGVlZmY3MDViNGY5NjFkYWY3YzRmYzllOTIiLCJ1c2VySWQiOiIzMDU4OTg1In0=</vt:lpwstr>
  </property>
</Properties>
</file>