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C5C323">
      <w:pPr>
        <w:adjustRightInd w:val="0"/>
        <w:snapToGrid w:val="0"/>
        <w:ind w:left="0" w:leftChars="0" w:firstLine="0" w:firstLineChars="0"/>
        <w:jc w:val="center"/>
        <w:outlineLvl w:val="0"/>
        <w:rPr>
          <w:rFonts w:eastAsia="方正小标宋_GBK"/>
          <w:bCs/>
          <w:color w:val="auto"/>
          <w:sz w:val="72"/>
          <w:szCs w:val="72"/>
        </w:rPr>
      </w:pPr>
      <w:bookmarkStart w:id="0" w:name="_Toc110847882"/>
      <w:bookmarkStart w:id="1" w:name="_Toc2662"/>
      <w:bookmarkStart w:id="2" w:name="_Toc8997"/>
      <w:bookmarkStart w:id="3" w:name="_Toc12319"/>
      <w:r>
        <w:rPr>
          <w:rFonts w:eastAsia="方正小标宋_GBK"/>
          <w:bCs/>
          <w:color w:val="auto"/>
          <w:sz w:val="72"/>
          <w:szCs w:val="72"/>
        </w:rPr>
        <w:t>建设项目环境影响报告表</w:t>
      </w:r>
      <w:bookmarkEnd w:id="0"/>
      <w:bookmarkEnd w:id="1"/>
      <w:bookmarkEnd w:id="2"/>
      <w:bookmarkEnd w:id="3"/>
    </w:p>
    <w:p w14:paraId="2DDEF84E">
      <w:pPr>
        <w:adjustRightInd w:val="0"/>
        <w:snapToGrid w:val="0"/>
        <w:spacing w:before="192" w:beforeLines="80"/>
        <w:ind w:left="0" w:leftChars="0" w:firstLine="0" w:firstLineChars="0"/>
        <w:jc w:val="center"/>
        <w:rPr>
          <w:rFonts w:hint="eastAsia" w:eastAsia="楷体_GB2312"/>
          <w:bCs/>
          <w:color w:val="auto"/>
          <w:sz w:val="48"/>
          <w:szCs w:val="48"/>
          <w:lang w:eastAsia="zh-CN"/>
        </w:rPr>
      </w:pPr>
      <w:r>
        <w:rPr>
          <w:rFonts w:hint="eastAsia" w:eastAsia="楷体_GB2312"/>
          <w:bCs/>
          <w:color w:val="auto"/>
          <w:sz w:val="48"/>
          <w:szCs w:val="48"/>
          <w:lang w:eastAsia="zh-CN"/>
        </w:rPr>
        <w:t>(</w:t>
      </w:r>
      <w:r>
        <w:rPr>
          <w:rFonts w:hint="eastAsia" w:eastAsia="楷体_GB2312"/>
          <w:bCs/>
          <w:color w:val="auto"/>
          <w:sz w:val="48"/>
          <w:szCs w:val="48"/>
        </w:rPr>
        <w:t>污染影响类</w:t>
      </w:r>
      <w:r>
        <w:rPr>
          <w:rFonts w:hint="eastAsia" w:eastAsia="楷体_GB2312"/>
          <w:bCs/>
          <w:color w:val="auto"/>
          <w:sz w:val="48"/>
          <w:szCs w:val="48"/>
          <w:lang w:eastAsia="zh-CN"/>
        </w:rPr>
        <w:t>)</w:t>
      </w:r>
    </w:p>
    <w:p w14:paraId="1C4213AE">
      <w:pPr>
        <w:adjustRightInd w:val="0"/>
        <w:snapToGrid w:val="0"/>
        <w:spacing w:line="288" w:lineRule="auto"/>
        <w:jc w:val="center"/>
        <w:outlineLvl w:val="0"/>
        <w:rPr>
          <w:rFonts w:eastAsia="华文仿宋"/>
          <w:color w:val="auto"/>
          <w:kern w:val="44"/>
          <w:sz w:val="44"/>
          <w:szCs w:val="44"/>
        </w:rPr>
      </w:pPr>
    </w:p>
    <w:p w14:paraId="3ABCDB9F">
      <w:pPr>
        <w:jc w:val="center"/>
        <w:rPr>
          <w:rFonts w:eastAsia="仿宋"/>
          <w:color w:val="auto"/>
          <w:sz w:val="52"/>
          <w:szCs w:val="52"/>
        </w:rPr>
      </w:pPr>
    </w:p>
    <w:p w14:paraId="2D5A7B2B">
      <w:pPr>
        <w:ind w:firstLine="1040"/>
        <w:rPr>
          <w:rFonts w:eastAsia="仿宋"/>
          <w:color w:val="auto"/>
          <w:sz w:val="44"/>
          <w:szCs w:val="44"/>
        </w:rPr>
      </w:pPr>
    </w:p>
    <w:p w14:paraId="4B79E475">
      <w:pPr>
        <w:ind w:firstLine="1040"/>
        <w:rPr>
          <w:rFonts w:eastAsia="仿宋"/>
          <w:color w:val="auto"/>
          <w:sz w:val="44"/>
          <w:szCs w:val="44"/>
        </w:rPr>
      </w:pPr>
    </w:p>
    <w:p w14:paraId="115681EB">
      <w:pPr>
        <w:ind w:firstLine="1040"/>
        <w:rPr>
          <w:rFonts w:eastAsia="仿宋"/>
          <w:color w:val="auto"/>
          <w:sz w:val="44"/>
          <w:szCs w:val="44"/>
        </w:rPr>
      </w:pPr>
    </w:p>
    <w:p w14:paraId="51F51D80">
      <w:pPr>
        <w:ind w:firstLine="1040"/>
        <w:rPr>
          <w:rFonts w:eastAsia="仿宋"/>
          <w:color w:val="auto"/>
          <w:sz w:val="44"/>
          <w:szCs w:val="44"/>
        </w:rPr>
      </w:pPr>
    </w:p>
    <w:p w14:paraId="60E76CFF">
      <w:pPr>
        <w:adjustRightInd w:val="0"/>
        <w:snapToGrid w:val="0"/>
        <w:spacing w:line="288" w:lineRule="auto"/>
        <w:ind w:left="2400" w:leftChars="100" w:hanging="2160" w:hangingChars="600"/>
        <w:rPr>
          <w:rFonts w:eastAsia="仿宋_GB2312"/>
          <w:color w:val="auto"/>
          <w:sz w:val="36"/>
          <w:szCs w:val="36"/>
          <w:u w:val="single"/>
        </w:rPr>
      </w:pPr>
      <w:r>
        <w:rPr>
          <w:rFonts w:eastAsia="仿宋_GB2312"/>
          <w:color w:val="auto"/>
          <w:sz w:val="36"/>
          <w:szCs w:val="36"/>
        </w:rPr>
        <w:t>项目名称：</w:t>
      </w:r>
      <w:r>
        <w:rPr>
          <w:rFonts w:hint="eastAsia" w:eastAsia="仿宋_GB2312"/>
          <w:color w:val="auto"/>
          <w:sz w:val="36"/>
          <w:szCs w:val="36"/>
          <w:u w:val="single"/>
          <w:lang w:eastAsia="zh-CN"/>
        </w:rPr>
        <w:t>江永新能源汽车大型零部件一体化成型及精密加工制造项目</w:t>
      </w:r>
      <w:r>
        <w:rPr>
          <w:rFonts w:eastAsia="仿宋_GB2312"/>
          <w:color w:val="auto"/>
          <w:sz w:val="36"/>
          <w:szCs w:val="36"/>
          <w:u w:val="single"/>
        </w:rPr>
        <w:t xml:space="preserve">                            </w:t>
      </w:r>
      <w:r>
        <w:rPr>
          <w:rFonts w:hint="eastAsia" w:eastAsia="仿宋_GB2312"/>
          <w:color w:val="auto"/>
          <w:sz w:val="36"/>
          <w:szCs w:val="36"/>
          <w:u w:val="single"/>
          <w:lang w:val="en-US" w:eastAsia="zh-CN"/>
        </w:rPr>
        <w:t xml:space="preserve">  </w:t>
      </w:r>
      <w:r>
        <w:rPr>
          <w:rFonts w:eastAsia="仿宋_GB2312"/>
          <w:color w:val="auto"/>
          <w:sz w:val="36"/>
          <w:szCs w:val="36"/>
          <w:u w:val="single"/>
        </w:rPr>
        <w:t xml:space="preserve">  </w:t>
      </w:r>
    </w:p>
    <w:p w14:paraId="7D87E4AF">
      <w:pPr>
        <w:adjustRightInd w:val="0"/>
        <w:snapToGrid w:val="0"/>
        <w:spacing w:line="288" w:lineRule="auto"/>
        <w:ind w:firstLine="360" w:firstLineChars="100"/>
        <w:rPr>
          <w:rFonts w:eastAsia="仿宋_GB2312"/>
          <w:color w:val="auto"/>
          <w:sz w:val="36"/>
          <w:szCs w:val="36"/>
          <w:u w:val="single"/>
        </w:rPr>
      </w:pPr>
      <w:r>
        <w:rPr>
          <w:rFonts w:eastAsia="仿宋_GB2312"/>
          <w:color w:val="auto"/>
          <w:sz w:val="36"/>
          <w:szCs w:val="36"/>
        </w:rPr>
        <w:t>建设单位</w:t>
      </w:r>
      <w:r>
        <w:rPr>
          <w:rFonts w:hint="eastAsia" w:eastAsia="仿宋_GB2312"/>
          <w:color w:val="auto"/>
          <w:sz w:val="36"/>
          <w:szCs w:val="36"/>
          <w:lang w:eastAsia="zh-CN"/>
        </w:rPr>
        <w:t>(</w:t>
      </w:r>
      <w:r>
        <w:rPr>
          <w:rFonts w:eastAsia="仿宋_GB2312"/>
          <w:color w:val="auto"/>
          <w:sz w:val="36"/>
          <w:szCs w:val="36"/>
        </w:rPr>
        <w:t>盖章</w:t>
      </w:r>
      <w:r>
        <w:rPr>
          <w:rFonts w:hint="eastAsia" w:eastAsia="仿宋_GB2312"/>
          <w:color w:val="auto"/>
          <w:sz w:val="36"/>
          <w:szCs w:val="36"/>
          <w:lang w:eastAsia="zh-CN"/>
        </w:rPr>
        <w:t>)</w:t>
      </w:r>
      <w:r>
        <w:rPr>
          <w:rFonts w:eastAsia="仿宋_GB2312"/>
          <w:color w:val="auto"/>
          <w:sz w:val="36"/>
          <w:szCs w:val="36"/>
        </w:rPr>
        <w:t>：</w:t>
      </w:r>
      <w:r>
        <w:rPr>
          <w:rFonts w:eastAsia="仿宋_GB2312"/>
          <w:color w:val="auto"/>
          <w:sz w:val="36"/>
          <w:szCs w:val="36"/>
          <w:u w:val="single"/>
        </w:rPr>
        <w:t xml:space="preserve"> </w:t>
      </w:r>
      <w:r>
        <w:rPr>
          <w:rFonts w:hint="eastAsia" w:eastAsia="仿宋_GB2312"/>
          <w:color w:val="auto"/>
          <w:sz w:val="36"/>
          <w:szCs w:val="36"/>
          <w:u w:val="single"/>
          <w:lang w:eastAsia="zh-CN"/>
        </w:rPr>
        <w:t>湖南湘铝科技有限公司</w:t>
      </w:r>
      <w:r>
        <w:rPr>
          <w:rFonts w:eastAsia="仿宋_GB2312"/>
          <w:color w:val="auto"/>
          <w:sz w:val="36"/>
          <w:szCs w:val="36"/>
          <w:u w:val="single"/>
        </w:rPr>
        <w:t xml:space="preserve">   </w:t>
      </w:r>
      <w:r>
        <w:rPr>
          <w:rFonts w:hint="eastAsia" w:eastAsia="仿宋_GB2312"/>
          <w:color w:val="auto"/>
          <w:sz w:val="36"/>
          <w:szCs w:val="36"/>
          <w:u w:val="single"/>
          <w:lang w:val="en-US" w:eastAsia="zh-CN"/>
        </w:rPr>
        <w:t xml:space="preserve">   </w:t>
      </w:r>
      <w:r>
        <w:rPr>
          <w:rFonts w:eastAsia="仿宋_GB2312"/>
          <w:color w:val="auto"/>
          <w:sz w:val="36"/>
          <w:szCs w:val="36"/>
          <w:u w:val="single"/>
        </w:rPr>
        <w:t xml:space="preserve"> </w:t>
      </w:r>
    </w:p>
    <w:p w14:paraId="7C8972EF">
      <w:pPr>
        <w:adjustRightInd w:val="0"/>
        <w:snapToGrid w:val="0"/>
        <w:spacing w:line="288" w:lineRule="auto"/>
        <w:ind w:left="0" w:leftChars="0" w:firstLine="360" w:firstLineChars="100"/>
        <w:rPr>
          <w:rFonts w:eastAsia="仿宋_GB2312"/>
          <w:color w:val="auto"/>
          <w:sz w:val="36"/>
          <w:szCs w:val="36"/>
          <w:u w:val="single"/>
        </w:rPr>
      </w:pPr>
      <w:r>
        <w:rPr>
          <w:rFonts w:eastAsia="仿宋_GB2312"/>
          <w:color w:val="auto"/>
          <w:sz w:val="36"/>
          <w:szCs w:val="36"/>
        </w:rPr>
        <w:t>编制日期：</w:t>
      </w:r>
      <w:r>
        <w:rPr>
          <w:rFonts w:eastAsia="仿宋_GB2312"/>
          <w:color w:val="auto"/>
          <w:sz w:val="36"/>
          <w:szCs w:val="36"/>
          <w:u w:val="single"/>
        </w:rPr>
        <w:t xml:space="preserve">  二零二</w:t>
      </w:r>
      <w:r>
        <w:rPr>
          <w:rFonts w:hint="eastAsia" w:eastAsia="仿宋_GB2312"/>
          <w:color w:val="auto"/>
          <w:sz w:val="36"/>
          <w:szCs w:val="36"/>
          <w:u w:val="single"/>
          <w:lang w:eastAsia="zh-CN"/>
        </w:rPr>
        <w:t>五</w:t>
      </w:r>
      <w:r>
        <w:rPr>
          <w:rFonts w:eastAsia="仿宋_GB2312"/>
          <w:color w:val="auto"/>
          <w:sz w:val="36"/>
          <w:szCs w:val="36"/>
          <w:u w:val="single"/>
        </w:rPr>
        <w:t>年</w:t>
      </w:r>
      <w:r>
        <w:rPr>
          <w:rFonts w:hint="eastAsia" w:eastAsia="仿宋_GB2312"/>
          <w:color w:val="auto"/>
          <w:sz w:val="36"/>
          <w:szCs w:val="36"/>
          <w:u w:val="single"/>
          <w:lang w:val="en-US" w:eastAsia="zh-CN"/>
        </w:rPr>
        <w:t>九</w:t>
      </w:r>
      <w:r>
        <w:rPr>
          <w:rFonts w:eastAsia="仿宋_GB2312"/>
          <w:color w:val="auto"/>
          <w:sz w:val="36"/>
          <w:szCs w:val="36"/>
          <w:u w:val="single"/>
        </w:rPr>
        <w:t xml:space="preserve">月                </w:t>
      </w:r>
      <w:r>
        <w:rPr>
          <w:rFonts w:hint="eastAsia" w:eastAsia="仿宋_GB2312"/>
          <w:color w:val="auto"/>
          <w:sz w:val="36"/>
          <w:szCs w:val="36"/>
          <w:u w:val="single"/>
          <w:lang w:val="en-US" w:eastAsia="zh-CN"/>
        </w:rPr>
        <w:t xml:space="preserve"> </w:t>
      </w:r>
      <w:r>
        <w:rPr>
          <w:rFonts w:eastAsia="仿宋_GB2312"/>
          <w:color w:val="auto"/>
          <w:sz w:val="36"/>
          <w:szCs w:val="36"/>
          <w:u w:val="single"/>
        </w:rPr>
        <w:t xml:space="preserve">  </w:t>
      </w:r>
    </w:p>
    <w:p w14:paraId="3A359ACF">
      <w:pPr>
        <w:adjustRightInd w:val="0"/>
        <w:snapToGrid w:val="0"/>
        <w:spacing w:line="288" w:lineRule="auto"/>
        <w:ind w:firstLine="1040"/>
        <w:rPr>
          <w:rFonts w:eastAsia="仿宋_GB2312"/>
          <w:color w:val="auto"/>
          <w:sz w:val="36"/>
          <w:szCs w:val="36"/>
          <w:u w:val="single"/>
        </w:rPr>
      </w:pPr>
      <w:bookmarkStart w:id="4" w:name="_Hlk57884087"/>
    </w:p>
    <w:p w14:paraId="7FCED8AA">
      <w:pPr>
        <w:adjustRightInd w:val="0"/>
        <w:snapToGrid w:val="0"/>
        <w:spacing w:line="288" w:lineRule="auto"/>
        <w:ind w:firstLine="1040"/>
        <w:rPr>
          <w:rFonts w:eastAsia="仿宋_GB2312"/>
          <w:color w:val="auto"/>
          <w:sz w:val="36"/>
          <w:szCs w:val="36"/>
        </w:rPr>
      </w:pPr>
    </w:p>
    <w:p w14:paraId="2F741067">
      <w:pPr>
        <w:adjustRightInd w:val="0"/>
        <w:snapToGrid w:val="0"/>
        <w:spacing w:line="288" w:lineRule="auto"/>
        <w:ind w:firstLine="1040"/>
        <w:rPr>
          <w:rFonts w:eastAsia="仿宋_GB2312"/>
          <w:color w:val="auto"/>
          <w:sz w:val="36"/>
          <w:szCs w:val="36"/>
        </w:rPr>
      </w:pPr>
    </w:p>
    <w:p w14:paraId="7DA25B80">
      <w:pPr>
        <w:adjustRightInd w:val="0"/>
        <w:snapToGrid w:val="0"/>
        <w:spacing w:line="288" w:lineRule="auto"/>
        <w:ind w:firstLine="1040"/>
        <w:rPr>
          <w:rFonts w:eastAsia="仿宋_GB2312"/>
          <w:color w:val="auto"/>
          <w:sz w:val="36"/>
          <w:szCs w:val="36"/>
        </w:rPr>
      </w:pPr>
    </w:p>
    <w:p w14:paraId="2C4FCA51">
      <w:pPr>
        <w:adjustRightInd w:val="0"/>
        <w:snapToGrid w:val="0"/>
        <w:spacing w:line="288" w:lineRule="auto"/>
        <w:ind w:firstLine="1040"/>
        <w:rPr>
          <w:rFonts w:eastAsia="仿宋_GB2312"/>
          <w:color w:val="auto"/>
          <w:sz w:val="36"/>
          <w:szCs w:val="36"/>
        </w:rPr>
      </w:pPr>
    </w:p>
    <w:bookmarkEnd w:id="4"/>
    <w:p w14:paraId="7B6016F6">
      <w:pPr>
        <w:adjustRightInd w:val="0"/>
        <w:snapToGrid w:val="0"/>
        <w:spacing w:line="288" w:lineRule="auto"/>
        <w:jc w:val="center"/>
        <w:rPr>
          <w:rFonts w:eastAsia="楷体_GB2312"/>
          <w:color w:val="auto"/>
          <w:sz w:val="36"/>
          <w:szCs w:val="36"/>
        </w:rPr>
        <w:sectPr>
          <w:footerReference r:id="rId5" w:type="default"/>
          <w:footerReference r:id="rId6" w:type="even"/>
          <w:pgSz w:w="11906" w:h="16838"/>
          <w:pgMar w:top="1701" w:right="1531" w:bottom="1701" w:left="1531" w:header="851" w:footer="1077" w:gutter="0"/>
          <w:pgBorders>
            <w:top w:val="none" w:sz="0" w:space="0"/>
            <w:left w:val="none" w:sz="0" w:space="0"/>
            <w:bottom w:val="none" w:sz="0" w:space="0"/>
            <w:right w:val="none" w:sz="0" w:space="0"/>
          </w:pgBorders>
          <w:pgNumType w:fmt="decimal"/>
          <w:cols w:space="720" w:num="1"/>
          <w:docGrid w:linePitch="312" w:charSpace="0"/>
        </w:sectPr>
      </w:pPr>
      <w:r>
        <w:rPr>
          <w:rFonts w:eastAsia="楷体_GB2312"/>
          <w:color w:val="auto"/>
          <w:sz w:val="36"/>
          <w:szCs w:val="36"/>
        </w:rPr>
        <w:t>中华人民共和国生态环境部制</w:t>
      </w:r>
    </w:p>
    <w:p w14:paraId="6B85AD97">
      <w:pPr>
        <w:adjustRightInd w:val="0"/>
        <w:snapToGrid w:val="0"/>
        <w:spacing w:line="288" w:lineRule="auto"/>
        <w:ind w:left="0" w:leftChars="0" w:firstLine="0" w:firstLineChars="0"/>
        <w:jc w:val="both"/>
        <w:rPr>
          <w:rFonts w:hint="eastAsia" w:eastAsia="楷体_GB2312"/>
          <w:color w:val="auto"/>
          <w:sz w:val="36"/>
          <w:szCs w:val="36"/>
          <w:lang w:eastAsia="zh-CN"/>
        </w:rPr>
        <w:sectPr>
          <w:pgSz w:w="11906" w:h="16838"/>
          <w:pgMar w:top="0" w:right="0" w:bottom="0" w:left="0" w:header="851" w:footer="1077" w:gutter="0"/>
          <w:pgBorders>
            <w:top w:val="none" w:sz="0" w:space="0"/>
            <w:left w:val="none" w:sz="0" w:space="0"/>
            <w:bottom w:val="none" w:sz="0" w:space="0"/>
            <w:right w:val="none" w:sz="0" w:space="0"/>
          </w:pgBorders>
          <w:pgNumType w:fmt="decimal"/>
          <w:cols w:space="720" w:num="1"/>
          <w:docGrid w:linePitch="312" w:charSpace="0"/>
        </w:sectPr>
      </w:pPr>
      <w:r>
        <w:rPr>
          <w:rFonts w:hint="eastAsia" w:eastAsia="楷体_GB2312"/>
          <w:color w:val="auto"/>
          <w:sz w:val="36"/>
          <w:szCs w:val="36"/>
          <w:lang w:eastAsia="zh-CN"/>
        </w:rPr>
        <w:drawing>
          <wp:inline distT="0" distB="0" distL="114300" distR="114300">
            <wp:extent cx="7560945" cy="10414635"/>
            <wp:effectExtent l="0" t="0" r="1905" b="5715"/>
            <wp:docPr id="2" name="图片 2" descr="编制人员情况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编制人员情况表"/>
                    <pic:cNvPicPr>
                      <a:picLocks noChangeAspect="1"/>
                    </pic:cNvPicPr>
                  </pic:nvPicPr>
                  <pic:blipFill>
                    <a:blip r:embed="rId11"/>
                    <a:stretch>
                      <a:fillRect/>
                    </a:stretch>
                  </pic:blipFill>
                  <pic:spPr>
                    <a:xfrm>
                      <a:off x="0" y="0"/>
                      <a:ext cx="7560945" cy="10414635"/>
                    </a:xfrm>
                    <a:prstGeom prst="rect">
                      <a:avLst/>
                    </a:prstGeom>
                  </pic:spPr>
                </pic:pic>
              </a:graphicData>
            </a:graphic>
          </wp:inline>
        </w:drawing>
      </w:r>
      <w:r>
        <w:rPr>
          <w:rFonts w:hint="eastAsia" w:eastAsia="楷体_GB2312"/>
          <w:color w:val="auto"/>
          <w:sz w:val="36"/>
          <w:szCs w:val="36"/>
          <w:lang w:eastAsia="zh-CN"/>
        </w:rPr>
        <w:drawing>
          <wp:inline distT="0" distB="0" distL="114300" distR="114300">
            <wp:extent cx="7567295" cy="10423525"/>
            <wp:effectExtent l="0" t="0" r="14605" b="15875"/>
            <wp:docPr id="3" name="图片 3" descr="修改索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修改索引"/>
                    <pic:cNvPicPr>
                      <a:picLocks noChangeAspect="1"/>
                    </pic:cNvPicPr>
                  </pic:nvPicPr>
                  <pic:blipFill>
                    <a:blip r:embed="rId12"/>
                    <a:stretch>
                      <a:fillRect/>
                    </a:stretch>
                  </pic:blipFill>
                  <pic:spPr>
                    <a:xfrm>
                      <a:off x="0" y="0"/>
                      <a:ext cx="7567295" cy="10423525"/>
                    </a:xfrm>
                    <a:prstGeom prst="rect">
                      <a:avLst/>
                    </a:prstGeom>
                  </pic:spPr>
                </pic:pic>
              </a:graphicData>
            </a:graphic>
          </wp:inline>
        </w:drawing>
      </w:r>
    </w:p>
    <w:p w14:paraId="29294E2E">
      <w:pPr>
        <w:pStyle w:val="20"/>
        <w:spacing w:line="360" w:lineRule="auto"/>
        <w:rPr>
          <w:color w:val="auto"/>
          <w:sz w:val="32"/>
          <w:szCs w:val="32"/>
        </w:rPr>
      </w:pPr>
      <w:r>
        <w:rPr>
          <w:color w:val="auto"/>
          <w:sz w:val="32"/>
          <w:szCs w:val="32"/>
        </w:rPr>
        <w:t>目  录</w:t>
      </w:r>
    </w:p>
    <w:p w14:paraId="6F9A644F">
      <w:pPr>
        <w:pStyle w:val="20"/>
        <w:tabs>
          <w:tab w:val="right" w:leader="dot" w:pos="8312"/>
          <w:tab w:val="clear" w:pos="8834"/>
        </w:tabs>
        <w:rPr>
          <w:color w:val="auto"/>
        </w:rPr>
      </w:pPr>
      <w:r>
        <w:rPr>
          <w:color w:val="auto"/>
        </w:rPr>
        <w:fldChar w:fldCharType="begin"/>
      </w:r>
      <w:r>
        <w:rPr>
          <w:color w:val="auto"/>
        </w:rPr>
        <w:instrText xml:space="preserve"> TOC \o "1-1" \h \z \u </w:instrText>
      </w:r>
      <w:r>
        <w:rPr>
          <w:color w:val="auto"/>
        </w:rPr>
        <w:fldChar w:fldCharType="separate"/>
      </w:r>
      <w:r>
        <w:rPr>
          <w:color w:val="auto"/>
        </w:rPr>
        <w:fldChar w:fldCharType="begin"/>
      </w:r>
      <w:r>
        <w:rPr>
          <w:color w:val="auto"/>
        </w:rPr>
        <w:instrText xml:space="preserve"> HYPERLINK \l _Toc8997 </w:instrText>
      </w:r>
      <w:r>
        <w:rPr>
          <w:color w:val="auto"/>
        </w:rPr>
        <w:fldChar w:fldCharType="separate"/>
      </w:r>
      <w:r>
        <w:rPr>
          <w:rFonts w:eastAsia="方正小标宋_GBK"/>
          <w:bCs/>
          <w:color w:val="auto"/>
          <w:szCs w:val="72"/>
        </w:rPr>
        <w:t>建设项目环境影响报告表</w:t>
      </w:r>
      <w:r>
        <w:rPr>
          <w:color w:val="auto"/>
        </w:rPr>
        <w:tab/>
      </w:r>
      <w:r>
        <w:rPr>
          <w:color w:val="auto"/>
        </w:rPr>
        <w:fldChar w:fldCharType="begin"/>
      </w:r>
      <w:r>
        <w:rPr>
          <w:color w:val="auto"/>
        </w:rPr>
        <w:instrText xml:space="preserve"> PAGEREF _Toc8997 \h </w:instrText>
      </w:r>
      <w:r>
        <w:rPr>
          <w:color w:val="auto"/>
        </w:rPr>
        <w:fldChar w:fldCharType="separate"/>
      </w:r>
      <w:r>
        <w:rPr>
          <w:color w:val="auto"/>
        </w:rPr>
        <w:t>1</w:t>
      </w:r>
      <w:r>
        <w:rPr>
          <w:color w:val="auto"/>
        </w:rPr>
        <w:fldChar w:fldCharType="end"/>
      </w:r>
      <w:r>
        <w:rPr>
          <w:color w:val="auto"/>
        </w:rPr>
        <w:fldChar w:fldCharType="end"/>
      </w:r>
    </w:p>
    <w:p w14:paraId="7F43D990">
      <w:pPr>
        <w:pStyle w:val="20"/>
        <w:tabs>
          <w:tab w:val="right" w:leader="dot" w:pos="8312"/>
          <w:tab w:val="clear" w:pos="8834"/>
        </w:tabs>
        <w:rPr>
          <w:color w:val="auto"/>
        </w:rPr>
      </w:pPr>
      <w:r>
        <w:rPr>
          <w:color w:val="auto"/>
        </w:rPr>
        <w:fldChar w:fldCharType="begin"/>
      </w:r>
      <w:r>
        <w:rPr>
          <w:color w:val="auto"/>
        </w:rPr>
        <w:instrText xml:space="preserve"> HYPERLINK \l _Toc6768 </w:instrText>
      </w:r>
      <w:r>
        <w:rPr>
          <w:color w:val="auto"/>
        </w:rPr>
        <w:fldChar w:fldCharType="separate"/>
      </w:r>
      <w:r>
        <w:rPr>
          <w:rFonts w:ascii="Times New Roman" w:hAnsi="Times New Roman" w:eastAsia="黑体"/>
          <w:snapToGrid w:val="0"/>
          <w:color w:val="auto"/>
          <w:szCs w:val="30"/>
        </w:rPr>
        <w:t>一、建设项目基本情况</w:t>
      </w:r>
      <w:r>
        <w:rPr>
          <w:color w:val="auto"/>
        </w:rPr>
        <w:tab/>
      </w:r>
      <w:r>
        <w:rPr>
          <w:color w:val="auto"/>
        </w:rPr>
        <w:fldChar w:fldCharType="begin"/>
      </w:r>
      <w:r>
        <w:rPr>
          <w:color w:val="auto"/>
        </w:rPr>
        <w:instrText xml:space="preserve"> PAGEREF _Toc6768 \h </w:instrText>
      </w:r>
      <w:r>
        <w:rPr>
          <w:color w:val="auto"/>
        </w:rPr>
        <w:fldChar w:fldCharType="separate"/>
      </w:r>
      <w:r>
        <w:rPr>
          <w:color w:val="auto"/>
        </w:rPr>
        <w:t>1</w:t>
      </w:r>
      <w:r>
        <w:rPr>
          <w:color w:val="auto"/>
        </w:rPr>
        <w:fldChar w:fldCharType="end"/>
      </w:r>
      <w:r>
        <w:rPr>
          <w:color w:val="auto"/>
        </w:rPr>
        <w:fldChar w:fldCharType="end"/>
      </w:r>
    </w:p>
    <w:p w14:paraId="1474D57A">
      <w:pPr>
        <w:pStyle w:val="20"/>
        <w:tabs>
          <w:tab w:val="right" w:leader="dot" w:pos="8312"/>
          <w:tab w:val="clear" w:pos="8834"/>
        </w:tabs>
        <w:rPr>
          <w:color w:val="auto"/>
        </w:rPr>
      </w:pPr>
      <w:r>
        <w:rPr>
          <w:color w:val="auto"/>
        </w:rPr>
        <w:fldChar w:fldCharType="begin"/>
      </w:r>
      <w:r>
        <w:rPr>
          <w:color w:val="auto"/>
        </w:rPr>
        <w:instrText xml:space="preserve"> HYPERLINK \l _Toc1958 </w:instrText>
      </w:r>
      <w:r>
        <w:rPr>
          <w:color w:val="auto"/>
        </w:rPr>
        <w:fldChar w:fldCharType="separate"/>
      </w:r>
      <w:r>
        <w:rPr>
          <w:rFonts w:ascii="Times New Roman" w:hAnsi="Times New Roman" w:eastAsia="黑体"/>
          <w:snapToGrid w:val="0"/>
          <w:color w:val="auto"/>
          <w:szCs w:val="30"/>
        </w:rPr>
        <w:t>二、建设项目工程分析</w:t>
      </w:r>
      <w:r>
        <w:rPr>
          <w:color w:val="auto"/>
        </w:rPr>
        <w:tab/>
      </w:r>
      <w:r>
        <w:rPr>
          <w:color w:val="auto"/>
        </w:rPr>
        <w:fldChar w:fldCharType="begin"/>
      </w:r>
      <w:r>
        <w:rPr>
          <w:color w:val="auto"/>
        </w:rPr>
        <w:instrText xml:space="preserve"> PAGEREF _Toc1958 \h </w:instrText>
      </w:r>
      <w:r>
        <w:rPr>
          <w:color w:val="auto"/>
        </w:rPr>
        <w:fldChar w:fldCharType="separate"/>
      </w:r>
      <w:r>
        <w:rPr>
          <w:color w:val="auto"/>
        </w:rPr>
        <w:t>11</w:t>
      </w:r>
      <w:r>
        <w:rPr>
          <w:color w:val="auto"/>
        </w:rPr>
        <w:fldChar w:fldCharType="end"/>
      </w:r>
      <w:r>
        <w:rPr>
          <w:color w:val="auto"/>
        </w:rPr>
        <w:fldChar w:fldCharType="end"/>
      </w:r>
    </w:p>
    <w:p w14:paraId="17F4BD70">
      <w:pPr>
        <w:pStyle w:val="20"/>
        <w:tabs>
          <w:tab w:val="right" w:leader="dot" w:pos="8312"/>
          <w:tab w:val="clear" w:pos="8834"/>
        </w:tabs>
        <w:rPr>
          <w:color w:val="auto"/>
        </w:rPr>
      </w:pPr>
      <w:r>
        <w:rPr>
          <w:color w:val="auto"/>
        </w:rPr>
        <w:fldChar w:fldCharType="begin"/>
      </w:r>
      <w:r>
        <w:rPr>
          <w:color w:val="auto"/>
        </w:rPr>
        <w:instrText xml:space="preserve"> HYPERLINK \l _Toc25267 </w:instrText>
      </w:r>
      <w:r>
        <w:rPr>
          <w:color w:val="auto"/>
        </w:rPr>
        <w:fldChar w:fldCharType="separate"/>
      </w:r>
      <w:r>
        <w:rPr>
          <w:rFonts w:ascii="Times New Roman" w:hAnsi="Times New Roman" w:eastAsia="黑体"/>
          <w:snapToGrid w:val="0"/>
          <w:color w:val="auto"/>
          <w:szCs w:val="30"/>
        </w:rPr>
        <w:t>三、区域环境质量现状、环境保护目标及评价标准</w:t>
      </w:r>
      <w:r>
        <w:rPr>
          <w:color w:val="auto"/>
        </w:rPr>
        <w:tab/>
      </w:r>
      <w:r>
        <w:rPr>
          <w:color w:val="auto"/>
        </w:rPr>
        <w:fldChar w:fldCharType="begin"/>
      </w:r>
      <w:r>
        <w:rPr>
          <w:color w:val="auto"/>
        </w:rPr>
        <w:instrText xml:space="preserve"> PAGEREF _Toc25267 \h </w:instrText>
      </w:r>
      <w:r>
        <w:rPr>
          <w:color w:val="auto"/>
        </w:rPr>
        <w:fldChar w:fldCharType="separate"/>
      </w:r>
      <w:r>
        <w:rPr>
          <w:color w:val="auto"/>
        </w:rPr>
        <w:t>19</w:t>
      </w:r>
      <w:r>
        <w:rPr>
          <w:color w:val="auto"/>
        </w:rPr>
        <w:fldChar w:fldCharType="end"/>
      </w:r>
      <w:r>
        <w:rPr>
          <w:color w:val="auto"/>
        </w:rPr>
        <w:fldChar w:fldCharType="end"/>
      </w:r>
    </w:p>
    <w:p w14:paraId="414B0EEC">
      <w:pPr>
        <w:pStyle w:val="20"/>
        <w:tabs>
          <w:tab w:val="right" w:leader="dot" w:pos="8312"/>
          <w:tab w:val="clear" w:pos="8834"/>
        </w:tabs>
        <w:rPr>
          <w:color w:val="auto"/>
        </w:rPr>
      </w:pPr>
      <w:r>
        <w:rPr>
          <w:color w:val="auto"/>
        </w:rPr>
        <w:fldChar w:fldCharType="begin"/>
      </w:r>
      <w:r>
        <w:rPr>
          <w:color w:val="auto"/>
        </w:rPr>
        <w:instrText xml:space="preserve"> HYPERLINK \l _Toc21939 </w:instrText>
      </w:r>
      <w:r>
        <w:rPr>
          <w:color w:val="auto"/>
        </w:rPr>
        <w:fldChar w:fldCharType="separate"/>
      </w:r>
      <w:r>
        <w:rPr>
          <w:rFonts w:ascii="Times New Roman" w:hAnsi="Times New Roman" w:eastAsia="黑体"/>
          <w:snapToGrid w:val="0"/>
          <w:color w:val="auto"/>
          <w:szCs w:val="30"/>
        </w:rPr>
        <w:t>四、主要环境影响和保护措施</w:t>
      </w:r>
      <w:r>
        <w:rPr>
          <w:color w:val="auto"/>
        </w:rPr>
        <w:tab/>
      </w:r>
      <w:r>
        <w:rPr>
          <w:color w:val="auto"/>
        </w:rPr>
        <w:fldChar w:fldCharType="begin"/>
      </w:r>
      <w:r>
        <w:rPr>
          <w:color w:val="auto"/>
        </w:rPr>
        <w:instrText xml:space="preserve"> PAGEREF _Toc21939 \h </w:instrText>
      </w:r>
      <w:r>
        <w:rPr>
          <w:color w:val="auto"/>
        </w:rPr>
        <w:fldChar w:fldCharType="separate"/>
      </w:r>
      <w:r>
        <w:rPr>
          <w:color w:val="auto"/>
        </w:rPr>
        <w:t>25</w:t>
      </w:r>
      <w:r>
        <w:rPr>
          <w:color w:val="auto"/>
        </w:rPr>
        <w:fldChar w:fldCharType="end"/>
      </w:r>
      <w:r>
        <w:rPr>
          <w:color w:val="auto"/>
        </w:rPr>
        <w:fldChar w:fldCharType="end"/>
      </w:r>
    </w:p>
    <w:p w14:paraId="45A7BDB9">
      <w:pPr>
        <w:pStyle w:val="20"/>
        <w:tabs>
          <w:tab w:val="right" w:leader="dot" w:pos="8312"/>
          <w:tab w:val="clear" w:pos="8834"/>
        </w:tabs>
        <w:rPr>
          <w:color w:val="auto"/>
        </w:rPr>
      </w:pPr>
      <w:r>
        <w:rPr>
          <w:color w:val="auto"/>
        </w:rPr>
        <w:fldChar w:fldCharType="begin"/>
      </w:r>
      <w:r>
        <w:rPr>
          <w:color w:val="auto"/>
        </w:rPr>
        <w:instrText xml:space="preserve"> HYPERLINK \l _Toc27562 </w:instrText>
      </w:r>
      <w:r>
        <w:rPr>
          <w:color w:val="auto"/>
        </w:rPr>
        <w:fldChar w:fldCharType="separate"/>
      </w:r>
      <w:r>
        <w:rPr>
          <w:rFonts w:ascii="Times New Roman" w:hAnsi="Times New Roman" w:eastAsia="黑体"/>
          <w:snapToGrid w:val="0"/>
          <w:color w:val="auto"/>
          <w:szCs w:val="30"/>
        </w:rPr>
        <w:t>五、环境保护措施监督检查清单</w:t>
      </w:r>
      <w:r>
        <w:rPr>
          <w:color w:val="auto"/>
        </w:rPr>
        <w:tab/>
      </w:r>
      <w:r>
        <w:rPr>
          <w:color w:val="auto"/>
        </w:rPr>
        <w:fldChar w:fldCharType="begin"/>
      </w:r>
      <w:r>
        <w:rPr>
          <w:color w:val="auto"/>
        </w:rPr>
        <w:instrText xml:space="preserve"> PAGEREF _Toc27562 \h </w:instrText>
      </w:r>
      <w:r>
        <w:rPr>
          <w:color w:val="auto"/>
        </w:rPr>
        <w:fldChar w:fldCharType="separate"/>
      </w:r>
      <w:r>
        <w:rPr>
          <w:color w:val="auto"/>
        </w:rPr>
        <w:t>50</w:t>
      </w:r>
      <w:r>
        <w:rPr>
          <w:color w:val="auto"/>
        </w:rPr>
        <w:fldChar w:fldCharType="end"/>
      </w:r>
      <w:r>
        <w:rPr>
          <w:color w:val="auto"/>
        </w:rPr>
        <w:fldChar w:fldCharType="end"/>
      </w:r>
    </w:p>
    <w:p w14:paraId="0735C2A7">
      <w:pPr>
        <w:pStyle w:val="20"/>
        <w:tabs>
          <w:tab w:val="right" w:leader="dot" w:pos="8312"/>
          <w:tab w:val="clear" w:pos="8834"/>
        </w:tabs>
        <w:rPr>
          <w:color w:val="auto"/>
        </w:rPr>
      </w:pPr>
      <w:r>
        <w:rPr>
          <w:color w:val="auto"/>
        </w:rPr>
        <w:fldChar w:fldCharType="begin"/>
      </w:r>
      <w:r>
        <w:rPr>
          <w:color w:val="auto"/>
        </w:rPr>
        <w:instrText xml:space="preserve"> HYPERLINK \l _Toc10894 </w:instrText>
      </w:r>
      <w:r>
        <w:rPr>
          <w:color w:val="auto"/>
        </w:rPr>
        <w:fldChar w:fldCharType="separate"/>
      </w:r>
      <w:r>
        <w:rPr>
          <w:rFonts w:ascii="Times New Roman" w:hAnsi="Times New Roman" w:eastAsia="黑体"/>
          <w:snapToGrid w:val="0"/>
          <w:color w:val="auto"/>
          <w:szCs w:val="30"/>
        </w:rPr>
        <w:t>六、结论</w:t>
      </w:r>
      <w:r>
        <w:rPr>
          <w:color w:val="auto"/>
        </w:rPr>
        <w:tab/>
      </w:r>
      <w:r>
        <w:rPr>
          <w:color w:val="auto"/>
        </w:rPr>
        <w:fldChar w:fldCharType="begin"/>
      </w:r>
      <w:r>
        <w:rPr>
          <w:color w:val="auto"/>
        </w:rPr>
        <w:instrText xml:space="preserve"> PAGEREF _Toc10894 \h </w:instrText>
      </w:r>
      <w:r>
        <w:rPr>
          <w:color w:val="auto"/>
        </w:rPr>
        <w:fldChar w:fldCharType="separate"/>
      </w:r>
      <w:r>
        <w:rPr>
          <w:color w:val="auto"/>
        </w:rPr>
        <w:t>52</w:t>
      </w:r>
      <w:r>
        <w:rPr>
          <w:color w:val="auto"/>
        </w:rPr>
        <w:fldChar w:fldCharType="end"/>
      </w:r>
      <w:r>
        <w:rPr>
          <w:color w:val="auto"/>
        </w:rPr>
        <w:fldChar w:fldCharType="end"/>
      </w:r>
    </w:p>
    <w:p w14:paraId="1B11474E">
      <w:pPr>
        <w:pStyle w:val="20"/>
        <w:tabs>
          <w:tab w:val="right" w:leader="dot" w:pos="8312"/>
          <w:tab w:val="clear" w:pos="8834"/>
        </w:tabs>
        <w:rPr>
          <w:color w:val="auto"/>
        </w:rPr>
      </w:pPr>
      <w:r>
        <w:rPr>
          <w:color w:val="auto"/>
        </w:rPr>
        <w:fldChar w:fldCharType="begin"/>
      </w:r>
      <w:r>
        <w:rPr>
          <w:color w:val="auto"/>
        </w:rPr>
        <w:instrText xml:space="preserve"> HYPERLINK \l _Toc17017 </w:instrText>
      </w:r>
      <w:r>
        <w:rPr>
          <w:color w:val="auto"/>
        </w:rPr>
        <w:fldChar w:fldCharType="separate"/>
      </w:r>
      <w:r>
        <w:rPr>
          <w:rFonts w:ascii="Times New Roman" w:hAnsi="Times New Roman" w:eastAsia="黑体"/>
          <w:snapToGrid w:val="0"/>
          <w:color w:val="auto"/>
          <w:szCs w:val="32"/>
        </w:rPr>
        <w:t>附表</w:t>
      </w:r>
      <w:r>
        <w:rPr>
          <w:color w:val="auto"/>
        </w:rPr>
        <w:tab/>
      </w:r>
      <w:r>
        <w:rPr>
          <w:color w:val="auto"/>
        </w:rPr>
        <w:fldChar w:fldCharType="begin"/>
      </w:r>
      <w:r>
        <w:rPr>
          <w:color w:val="auto"/>
        </w:rPr>
        <w:instrText xml:space="preserve"> PAGEREF _Toc17017 \h </w:instrText>
      </w:r>
      <w:r>
        <w:rPr>
          <w:color w:val="auto"/>
        </w:rPr>
        <w:fldChar w:fldCharType="separate"/>
      </w:r>
      <w:r>
        <w:rPr>
          <w:color w:val="auto"/>
        </w:rPr>
        <w:t>53</w:t>
      </w:r>
      <w:r>
        <w:rPr>
          <w:color w:val="auto"/>
        </w:rPr>
        <w:fldChar w:fldCharType="end"/>
      </w:r>
      <w:r>
        <w:rPr>
          <w:color w:val="auto"/>
        </w:rPr>
        <w:fldChar w:fldCharType="end"/>
      </w:r>
    </w:p>
    <w:p w14:paraId="5550EC82">
      <w:pPr>
        <w:pStyle w:val="20"/>
        <w:tabs>
          <w:tab w:val="right" w:leader="dot" w:pos="8312"/>
          <w:tab w:val="clear" w:pos="8834"/>
        </w:tabs>
        <w:rPr>
          <w:color w:val="auto"/>
        </w:rPr>
      </w:pPr>
      <w:r>
        <w:rPr>
          <w:color w:val="auto"/>
        </w:rPr>
        <w:fldChar w:fldCharType="begin"/>
      </w:r>
      <w:r>
        <w:rPr>
          <w:color w:val="auto"/>
        </w:rPr>
        <w:instrText xml:space="preserve"> HYPERLINK \l _Toc14375 </w:instrText>
      </w:r>
      <w:r>
        <w:rPr>
          <w:color w:val="auto"/>
        </w:rPr>
        <w:fldChar w:fldCharType="separate"/>
      </w:r>
      <w:r>
        <w:rPr>
          <w:rFonts w:ascii="Times New Roman" w:hAnsi="Times New Roman" w:eastAsia="方正小标宋_GBK"/>
          <w:snapToGrid w:val="0"/>
          <w:color w:val="auto"/>
          <w:szCs w:val="38"/>
        </w:rPr>
        <w:t>建设项目污染物排放量汇总表</w:t>
      </w:r>
      <w:r>
        <w:rPr>
          <w:color w:val="auto"/>
        </w:rPr>
        <w:tab/>
      </w:r>
      <w:r>
        <w:rPr>
          <w:color w:val="auto"/>
        </w:rPr>
        <w:fldChar w:fldCharType="begin"/>
      </w:r>
      <w:r>
        <w:rPr>
          <w:color w:val="auto"/>
        </w:rPr>
        <w:instrText xml:space="preserve"> PAGEREF _Toc14375 \h </w:instrText>
      </w:r>
      <w:r>
        <w:rPr>
          <w:color w:val="auto"/>
        </w:rPr>
        <w:fldChar w:fldCharType="separate"/>
      </w:r>
      <w:r>
        <w:rPr>
          <w:color w:val="auto"/>
        </w:rPr>
        <w:t>53</w:t>
      </w:r>
      <w:r>
        <w:rPr>
          <w:color w:val="auto"/>
        </w:rPr>
        <w:fldChar w:fldCharType="end"/>
      </w:r>
      <w:r>
        <w:rPr>
          <w:color w:val="auto"/>
        </w:rPr>
        <w:fldChar w:fldCharType="end"/>
      </w:r>
    </w:p>
    <w:p w14:paraId="09B52AAE">
      <w:pPr>
        <w:adjustRightInd w:val="0"/>
        <w:snapToGrid w:val="0"/>
        <w:spacing w:line="360" w:lineRule="auto"/>
        <w:jc w:val="left"/>
        <w:rPr>
          <w:color w:val="auto"/>
          <w:sz w:val="24"/>
        </w:rPr>
      </w:pPr>
      <w:r>
        <w:rPr>
          <w:color w:val="auto"/>
        </w:rPr>
        <w:fldChar w:fldCharType="end"/>
      </w:r>
    </w:p>
    <w:p w14:paraId="18FDF8EF">
      <w:pPr>
        <w:adjustRightInd w:val="0"/>
        <w:snapToGrid w:val="0"/>
        <w:spacing w:line="360" w:lineRule="auto"/>
        <w:jc w:val="left"/>
        <w:rPr>
          <w:b/>
          <w:color w:val="auto"/>
          <w:sz w:val="24"/>
        </w:rPr>
      </w:pPr>
      <w:r>
        <w:rPr>
          <w:rFonts w:hint="eastAsia"/>
          <w:b/>
          <w:color w:val="auto"/>
          <w:sz w:val="24"/>
        </w:rPr>
        <w:t>附件：</w:t>
      </w:r>
    </w:p>
    <w:p w14:paraId="358E36B5">
      <w:pPr>
        <w:adjustRightInd w:val="0"/>
        <w:snapToGrid w:val="0"/>
        <w:spacing w:line="360" w:lineRule="auto"/>
        <w:jc w:val="left"/>
        <w:rPr>
          <w:rFonts w:hint="eastAsia" w:ascii="Times New Roman" w:hAnsi="Times New Roman" w:eastAsia="宋体" w:cs="Times New Roman"/>
          <w:color w:val="auto"/>
          <w:sz w:val="24"/>
        </w:rPr>
      </w:pPr>
      <w:r>
        <w:rPr>
          <w:rFonts w:hint="eastAsia" w:ascii="Times New Roman" w:hAnsi="Times New Roman" w:eastAsia="宋体" w:cs="Times New Roman"/>
          <w:color w:val="auto"/>
          <w:sz w:val="24"/>
        </w:rPr>
        <w:t>附件1  环评委托书</w:t>
      </w:r>
    </w:p>
    <w:p w14:paraId="6E7E8C46">
      <w:pPr>
        <w:adjustRightInd w:val="0"/>
        <w:snapToGrid w:val="0"/>
        <w:spacing w:line="360" w:lineRule="auto"/>
        <w:jc w:val="left"/>
        <w:rPr>
          <w:rFonts w:hint="eastAsia" w:ascii="Times New Roman" w:hAnsi="Times New Roman" w:eastAsia="宋体" w:cs="Times New Roman"/>
          <w:color w:val="auto"/>
          <w:sz w:val="24"/>
        </w:rPr>
      </w:pPr>
      <w:r>
        <w:rPr>
          <w:rFonts w:hint="eastAsia" w:ascii="Times New Roman" w:hAnsi="Times New Roman" w:eastAsia="宋体" w:cs="Times New Roman"/>
          <w:color w:val="auto"/>
          <w:sz w:val="24"/>
        </w:rPr>
        <w:t>附件2  营业执照</w:t>
      </w:r>
    </w:p>
    <w:p w14:paraId="19782A92">
      <w:pPr>
        <w:adjustRightInd w:val="0"/>
        <w:snapToGrid w:val="0"/>
        <w:spacing w:line="360" w:lineRule="auto"/>
        <w:jc w:val="left"/>
        <w:rPr>
          <w:rFonts w:hint="default" w:ascii="Times New Roman" w:hAnsi="Times New Roman" w:eastAsia="宋体" w:cs="Times New Roman"/>
          <w:color w:val="auto"/>
          <w:sz w:val="24"/>
          <w:lang w:val="en-US" w:eastAsia="zh-CN"/>
        </w:rPr>
      </w:pPr>
      <w:r>
        <w:rPr>
          <w:rFonts w:hint="eastAsia" w:cs="Times New Roman"/>
          <w:color w:val="auto"/>
          <w:sz w:val="24"/>
          <w:lang w:eastAsia="zh-CN"/>
        </w:rPr>
        <w:t>附件</w:t>
      </w:r>
      <w:r>
        <w:rPr>
          <w:rFonts w:hint="eastAsia" w:cs="Times New Roman"/>
          <w:color w:val="auto"/>
          <w:sz w:val="24"/>
          <w:lang w:val="en-US" w:eastAsia="zh-CN"/>
        </w:rPr>
        <w:t>3  发改备案证明</w:t>
      </w:r>
    </w:p>
    <w:p w14:paraId="2ABF0894">
      <w:pPr>
        <w:adjustRightInd w:val="0"/>
        <w:snapToGrid w:val="0"/>
        <w:spacing w:line="360" w:lineRule="auto"/>
        <w:jc w:val="left"/>
        <w:rPr>
          <w:rFonts w:hint="eastAsia" w:ascii="Times New Roman" w:hAnsi="Times New Roman" w:eastAsia="宋体" w:cs="Times New Roman"/>
          <w:color w:val="auto"/>
          <w:sz w:val="24"/>
        </w:rPr>
      </w:pPr>
      <w:r>
        <w:rPr>
          <w:rFonts w:hint="eastAsia" w:ascii="Times New Roman" w:hAnsi="Times New Roman" w:eastAsia="宋体" w:cs="Times New Roman"/>
          <w:color w:val="auto"/>
          <w:sz w:val="24"/>
        </w:rPr>
        <w:t>附件</w:t>
      </w:r>
      <w:r>
        <w:rPr>
          <w:rFonts w:hint="eastAsia" w:cs="Times New Roman"/>
          <w:color w:val="auto"/>
          <w:sz w:val="24"/>
          <w:lang w:val="en-US" w:eastAsia="zh-CN"/>
        </w:rPr>
        <w:t>4</w:t>
      </w:r>
      <w:r>
        <w:rPr>
          <w:rFonts w:hint="eastAsia" w:ascii="Times New Roman" w:hAnsi="Times New Roman" w:eastAsia="宋体" w:cs="Times New Roman"/>
          <w:color w:val="auto"/>
          <w:sz w:val="24"/>
        </w:rPr>
        <w:t xml:space="preserve">  </w:t>
      </w:r>
      <w:r>
        <w:rPr>
          <w:rFonts w:hint="eastAsia" w:ascii="Times New Roman" w:hAnsi="Times New Roman" w:eastAsia="宋体" w:cs="Times New Roman"/>
          <w:color w:val="auto"/>
          <w:sz w:val="24"/>
          <w:lang w:val="en-US" w:eastAsia="zh-CN"/>
        </w:rPr>
        <w:t>江永工业集中区规划跟踪环境影响评价报告批复</w:t>
      </w:r>
    </w:p>
    <w:p w14:paraId="7CD7BDA9">
      <w:pPr>
        <w:adjustRightInd w:val="0"/>
        <w:snapToGrid w:val="0"/>
        <w:spacing w:line="360" w:lineRule="auto"/>
        <w:jc w:val="left"/>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附件5  永州市江永工业园项目环境影响报告书批复</w:t>
      </w:r>
    </w:p>
    <w:p w14:paraId="049FA9A5">
      <w:pPr>
        <w:adjustRightInd w:val="0"/>
        <w:snapToGrid w:val="0"/>
        <w:spacing w:line="360" w:lineRule="auto"/>
        <w:jc w:val="left"/>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附件6  厂房租赁合同</w:t>
      </w:r>
    </w:p>
    <w:p w14:paraId="543F6212">
      <w:pPr>
        <w:adjustRightInd w:val="0"/>
        <w:snapToGrid w:val="0"/>
        <w:spacing w:line="360" w:lineRule="auto"/>
        <w:jc w:val="left"/>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附件7 评审意见及签名表</w:t>
      </w:r>
    </w:p>
    <w:p w14:paraId="26576C0F">
      <w:pPr>
        <w:adjustRightInd w:val="0"/>
        <w:snapToGrid w:val="0"/>
        <w:spacing w:line="360" w:lineRule="auto"/>
        <w:jc w:val="left"/>
        <w:rPr>
          <w:rFonts w:hint="default" w:cs="Times New Roman"/>
          <w:color w:val="auto"/>
          <w:sz w:val="24"/>
          <w:lang w:val="en-US" w:eastAsia="zh-CN"/>
        </w:rPr>
      </w:pPr>
    </w:p>
    <w:p w14:paraId="0F1FA64A">
      <w:pPr>
        <w:adjustRightInd w:val="0"/>
        <w:snapToGrid w:val="0"/>
        <w:spacing w:line="360" w:lineRule="auto"/>
        <w:jc w:val="left"/>
        <w:rPr>
          <w:b/>
          <w:color w:val="auto"/>
          <w:sz w:val="24"/>
        </w:rPr>
      </w:pPr>
      <w:r>
        <w:rPr>
          <w:rFonts w:hint="eastAsia"/>
          <w:b/>
          <w:color w:val="auto"/>
          <w:sz w:val="24"/>
        </w:rPr>
        <w:t>附图：</w:t>
      </w:r>
      <w:r>
        <w:rPr>
          <w:b/>
          <w:color w:val="auto"/>
          <w:sz w:val="24"/>
        </w:rPr>
        <w:t xml:space="preserve"> </w:t>
      </w:r>
    </w:p>
    <w:p w14:paraId="7A7D2ECF">
      <w:pPr>
        <w:adjustRightInd w:val="0"/>
        <w:snapToGrid w:val="0"/>
        <w:spacing w:line="360" w:lineRule="auto"/>
        <w:jc w:val="left"/>
        <w:rPr>
          <w:rFonts w:hint="eastAsia" w:ascii="Times New Roman" w:hAnsi="Times New Roman" w:eastAsia="宋体" w:cs="Times New Roman"/>
          <w:color w:val="auto"/>
          <w:sz w:val="24"/>
        </w:rPr>
      </w:pPr>
      <w:r>
        <w:rPr>
          <w:rFonts w:hint="eastAsia" w:ascii="Times New Roman" w:hAnsi="Times New Roman" w:eastAsia="宋体" w:cs="Times New Roman"/>
          <w:color w:val="auto"/>
          <w:sz w:val="24"/>
        </w:rPr>
        <w:t>附图1  项目地理位置图</w:t>
      </w:r>
    </w:p>
    <w:p w14:paraId="2A084EEF">
      <w:pPr>
        <w:adjustRightInd w:val="0"/>
        <w:snapToGrid w:val="0"/>
        <w:spacing w:line="360" w:lineRule="auto"/>
        <w:jc w:val="left"/>
        <w:rPr>
          <w:rFonts w:hint="eastAsia" w:ascii="Times New Roman" w:hAnsi="Times New Roman" w:eastAsia="宋体" w:cs="Times New Roman"/>
          <w:color w:val="auto"/>
          <w:sz w:val="24"/>
        </w:rPr>
      </w:pPr>
      <w:r>
        <w:rPr>
          <w:rFonts w:hint="eastAsia" w:ascii="Times New Roman" w:hAnsi="Times New Roman" w:eastAsia="宋体" w:cs="Times New Roman"/>
          <w:color w:val="auto"/>
          <w:sz w:val="24"/>
        </w:rPr>
        <w:t>附图2  项目平面布置示意图</w:t>
      </w:r>
    </w:p>
    <w:p w14:paraId="14E3AB9C">
      <w:pPr>
        <w:adjustRightInd w:val="0"/>
        <w:snapToGrid w:val="0"/>
        <w:spacing w:line="360" w:lineRule="auto"/>
        <w:jc w:val="left"/>
        <w:rPr>
          <w:rFonts w:hint="eastAsia" w:ascii="Times New Roman" w:hAnsi="Times New Roman" w:eastAsia="宋体" w:cs="Times New Roman"/>
          <w:color w:val="auto"/>
          <w:sz w:val="24"/>
        </w:rPr>
      </w:pPr>
      <w:r>
        <w:rPr>
          <w:rFonts w:hint="eastAsia" w:ascii="Times New Roman" w:hAnsi="Times New Roman" w:eastAsia="宋体" w:cs="Times New Roman"/>
          <w:color w:val="auto"/>
          <w:sz w:val="24"/>
        </w:rPr>
        <w:t>附图3  主要环境保护目标图</w:t>
      </w:r>
    </w:p>
    <w:p w14:paraId="7A13EECF">
      <w:pPr>
        <w:adjustRightInd w:val="0"/>
        <w:snapToGrid w:val="0"/>
        <w:spacing w:line="360" w:lineRule="auto"/>
        <w:jc w:val="left"/>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附图</w:t>
      </w:r>
      <w:r>
        <w:rPr>
          <w:rFonts w:hint="eastAsia" w:cs="Times New Roman"/>
          <w:color w:val="auto"/>
          <w:sz w:val="24"/>
          <w:lang w:val="en-US" w:eastAsia="zh-CN"/>
        </w:rPr>
        <w:t>4</w:t>
      </w:r>
      <w:r>
        <w:rPr>
          <w:rFonts w:hint="eastAsia" w:ascii="Times New Roman" w:hAnsi="Times New Roman" w:eastAsia="宋体" w:cs="Times New Roman"/>
          <w:color w:val="auto"/>
          <w:sz w:val="24"/>
          <w:lang w:val="en-US" w:eastAsia="zh-CN"/>
        </w:rPr>
        <w:t xml:space="preserve">  </w:t>
      </w:r>
      <w:r>
        <w:rPr>
          <w:rFonts w:hint="eastAsia" w:cs="Times New Roman"/>
          <w:color w:val="auto"/>
          <w:sz w:val="24"/>
          <w:lang w:val="en-US" w:eastAsia="zh-CN"/>
        </w:rPr>
        <w:t>园</w:t>
      </w:r>
      <w:r>
        <w:rPr>
          <w:rFonts w:hint="eastAsia" w:ascii="Times New Roman" w:hAnsi="Times New Roman" w:eastAsia="宋体" w:cs="Times New Roman"/>
          <w:color w:val="auto"/>
          <w:sz w:val="24"/>
          <w:lang w:val="en-US" w:eastAsia="zh-CN"/>
        </w:rPr>
        <w:t>区土地利用规划图</w:t>
      </w:r>
    </w:p>
    <w:p w14:paraId="03DAB57C">
      <w:pPr>
        <w:adjustRightInd w:val="0"/>
        <w:snapToGrid w:val="0"/>
        <w:spacing w:line="360" w:lineRule="auto"/>
        <w:jc w:val="left"/>
        <w:rPr>
          <w:rFonts w:hint="eastAsia" w:ascii="Times New Roman" w:hAnsi="Times New Roman" w:eastAsia="宋体" w:cs="Times New Roman"/>
          <w:color w:val="auto"/>
          <w:sz w:val="24"/>
        </w:rPr>
      </w:pPr>
      <w:r>
        <w:rPr>
          <w:rFonts w:hint="eastAsia" w:ascii="Times New Roman" w:hAnsi="Times New Roman" w:eastAsia="宋体" w:cs="Times New Roman"/>
          <w:color w:val="auto"/>
          <w:sz w:val="24"/>
        </w:rPr>
        <w:t>附图</w:t>
      </w:r>
      <w:r>
        <w:rPr>
          <w:rFonts w:hint="eastAsia" w:cs="Times New Roman"/>
          <w:color w:val="auto"/>
          <w:sz w:val="24"/>
          <w:lang w:val="en-US" w:eastAsia="zh-CN"/>
        </w:rPr>
        <w:t>5</w:t>
      </w:r>
      <w:r>
        <w:rPr>
          <w:rFonts w:hint="eastAsia" w:ascii="Times New Roman" w:hAnsi="Times New Roman" w:eastAsia="宋体" w:cs="Times New Roman"/>
          <w:color w:val="auto"/>
          <w:sz w:val="24"/>
        </w:rPr>
        <w:t xml:space="preserve"> </w:t>
      </w:r>
      <w:r>
        <w:rPr>
          <w:rFonts w:hint="eastAsia" w:ascii="Times New Roman" w:hAnsi="Times New Roman" w:eastAsia="宋体" w:cs="Times New Roman"/>
          <w:color w:val="auto"/>
          <w:sz w:val="24"/>
          <w:lang w:val="en-US" w:eastAsia="zh-CN"/>
        </w:rPr>
        <w:t xml:space="preserve"> 项目周边</w:t>
      </w:r>
      <w:r>
        <w:rPr>
          <w:rFonts w:hint="eastAsia" w:ascii="Times New Roman" w:hAnsi="Times New Roman" w:eastAsia="宋体" w:cs="Times New Roman"/>
          <w:color w:val="auto"/>
          <w:sz w:val="24"/>
          <w:lang w:eastAsia="zh-CN"/>
        </w:rPr>
        <w:t>现状照片</w:t>
      </w:r>
    </w:p>
    <w:p w14:paraId="0B12F662">
      <w:pPr>
        <w:adjustRightInd w:val="0"/>
        <w:snapToGrid w:val="0"/>
        <w:spacing w:line="288" w:lineRule="auto"/>
        <w:ind w:firstLine="1040"/>
        <w:rPr>
          <w:rFonts w:eastAsia="仿宋_GB2312"/>
          <w:color w:val="auto"/>
          <w:sz w:val="36"/>
          <w:szCs w:val="36"/>
        </w:rPr>
        <w:sectPr>
          <w:footerReference r:id="rId7" w:type="default"/>
          <w:pgSz w:w="11906" w:h="16838"/>
          <w:pgMar w:top="1440" w:right="1797" w:bottom="1440" w:left="1797" w:header="851" w:footer="1077" w:gutter="0"/>
          <w:pgBorders>
            <w:top w:val="none" w:sz="0" w:space="0"/>
            <w:left w:val="none" w:sz="0" w:space="0"/>
            <w:bottom w:val="none" w:sz="0" w:space="0"/>
            <w:right w:val="none" w:sz="0" w:space="0"/>
          </w:pgBorders>
          <w:pgNumType w:fmt="decimal" w:start="1"/>
          <w:cols w:space="720" w:num="1"/>
          <w:docGrid w:linePitch="312" w:charSpace="0"/>
        </w:sectPr>
      </w:pPr>
    </w:p>
    <w:p w14:paraId="582CEDD4">
      <w:pPr>
        <w:pStyle w:val="25"/>
        <w:jc w:val="center"/>
        <w:outlineLvl w:val="0"/>
        <w:rPr>
          <w:rFonts w:ascii="Times New Roman" w:hAnsi="Times New Roman" w:eastAsia="黑体"/>
          <w:snapToGrid w:val="0"/>
          <w:color w:val="auto"/>
          <w:sz w:val="30"/>
          <w:szCs w:val="30"/>
        </w:rPr>
      </w:pPr>
      <w:bookmarkStart w:id="5" w:name="_Toc110847883"/>
      <w:bookmarkStart w:id="6" w:name="_Toc6768"/>
      <w:r>
        <w:rPr>
          <w:rFonts w:ascii="Times New Roman" w:hAnsi="Times New Roman" w:eastAsia="黑体"/>
          <w:snapToGrid w:val="0"/>
          <w:color w:val="auto"/>
          <w:sz w:val="30"/>
          <w:szCs w:val="30"/>
        </w:rPr>
        <w:t>一、建设项目基本情况</w:t>
      </w:r>
      <w:bookmarkEnd w:id="5"/>
      <w:bookmarkEnd w:id="6"/>
    </w:p>
    <w:tbl>
      <w:tblPr>
        <w:tblStyle w:val="29"/>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843"/>
        <w:gridCol w:w="1186"/>
        <w:gridCol w:w="1990"/>
        <w:gridCol w:w="2014"/>
        <w:gridCol w:w="2837"/>
      </w:tblGrid>
      <w:tr w14:paraId="178455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29" w:type="dxa"/>
            <w:gridSpan w:val="2"/>
            <w:noWrap w:val="0"/>
            <w:tcMar>
              <w:top w:w="16" w:type="dxa"/>
              <w:left w:w="16" w:type="dxa"/>
              <w:right w:w="16" w:type="dxa"/>
            </w:tcMar>
            <w:vAlign w:val="center"/>
          </w:tcPr>
          <w:p w14:paraId="44192F47">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建设项目名称</w:t>
            </w:r>
          </w:p>
        </w:tc>
        <w:tc>
          <w:tcPr>
            <w:tcW w:w="6841" w:type="dxa"/>
            <w:gridSpan w:val="3"/>
            <w:noWrap w:val="0"/>
            <w:vAlign w:val="center"/>
          </w:tcPr>
          <w:p w14:paraId="79464196">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lang w:eastAsia="zh-CN"/>
              </w:rPr>
              <w:t>江永新能源汽车大型零部件一体化成型及精密加工制造项目</w:t>
            </w:r>
          </w:p>
        </w:tc>
      </w:tr>
      <w:tr w14:paraId="2EED1E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29" w:type="dxa"/>
            <w:gridSpan w:val="2"/>
            <w:noWrap w:val="0"/>
            <w:tcMar>
              <w:top w:w="16" w:type="dxa"/>
              <w:left w:w="16" w:type="dxa"/>
              <w:right w:w="16" w:type="dxa"/>
            </w:tcMar>
            <w:vAlign w:val="center"/>
          </w:tcPr>
          <w:p w14:paraId="7E4EA2FB">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项目代码</w:t>
            </w:r>
          </w:p>
        </w:tc>
        <w:tc>
          <w:tcPr>
            <w:tcW w:w="6841" w:type="dxa"/>
            <w:gridSpan w:val="3"/>
            <w:noWrap w:val="0"/>
            <w:vAlign w:val="center"/>
          </w:tcPr>
          <w:p w14:paraId="321639BB">
            <w:pPr>
              <w:adjustRightInd w:val="0"/>
              <w:snapToGrid w:val="0"/>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2401-431125-04-01-602631</w:t>
            </w:r>
          </w:p>
        </w:tc>
      </w:tr>
      <w:tr w14:paraId="6D48CC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29" w:type="dxa"/>
            <w:gridSpan w:val="2"/>
            <w:noWrap w:val="0"/>
            <w:tcMar>
              <w:top w:w="16" w:type="dxa"/>
              <w:left w:w="16" w:type="dxa"/>
              <w:right w:w="16" w:type="dxa"/>
            </w:tcMar>
            <w:vAlign w:val="center"/>
          </w:tcPr>
          <w:p w14:paraId="44A9FC65">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hint="eastAsia" w:ascii="Times New Roman" w:hAnsi="Times New Roman" w:eastAsia="宋体" w:cs="Times New Roman"/>
                <w:color w:val="auto"/>
                <w:sz w:val="24"/>
                <w:szCs w:val="24"/>
                <w:highlight w:val="none"/>
                <w:lang w:eastAsia="zh-CN"/>
              </w:rPr>
              <w:t>建设单位联系人</w:t>
            </w:r>
          </w:p>
        </w:tc>
        <w:tc>
          <w:tcPr>
            <w:tcW w:w="1990" w:type="dxa"/>
            <w:noWrap w:val="0"/>
            <w:vAlign w:val="center"/>
          </w:tcPr>
          <w:p w14:paraId="6B236253">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蒋四军</w:t>
            </w:r>
          </w:p>
        </w:tc>
        <w:tc>
          <w:tcPr>
            <w:tcW w:w="2014" w:type="dxa"/>
            <w:noWrap w:val="0"/>
            <w:vAlign w:val="center"/>
          </w:tcPr>
          <w:p w14:paraId="77195BEB">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联系方式</w:t>
            </w:r>
          </w:p>
        </w:tc>
        <w:tc>
          <w:tcPr>
            <w:tcW w:w="2837" w:type="dxa"/>
            <w:noWrap w:val="0"/>
            <w:vAlign w:val="center"/>
          </w:tcPr>
          <w:p w14:paraId="7F346176">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13974877016</w:t>
            </w:r>
          </w:p>
        </w:tc>
      </w:tr>
      <w:tr w14:paraId="0E1BA2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29" w:type="dxa"/>
            <w:gridSpan w:val="2"/>
            <w:noWrap w:val="0"/>
            <w:tcMar>
              <w:top w:w="16" w:type="dxa"/>
              <w:left w:w="16" w:type="dxa"/>
              <w:right w:w="16" w:type="dxa"/>
            </w:tcMar>
            <w:vAlign w:val="center"/>
          </w:tcPr>
          <w:p w14:paraId="4E304437">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建设地点</w:t>
            </w:r>
          </w:p>
        </w:tc>
        <w:tc>
          <w:tcPr>
            <w:tcW w:w="6841" w:type="dxa"/>
            <w:gridSpan w:val="3"/>
            <w:noWrap w:val="0"/>
            <w:vAlign w:val="center"/>
          </w:tcPr>
          <w:p w14:paraId="3B1E6B5E">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hint="eastAsia" w:ascii="Times New Roman" w:hAnsi="Times New Roman" w:eastAsia="宋体" w:cs="Times New Roman"/>
                <w:color w:val="auto"/>
                <w:sz w:val="24"/>
                <w:szCs w:val="24"/>
                <w:highlight w:val="none"/>
                <w:lang w:eastAsia="zh-CN"/>
              </w:rPr>
              <w:t>湖南省永州市江永县潇浦镇江永产业开发区物流园4#栋钢结构厂房</w:t>
            </w:r>
          </w:p>
        </w:tc>
      </w:tr>
      <w:tr w14:paraId="252303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29" w:type="dxa"/>
            <w:gridSpan w:val="2"/>
            <w:noWrap w:val="0"/>
            <w:tcMar>
              <w:top w:w="16" w:type="dxa"/>
              <w:left w:w="16" w:type="dxa"/>
              <w:right w:w="16" w:type="dxa"/>
            </w:tcMar>
            <w:vAlign w:val="center"/>
          </w:tcPr>
          <w:p w14:paraId="55BC496F">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地理坐标</w:t>
            </w:r>
          </w:p>
        </w:tc>
        <w:tc>
          <w:tcPr>
            <w:tcW w:w="6841" w:type="dxa"/>
            <w:gridSpan w:val="3"/>
            <w:noWrap w:val="0"/>
            <w:vAlign w:val="center"/>
          </w:tcPr>
          <w:p w14:paraId="6F7A6506">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hint="eastAsia" w:ascii="Times New Roman" w:hAnsi="Times New Roman" w:eastAsia="宋体" w:cs="Times New Roman"/>
                <w:color w:val="auto"/>
                <w:sz w:val="24"/>
                <w:szCs w:val="24"/>
                <w:highlight w:val="none"/>
                <w:lang w:val="en-US" w:eastAsia="zh-CN"/>
              </w:rPr>
              <w:t>东经</w:t>
            </w:r>
            <w:r>
              <w:rPr>
                <w:rFonts w:hint="eastAsia" w:ascii="Times New Roman" w:hAnsi="Times New Roman" w:eastAsia="宋体" w:cs="Times New Roman"/>
                <w:color w:val="auto"/>
                <w:sz w:val="24"/>
                <w:szCs w:val="24"/>
                <w:highlight w:val="none"/>
              </w:rPr>
              <w:t>111°21′45.702″</w:t>
            </w:r>
            <w:r>
              <w:rPr>
                <w:rFonts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北纬</w:t>
            </w:r>
            <w:r>
              <w:rPr>
                <w:rFonts w:ascii="Times New Roman" w:hAnsi="Times New Roman" w:eastAsia="宋体" w:cs="Times New Roman"/>
                <w:color w:val="auto"/>
                <w:sz w:val="24"/>
                <w:szCs w:val="24"/>
                <w:highlight w:val="none"/>
              </w:rPr>
              <w:t xml:space="preserve"> </w:t>
            </w:r>
            <w:r>
              <w:rPr>
                <w:rFonts w:hint="eastAsia" w:ascii="Times New Roman" w:hAnsi="Times New Roman" w:eastAsia="宋体" w:cs="Times New Roman"/>
                <w:color w:val="auto"/>
                <w:sz w:val="24"/>
                <w:szCs w:val="24"/>
                <w:highlight w:val="none"/>
              </w:rPr>
              <w:t>25°13′36.058″</w:t>
            </w:r>
          </w:p>
        </w:tc>
      </w:tr>
      <w:tr w14:paraId="276658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2029" w:type="dxa"/>
            <w:gridSpan w:val="2"/>
            <w:noWrap w:val="0"/>
            <w:tcMar>
              <w:top w:w="16" w:type="dxa"/>
              <w:left w:w="16" w:type="dxa"/>
              <w:right w:w="16" w:type="dxa"/>
            </w:tcMar>
            <w:vAlign w:val="center"/>
          </w:tcPr>
          <w:p w14:paraId="1F325EAB">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国民经济</w:t>
            </w:r>
          </w:p>
          <w:p w14:paraId="7D97D5F3">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行业类别</w:t>
            </w:r>
          </w:p>
        </w:tc>
        <w:tc>
          <w:tcPr>
            <w:tcW w:w="1990" w:type="dxa"/>
            <w:noWrap w:val="0"/>
            <w:vAlign w:val="center"/>
          </w:tcPr>
          <w:p w14:paraId="3AA3EC97">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en-US" w:eastAsia="zh-CN"/>
              </w:rPr>
              <w:t>C3</w:t>
            </w:r>
            <w:r>
              <w:rPr>
                <w:rFonts w:hint="eastAsia" w:cs="Times New Roman"/>
                <w:color w:val="auto"/>
                <w:sz w:val="24"/>
                <w:szCs w:val="24"/>
                <w:highlight w:val="none"/>
                <w:lang w:val="en-US" w:eastAsia="zh-CN"/>
              </w:rPr>
              <w:t>392有色金属铸造</w:t>
            </w:r>
          </w:p>
        </w:tc>
        <w:tc>
          <w:tcPr>
            <w:tcW w:w="2014" w:type="dxa"/>
            <w:noWrap w:val="0"/>
            <w:vAlign w:val="center"/>
          </w:tcPr>
          <w:p w14:paraId="12EEC845">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bookmarkStart w:id="7" w:name="_Hlk49843745"/>
            <w:r>
              <w:rPr>
                <w:rFonts w:ascii="Times New Roman" w:hAnsi="Times New Roman" w:eastAsia="宋体" w:cs="Times New Roman"/>
                <w:color w:val="auto"/>
                <w:sz w:val="24"/>
                <w:szCs w:val="24"/>
                <w:highlight w:val="none"/>
              </w:rPr>
              <w:t>建设项目</w:t>
            </w:r>
          </w:p>
          <w:p w14:paraId="4A1407DD">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行业类别</w:t>
            </w:r>
            <w:bookmarkEnd w:id="7"/>
          </w:p>
        </w:tc>
        <w:tc>
          <w:tcPr>
            <w:tcW w:w="2837" w:type="dxa"/>
            <w:noWrap w:val="0"/>
            <w:vAlign w:val="center"/>
          </w:tcPr>
          <w:p w14:paraId="27CEB196">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ascii="Times New Roman" w:hAnsi="Times New Roman" w:eastAsia="宋体" w:cs="Times New Roman"/>
                <w:color w:val="auto"/>
                <w:sz w:val="24"/>
                <w:szCs w:val="24"/>
                <w:highlight w:val="none"/>
                <w:lang w:val="en-US" w:eastAsia="zh-CN"/>
              </w:rPr>
              <w:t>三十、金属制品业</w:t>
            </w:r>
            <w:r>
              <w:rPr>
                <w:rFonts w:hint="eastAsia" w:ascii="Times New Roman" w:hAnsi="Times New Roman" w:eastAsia="宋体" w:cs="Times New Roman"/>
                <w:color w:val="auto"/>
                <w:sz w:val="24"/>
                <w:szCs w:val="24"/>
                <w:highlight w:val="none"/>
                <w:lang w:val="en-US" w:eastAsia="zh-CN"/>
              </w:rPr>
              <w:t>33-68铸造及其他金属制品制造339</w:t>
            </w:r>
          </w:p>
        </w:tc>
      </w:tr>
      <w:tr w14:paraId="36879A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2029" w:type="dxa"/>
            <w:gridSpan w:val="2"/>
            <w:noWrap w:val="0"/>
            <w:tcMar>
              <w:top w:w="16" w:type="dxa"/>
              <w:left w:w="16" w:type="dxa"/>
              <w:right w:w="16" w:type="dxa"/>
            </w:tcMar>
            <w:vAlign w:val="center"/>
          </w:tcPr>
          <w:p w14:paraId="2BD262BB">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建设性质</w:t>
            </w:r>
          </w:p>
        </w:tc>
        <w:tc>
          <w:tcPr>
            <w:tcW w:w="1990" w:type="dxa"/>
            <w:noWrap w:val="0"/>
            <w:vAlign w:val="center"/>
          </w:tcPr>
          <w:p w14:paraId="4C5F7DE7">
            <w:pPr>
              <w:adjustRightInd w:val="0"/>
              <w:snapToGrid w:val="0"/>
              <w:spacing w:line="240" w:lineRule="auto"/>
              <w:ind w:left="0" w:leftChars="0" w:firstLine="0" w:firstLineChars="0"/>
              <w:jc w:val="both"/>
              <w:rPr>
                <w:rFonts w:hint="eastAsia" w:ascii="Times New Roman" w:hAnsi="Times New Roman" w:eastAsia="宋体" w:cs="Times New Roman"/>
                <w:color w:val="auto"/>
                <w:sz w:val="24"/>
                <w:szCs w:val="24"/>
                <w:highlight w:val="none"/>
                <w:lang w:eastAsia="zh-CN"/>
              </w:rPr>
            </w:pPr>
            <w:r>
              <w:rPr>
                <w:rFonts w:hint="eastAsia" w:ascii="Times New Roman" w:hAnsi="Times New Roman" w:eastAsia="宋体" w:cs="Times New Roman"/>
                <w:color w:val="auto"/>
                <w:sz w:val="24"/>
                <w:szCs w:val="24"/>
                <w:highlight w:val="none"/>
                <w:lang w:eastAsia="zh-CN"/>
              </w:rPr>
              <w:t>☑</w:t>
            </w:r>
            <w:r>
              <w:rPr>
                <w:rFonts w:ascii="Times New Roman" w:hAnsi="Times New Roman" w:eastAsia="宋体" w:cs="Times New Roman"/>
                <w:color w:val="auto"/>
                <w:sz w:val="24"/>
                <w:szCs w:val="24"/>
                <w:highlight w:val="none"/>
              </w:rPr>
              <w:t>新建</w:t>
            </w:r>
            <w:r>
              <w:rPr>
                <w:rFonts w:hint="eastAsia" w:ascii="Times New Roman" w:hAnsi="Times New Roman" w:eastAsia="宋体" w:cs="Times New Roman"/>
                <w:color w:val="auto"/>
                <w:sz w:val="24"/>
                <w:szCs w:val="24"/>
                <w:highlight w:val="none"/>
                <w:lang w:eastAsia="zh-CN"/>
              </w:rPr>
              <w:t>(</w:t>
            </w:r>
            <w:r>
              <w:rPr>
                <w:rFonts w:ascii="Times New Roman" w:hAnsi="Times New Roman" w:eastAsia="宋体" w:cs="Times New Roman"/>
                <w:color w:val="auto"/>
                <w:sz w:val="24"/>
                <w:szCs w:val="24"/>
                <w:highlight w:val="none"/>
              </w:rPr>
              <w:t>迁建</w:t>
            </w:r>
            <w:r>
              <w:rPr>
                <w:rFonts w:hint="eastAsia" w:ascii="Times New Roman" w:hAnsi="Times New Roman" w:eastAsia="宋体" w:cs="Times New Roman"/>
                <w:color w:val="auto"/>
                <w:sz w:val="24"/>
                <w:szCs w:val="24"/>
                <w:highlight w:val="none"/>
                <w:lang w:eastAsia="zh-CN"/>
              </w:rPr>
              <w:t>)</w:t>
            </w:r>
          </w:p>
          <w:p w14:paraId="2C1B73B0">
            <w:pPr>
              <w:adjustRightInd w:val="0"/>
              <w:snapToGrid w:val="0"/>
              <w:spacing w:line="240" w:lineRule="auto"/>
              <w:ind w:left="0" w:leftChars="0" w:firstLine="0" w:firstLineChars="0"/>
              <w:jc w:val="both"/>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□改建</w:t>
            </w:r>
          </w:p>
          <w:p w14:paraId="709FE0E5">
            <w:pPr>
              <w:adjustRightInd w:val="0"/>
              <w:snapToGrid w:val="0"/>
              <w:spacing w:line="240" w:lineRule="auto"/>
              <w:ind w:left="0" w:leftChars="0" w:firstLine="0" w:firstLineChars="0"/>
              <w:jc w:val="both"/>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□扩建</w:t>
            </w:r>
          </w:p>
          <w:p w14:paraId="64139E8D">
            <w:pPr>
              <w:adjustRightInd w:val="0"/>
              <w:snapToGrid w:val="0"/>
              <w:spacing w:line="240" w:lineRule="auto"/>
              <w:ind w:left="0" w:leftChars="0" w:firstLine="0" w:firstLineChars="0"/>
              <w:jc w:val="both"/>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□技术改造</w:t>
            </w:r>
          </w:p>
        </w:tc>
        <w:tc>
          <w:tcPr>
            <w:tcW w:w="2014" w:type="dxa"/>
            <w:noWrap w:val="0"/>
            <w:vAlign w:val="center"/>
          </w:tcPr>
          <w:p w14:paraId="72378D6B">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建设项目</w:t>
            </w:r>
          </w:p>
          <w:p w14:paraId="75B86BBC">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申报情形</w:t>
            </w:r>
          </w:p>
        </w:tc>
        <w:tc>
          <w:tcPr>
            <w:tcW w:w="2837" w:type="dxa"/>
            <w:noWrap w:val="0"/>
            <w:vAlign w:val="center"/>
          </w:tcPr>
          <w:p w14:paraId="4D381E38">
            <w:pPr>
              <w:adjustRightInd w:val="0"/>
              <w:snapToGrid w:val="0"/>
              <w:spacing w:line="240" w:lineRule="auto"/>
              <w:ind w:left="0" w:leftChars="0" w:firstLine="0" w:firstLineChars="0"/>
              <w:jc w:val="both"/>
              <w:rPr>
                <w:rFonts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lang w:eastAsia="zh-CN"/>
              </w:rPr>
              <w:t>☑</w:t>
            </w:r>
            <w:r>
              <w:rPr>
                <w:rFonts w:ascii="Times New Roman" w:hAnsi="Times New Roman" w:eastAsia="宋体" w:cs="Times New Roman"/>
                <w:color w:val="auto"/>
                <w:sz w:val="24"/>
                <w:szCs w:val="24"/>
                <w:highlight w:val="none"/>
              </w:rPr>
              <w:t xml:space="preserve">首次申报项目             </w:t>
            </w:r>
          </w:p>
          <w:p w14:paraId="469F7937">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□不予批准后再次申报项目</w:t>
            </w:r>
          </w:p>
          <w:p w14:paraId="6214043F">
            <w:pPr>
              <w:adjustRightInd w:val="0"/>
              <w:snapToGrid w:val="0"/>
              <w:spacing w:line="240" w:lineRule="auto"/>
              <w:ind w:left="0" w:leftChars="0" w:firstLine="0" w:firstLineChars="0"/>
              <w:jc w:val="both"/>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 xml:space="preserve">□超五年重新审核项目     </w:t>
            </w:r>
          </w:p>
          <w:p w14:paraId="6F668489">
            <w:pPr>
              <w:adjustRightInd w:val="0"/>
              <w:snapToGrid w:val="0"/>
              <w:spacing w:line="240" w:lineRule="auto"/>
              <w:ind w:left="0" w:leftChars="0" w:firstLine="0" w:firstLineChars="0"/>
              <w:jc w:val="both"/>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□重大变动重新报批项目</w:t>
            </w:r>
          </w:p>
        </w:tc>
      </w:tr>
      <w:tr w14:paraId="58EEB4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3" w:hRule="atLeast"/>
          <w:jc w:val="center"/>
        </w:trPr>
        <w:tc>
          <w:tcPr>
            <w:tcW w:w="2029" w:type="dxa"/>
            <w:gridSpan w:val="2"/>
            <w:noWrap w:val="0"/>
            <w:tcMar>
              <w:top w:w="16" w:type="dxa"/>
              <w:left w:w="16" w:type="dxa"/>
              <w:right w:w="16" w:type="dxa"/>
            </w:tcMar>
            <w:vAlign w:val="center"/>
          </w:tcPr>
          <w:p w14:paraId="3C1FCA9F">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项目备案部门</w:t>
            </w:r>
          </w:p>
        </w:tc>
        <w:tc>
          <w:tcPr>
            <w:tcW w:w="1990" w:type="dxa"/>
            <w:noWrap w:val="0"/>
            <w:vAlign w:val="center"/>
          </w:tcPr>
          <w:p w14:paraId="741457F7">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hint="eastAsia" w:ascii="Times New Roman" w:hAnsi="Times New Roman" w:eastAsia="宋体" w:cs="Times New Roman"/>
                <w:color w:val="auto"/>
                <w:sz w:val="24"/>
                <w:szCs w:val="24"/>
                <w:highlight w:val="none"/>
                <w:lang w:val="en-US" w:eastAsia="zh-CN"/>
              </w:rPr>
              <w:t>/</w:t>
            </w:r>
          </w:p>
        </w:tc>
        <w:tc>
          <w:tcPr>
            <w:tcW w:w="2014" w:type="dxa"/>
            <w:noWrap w:val="0"/>
            <w:vAlign w:val="center"/>
          </w:tcPr>
          <w:p w14:paraId="09135F31">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项目备案文号</w:t>
            </w:r>
          </w:p>
        </w:tc>
        <w:tc>
          <w:tcPr>
            <w:tcW w:w="2837" w:type="dxa"/>
            <w:noWrap w:val="0"/>
            <w:vAlign w:val="center"/>
          </w:tcPr>
          <w:p w14:paraId="452EBE7F">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lang w:val="en-US" w:eastAsia="zh-CN"/>
              </w:rPr>
              <w:t>/</w:t>
            </w:r>
          </w:p>
        </w:tc>
      </w:tr>
      <w:tr w14:paraId="200513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29" w:type="dxa"/>
            <w:gridSpan w:val="2"/>
            <w:noWrap w:val="0"/>
            <w:tcMar>
              <w:top w:w="16" w:type="dxa"/>
              <w:left w:w="16" w:type="dxa"/>
              <w:right w:w="16" w:type="dxa"/>
            </w:tcMar>
            <w:vAlign w:val="center"/>
          </w:tcPr>
          <w:p w14:paraId="72151FE7">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ascii="Times New Roman" w:hAnsi="Times New Roman" w:eastAsia="宋体" w:cs="Times New Roman"/>
                <w:color w:val="auto"/>
                <w:sz w:val="24"/>
                <w:szCs w:val="24"/>
                <w:highlight w:val="none"/>
              </w:rPr>
              <w:t>总投资</w:t>
            </w:r>
            <w:r>
              <w:rPr>
                <w:rFonts w:hint="eastAsia" w:ascii="Times New Roman" w:hAnsi="Times New Roman" w:eastAsia="宋体" w:cs="Times New Roman"/>
                <w:color w:val="auto"/>
                <w:sz w:val="24"/>
                <w:szCs w:val="24"/>
                <w:highlight w:val="none"/>
                <w:lang w:eastAsia="zh-CN"/>
              </w:rPr>
              <w:t>(</w:t>
            </w:r>
            <w:r>
              <w:rPr>
                <w:rFonts w:ascii="Times New Roman" w:hAnsi="Times New Roman" w:eastAsia="宋体" w:cs="Times New Roman"/>
                <w:color w:val="auto"/>
                <w:sz w:val="24"/>
                <w:szCs w:val="24"/>
                <w:highlight w:val="none"/>
              </w:rPr>
              <w:t>万元</w:t>
            </w:r>
            <w:r>
              <w:rPr>
                <w:rFonts w:hint="eastAsia" w:ascii="Times New Roman" w:hAnsi="Times New Roman" w:eastAsia="宋体" w:cs="Times New Roman"/>
                <w:color w:val="auto"/>
                <w:sz w:val="24"/>
                <w:szCs w:val="24"/>
                <w:highlight w:val="none"/>
                <w:lang w:eastAsia="zh-CN"/>
              </w:rPr>
              <w:t>)</w:t>
            </w:r>
          </w:p>
        </w:tc>
        <w:tc>
          <w:tcPr>
            <w:tcW w:w="1990" w:type="dxa"/>
            <w:noWrap w:val="0"/>
            <w:vAlign w:val="center"/>
          </w:tcPr>
          <w:p w14:paraId="245A466A">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hint="eastAsia" w:ascii="Times New Roman" w:hAnsi="Times New Roman" w:eastAsia="宋体" w:cs="Times New Roman"/>
                <w:color w:val="auto"/>
                <w:sz w:val="24"/>
                <w:szCs w:val="24"/>
                <w:highlight w:val="none"/>
                <w:lang w:val="en-US" w:eastAsia="zh-CN"/>
              </w:rPr>
              <w:t>25000</w:t>
            </w:r>
          </w:p>
        </w:tc>
        <w:tc>
          <w:tcPr>
            <w:tcW w:w="2014" w:type="dxa"/>
            <w:noWrap w:val="0"/>
            <w:tcMar>
              <w:top w:w="16" w:type="dxa"/>
              <w:left w:w="16" w:type="dxa"/>
              <w:right w:w="16" w:type="dxa"/>
            </w:tcMar>
            <w:vAlign w:val="center"/>
          </w:tcPr>
          <w:p w14:paraId="3F4F10B8">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ascii="Times New Roman" w:hAnsi="Times New Roman" w:eastAsia="宋体" w:cs="Times New Roman"/>
                <w:color w:val="auto"/>
                <w:sz w:val="24"/>
                <w:szCs w:val="24"/>
                <w:highlight w:val="none"/>
              </w:rPr>
              <w:t>环保投资</w:t>
            </w:r>
            <w:r>
              <w:rPr>
                <w:rFonts w:hint="eastAsia" w:ascii="Times New Roman" w:hAnsi="Times New Roman" w:eastAsia="宋体" w:cs="Times New Roman"/>
                <w:color w:val="auto"/>
                <w:sz w:val="24"/>
                <w:szCs w:val="24"/>
                <w:highlight w:val="none"/>
                <w:lang w:eastAsia="zh-CN"/>
              </w:rPr>
              <w:t>(</w:t>
            </w:r>
            <w:r>
              <w:rPr>
                <w:rFonts w:ascii="Times New Roman" w:hAnsi="Times New Roman" w:eastAsia="宋体" w:cs="Times New Roman"/>
                <w:color w:val="auto"/>
                <w:sz w:val="24"/>
                <w:szCs w:val="24"/>
                <w:highlight w:val="none"/>
              </w:rPr>
              <w:t>万元</w:t>
            </w:r>
            <w:r>
              <w:rPr>
                <w:rFonts w:hint="eastAsia" w:ascii="Times New Roman" w:hAnsi="Times New Roman" w:eastAsia="宋体" w:cs="Times New Roman"/>
                <w:color w:val="auto"/>
                <w:sz w:val="24"/>
                <w:szCs w:val="24"/>
                <w:highlight w:val="none"/>
                <w:lang w:eastAsia="zh-CN"/>
              </w:rPr>
              <w:t>)</w:t>
            </w:r>
          </w:p>
        </w:tc>
        <w:tc>
          <w:tcPr>
            <w:tcW w:w="2837" w:type="dxa"/>
            <w:noWrap w:val="0"/>
            <w:vAlign w:val="center"/>
          </w:tcPr>
          <w:p w14:paraId="5A2C908A">
            <w:pPr>
              <w:adjustRightInd w:val="0"/>
              <w:snapToGrid w:val="0"/>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33.5</w:t>
            </w:r>
          </w:p>
        </w:tc>
      </w:tr>
      <w:tr w14:paraId="1EEC63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29" w:type="dxa"/>
            <w:gridSpan w:val="2"/>
            <w:noWrap w:val="0"/>
            <w:tcMar>
              <w:top w:w="16" w:type="dxa"/>
              <w:left w:w="16" w:type="dxa"/>
              <w:right w:w="16" w:type="dxa"/>
            </w:tcMar>
            <w:vAlign w:val="center"/>
          </w:tcPr>
          <w:p w14:paraId="616D61FC">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ascii="Times New Roman" w:hAnsi="Times New Roman" w:eastAsia="宋体" w:cs="Times New Roman"/>
                <w:color w:val="auto"/>
                <w:sz w:val="24"/>
                <w:szCs w:val="24"/>
                <w:highlight w:val="none"/>
              </w:rPr>
              <w:t>环保投资占比</w:t>
            </w:r>
            <w:r>
              <w:rPr>
                <w:rFonts w:hint="eastAsia" w:ascii="Times New Roman" w:hAnsi="Times New Roman" w:eastAsia="宋体" w:cs="Times New Roman"/>
                <w:color w:val="auto"/>
                <w:sz w:val="24"/>
                <w:szCs w:val="24"/>
                <w:highlight w:val="none"/>
                <w:lang w:eastAsia="zh-CN"/>
              </w:rPr>
              <w:t>(</w:t>
            </w:r>
            <w:r>
              <w:rPr>
                <w:rFonts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eastAsia="zh-CN"/>
              </w:rPr>
              <w:t>)</w:t>
            </w:r>
          </w:p>
        </w:tc>
        <w:tc>
          <w:tcPr>
            <w:tcW w:w="1990" w:type="dxa"/>
            <w:noWrap w:val="0"/>
            <w:vAlign w:val="center"/>
          </w:tcPr>
          <w:p w14:paraId="03B76FF1">
            <w:pPr>
              <w:adjustRightInd w:val="0"/>
              <w:snapToGrid w:val="0"/>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0.134</w:t>
            </w:r>
          </w:p>
        </w:tc>
        <w:tc>
          <w:tcPr>
            <w:tcW w:w="2014" w:type="dxa"/>
            <w:noWrap w:val="0"/>
            <w:tcMar>
              <w:top w:w="16" w:type="dxa"/>
              <w:left w:w="16" w:type="dxa"/>
              <w:right w:w="16" w:type="dxa"/>
            </w:tcMar>
            <w:vAlign w:val="center"/>
          </w:tcPr>
          <w:p w14:paraId="391388DF">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施工工期</w:t>
            </w:r>
          </w:p>
        </w:tc>
        <w:tc>
          <w:tcPr>
            <w:tcW w:w="2837" w:type="dxa"/>
            <w:noWrap w:val="0"/>
            <w:vAlign w:val="center"/>
          </w:tcPr>
          <w:p w14:paraId="777BE184">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hint="eastAsia" w:cs="Times New Roman"/>
                <w:color w:val="auto"/>
                <w:sz w:val="24"/>
                <w:szCs w:val="24"/>
                <w:highlight w:val="none"/>
                <w:lang w:val="en-US" w:eastAsia="zh-CN"/>
              </w:rPr>
              <w:t>1</w:t>
            </w:r>
            <w:r>
              <w:rPr>
                <w:rFonts w:hint="eastAsia" w:ascii="Times New Roman" w:hAnsi="Times New Roman" w:eastAsia="宋体" w:cs="Times New Roman"/>
                <w:color w:val="auto"/>
                <w:sz w:val="24"/>
                <w:szCs w:val="24"/>
                <w:highlight w:val="none"/>
              </w:rPr>
              <w:t>个月</w:t>
            </w:r>
          </w:p>
        </w:tc>
      </w:tr>
      <w:tr w14:paraId="5B10F0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2029" w:type="dxa"/>
            <w:gridSpan w:val="2"/>
            <w:noWrap w:val="0"/>
            <w:tcMar>
              <w:top w:w="16" w:type="dxa"/>
              <w:left w:w="16" w:type="dxa"/>
              <w:right w:w="16" w:type="dxa"/>
            </w:tcMar>
            <w:vAlign w:val="center"/>
          </w:tcPr>
          <w:p w14:paraId="271B9999">
            <w:pPr>
              <w:adjustRightInd w:val="0"/>
              <w:snapToGrid w:val="0"/>
              <w:spacing w:line="240" w:lineRule="auto"/>
              <w:ind w:left="0" w:leftChars="0" w:firstLine="0" w:firstLineChars="0"/>
              <w:jc w:val="center"/>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是否开工建设</w:t>
            </w:r>
          </w:p>
        </w:tc>
        <w:tc>
          <w:tcPr>
            <w:tcW w:w="1990" w:type="dxa"/>
            <w:noWrap w:val="0"/>
            <w:vAlign w:val="center"/>
          </w:tcPr>
          <w:p w14:paraId="4824B0E7">
            <w:pPr>
              <w:adjustRightInd w:val="0"/>
              <w:snapToGrid w:val="0"/>
              <w:spacing w:line="240" w:lineRule="auto"/>
              <w:ind w:left="0" w:leftChars="0" w:firstLine="0" w:firstLineChars="0"/>
              <w:jc w:val="both"/>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sym w:font="Wingdings 2" w:char="00A3"/>
            </w:r>
            <w:r>
              <w:rPr>
                <w:rFonts w:ascii="Times New Roman" w:hAnsi="Times New Roman" w:eastAsia="宋体" w:cs="Times New Roman"/>
                <w:color w:val="auto"/>
                <w:sz w:val="24"/>
                <w:szCs w:val="24"/>
                <w:highlight w:val="none"/>
              </w:rPr>
              <w:t>否</w:t>
            </w:r>
          </w:p>
          <w:p w14:paraId="12F80B62">
            <w:pPr>
              <w:adjustRightInd w:val="0"/>
              <w:snapToGrid w:val="0"/>
              <w:spacing w:line="240" w:lineRule="auto"/>
              <w:ind w:left="0" w:leftChars="0" w:firstLine="0" w:firstLineChars="0"/>
              <w:jc w:val="both"/>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sym w:font="Wingdings 2" w:char="0052"/>
            </w:r>
            <w:r>
              <w:rPr>
                <w:rFonts w:ascii="Times New Roman" w:hAnsi="Times New Roman" w:eastAsia="宋体" w:cs="Times New Roman"/>
                <w:color w:val="auto"/>
                <w:sz w:val="24"/>
                <w:szCs w:val="24"/>
                <w:highlight w:val="none"/>
              </w:rPr>
              <w:t>是：</w:t>
            </w:r>
            <w:r>
              <w:rPr>
                <w:rFonts w:hint="eastAsia" w:cs="Times New Roman"/>
                <w:color w:val="auto"/>
                <w:sz w:val="24"/>
                <w:szCs w:val="24"/>
                <w:highlight w:val="none"/>
                <w:u w:val="single"/>
                <w:lang w:val="en-US" w:eastAsia="zh-CN"/>
              </w:rPr>
              <w:t>已建成，未处罚</w:t>
            </w:r>
            <w:r>
              <w:rPr>
                <w:rFonts w:hint="eastAsia" w:ascii="Times New Roman" w:hAnsi="Times New Roman" w:eastAsia="宋体" w:cs="Times New Roman"/>
                <w:color w:val="auto"/>
                <w:sz w:val="24"/>
                <w:szCs w:val="24"/>
                <w:highlight w:val="none"/>
                <w:u w:val="single"/>
                <w:lang w:val="en-US" w:eastAsia="zh-CN"/>
              </w:rPr>
              <w:t xml:space="preserve">       </w:t>
            </w:r>
            <w:r>
              <w:rPr>
                <w:rFonts w:ascii="Times New Roman" w:hAnsi="Times New Roman" w:eastAsia="宋体" w:cs="Times New Roman"/>
                <w:color w:val="auto"/>
                <w:sz w:val="24"/>
                <w:szCs w:val="24"/>
                <w:highlight w:val="none"/>
              </w:rPr>
              <w:t xml:space="preserve"> </w:t>
            </w:r>
            <w:r>
              <w:rPr>
                <w:rFonts w:hint="eastAsia" w:ascii="Times New Roman" w:hAnsi="Times New Roman" w:eastAsia="宋体" w:cs="Times New Roman"/>
                <w:color w:val="auto"/>
                <w:sz w:val="24"/>
                <w:szCs w:val="24"/>
                <w:highlight w:val="none"/>
              </w:rPr>
              <w:t xml:space="preserve"> </w:t>
            </w:r>
            <w:r>
              <w:rPr>
                <w:rFonts w:ascii="Times New Roman" w:hAnsi="Times New Roman" w:eastAsia="宋体" w:cs="Times New Roman"/>
                <w:color w:val="auto"/>
                <w:sz w:val="24"/>
                <w:szCs w:val="24"/>
                <w:highlight w:val="none"/>
              </w:rPr>
              <w:t xml:space="preserve">     </w:t>
            </w:r>
          </w:p>
        </w:tc>
        <w:tc>
          <w:tcPr>
            <w:tcW w:w="2014" w:type="dxa"/>
            <w:noWrap w:val="0"/>
            <w:tcMar>
              <w:top w:w="16" w:type="dxa"/>
              <w:left w:w="16" w:type="dxa"/>
              <w:right w:w="16" w:type="dxa"/>
            </w:tcMar>
            <w:vAlign w:val="center"/>
          </w:tcPr>
          <w:p w14:paraId="142956AE">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eastAsia="zh-CN"/>
              </w:rPr>
            </w:pPr>
            <w:r>
              <w:rPr>
                <w:rFonts w:ascii="Times New Roman" w:hAnsi="Times New Roman" w:eastAsia="宋体" w:cs="Times New Roman"/>
                <w:color w:val="auto"/>
                <w:sz w:val="24"/>
                <w:szCs w:val="24"/>
                <w:highlight w:val="none"/>
              </w:rPr>
              <w:t>用地面积</w:t>
            </w:r>
            <w:r>
              <w:rPr>
                <w:rFonts w:hint="eastAsia" w:ascii="Times New Roman" w:hAnsi="Times New Roman" w:eastAsia="宋体" w:cs="Times New Roman"/>
                <w:color w:val="auto"/>
                <w:sz w:val="24"/>
                <w:szCs w:val="24"/>
                <w:highlight w:val="none"/>
                <w:lang w:eastAsia="zh-CN"/>
              </w:rPr>
              <w:t>(</w:t>
            </w:r>
            <w:r>
              <w:rPr>
                <w:rFonts w:ascii="Times New Roman" w:hAnsi="Times New Roman" w:eastAsia="宋体" w:cs="Times New Roman"/>
                <w:color w:val="auto"/>
                <w:sz w:val="24"/>
                <w:szCs w:val="24"/>
                <w:highlight w:val="none"/>
              </w:rPr>
              <w:t>m</w:t>
            </w:r>
            <w:r>
              <w:rPr>
                <w:rFonts w:ascii="Times New Roman" w:hAnsi="Times New Roman" w:eastAsia="宋体" w:cs="Times New Roman"/>
                <w:color w:val="auto"/>
                <w:sz w:val="24"/>
                <w:szCs w:val="24"/>
                <w:highlight w:val="none"/>
                <w:vertAlign w:val="superscript"/>
              </w:rPr>
              <w:t>2</w:t>
            </w:r>
            <w:r>
              <w:rPr>
                <w:rFonts w:hint="eastAsia" w:ascii="Times New Roman" w:hAnsi="Times New Roman" w:eastAsia="宋体" w:cs="Times New Roman"/>
                <w:color w:val="auto"/>
                <w:sz w:val="24"/>
                <w:szCs w:val="24"/>
                <w:highlight w:val="none"/>
                <w:lang w:eastAsia="zh-CN"/>
              </w:rPr>
              <w:t>)</w:t>
            </w:r>
          </w:p>
        </w:tc>
        <w:tc>
          <w:tcPr>
            <w:tcW w:w="2837" w:type="dxa"/>
            <w:noWrap w:val="0"/>
            <w:vAlign w:val="center"/>
          </w:tcPr>
          <w:p w14:paraId="71CD5442">
            <w:pPr>
              <w:adjustRightInd w:val="0"/>
              <w:snapToGrid w:val="0"/>
              <w:spacing w:line="240" w:lineRule="auto"/>
              <w:ind w:left="0" w:leftChars="0" w:firstLine="0" w:firstLineChars="0"/>
              <w:jc w:val="center"/>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7</w:t>
            </w:r>
            <w:r>
              <w:rPr>
                <w:rFonts w:hint="eastAsia" w:cs="Times New Roman"/>
                <w:color w:val="auto"/>
                <w:sz w:val="24"/>
                <w:szCs w:val="24"/>
                <w:highlight w:val="none"/>
                <w:lang w:val="en-US" w:eastAsia="zh-CN"/>
              </w:rPr>
              <w:t>8</w:t>
            </w:r>
            <w:r>
              <w:rPr>
                <w:rFonts w:hint="eastAsia" w:ascii="Times New Roman" w:hAnsi="Times New Roman" w:eastAsia="宋体" w:cs="Times New Roman"/>
                <w:color w:val="auto"/>
                <w:sz w:val="24"/>
                <w:szCs w:val="24"/>
                <w:highlight w:val="none"/>
                <w:lang w:val="en-US" w:eastAsia="zh-CN"/>
              </w:rPr>
              <w:t>00</w:t>
            </w:r>
          </w:p>
        </w:tc>
      </w:tr>
      <w:tr w14:paraId="796261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2029" w:type="dxa"/>
            <w:gridSpan w:val="2"/>
            <w:noWrap w:val="0"/>
            <w:vAlign w:val="center"/>
          </w:tcPr>
          <w:p w14:paraId="36D5BE6D">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专项评价设置情况</w:t>
            </w:r>
          </w:p>
        </w:tc>
        <w:tc>
          <w:tcPr>
            <w:tcW w:w="6841" w:type="dxa"/>
            <w:gridSpan w:val="3"/>
            <w:noWrap w:val="0"/>
            <w:vAlign w:val="center"/>
          </w:tcPr>
          <w:p w14:paraId="766B06E8">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color w:val="auto"/>
              </w:rPr>
              <w:t>大气专项评价，废气排放涉及</w:t>
            </w:r>
            <w:r>
              <w:rPr>
                <w:rFonts w:hint="eastAsia"/>
                <w:color w:val="auto"/>
                <w:lang w:eastAsia="zh-CN"/>
              </w:rPr>
              <w:t>甲醛</w:t>
            </w:r>
            <w:r>
              <w:rPr>
                <w:rFonts w:hint="eastAsia"/>
                <w:color w:val="auto"/>
              </w:rPr>
              <w:t>，厂界外500米范围内有环境空气保护目标（</w:t>
            </w:r>
            <w:r>
              <w:rPr>
                <w:rFonts w:hint="eastAsia"/>
                <w:color w:val="auto"/>
                <w:lang w:eastAsia="zh-CN"/>
              </w:rPr>
              <w:t>居住区、</w:t>
            </w:r>
            <w:r>
              <w:rPr>
                <w:rFonts w:hint="eastAsia"/>
                <w:color w:val="auto"/>
              </w:rPr>
              <w:t>农村地区中人群较集中的区域）</w:t>
            </w:r>
          </w:p>
        </w:tc>
      </w:tr>
      <w:tr w14:paraId="38E674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43" w:type="dxa"/>
            <w:noWrap w:val="0"/>
            <w:vAlign w:val="center"/>
          </w:tcPr>
          <w:p w14:paraId="46999441">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规划情况</w:t>
            </w:r>
          </w:p>
        </w:tc>
        <w:tc>
          <w:tcPr>
            <w:tcW w:w="8027" w:type="dxa"/>
            <w:gridSpan w:val="4"/>
            <w:noWrap w:val="0"/>
            <w:vAlign w:val="center"/>
          </w:tcPr>
          <w:p w14:paraId="7A241E30">
            <w:pPr>
              <w:bidi w:val="0"/>
              <w:rPr>
                <w:rFonts w:hint="eastAsia"/>
                <w:color w:val="auto"/>
                <w:lang w:val="en-US" w:eastAsia="zh-CN"/>
              </w:rPr>
            </w:pPr>
            <w:r>
              <w:rPr>
                <w:rFonts w:hint="default"/>
                <w:color w:val="auto"/>
                <w:lang w:val="en-US" w:eastAsia="zh-CN"/>
              </w:rPr>
              <w:t>《湖南江永工业集中区发展规划</w:t>
            </w:r>
            <w:r>
              <w:rPr>
                <w:rFonts w:hint="eastAsia"/>
                <w:color w:val="auto"/>
                <w:lang w:val="en-US" w:eastAsia="zh-CN"/>
              </w:rPr>
              <w:t>(</w:t>
            </w:r>
            <w:r>
              <w:rPr>
                <w:rFonts w:hint="default"/>
                <w:color w:val="auto"/>
                <w:lang w:val="en-US" w:eastAsia="zh-CN"/>
              </w:rPr>
              <w:t>2011</w:t>
            </w:r>
            <w:r>
              <w:rPr>
                <w:rFonts w:hint="eastAsia"/>
                <w:color w:val="auto"/>
                <w:lang w:val="en-US" w:eastAsia="zh-CN"/>
              </w:rPr>
              <w:t>-</w:t>
            </w:r>
            <w:r>
              <w:rPr>
                <w:rFonts w:hint="default"/>
                <w:color w:val="auto"/>
                <w:lang w:val="en-US" w:eastAsia="zh-CN"/>
              </w:rPr>
              <w:t>2020</w:t>
            </w:r>
            <w:r>
              <w:rPr>
                <w:rFonts w:hint="eastAsia"/>
                <w:color w:val="auto"/>
                <w:lang w:val="en-US" w:eastAsia="zh-CN"/>
              </w:rPr>
              <w:t>)</w:t>
            </w:r>
            <w:r>
              <w:rPr>
                <w:rFonts w:hint="default"/>
                <w:color w:val="auto"/>
                <w:lang w:val="en-US" w:eastAsia="zh-CN"/>
              </w:rPr>
              <w:t>》于2012年获省发改委《关于江永工业集中区发展规划</w:t>
            </w:r>
            <w:r>
              <w:rPr>
                <w:rFonts w:hint="eastAsia"/>
                <w:color w:val="auto"/>
                <w:lang w:val="en-US" w:eastAsia="zh-CN"/>
              </w:rPr>
              <w:t>(</w:t>
            </w:r>
            <w:r>
              <w:rPr>
                <w:rFonts w:hint="default"/>
                <w:color w:val="auto"/>
                <w:lang w:val="en-US" w:eastAsia="zh-CN"/>
              </w:rPr>
              <w:t>2011-2020</w:t>
            </w:r>
            <w:r>
              <w:rPr>
                <w:rFonts w:hint="eastAsia"/>
                <w:color w:val="auto"/>
                <w:lang w:val="en-US" w:eastAsia="zh-CN"/>
              </w:rPr>
              <w:t>)</w:t>
            </w:r>
            <w:r>
              <w:rPr>
                <w:rFonts w:hint="default"/>
                <w:color w:val="auto"/>
                <w:lang w:val="en-US" w:eastAsia="zh-CN"/>
              </w:rPr>
              <w:t>的批复》，文号为湘发改地区[2012]2051号</w:t>
            </w:r>
            <w:r>
              <w:rPr>
                <w:rFonts w:hint="eastAsia"/>
                <w:color w:val="auto"/>
                <w:lang w:val="en-US" w:eastAsia="zh-CN"/>
              </w:rPr>
              <w:t>。</w:t>
            </w:r>
          </w:p>
        </w:tc>
      </w:tr>
      <w:tr w14:paraId="200AD2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43" w:type="dxa"/>
            <w:noWrap w:val="0"/>
            <w:vAlign w:val="center"/>
          </w:tcPr>
          <w:p w14:paraId="12A712A2">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规划环境影响</w:t>
            </w:r>
          </w:p>
          <w:p w14:paraId="7C2AEAFB">
            <w:pPr>
              <w:adjustRightInd w:val="0"/>
              <w:snapToGrid w:val="0"/>
              <w:spacing w:line="240" w:lineRule="auto"/>
              <w:ind w:left="0" w:leftChars="0" w:firstLine="0" w:firstLineChars="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评价情况</w:t>
            </w:r>
          </w:p>
        </w:tc>
        <w:tc>
          <w:tcPr>
            <w:tcW w:w="8027" w:type="dxa"/>
            <w:gridSpan w:val="4"/>
            <w:noWrap w:val="0"/>
            <w:vAlign w:val="center"/>
          </w:tcPr>
          <w:p w14:paraId="6FE073A8">
            <w:pPr>
              <w:bidi w:val="0"/>
              <w:rPr>
                <w:rFonts w:hint="default"/>
                <w:color w:val="auto"/>
                <w:lang w:val="en-US" w:eastAsia="zh-CN"/>
              </w:rPr>
            </w:pPr>
            <w:r>
              <w:rPr>
                <w:rFonts w:hint="default"/>
                <w:color w:val="auto"/>
                <w:lang w:val="en-US" w:eastAsia="zh-CN"/>
              </w:rPr>
              <w:t>《</w:t>
            </w:r>
            <w:r>
              <w:rPr>
                <w:rFonts w:hint="eastAsia"/>
                <w:color w:val="auto"/>
                <w:lang w:val="en-US" w:eastAsia="zh-CN"/>
              </w:rPr>
              <w:t>永州市江永工业园项目</w:t>
            </w:r>
            <w:r>
              <w:rPr>
                <w:rFonts w:hint="default"/>
                <w:color w:val="auto"/>
                <w:lang w:val="en-US" w:eastAsia="zh-CN"/>
              </w:rPr>
              <w:t>环境影响报告书》于2009年5月26日取得</w:t>
            </w:r>
            <w:r>
              <w:rPr>
                <w:rFonts w:hint="eastAsia"/>
                <w:color w:val="auto"/>
                <w:lang w:val="en-US" w:eastAsia="zh-CN"/>
              </w:rPr>
              <w:t>原</w:t>
            </w:r>
            <w:r>
              <w:rPr>
                <w:rFonts w:hint="default"/>
                <w:color w:val="auto"/>
                <w:lang w:val="en-US" w:eastAsia="zh-CN"/>
              </w:rPr>
              <w:t>湖南省环境保护局的批复，文号为湘环评[2009]110号；</w:t>
            </w:r>
          </w:p>
          <w:p w14:paraId="62B9F0BC">
            <w:pPr>
              <w:bidi w:val="0"/>
              <w:rPr>
                <w:rFonts w:hint="eastAsia"/>
                <w:color w:val="auto"/>
                <w:lang w:val="en-US" w:eastAsia="zh-CN"/>
              </w:rPr>
            </w:pPr>
            <w:r>
              <w:rPr>
                <w:rFonts w:hint="default"/>
                <w:color w:val="auto"/>
                <w:lang w:val="en-US" w:eastAsia="zh-CN"/>
              </w:rPr>
              <w:t>《江永工业集中区规划环境影响跟踪评价报告书(报批稿)》</w:t>
            </w:r>
            <w:r>
              <w:rPr>
                <w:rFonts w:hint="eastAsia"/>
                <w:color w:val="auto"/>
                <w:lang w:val="en-US" w:eastAsia="zh-CN"/>
              </w:rPr>
              <w:t>于</w:t>
            </w:r>
            <w:r>
              <w:rPr>
                <w:rFonts w:hint="default"/>
                <w:color w:val="auto"/>
                <w:lang w:val="en-US" w:eastAsia="zh-CN"/>
              </w:rPr>
              <w:t>20</w:t>
            </w:r>
            <w:r>
              <w:rPr>
                <w:rFonts w:hint="eastAsia"/>
                <w:color w:val="auto"/>
                <w:lang w:val="en-US" w:eastAsia="zh-CN"/>
              </w:rPr>
              <w:t>20</w:t>
            </w:r>
            <w:r>
              <w:rPr>
                <w:rFonts w:hint="default"/>
                <w:color w:val="auto"/>
                <w:lang w:val="en-US" w:eastAsia="zh-CN"/>
              </w:rPr>
              <w:t>年</w:t>
            </w:r>
            <w:r>
              <w:rPr>
                <w:rFonts w:hint="eastAsia"/>
                <w:color w:val="auto"/>
                <w:lang w:val="en-US" w:eastAsia="zh-CN"/>
              </w:rPr>
              <w:t>6</w:t>
            </w:r>
            <w:r>
              <w:rPr>
                <w:rFonts w:hint="default"/>
                <w:color w:val="auto"/>
                <w:lang w:val="en-US" w:eastAsia="zh-CN"/>
              </w:rPr>
              <w:t>月</w:t>
            </w:r>
            <w:r>
              <w:rPr>
                <w:rFonts w:hint="eastAsia"/>
                <w:color w:val="auto"/>
                <w:lang w:val="en-US" w:eastAsia="zh-CN"/>
              </w:rPr>
              <w:t>30</w:t>
            </w:r>
            <w:r>
              <w:rPr>
                <w:rFonts w:hint="default"/>
                <w:color w:val="auto"/>
                <w:lang w:val="en-US" w:eastAsia="zh-CN"/>
              </w:rPr>
              <w:t>日</w:t>
            </w:r>
            <w:r>
              <w:rPr>
                <w:rFonts w:hint="eastAsia"/>
                <w:color w:val="auto"/>
                <w:lang w:val="en-US" w:eastAsia="zh-CN"/>
              </w:rPr>
              <w:t>取得了</w:t>
            </w:r>
            <w:r>
              <w:rPr>
                <w:rFonts w:hint="default"/>
                <w:color w:val="auto"/>
                <w:lang w:val="en-US" w:eastAsia="zh-CN"/>
              </w:rPr>
              <w:t>湖南省生态环境厅</w:t>
            </w:r>
            <w:r>
              <w:rPr>
                <w:rFonts w:hint="eastAsia"/>
                <w:color w:val="auto"/>
                <w:lang w:val="en-US" w:eastAsia="zh-CN"/>
              </w:rPr>
              <w:t>关于</w:t>
            </w:r>
            <w:r>
              <w:rPr>
                <w:rFonts w:hint="default"/>
                <w:color w:val="auto"/>
                <w:lang w:val="en-US" w:eastAsia="zh-CN"/>
              </w:rPr>
              <w:t>江永工业集中区规划环境影响</w:t>
            </w:r>
            <w:r>
              <w:rPr>
                <w:rFonts w:hint="eastAsia"/>
                <w:color w:val="auto"/>
                <w:lang w:val="en-US" w:eastAsia="zh-CN"/>
              </w:rPr>
              <w:t>跟踪评价工作意见的函，</w:t>
            </w:r>
            <w:r>
              <w:rPr>
                <w:rFonts w:hint="default"/>
                <w:color w:val="auto"/>
                <w:lang w:val="en-US" w:eastAsia="zh-CN"/>
              </w:rPr>
              <w:t>文号为</w:t>
            </w:r>
            <w:r>
              <w:rPr>
                <w:rFonts w:hint="eastAsia"/>
                <w:color w:val="auto"/>
                <w:lang w:val="en-US" w:eastAsia="zh-CN"/>
              </w:rPr>
              <w:t>湘环评函[2020]18号。</w:t>
            </w:r>
          </w:p>
        </w:tc>
      </w:tr>
      <w:tr w14:paraId="6731A8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43" w:type="dxa"/>
            <w:noWrap w:val="0"/>
            <w:vAlign w:val="center"/>
          </w:tcPr>
          <w:p w14:paraId="5931CA51">
            <w:pPr>
              <w:adjustRightInd w:val="0"/>
              <w:snapToGrid w:val="0"/>
              <w:spacing w:line="240" w:lineRule="auto"/>
              <w:ind w:left="0" w:leftChars="0" w:firstLine="0" w:firstLineChars="0"/>
              <w:jc w:val="center"/>
              <w:rPr>
                <w:color w:val="auto"/>
                <w:kern w:val="0"/>
                <w:szCs w:val="21"/>
                <w:highlight w:val="none"/>
              </w:rPr>
            </w:pPr>
            <w:r>
              <w:rPr>
                <w:rFonts w:hint="eastAsia" w:ascii="Times New Roman" w:hAnsi="Times New Roman" w:eastAsia="宋体" w:cs="Times New Roman"/>
                <w:color w:val="auto"/>
                <w:sz w:val="24"/>
                <w:szCs w:val="24"/>
                <w:highlight w:val="none"/>
                <w:lang w:val="en-US" w:eastAsia="zh-CN"/>
              </w:rPr>
              <w:t>规划及规划环境影响评价符合性分析</w:t>
            </w:r>
          </w:p>
        </w:tc>
        <w:tc>
          <w:tcPr>
            <w:tcW w:w="8027" w:type="dxa"/>
            <w:gridSpan w:val="4"/>
            <w:noWrap w:val="0"/>
            <w:vAlign w:val="center"/>
          </w:tcPr>
          <w:p w14:paraId="308D1AA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Times New Roman" w:hAnsi="Times New Roman" w:eastAsia="宋体" w:cs="Times New Roman"/>
                <w:color w:val="auto"/>
                <w:sz w:val="24"/>
                <w:highlight w:val="none"/>
                <w:u w:val="single" w:color="auto"/>
                <w:lang w:val="en-US" w:eastAsia="zh-CN"/>
              </w:rPr>
            </w:pPr>
            <w:r>
              <w:rPr>
                <w:rFonts w:hint="eastAsia"/>
                <w:color w:val="auto"/>
                <w:kern w:val="0"/>
                <w:sz w:val="24"/>
                <w:szCs w:val="24"/>
                <w:highlight w:val="none"/>
                <w:u w:val="single" w:color="auto"/>
              </w:rPr>
              <w:t>根据《湖南江永工业集中区发展规划(2011-2020)》和《江永工业集中区规划环境影响跟踪评价报告书(报批稿)》，主导产业为：以农副食品加工、电子信息和智能装备制造为主导产业，新能源、新材料为辅助产业。</w:t>
            </w:r>
            <w:r>
              <w:rPr>
                <w:rFonts w:hint="eastAsia" w:ascii="Times New Roman" w:hAnsi="Times New Roman" w:eastAsia="宋体" w:cs="Times New Roman"/>
                <w:color w:val="auto"/>
                <w:sz w:val="24"/>
                <w:highlight w:val="none"/>
                <w:u w:val="single" w:color="auto"/>
                <w:lang w:val="en-US" w:eastAsia="zh-CN"/>
              </w:rPr>
              <w:t>本项目与《江永工业集中区规划环境影响跟踪评价报告书(报批稿)》 （湘环评函〔2020〕18 号）相符性分析详见下表。</w:t>
            </w:r>
          </w:p>
          <w:p w14:paraId="637D384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sz w:val="24"/>
                <w:highlight w:val="none"/>
                <w:u w:val="single" w:color="auto"/>
                <w:lang w:val="en-US" w:eastAsia="zh-CN"/>
              </w:rPr>
            </w:pPr>
            <w:r>
              <w:rPr>
                <w:rFonts w:hint="eastAsia" w:ascii="Times New Roman" w:hAnsi="Times New Roman" w:eastAsia="宋体" w:cs="Times New Roman"/>
                <w:b/>
                <w:bCs/>
                <w:color w:val="auto"/>
                <w:kern w:val="0"/>
                <w:sz w:val="21"/>
                <w:szCs w:val="21"/>
                <w:highlight w:val="none"/>
                <w:u w:val="single" w:color="auto"/>
                <w:lang w:val="en-US" w:eastAsia="zh-CN"/>
              </w:rPr>
              <w:t xml:space="preserve">表1-2  </w:t>
            </w:r>
            <w:r>
              <w:rPr>
                <w:rFonts w:hint="eastAsia" w:ascii="Times New Roman" w:hAnsi="Times New Roman" w:eastAsia="宋体" w:cs="Times New Roman"/>
                <w:b/>
                <w:bCs/>
                <w:color w:val="auto"/>
                <w:spacing w:val="0"/>
                <w:kern w:val="0"/>
                <w:sz w:val="21"/>
                <w:szCs w:val="21"/>
                <w:highlight w:val="none"/>
                <w:u w:val="single" w:color="auto"/>
              </w:rPr>
              <w:t>本项目与湘环评函〔2020〕18 号相符性分析</w:t>
            </w:r>
          </w:p>
          <w:tbl>
            <w:tblPr>
              <w:tblStyle w:val="30"/>
              <w:tblW w:w="4998"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28"/>
              <w:gridCol w:w="3762"/>
              <w:gridCol w:w="2657"/>
              <w:gridCol w:w="631"/>
            </w:tblGrid>
            <w:tr w14:paraId="4174A1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68" w:type="pct"/>
                  <w:tcBorders>
                    <w:tl2br w:val="nil"/>
                    <w:tr2bl w:val="nil"/>
                  </w:tcBorders>
                  <w:vAlign w:val="center"/>
                </w:tcPr>
                <w:p w14:paraId="6E1EBD4B">
                  <w:pPr>
                    <w:pStyle w:val="113"/>
                    <w:spacing w:before="65" w:line="227" w:lineRule="auto"/>
                    <w:ind w:firstLine="0" w:firstLineChars="0"/>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序号</w:t>
                  </w:r>
                </w:p>
              </w:tc>
              <w:tc>
                <w:tcPr>
                  <w:tcW w:w="2417" w:type="pct"/>
                  <w:tcBorders>
                    <w:tl2br w:val="nil"/>
                    <w:tr2bl w:val="nil"/>
                  </w:tcBorders>
                  <w:vAlign w:val="center"/>
                </w:tcPr>
                <w:p w14:paraId="16909230">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b w:val="0"/>
                      <w:bCs w:val="0"/>
                      <w:color w:val="auto"/>
                      <w:spacing w:val="8"/>
                      <w:sz w:val="20"/>
                      <w:szCs w:val="20"/>
                      <w:highlight w:val="none"/>
                      <w:u w:val="single" w:color="auto"/>
                    </w:rPr>
                    <w:t>(湘环评函〔2020〕18 号)批复意见</w:t>
                  </w:r>
                </w:p>
              </w:tc>
              <w:tc>
                <w:tcPr>
                  <w:tcW w:w="1707" w:type="pct"/>
                  <w:tcBorders>
                    <w:tl2br w:val="nil"/>
                    <w:tr2bl w:val="nil"/>
                  </w:tcBorders>
                  <w:vAlign w:val="center"/>
                </w:tcPr>
                <w:p w14:paraId="36890204">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b w:val="0"/>
                      <w:bCs w:val="0"/>
                      <w:color w:val="auto"/>
                      <w:spacing w:val="8"/>
                      <w:sz w:val="20"/>
                      <w:szCs w:val="20"/>
                      <w:highlight w:val="none"/>
                      <w:u w:val="single" w:color="auto"/>
                    </w:rPr>
                    <w:t>本项目情况</w:t>
                  </w:r>
                </w:p>
              </w:tc>
              <w:tc>
                <w:tcPr>
                  <w:tcW w:w="405" w:type="pct"/>
                  <w:tcBorders>
                    <w:tl2br w:val="nil"/>
                    <w:tr2bl w:val="nil"/>
                  </w:tcBorders>
                  <w:vAlign w:val="center"/>
                </w:tcPr>
                <w:p w14:paraId="606CCC13">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符合性</w:t>
                  </w:r>
                </w:p>
              </w:tc>
            </w:tr>
            <w:tr w14:paraId="3C88A7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68" w:type="pct"/>
                  <w:tcBorders>
                    <w:tl2br w:val="nil"/>
                    <w:tr2bl w:val="nil"/>
                  </w:tcBorders>
                  <w:vAlign w:val="center"/>
                </w:tcPr>
                <w:p w14:paraId="404F32F2">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1</w:t>
                  </w:r>
                </w:p>
              </w:tc>
              <w:tc>
                <w:tcPr>
                  <w:tcW w:w="2417" w:type="pct"/>
                  <w:tcBorders>
                    <w:tl2br w:val="nil"/>
                    <w:tr2bl w:val="nil"/>
                  </w:tcBorders>
                  <w:vAlign w:val="center"/>
                </w:tcPr>
                <w:p w14:paraId="276FBBAD">
                  <w:pPr>
                    <w:pStyle w:val="113"/>
                    <w:spacing w:before="65" w:line="227" w:lineRule="auto"/>
                    <w:ind w:left="0" w:right="0"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一)进一步强化园区开发的合规性。园区环评时间已经久远，经过多年发展，实际的园区范围、空间功能布局、产业定位、产业布局与原园区环评的基础情况已有较大偏差，实际开发与园区规划、园区规划与最新的城市总规存在较多不一致，麒麟岩片区不在原园区环评之内，园区应尽快开展全面的规划优化调整，并重新进行规划环评论证，省级 园区规划的调整须符合省级园区规划调整的相关规定和程序。</w:t>
                  </w:r>
                </w:p>
              </w:tc>
              <w:tc>
                <w:tcPr>
                  <w:tcW w:w="1707" w:type="pct"/>
                  <w:tcBorders>
                    <w:tl2br w:val="nil"/>
                    <w:tr2bl w:val="nil"/>
                  </w:tcBorders>
                  <w:vAlign w:val="center"/>
                </w:tcPr>
                <w:p w14:paraId="04EC7ECE">
                  <w:pPr>
                    <w:pStyle w:val="113"/>
                    <w:spacing w:before="65" w:line="227" w:lineRule="auto"/>
                    <w:ind w:firstLine="0" w:firstLineChars="0"/>
                    <w:rPr>
                      <w:rFonts w:hint="eastAsia"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本项目位于</w:t>
                  </w:r>
                  <w:r>
                    <w:rPr>
                      <w:rFonts w:hint="default" w:ascii="宋体" w:hAnsi="宋体" w:eastAsia="宋体" w:cs="宋体"/>
                      <w:color w:val="auto"/>
                      <w:spacing w:val="8"/>
                      <w:sz w:val="20"/>
                      <w:szCs w:val="20"/>
                      <w:highlight w:val="none"/>
                      <w:u w:val="single" w:color="auto"/>
                      <w:lang w:val="en-US" w:eastAsia="zh-CN"/>
                    </w:rPr>
                    <w:t>江永工业集中区的利田片区</w:t>
                  </w:r>
                  <w:r>
                    <w:rPr>
                      <w:rFonts w:ascii="宋体" w:hAnsi="宋体" w:eastAsia="宋体" w:cs="宋体"/>
                      <w:color w:val="auto"/>
                      <w:spacing w:val="8"/>
                      <w:sz w:val="20"/>
                      <w:szCs w:val="20"/>
                      <w:highlight w:val="none"/>
                      <w:u w:val="single" w:color="auto"/>
                    </w:rPr>
                    <w:t>，项目从事</w:t>
                  </w:r>
                  <w:r>
                    <w:rPr>
                      <w:rFonts w:hint="default" w:ascii="宋体" w:hAnsi="宋体" w:eastAsia="宋体" w:cs="宋体"/>
                      <w:color w:val="auto"/>
                      <w:spacing w:val="8"/>
                      <w:sz w:val="20"/>
                      <w:szCs w:val="20"/>
                      <w:highlight w:val="none"/>
                      <w:u w:val="single" w:color="auto"/>
                      <w:lang w:val="en-US" w:eastAsia="zh-CN"/>
                    </w:rPr>
                    <w:t>铸造铝合金汽车零部件</w:t>
                  </w:r>
                  <w:r>
                    <w:rPr>
                      <w:rFonts w:hint="default" w:ascii="宋体" w:hAnsi="宋体" w:eastAsia="宋体" w:cs="宋体"/>
                      <w:color w:val="auto"/>
                      <w:spacing w:val="8"/>
                      <w:sz w:val="20"/>
                      <w:szCs w:val="20"/>
                      <w:highlight w:val="none"/>
                      <w:u w:val="single" w:color="auto"/>
                      <w:lang w:eastAsia="zh-CN"/>
                    </w:rPr>
                    <w:t>生产</w:t>
                  </w:r>
                </w:p>
              </w:tc>
              <w:tc>
                <w:tcPr>
                  <w:tcW w:w="405" w:type="pct"/>
                  <w:tcBorders>
                    <w:tl2br w:val="nil"/>
                    <w:tr2bl w:val="nil"/>
                  </w:tcBorders>
                  <w:vAlign w:val="center"/>
                </w:tcPr>
                <w:p w14:paraId="0AFCE5AC">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符合</w:t>
                  </w:r>
                </w:p>
              </w:tc>
            </w:tr>
            <w:tr w14:paraId="638C6A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68" w:type="pct"/>
                  <w:tcBorders>
                    <w:tl2br w:val="nil"/>
                    <w:tr2bl w:val="nil"/>
                  </w:tcBorders>
                  <w:vAlign w:val="center"/>
                </w:tcPr>
                <w:p w14:paraId="09594841">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2</w:t>
                  </w:r>
                </w:p>
              </w:tc>
              <w:tc>
                <w:tcPr>
                  <w:tcW w:w="2417" w:type="pct"/>
                  <w:tcBorders>
                    <w:tl2br w:val="nil"/>
                    <w:tr2bl w:val="nil"/>
                  </w:tcBorders>
                  <w:vAlign w:val="center"/>
                </w:tcPr>
                <w:p w14:paraId="7BBCBE09">
                  <w:pPr>
                    <w:pStyle w:val="113"/>
                    <w:spacing w:before="65" w:line="227" w:lineRule="auto"/>
                    <w:ind w:left="0" w:right="0"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(二)进一步严格产业环境准入。园区后续发展与规划调整须符合园区</w:t>
                  </w:r>
                  <w:r>
                    <w:rPr>
                      <w:rFonts w:hint="default" w:ascii="宋体" w:hAnsi="宋体" w:eastAsia="宋体" w:cs="宋体"/>
                      <w:color w:val="auto"/>
                      <w:spacing w:val="8"/>
                      <w:sz w:val="20"/>
                      <w:szCs w:val="20"/>
                      <w:highlight w:val="none"/>
                      <w:u w:val="single" w:color="auto"/>
                      <w:lang w:eastAsia="zh-CN"/>
                    </w:rPr>
                    <w:t>“</w:t>
                  </w:r>
                  <w:r>
                    <w:rPr>
                      <w:rFonts w:ascii="宋体" w:hAnsi="宋体" w:eastAsia="宋体" w:cs="宋体"/>
                      <w:color w:val="auto"/>
                      <w:spacing w:val="8"/>
                      <w:sz w:val="20"/>
                      <w:szCs w:val="20"/>
                      <w:highlight w:val="none"/>
                      <w:u w:val="single" w:color="auto"/>
                    </w:rPr>
                    <w:t>三线一单</w:t>
                  </w:r>
                  <w:r>
                    <w:rPr>
                      <w:rFonts w:hint="default" w:ascii="宋体" w:hAnsi="宋体" w:eastAsia="宋体" w:cs="宋体"/>
                      <w:color w:val="auto"/>
                      <w:spacing w:val="8"/>
                      <w:sz w:val="20"/>
                      <w:szCs w:val="20"/>
                      <w:highlight w:val="none"/>
                      <w:u w:val="single" w:color="auto"/>
                      <w:lang w:eastAsia="zh-CN"/>
                    </w:rPr>
                    <w:t>”</w:t>
                  </w:r>
                  <w:r>
                    <w:rPr>
                      <w:rFonts w:ascii="宋体" w:hAnsi="宋体" w:eastAsia="宋体" w:cs="宋体"/>
                      <w:color w:val="auto"/>
                      <w:spacing w:val="8"/>
                      <w:sz w:val="20"/>
                      <w:szCs w:val="20"/>
                      <w:highlight w:val="none"/>
                      <w:u w:val="single" w:color="auto"/>
                    </w:rPr>
                    <w:t>环境准入要求及《报告书》提出的环境准入条件和负面清单要求，禁止新引进与之不符的产业，严格限制不符合江永县重点生态功能区的产业扩张，对于不符合园区规划要求的企业(包括部分已停产的企业)要按照报告书提出的方案明确予以整改、搬迁或退出。园区在重新实施规划环评过程中应明确取消主导产业定位中的</w:t>
                  </w:r>
                  <w:r>
                    <w:rPr>
                      <w:rFonts w:hint="default" w:ascii="宋体" w:hAnsi="宋体" w:eastAsia="宋体" w:cs="宋体"/>
                      <w:color w:val="auto"/>
                      <w:spacing w:val="8"/>
                      <w:sz w:val="20"/>
                      <w:szCs w:val="20"/>
                      <w:highlight w:val="none"/>
                      <w:u w:val="single" w:color="auto"/>
                      <w:lang w:eastAsia="zh-CN"/>
                    </w:rPr>
                    <w:t>“</w:t>
                  </w:r>
                  <w:r>
                    <w:rPr>
                      <w:rFonts w:ascii="宋体" w:hAnsi="宋体" w:eastAsia="宋体" w:cs="宋体"/>
                      <w:color w:val="auto"/>
                      <w:spacing w:val="8"/>
                      <w:sz w:val="20"/>
                      <w:szCs w:val="20"/>
                      <w:highlight w:val="none"/>
                      <w:u w:val="single" w:color="auto"/>
                    </w:rPr>
                    <w:t>有色金属冶炼</w:t>
                  </w:r>
                  <w:r>
                    <w:rPr>
                      <w:rFonts w:hint="default" w:ascii="宋体" w:hAnsi="宋体" w:eastAsia="宋体" w:cs="宋体"/>
                      <w:color w:val="auto"/>
                      <w:spacing w:val="8"/>
                      <w:sz w:val="20"/>
                      <w:szCs w:val="20"/>
                      <w:highlight w:val="none"/>
                      <w:u w:val="single" w:color="auto"/>
                      <w:lang w:eastAsia="zh-CN"/>
                    </w:rPr>
                    <w:t>”</w:t>
                  </w:r>
                  <w:r>
                    <w:rPr>
                      <w:rFonts w:ascii="宋体" w:hAnsi="宋体" w:eastAsia="宋体" w:cs="宋体"/>
                      <w:color w:val="auto"/>
                      <w:spacing w:val="8"/>
                      <w:sz w:val="20"/>
                      <w:szCs w:val="20"/>
                      <w:highlight w:val="none"/>
                      <w:u w:val="single" w:color="auto"/>
                    </w:rPr>
                    <w:t>。</w:t>
                  </w:r>
                </w:p>
              </w:tc>
              <w:tc>
                <w:tcPr>
                  <w:tcW w:w="1707" w:type="pct"/>
                  <w:tcBorders>
                    <w:tl2br w:val="nil"/>
                    <w:tr2bl w:val="nil"/>
                  </w:tcBorders>
                  <w:vAlign w:val="center"/>
                </w:tcPr>
                <w:p w14:paraId="24C80F59">
                  <w:pPr>
                    <w:pStyle w:val="113"/>
                    <w:spacing w:before="65" w:line="227" w:lineRule="auto"/>
                    <w:ind w:firstLine="0" w:firstLineChars="0"/>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本项目为</w:t>
                  </w:r>
                  <w:r>
                    <w:rPr>
                      <w:rFonts w:hint="default" w:ascii="宋体" w:hAnsi="宋体" w:eastAsia="宋体" w:cs="宋体"/>
                      <w:color w:val="auto"/>
                      <w:spacing w:val="8"/>
                      <w:sz w:val="20"/>
                      <w:szCs w:val="20"/>
                      <w:highlight w:val="none"/>
                      <w:u w:val="single" w:color="auto"/>
                      <w:lang w:val="en-US" w:eastAsia="zh-CN"/>
                    </w:rPr>
                    <w:t>铸造铝合金汽车零部件</w:t>
                  </w:r>
                  <w:r>
                    <w:rPr>
                      <w:rFonts w:hint="default" w:ascii="宋体" w:hAnsi="宋体" w:eastAsia="宋体" w:cs="宋体"/>
                      <w:color w:val="auto"/>
                      <w:spacing w:val="8"/>
                      <w:sz w:val="20"/>
                      <w:szCs w:val="20"/>
                      <w:highlight w:val="none"/>
                      <w:u w:val="single" w:color="auto"/>
                      <w:lang w:eastAsia="zh-CN"/>
                    </w:rPr>
                    <w:t>生产</w:t>
                  </w:r>
                  <w:r>
                    <w:rPr>
                      <w:rFonts w:ascii="宋体" w:hAnsi="宋体" w:eastAsia="宋体" w:cs="宋体"/>
                      <w:color w:val="auto"/>
                      <w:spacing w:val="8"/>
                      <w:sz w:val="20"/>
                      <w:szCs w:val="20"/>
                      <w:highlight w:val="none"/>
                      <w:u w:val="single" w:color="auto"/>
                    </w:rPr>
                    <w:t>，选址符合园区总体发展规划和环保规划，采取相关措施后，污染物排污浓度、总量满足达标排放和总量控制要求，并推 行清洁生产工艺。</w:t>
                  </w:r>
                </w:p>
              </w:tc>
              <w:tc>
                <w:tcPr>
                  <w:tcW w:w="405" w:type="pct"/>
                  <w:tcBorders>
                    <w:tl2br w:val="nil"/>
                    <w:tr2bl w:val="nil"/>
                  </w:tcBorders>
                  <w:vAlign w:val="center"/>
                </w:tcPr>
                <w:p w14:paraId="7B5D71AD">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符合</w:t>
                  </w:r>
                </w:p>
              </w:tc>
            </w:tr>
            <w:tr w14:paraId="508215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68" w:type="pct"/>
                  <w:tcBorders>
                    <w:tl2br w:val="nil"/>
                    <w:tr2bl w:val="nil"/>
                  </w:tcBorders>
                  <w:vAlign w:val="center"/>
                </w:tcPr>
                <w:p w14:paraId="18E1EA17">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3</w:t>
                  </w:r>
                </w:p>
              </w:tc>
              <w:tc>
                <w:tcPr>
                  <w:tcW w:w="2417" w:type="pct"/>
                  <w:tcBorders>
                    <w:tl2br w:val="nil"/>
                    <w:tr2bl w:val="nil"/>
                  </w:tcBorders>
                  <w:vAlign w:val="center"/>
                </w:tcPr>
                <w:p w14:paraId="74AA0862">
                  <w:pPr>
                    <w:pStyle w:val="113"/>
                    <w:spacing w:before="65" w:line="227" w:lineRule="auto"/>
                    <w:ind w:right="0"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(三)进一步落实园区污染管控措施，加快园区雨污分流系统、污水收集管网和污水处理厂建设，2020 年 9月底前应完成园区污水处 理厂建设并投入运行，2020年底前完善园区污水管网建设，确保园区生产生活污水应收尽收，全部送至配套的集中污水处理厂处理，园区企业不单独设置排污口。污水处理厂建成投运后，园区应及时对利田片区北部地表水体河流底质进行清理，除集中区北部地表水体底质不良景观影响及黑臭水体隐患。污水管网建设未完成、生产废水未接管之前，相关区域新建涉废水排放的企业不得投产(含试生产)优化能源结构，加强大气污染防治，推动园区天然气管网建设，加强对园区重点排放企业的防控做好工业固体废物和生活垃圾的分类收集、转运、综合利用和无害化处理，建立完善的固废管理体系。对危险固废应严格按照国家有关规定综合利用或妥善处置，对危险废物产生企业和经营单位，应强化日常环境监管。对园区内环保手续不完善的企业全面整改，严格落实排污许可制度和污染物排放总量控制，减少污 染物的排放量。</w:t>
                  </w:r>
                </w:p>
              </w:tc>
              <w:tc>
                <w:tcPr>
                  <w:tcW w:w="1707" w:type="pct"/>
                  <w:tcBorders>
                    <w:tl2br w:val="nil"/>
                    <w:tr2bl w:val="nil"/>
                  </w:tcBorders>
                  <w:vAlign w:val="center"/>
                </w:tcPr>
                <w:p w14:paraId="07BA3D40">
                  <w:pPr>
                    <w:pStyle w:val="113"/>
                    <w:spacing w:before="65" w:line="227" w:lineRule="auto"/>
                    <w:ind w:firstLine="0" w:firstLineChars="0"/>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采用雨污分流制，项目雨水经雨水排渠收集，接入园区雨水官网。项目外排废水主要为生活污水，项目生活污水经化粪池预处理后接入市政污水管网，最终接入江永产业开发区污水处理厂处理</w:t>
                  </w:r>
                </w:p>
              </w:tc>
              <w:tc>
                <w:tcPr>
                  <w:tcW w:w="405" w:type="pct"/>
                  <w:tcBorders>
                    <w:tl2br w:val="nil"/>
                    <w:tr2bl w:val="nil"/>
                  </w:tcBorders>
                  <w:vAlign w:val="center"/>
                </w:tcPr>
                <w:p w14:paraId="63E6BF1F">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符合</w:t>
                  </w:r>
                </w:p>
              </w:tc>
            </w:tr>
            <w:tr w14:paraId="47DF00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68" w:type="pct"/>
                  <w:tcBorders>
                    <w:tl2br w:val="nil"/>
                    <w:tr2bl w:val="nil"/>
                  </w:tcBorders>
                  <w:vAlign w:val="center"/>
                </w:tcPr>
                <w:p w14:paraId="7BD1CEE2">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4</w:t>
                  </w:r>
                </w:p>
              </w:tc>
              <w:tc>
                <w:tcPr>
                  <w:tcW w:w="2417" w:type="pct"/>
                  <w:tcBorders>
                    <w:tl2br w:val="nil"/>
                    <w:tr2bl w:val="nil"/>
                  </w:tcBorders>
                  <w:vAlign w:val="top"/>
                </w:tcPr>
                <w:p w14:paraId="4BADBE2E">
                  <w:pPr>
                    <w:pStyle w:val="113"/>
                    <w:spacing w:before="65" w:line="227" w:lineRule="auto"/>
                    <w:ind w:left="0" w:leftChars="0" w:right="0" w:rightChars="0"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(四)完善开发区环境监测体系。园区应严格落实跟踪评价提出的监测方案，结合园区规划的功能分区、产业布局、重点企业分布、 特征污染物的排放种类和状况、环境敏感目标分布等，建立健全环境空气、地表水、地下水、土壤等环境要素的监控体系。对重点 废水排放企业加强监督性监测，防止偷排漏排,</w:t>
                  </w:r>
                </w:p>
              </w:tc>
              <w:tc>
                <w:tcPr>
                  <w:tcW w:w="1707" w:type="pct"/>
                  <w:tcBorders>
                    <w:tl2br w:val="nil"/>
                    <w:tr2bl w:val="nil"/>
                  </w:tcBorders>
                  <w:vAlign w:val="center"/>
                </w:tcPr>
                <w:p w14:paraId="070BC939">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w:t>
                  </w:r>
                </w:p>
              </w:tc>
              <w:tc>
                <w:tcPr>
                  <w:tcW w:w="405" w:type="pct"/>
                  <w:tcBorders>
                    <w:tl2br w:val="nil"/>
                    <w:tr2bl w:val="nil"/>
                  </w:tcBorders>
                  <w:vAlign w:val="center"/>
                </w:tcPr>
                <w:p w14:paraId="2A93E110">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w:t>
                  </w:r>
                </w:p>
              </w:tc>
            </w:tr>
            <w:tr w14:paraId="38D208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68" w:type="pct"/>
                  <w:tcBorders>
                    <w:tl2br w:val="nil"/>
                    <w:tr2bl w:val="nil"/>
                  </w:tcBorders>
                  <w:vAlign w:val="center"/>
                </w:tcPr>
                <w:p w14:paraId="7D689939">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5</w:t>
                  </w:r>
                </w:p>
              </w:tc>
              <w:tc>
                <w:tcPr>
                  <w:tcW w:w="2417" w:type="pct"/>
                  <w:tcBorders>
                    <w:tl2br w:val="nil"/>
                    <w:tr2bl w:val="nil"/>
                  </w:tcBorders>
                  <w:vAlign w:val="top"/>
                </w:tcPr>
                <w:p w14:paraId="6F2AB292">
                  <w:pPr>
                    <w:pStyle w:val="113"/>
                    <w:spacing w:before="65" w:line="227" w:lineRule="auto"/>
                    <w:ind w:left="0" w:leftChars="0" w:right="0" w:rightChars="0"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(五)健全开发区环境风险防控体系，加强区内重要风险源管控。加强开发区危险化学品储运的环境风险管理，严格落实应急响应联动机制，确保区城环境安全</w:t>
                  </w:r>
                </w:p>
              </w:tc>
              <w:tc>
                <w:tcPr>
                  <w:tcW w:w="1707" w:type="pct"/>
                  <w:tcBorders>
                    <w:tl2br w:val="nil"/>
                    <w:tr2bl w:val="nil"/>
                  </w:tcBorders>
                  <w:vAlign w:val="center"/>
                </w:tcPr>
                <w:p w14:paraId="26C5EFA1">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w:t>
                  </w:r>
                </w:p>
              </w:tc>
              <w:tc>
                <w:tcPr>
                  <w:tcW w:w="405" w:type="pct"/>
                  <w:tcBorders>
                    <w:tl2br w:val="nil"/>
                    <w:tr2bl w:val="nil"/>
                  </w:tcBorders>
                  <w:vAlign w:val="center"/>
                </w:tcPr>
                <w:p w14:paraId="1BB9FD3D">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w:t>
                  </w:r>
                </w:p>
              </w:tc>
            </w:tr>
            <w:tr w14:paraId="4F3F88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68" w:type="pct"/>
                  <w:tcBorders>
                    <w:tl2br w:val="nil"/>
                    <w:tr2bl w:val="nil"/>
                  </w:tcBorders>
                  <w:vAlign w:val="center"/>
                </w:tcPr>
                <w:p w14:paraId="38D913F7">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6</w:t>
                  </w:r>
                </w:p>
              </w:tc>
              <w:tc>
                <w:tcPr>
                  <w:tcW w:w="2417" w:type="pct"/>
                  <w:tcBorders>
                    <w:tl2br w:val="nil"/>
                    <w:tr2bl w:val="nil"/>
                  </w:tcBorders>
                  <w:vAlign w:val="top"/>
                </w:tcPr>
                <w:p w14:paraId="13C6D6B3">
                  <w:pPr>
                    <w:pStyle w:val="113"/>
                    <w:spacing w:before="65" w:line="227" w:lineRule="auto"/>
                    <w:ind w:left="0" w:leftChars="0" w:right="0" w:rightChars="0"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(六)加强对环境敏感点的保护。为确保利田片区南部已建的安置小区、学校、公租房的环境安全，利田片区南部原规划二类工业用 地原则上只引进一类工业项目，不得引进气型污染排放为主的企业，对已入驻的二类工业不得在原址扩大排污规模。对于具体项目环评设置防护距离和拆迁要求的，要确保予以落实。</w:t>
                  </w:r>
                </w:p>
              </w:tc>
              <w:tc>
                <w:tcPr>
                  <w:tcW w:w="1707" w:type="pct"/>
                  <w:tcBorders>
                    <w:tl2br w:val="nil"/>
                    <w:tr2bl w:val="nil"/>
                  </w:tcBorders>
                  <w:vAlign w:val="center"/>
                </w:tcPr>
                <w:p w14:paraId="42399B3B">
                  <w:pPr>
                    <w:pStyle w:val="113"/>
                    <w:spacing w:before="65" w:line="227" w:lineRule="auto"/>
                    <w:ind w:left="0" w:leftChars="0"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本项目符合规划要求</w:t>
                  </w:r>
                </w:p>
              </w:tc>
              <w:tc>
                <w:tcPr>
                  <w:tcW w:w="405" w:type="pct"/>
                  <w:tcBorders>
                    <w:tl2br w:val="nil"/>
                    <w:tr2bl w:val="nil"/>
                  </w:tcBorders>
                  <w:vAlign w:val="center"/>
                </w:tcPr>
                <w:p w14:paraId="3968FF59">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符合</w:t>
                  </w:r>
                </w:p>
              </w:tc>
            </w:tr>
            <w:tr w14:paraId="224384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468" w:type="pct"/>
                  <w:tcBorders>
                    <w:tl2br w:val="nil"/>
                    <w:tr2bl w:val="nil"/>
                  </w:tcBorders>
                  <w:vAlign w:val="center"/>
                </w:tcPr>
                <w:p w14:paraId="6B488336">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7</w:t>
                  </w:r>
                </w:p>
              </w:tc>
              <w:tc>
                <w:tcPr>
                  <w:tcW w:w="2417" w:type="pct"/>
                  <w:tcBorders>
                    <w:tl2br w:val="nil"/>
                    <w:tr2bl w:val="nil"/>
                  </w:tcBorders>
                  <w:vAlign w:val="top"/>
                </w:tcPr>
                <w:p w14:paraId="741675C8">
                  <w:pPr>
                    <w:pStyle w:val="113"/>
                    <w:spacing w:before="65" w:line="227" w:lineRule="auto"/>
                    <w:ind w:left="0" w:leftChars="0" w:right="0" w:rightChars="0"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(七)做好园区后续开发过程中生态保护。尽可能保留自然水体，施工期对土石方开挖、 堆存及回填要实施围挡、护坡等措施，裸露 地及时恢复植被，防止后续开发建设中的扬尘污染和水土流失。</w:t>
                  </w:r>
                </w:p>
              </w:tc>
              <w:tc>
                <w:tcPr>
                  <w:tcW w:w="1707" w:type="pct"/>
                  <w:tcBorders>
                    <w:tl2br w:val="nil"/>
                    <w:tr2bl w:val="nil"/>
                  </w:tcBorders>
                  <w:vAlign w:val="top"/>
                </w:tcPr>
                <w:p w14:paraId="02374B7B">
                  <w:pPr>
                    <w:pStyle w:val="113"/>
                    <w:spacing w:before="65" w:line="227" w:lineRule="auto"/>
                    <w:ind w:firstLine="0" w:firstLineChars="0"/>
                    <w:jc w:val="center"/>
                    <w:rPr>
                      <w:rFonts w:ascii="宋体" w:hAnsi="宋体" w:eastAsia="宋体" w:cs="宋体"/>
                      <w:color w:val="auto"/>
                      <w:spacing w:val="8"/>
                      <w:sz w:val="20"/>
                      <w:szCs w:val="20"/>
                      <w:highlight w:val="none"/>
                      <w:u w:val="single" w:color="auto"/>
                    </w:rPr>
                  </w:pPr>
                </w:p>
                <w:p w14:paraId="31A95785">
                  <w:pPr>
                    <w:pStyle w:val="113"/>
                    <w:spacing w:before="65" w:line="227" w:lineRule="auto"/>
                    <w:ind w:firstLine="0" w:firstLineChars="0"/>
                    <w:jc w:val="center"/>
                    <w:rPr>
                      <w:rFonts w:ascii="宋体" w:hAnsi="宋体" w:eastAsia="宋体" w:cs="宋体"/>
                      <w:color w:val="auto"/>
                      <w:spacing w:val="8"/>
                      <w:sz w:val="20"/>
                      <w:szCs w:val="20"/>
                      <w:highlight w:val="none"/>
                      <w:u w:val="single" w:color="auto"/>
                    </w:rPr>
                  </w:pPr>
                </w:p>
                <w:p w14:paraId="325936E9">
                  <w:pPr>
                    <w:pStyle w:val="113"/>
                    <w:spacing w:before="65" w:line="227" w:lineRule="auto"/>
                    <w:ind w:left="0" w:leftChars="0"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ascii="宋体" w:hAnsi="宋体" w:eastAsia="宋体" w:cs="宋体"/>
                      <w:color w:val="auto"/>
                      <w:spacing w:val="8"/>
                      <w:sz w:val="20"/>
                      <w:szCs w:val="20"/>
                      <w:highlight w:val="none"/>
                      <w:u w:val="single" w:color="auto"/>
                    </w:rPr>
                    <w:t>本项目不涉及土建</w:t>
                  </w:r>
                </w:p>
              </w:tc>
              <w:tc>
                <w:tcPr>
                  <w:tcW w:w="405" w:type="pct"/>
                  <w:tcBorders>
                    <w:tl2br w:val="nil"/>
                    <w:tr2bl w:val="nil"/>
                  </w:tcBorders>
                  <w:vAlign w:val="center"/>
                </w:tcPr>
                <w:p w14:paraId="34074BFD">
                  <w:pPr>
                    <w:pStyle w:val="113"/>
                    <w:spacing w:before="65" w:line="227" w:lineRule="auto"/>
                    <w:ind w:firstLine="0" w:firstLineChars="0"/>
                    <w:jc w:val="center"/>
                    <w:rPr>
                      <w:rFonts w:hint="default" w:ascii="宋体" w:hAnsi="宋体" w:eastAsia="宋体" w:cs="宋体"/>
                      <w:b w:val="0"/>
                      <w:bCs w:val="0"/>
                      <w:color w:val="auto"/>
                      <w:spacing w:val="8"/>
                      <w:sz w:val="20"/>
                      <w:szCs w:val="20"/>
                      <w:highlight w:val="none"/>
                      <w:u w:val="single" w:color="auto"/>
                      <w:vertAlign w:val="baseline"/>
                      <w:lang w:val="en-US" w:eastAsia="zh-CN"/>
                    </w:rPr>
                  </w:pPr>
                  <w:r>
                    <w:rPr>
                      <w:rFonts w:hint="default" w:ascii="宋体" w:hAnsi="宋体" w:eastAsia="宋体" w:cs="宋体"/>
                      <w:b w:val="0"/>
                      <w:bCs w:val="0"/>
                      <w:color w:val="auto"/>
                      <w:spacing w:val="8"/>
                      <w:sz w:val="20"/>
                      <w:szCs w:val="20"/>
                      <w:highlight w:val="none"/>
                      <w:u w:val="single" w:color="auto"/>
                      <w:vertAlign w:val="baseline"/>
                      <w:lang w:val="en-US" w:eastAsia="zh-CN"/>
                    </w:rPr>
                    <w:t>符合</w:t>
                  </w:r>
                </w:p>
              </w:tc>
            </w:tr>
          </w:tbl>
          <w:p w14:paraId="16577A53">
            <w:pPr>
              <w:bidi w:val="0"/>
              <w:rPr>
                <w:rFonts w:hint="eastAsia" w:eastAsia="宋体"/>
                <w:color w:val="auto"/>
                <w:u w:val="single" w:color="auto"/>
                <w:lang w:val="en-US" w:eastAsia="zh-CN"/>
              </w:rPr>
            </w:pPr>
            <w:r>
              <w:rPr>
                <w:rFonts w:hint="default" w:ascii="Calibri" w:hAnsi="Calibri" w:eastAsia="宋体" w:cs="Times New Roman"/>
                <w:color w:val="auto"/>
                <w:kern w:val="0"/>
                <w:sz w:val="24"/>
                <w:szCs w:val="24"/>
                <w:highlight w:val="none"/>
                <w:u w:val="single" w:color="auto"/>
                <w:lang w:val="en-US"/>
              </w:rPr>
              <w:t>综上，本项目与《江永工业集中区规划环境影响跟踪评价报告书(报批稿)》（湘环评函〔2020〕18号）相符</w:t>
            </w:r>
            <w:r>
              <w:rPr>
                <w:rFonts w:hint="eastAsia" w:ascii="Calibri" w:hAnsi="Calibri" w:eastAsia="宋体" w:cs="Times New Roman"/>
                <w:color w:val="auto"/>
                <w:kern w:val="0"/>
                <w:sz w:val="24"/>
                <w:szCs w:val="24"/>
                <w:highlight w:val="none"/>
                <w:u w:val="single" w:color="auto"/>
                <w:lang w:val="en-US" w:eastAsia="zh-CN"/>
              </w:rPr>
              <w:t>。</w:t>
            </w:r>
          </w:p>
          <w:p w14:paraId="1432A046">
            <w:pPr>
              <w:bidi w:val="0"/>
              <w:ind w:firstLine="0" w:firstLineChars="0"/>
              <w:rPr>
                <w:color w:val="auto"/>
                <w:u w:val="single" w:color="auto"/>
              </w:rPr>
            </w:pPr>
          </w:p>
        </w:tc>
      </w:tr>
      <w:tr w14:paraId="096071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43" w:type="dxa"/>
            <w:noWrap w:val="0"/>
            <w:vAlign w:val="center"/>
          </w:tcPr>
          <w:p w14:paraId="71821602">
            <w:pPr>
              <w:autoSpaceDE w:val="0"/>
              <w:autoSpaceDN w:val="0"/>
              <w:adjustRightInd w:val="0"/>
              <w:snapToGrid w:val="0"/>
              <w:ind w:left="0" w:leftChars="0" w:firstLine="0" w:firstLineChars="0"/>
              <w:jc w:val="center"/>
              <w:rPr>
                <w:color w:val="auto"/>
                <w:kern w:val="0"/>
                <w:szCs w:val="21"/>
                <w:highlight w:val="none"/>
              </w:rPr>
            </w:pPr>
            <w:r>
              <w:rPr>
                <w:color w:val="auto"/>
                <w:kern w:val="0"/>
                <w:szCs w:val="21"/>
                <w:highlight w:val="none"/>
              </w:rPr>
              <w:t>其他符合性分析</w:t>
            </w:r>
          </w:p>
        </w:tc>
        <w:tc>
          <w:tcPr>
            <w:tcW w:w="8027" w:type="dxa"/>
            <w:gridSpan w:val="4"/>
            <w:noWrap w:val="0"/>
            <w:vAlign w:val="center"/>
          </w:tcPr>
          <w:p w14:paraId="6E58ABEE">
            <w:pPr>
              <w:spacing w:line="360" w:lineRule="auto"/>
              <w:rPr>
                <w:b/>
                <w:bCs/>
                <w:color w:val="auto"/>
                <w:sz w:val="24"/>
                <w:szCs w:val="24"/>
                <w:highlight w:val="none"/>
                <w:u w:val="single" w:color="auto"/>
              </w:rPr>
            </w:pPr>
            <w:r>
              <w:rPr>
                <w:rFonts w:hint="eastAsia"/>
                <w:b/>
                <w:bCs/>
                <w:color w:val="auto"/>
                <w:sz w:val="24"/>
                <w:szCs w:val="24"/>
                <w:highlight w:val="none"/>
                <w:u w:val="single" w:color="auto"/>
              </w:rPr>
              <w:t>1、</w:t>
            </w:r>
            <w:r>
              <w:rPr>
                <w:b/>
                <w:bCs/>
                <w:color w:val="auto"/>
                <w:sz w:val="24"/>
                <w:szCs w:val="24"/>
                <w:highlight w:val="none"/>
                <w:u w:val="single" w:color="auto"/>
              </w:rPr>
              <w:t>国家产业政策符合性分析</w:t>
            </w:r>
          </w:p>
          <w:p w14:paraId="678322E2">
            <w:pPr>
              <w:bidi w:val="0"/>
              <w:rPr>
                <w:color w:val="auto"/>
                <w:u w:val="single" w:color="auto"/>
              </w:rPr>
            </w:pPr>
            <w:r>
              <w:rPr>
                <w:rFonts w:hint="eastAsia"/>
                <w:color w:val="auto"/>
                <w:u w:val="single" w:color="auto"/>
                <w:lang w:val="en-US" w:eastAsia="zh-CN"/>
              </w:rPr>
              <w:t>项目铸造铝合金汽车零部件</w:t>
            </w:r>
            <w:r>
              <w:rPr>
                <w:rFonts w:hint="eastAsia"/>
                <w:color w:val="auto"/>
                <w:u w:val="single" w:color="auto"/>
              </w:rPr>
              <w:t>不属于</w:t>
            </w:r>
            <w:r>
              <w:rPr>
                <w:color w:val="auto"/>
                <w:u w:val="single" w:color="auto"/>
              </w:rPr>
              <w:t>《产业结构调整指导目录（20</w:t>
            </w:r>
            <w:r>
              <w:rPr>
                <w:rFonts w:hint="eastAsia"/>
                <w:color w:val="auto"/>
                <w:u w:val="single" w:color="auto"/>
                <w:lang w:val="en-US" w:eastAsia="zh-CN"/>
              </w:rPr>
              <w:t>24</w:t>
            </w:r>
            <w:r>
              <w:rPr>
                <w:color w:val="auto"/>
                <w:u w:val="single" w:color="auto"/>
              </w:rPr>
              <w:t>年本）》中</w:t>
            </w:r>
            <w:r>
              <w:rPr>
                <w:rFonts w:hint="eastAsia"/>
                <w:color w:val="auto"/>
                <w:u w:val="single" w:color="auto"/>
              </w:rPr>
              <w:t>淘汰类和限制类，视为允许类，经查《部分工业行业淘汰落后生产工艺装备和产品指导目录》（2010年本），本项目的生产工艺、设备及产品不在该名录中。</w:t>
            </w:r>
            <w:r>
              <w:rPr>
                <w:color w:val="auto"/>
                <w:u w:val="single" w:color="auto"/>
              </w:rPr>
              <w:t>因此，本项目符合国家现行产业政策要求。</w:t>
            </w:r>
          </w:p>
          <w:p w14:paraId="04D4F8F2">
            <w:pPr>
              <w:bidi w:val="0"/>
              <w:rPr>
                <w:b/>
                <w:bCs/>
                <w:color w:val="auto"/>
                <w:u w:val="single" w:color="auto"/>
                <w:lang w:val="en-US"/>
              </w:rPr>
            </w:pPr>
            <w:r>
              <w:rPr>
                <w:rFonts w:hint="eastAsia"/>
                <w:b/>
                <w:bCs/>
                <w:color w:val="auto"/>
                <w:u w:val="single" w:color="auto"/>
                <w:lang w:val="en-US" w:eastAsia="zh-CN"/>
              </w:rPr>
              <w:t>2</w:t>
            </w:r>
            <w:r>
              <w:rPr>
                <w:rFonts w:hint="eastAsia"/>
                <w:b/>
                <w:bCs/>
                <w:color w:val="auto"/>
                <w:u w:val="single" w:color="auto"/>
              </w:rPr>
              <w:t>、</w:t>
            </w:r>
            <w:r>
              <w:rPr>
                <w:rFonts w:hint="eastAsia"/>
                <w:b/>
                <w:bCs/>
                <w:color w:val="auto"/>
                <w:u w:val="single" w:color="auto"/>
                <w:lang w:eastAsia="zh-CN"/>
              </w:rPr>
              <w:t>“</w:t>
            </w:r>
            <w:r>
              <w:rPr>
                <w:rFonts w:hint="eastAsia"/>
                <w:b/>
                <w:bCs/>
                <w:color w:val="auto"/>
                <w:u w:val="single" w:color="auto"/>
              </w:rPr>
              <w:t>三线一单</w:t>
            </w:r>
            <w:r>
              <w:rPr>
                <w:rFonts w:hint="eastAsia"/>
                <w:b/>
                <w:bCs/>
                <w:color w:val="auto"/>
                <w:u w:val="single" w:color="auto"/>
                <w:lang w:eastAsia="zh-CN"/>
              </w:rPr>
              <w:t>”</w:t>
            </w:r>
            <w:r>
              <w:rPr>
                <w:rFonts w:hint="eastAsia"/>
                <w:b/>
                <w:bCs/>
                <w:color w:val="auto"/>
                <w:u w:val="single" w:color="auto"/>
                <w:lang w:val="en-US" w:eastAsia="zh-CN"/>
              </w:rPr>
              <w:t>符合性分析</w:t>
            </w:r>
          </w:p>
          <w:p w14:paraId="36F96863">
            <w:pPr>
              <w:bidi w:val="0"/>
              <w:rPr>
                <w:color w:val="auto"/>
                <w:u w:val="single" w:color="auto"/>
              </w:rPr>
            </w:pPr>
            <w:r>
              <w:rPr>
                <w:rFonts w:hint="default"/>
                <w:color w:val="auto"/>
                <w:u w:val="single" w:color="auto"/>
              </w:rPr>
              <w:t>根据</w:t>
            </w:r>
            <w:r>
              <w:rPr>
                <w:rFonts w:hint="default"/>
                <w:color w:val="auto"/>
                <w:u w:val="single" w:color="auto"/>
                <w:lang w:val="zh-CN"/>
              </w:rPr>
              <w:t>《湖南省人民政府关于实施“三线一单” 生态环境分区管控的意见》（湘政发〔2020〕12号）</w:t>
            </w:r>
            <w:r>
              <w:rPr>
                <w:rFonts w:hint="default"/>
                <w:color w:val="auto"/>
                <w:u w:val="single" w:color="auto"/>
              </w:rPr>
              <w:t>及</w:t>
            </w:r>
            <w:r>
              <w:rPr>
                <w:rFonts w:hint="default"/>
                <w:color w:val="auto"/>
                <w:u w:val="single" w:color="auto"/>
                <w:lang w:val="zh-CN"/>
              </w:rPr>
              <w:t>《永州市人民政府关于“三线一单” 生态环境分区管控的实施意见》（永政发[2020]11号）</w:t>
            </w:r>
            <w:r>
              <w:rPr>
                <w:rFonts w:hint="default"/>
                <w:color w:val="auto"/>
                <w:u w:val="single" w:color="auto"/>
              </w:rPr>
              <w:t>等文件可知，本项目</w:t>
            </w:r>
            <w:r>
              <w:rPr>
                <w:rFonts w:hint="eastAsia"/>
                <w:color w:val="auto"/>
                <w:u w:val="single" w:color="auto"/>
                <w:lang w:val="en-US" w:eastAsia="zh-CN"/>
              </w:rPr>
              <w:t>位于江永县工业集中区，</w:t>
            </w:r>
            <w:r>
              <w:rPr>
                <w:rFonts w:hint="default"/>
                <w:color w:val="auto"/>
                <w:u w:val="single" w:color="auto"/>
              </w:rPr>
              <w:t>属于</w:t>
            </w:r>
            <w:r>
              <w:rPr>
                <w:rFonts w:hint="eastAsia"/>
                <w:color w:val="auto"/>
                <w:u w:val="single" w:color="auto"/>
              </w:rPr>
              <w:t>重点管控单元，管控单元编码 ZH43112520002。</w:t>
            </w:r>
          </w:p>
          <w:p w14:paraId="02A4B1FD">
            <w:pPr>
              <w:bidi w:val="0"/>
              <w:rPr>
                <w:color w:val="auto"/>
                <w:u w:val="single" w:color="auto"/>
              </w:rPr>
            </w:pPr>
            <w:r>
              <w:rPr>
                <w:rFonts w:hint="eastAsia"/>
                <w:color w:val="auto"/>
                <w:u w:val="single" w:color="auto"/>
              </w:rPr>
              <w:t xml:space="preserve">①生态红线 </w:t>
            </w:r>
          </w:p>
          <w:p w14:paraId="59677531">
            <w:pPr>
              <w:bidi w:val="0"/>
              <w:rPr>
                <w:rFonts w:hint="eastAsia"/>
                <w:color w:val="auto"/>
                <w:u w:val="single" w:color="auto"/>
              </w:rPr>
            </w:pPr>
            <w:r>
              <w:rPr>
                <w:rFonts w:hint="eastAsia"/>
                <w:color w:val="auto"/>
                <w:u w:val="single" w:color="auto"/>
                <w:lang w:eastAsia="zh-CN"/>
              </w:rPr>
              <w:t>“</w:t>
            </w:r>
            <w:r>
              <w:rPr>
                <w:rFonts w:hint="eastAsia"/>
                <w:color w:val="auto"/>
                <w:u w:val="single" w:color="auto"/>
              </w:rPr>
              <w:t>生态保护红线”是生态空间范围内具有特殊重要生态功能必须实行强制性严格保护的区域。</w:t>
            </w:r>
          </w:p>
          <w:p w14:paraId="0F212BF6">
            <w:pPr>
              <w:bidi w:val="0"/>
              <w:rPr>
                <w:color w:val="auto"/>
                <w:u w:val="single" w:color="auto"/>
              </w:rPr>
            </w:pPr>
            <w:r>
              <w:rPr>
                <w:rFonts w:hint="eastAsia"/>
                <w:color w:val="auto"/>
                <w:u w:val="single" w:color="auto"/>
              </w:rPr>
              <w:t>经核实，本项目所在地为</w:t>
            </w:r>
            <w:r>
              <w:rPr>
                <w:rFonts w:hint="eastAsia"/>
                <w:color w:val="auto"/>
                <w:u w:val="single" w:color="auto"/>
                <w:lang w:val="en-US" w:eastAsia="zh-CN"/>
              </w:rPr>
              <w:t>规划的</w:t>
            </w:r>
            <w:r>
              <w:rPr>
                <w:rFonts w:hint="eastAsia"/>
                <w:color w:val="auto"/>
                <w:u w:val="single" w:color="auto"/>
              </w:rPr>
              <w:t>工业园内，不</w:t>
            </w:r>
            <w:r>
              <w:rPr>
                <w:rFonts w:hint="eastAsia"/>
                <w:color w:val="auto"/>
                <w:u w:val="single" w:color="auto"/>
                <w:lang w:val="en-US" w:eastAsia="zh-CN"/>
              </w:rPr>
              <w:t>涉及</w:t>
            </w:r>
            <w:r>
              <w:rPr>
                <w:rFonts w:hint="eastAsia"/>
                <w:color w:val="auto"/>
                <w:u w:val="single" w:color="auto"/>
              </w:rPr>
              <w:t xml:space="preserve">生态红线，符合生态红线要求。 </w:t>
            </w:r>
          </w:p>
          <w:p w14:paraId="7F7E6AF8">
            <w:pPr>
              <w:spacing w:line="360" w:lineRule="auto"/>
              <w:ind w:firstLine="472" w:firstLineChars="200"/>
              <w:rPr>
                <w:color w:val="auto"/>
                <w:spacing w:val="-2"/>
                <w:sz w:val="24"/>
                <w:highlight w:val="none"/>
                <w:u w:val="single" w:color="auto"/>
              </w:rPr>
            </w:pPr>
            <w:r>
              <w:rPr>
                <w:rFonts w:hint="eastAsia"/>
                <w:color w:val="auto"/>
                <w:spacing w:val="-2"/>
                <w:sz w:val="24"/>
                <w:highlight w:val="none"/>
                <w:u w:val="single" w:color="auto"/>
              </w:rPr>
              <w:t xml:space="preserve">②环境质量底线 </w:t>
            </w:r>
          </w:p>
          <w:p w14:paraId="4E2FF000">
            <w:pPr>
              <w:spacing w:line="360" w:lineRule="auto"/>
              <w:ind w:firstLine="472" w:firstLineChars="200"/>
              <w:rPr>
                <w:rFonts w:hint="eastAsia" w:ascii="Times New Roman" w:hAnsi="Times New Roman" w:eastAsia="宋体" w:cs="Times New Roman"/>
                <w:color w:val="auto"/>
                <w:spacing w:val="-2"/>
                <w:sz w:val="24"/>
                <w:highlight w:val="none"/>
                <w:u w:val="single" w:color="auto"/>
                <w:lang w:eastAsia="zh-CN"/>
              </w:rPr>
            </w:pPr>
            <w:r>
              <w:rPr>
                <w:rFonts w:hint="eastAsia" w:ascii="Times New Roman" w:hAnsi="Times New Roman" w:eastAsia="宋体" w:cs="Times New Roman"/>
                <w:color w:val="auto"/>
                <w:spacing w:val="-2"/>
                <w:sz w:val="24"/>
                <w:highlight w:val="none"/>
                <w:u w:val="single" w:color="auto"/>
                <w:lang w:eastAsia="zh-CN"/>
              </w:rPr>
              <w:t>“环境质量底线”是国家和地方设置的大气、水和土壤环境质量目标，也是改善环境质量的基准线。</w:t>
            </w:r>
          </w:p>
          <w:p w14:paraId="64FE76C5">
            <w:pPr>
              <w:spacing w:line="360" w:lineRule="auto"/>
              <w:ind w:firstLine="472" w:firstLineChars="200"/>
              <w:rPr>
                <w:rFonts w:hint="eastAsia" w:ascii="Times New Roman" w:hAnsi="Times New Roman" w:eastAsia="宋体" w:cs="Times New Roman"/>
                <w:color w:val="auto"/>
                <w:spacing w:val="-2"/>
                <w:sz w:val="24"/>
                <w:highlight w:val="none"/>
                <w:u w:val="single" w:color="auto"/>
                <w:lang w:eastAsia="zh-CN"/>
              </w:rPr>
            </w:pPr>
            <w:r>
              <w:rPr>
                <w:rFonts w:hint="eastAsia" w:ascii="Times New Roman" w:hAnsi="Times New Roman" w:eastAsia="宋体" w:cs="Times New Roman"/>
                <w:color w:val="auto"/>
                <w:spacing w:val="-2"/>
                <w:sz w:val="24"/>
                <w:highlight w:val="none"/>
                <w:u w:val="single" w:color="auto"/>
                <w:lang w:val="en-US" w:eastAsia="zh-CN"/>
              </w:rPr>
              <w:t>江永县</w:t>
            </w:r>
            <w:r>
              <w:rPr>
                <w:rFonts w:hint="eastAsia" w:ascii="Times New Roman" w:hAnsi="Times New Roman" w:eastAsia="宋体" w:cs="Times New Roman"/>
                <w:color w:val="auto"/>
                <w:spacing w:val="-2"/>
                <w:sz w:val="24"/>
                <w:highlight w:val="none"/>
                <w:u w:val="single" w:color="auto"/>
                <w:lang w:eastAsia="zh-CN"/>
              </w:rPr>
              <w:t>202</w:t>
            </w:r>
            <w:r>
              <w:rPr>
                <w:rFonts w:hint="eastAsia" w:ascii="Times New Roman" w:hAnsi="Times New Roman" w:eastAsia="宋体" w:cs="Times New Roman"/>
                <w:color w:val="auto"/>
                <w:spacing w:val="-2"/>
                <w:sz w:val="24"/>
                <w:highlight w:val="none"/>
                <w:u w:val="single" w:color="auto"/>
                <w:lang w:val="en-US" w:eastAsia="zh-CN"/>
              </w:rPr>
              <w:t>4</w:t>
            </w:r>
            <w:r>
              <w:rPr>
                <w:rFonts w:hint="eastAsia" w:ascii="Times New Roman" w:hAnsi="Times New Roman" w:eastAsia="宋体" w:cs="Times New Roman"/>
                <w:color w:val="auto"/>
                <w:spacing w:val="-2"/>
                <w:sz w:val="24"/>
                <w:highlight w:val="none"/>
                <w:u w:val="single" w:color="auto"/>
                <w:lang w:eastAsia="zh-CN"/>
              </w:rPr>
              <w:t>年大气环境各常规因子达标，</w:t>
            </w:r>
            <w:r>
              <w:rPr>
                <w:rFonts w:hint="eastAsia" w:cs="Times New Roman"/>
                <w:color w:val="auto"/>
                <w:spacing w:val="-2"/>
                <w:sz w:val="24"/>
                <w:highlight w:val="none"/>
                <w:u w:val="single" w:color="auto"/>
                <w:lang w:eastAsia="zh-CN"/>
              </w:rPr>
              <w:t>区域地表水常规监测断面满足功能规划，</w:t>
            </w:r>
            <w:r>
              <w:rPr>
                <w:rFonts w:hint="eastAsia" w:ascii="Times New Roman" w:hAnsi="Times New Roman" w:eastAsia="宋体" w:cs="Times New Roman"/>
                <w:color w:val="auto"/>
                <w:spacing w:val="-2"/>
                <w:sz w:val="24"/>
                <w:highlight w:val="none"/>
                <w:u w:val="single" w:color="auto"/>
                <w:lang w:eastAsia="zh-CN"/>
              </w:rPr>
              <w:t>符合环境质量底线要求的。</w:t>
            </w:r>
          </w:p>
          <w:p w14:paraId="3DB47408">
            <w:pPr>
              <w:bidi w:val="0"/>
              <w:rPr>
                <w:rFonts w:hint="eastAsia"/>
                <w:color w:val="auto"/>
                <w:u w:val="single" w:color="auto"/>
              </w:rPr>
            </w:pPr>
            <w:r>
              <w:rPr>
                <w:rFonts w:hint="eastAsia"/>
                <w:color w:val="auto"/>
                <w:u w:val="single" w:color="auto"/>
              </w:rPr>
              <w:t>③资源利用上线</w:t>
            </w:r>
          </w:p>
          <w:p w14:paraId="049AF5BB">
            <w:pPr>
              <w:bidi w:val="0"/>
              <w:rPr>
                <w:color w:val="auto"/>
                <w:u w:val="single" w:color="auto"/>
              </w:rPr>
            </w:pPr>
            <w:r>
              <w:rPr>
                <w:rFonts w:hint="eastAsia"/>
                <w:color w:val="auto"/>
                <w:u w:val="single" w:color="auto"/>
              </w:rPr>
              <w:t>本项目</w:t>
            </w:r>
            <w:r>
              <w:rPr>
                <w:rFonts w:hint="eastAsia"/>
                <w:color w:val="auto"/>
                <w:u w:val="single" w:color="auto"/>
                <w:lang w:val="en-US" w:eastAsia="zh-CN"/>
              </w:rPr>
              <w:t>铸造铝合金汽车零部件</w:t>
            </w:r>
            <w:r>
              <w:rPr>
                <w:rFonts w:hint="eastAsia"/>
                <w:color w:val="auto"/>
                <w:u w:val="single" w:color="auto"/>
              </w:rPr>
              <w:t>，营运过程中消耗一</w:t>
            </w:r>
            <w:r>
              <w:rPr>
                <w:rFonts w:hint="eastAsia"/>
                <w:color w:val="auto"/>
                <w:u w:val="single" w:color="auto"/>
                <w:lang w:eastAsia="zh-CN"/>
              </w:rPr>
              <w:t>定</w:t>
            </w:r>
            <w:r>
              <w:rPr>
                <w:rFonts w:hint="eastAsia"/>
                <w:color w:val="auto"/>
                <w:u w:val="single" w:color="auto"/>
              </w:rPr>
              <w:t>量的水资源、电资源，区域内生产和生活用水均使用自来水，能源主要依托当地电</w:t>
            </w:r>
            <w:r>
              <w:rPr>
                <w:color w:val="auto"/>
                <w:u w:val="single" w:color="auto"/>
              </w:rPr>
              <w:t>网供电，项目资源消耗相对区域资源利用总量较小，符合资源利用上线要求。</w:t>
            </w:r>
          </w:p>
          <w:p w14:paraId="25DEC0F2">
            <w:pPr>
              <w:bidi w:val="0"/>
              <w:rPr>
                <w:color w:val="auto"/>
                <w:u w:val="single" w:color="auto"/>
              </w:rPr>
            </w:pPr>
            <w:r>
              <w:rPr>
                <w:rFonts w:hint="eastAsia"/>
                <w:color w:val="auto"/>
                <w:u w:val="single" w:color="auto"/>
              </w:rPr>
              <w:t>④</w:t>
            </w:r>
            <w:r>
              <w:rPr>
                <w:rFonts w:hint="eastAsia"/>
                <w:color w:val="auto"/>
                <w:u w:val="single" w:color="auto"/>
                <w:lang w:val="en-US" w:eastAsia="zh-CN"/>
              </w:rPr>
              <w:t>生态</w:t>
            </w:r>
            <w:r>
              <w:rPr>
                <w:rFonts w:hint="eastAsia"/>
                <w:color w:val="auto"/>
                <w:u w:val="single" w:color="auto"/>
              </w:rPr>
              <w:t xml:space="preserve">环境准入负面清单 </w:t>
            </w:r>
          </w:p>
          <w:p w14:paraId="7EF010D4">
            <w:pPr>
              <w:bidi w:val="0"/>
              <w:rPr>
                <w:rFonts w:hint="eastAsia"/>
                <w:color w:val="auto"/>
                <w:u w:val="single" w:color="auto"/>
              </w:rPr>
            </w:pPr>
            <w:r>
              <w:rPr>
                <w:rFonts w:hint="eastAsia"/>
                <w:color w:val="auto"/>
                <w:u w:val="single" w:color="auto"/>
              </w:rPr>
              <w:t>本项目位于湖南省永州市江永县工业集中区内，项目不在所在地发布的环境准入负面清单，且项目符合国家及地方产业政策。</w:t>
            </w:r>
          </w:p>
          <w:p w14:paraId="67C69089">
            <w:pPr>
              <w:bidi w:val="0"/>
              <w:rPr>
                <w:rFonts w:hint="eastAsia"/>
                <w:color w:val="auto"/>
                <w:u w:val="single" w:color="auto"/>
                <w:lang w:val="en-US" w:eastAsia="zh-CN"/>
              </w:rPr>
            </w:pPr>
            <w:r>
              <w:rPr>
                <w:rFonts w:hint="eastAsia"/>
                <w:color w:val="auto"/>
                <w:u w:val="single" w:color="auto"/>
              </w:rPr>
              <w:t>本项目与《关于以改善环境质量为核心加强环境影响评价管理的通知》</w:t>
            </w:r>
            <w:r>
              <w:rPr>
                <w:rFonts w:hint="eastAsia"/>
                <w:color w:val="auto"/>
                <w:u w:val="single" w:color="auto"/>
                <w:lang w:eastAsia="zh-CN"/>
              </w:rPr>
              <w:t>（</w:t>
            </w:r>
            <w:r>
              <w:rPr>
                <w:rFonts w:hint="eastAsia"/>
                <w:color w:val="auto"/>
                <w:u w:val="single" w:color="auto"/>
              </w:rPr>
              <w:t>环评[2016]150 号</w:t>
            </w:r>
            <w:r>
              <w:rPr>
                <w:rFonts w:hint="eastAsia"/>
                <w:color w:val="auto"/>
                <w:u w:val="single" w:color="auto"/>
                <w:lang w:eastAsia="zh-CN"/>
              </w:rPr>
              <w:t>）</w:t>
            </w:r>
            <w:r>
              <w:rPr>
                <w:rFonts w:hint="eastAsia"/>
                <w:color w:val="auto"/>
                <w:u w:val="single" w:color="auto"/>
              </w:rPr>
              <w:t>和《“三线一单”生态环境分区管控的实施意见》</w:t>
            </w:r>
            <w:r>
              <w:rPr>
                <w:rFonts w:hint="eastAsia"/>
                <w:color w:val="auto"/>
                <w:u w:val="single" w:color="auto"/>
                <w:lang w:eastAsia="zh-CN"/>
              </w:rPr>
              <w:t>（</w:t>
            </w:r>
            <w:r>
              <w:rPr>
                <w:rFonts w:hint="eastAsia"/>
                <w:color w:val="auto"/>
                <w:u w:val="single" w:color="auto"/>
              </w:rPr>
              <w:t>永政发〔2020〕11 号</w:t>
            </w:r>
            <w:r>
              <w:rPr>
                <w:rFonts w:hint="eastAsia"/>
                <w:color w:val="auto"/>
                <w:u w:val="single" w:color="auto"/>
                <w:lang w:eastAsia="zh-CN"/>
              </w:rPr>
              <w:t>）</w:t>
            </w:r>
            <w:r>
              <w:rPr>
                <w:rFonts w:hint="eastAsia"/>
                <w:color w:val="auto"/>
                <w:u w:val="single" w:color="auto"/>
              </w:rPr>
              <w:t>、《</w:t>
            </w:r>
            <w:r>
              <w:rPr>
                <w:rFonts w:hint="eastAsia" w:ascii="Times New Roman" w:hAnsi="Times New Roman" w:eastAsia="宋体" w:cs="Times New Roman"/>
                <w:color w:val="auto"/>
                <w:spacing w:val="-2"/>
                <w:sz w:val="24"/>
                <w:highlight w:val="none"/>
                <w:u w:val="single" w:color="auto"/>
              </w:rPr>
              <w:t>湖南省生态环境分区管控总体管控要求暨省级以上产业园区生态环境准入清单</w:t>
            </w:r>
            <w:r>
              <w:rPr>
                <w:rFonts w:ascii="Times New Roman" w:hAnsi="Times New Roman" w:eastAsia="宋体" w:cs="Times New Roman"/>
                <w:color w:val="auto"/>
                <w:spacing w:val="-2"/>
                <w:sz w:val="24"/>
                <w:highlight w:val="none"/>
                <w:u w:val="single" w:color="auto"/>
              </w:rPr>
              <w:t>》</w:t>
            </w:r>
            <w:r>
              <w:rPr>
                <w:rFonts w:hint="eastAsia" w:ascii="Times New Roman" w:hAnsi="Times New Roman" w:eastAsia="宋体" w:cs="Times New Roman"/>
                <w:color w:val="auto"/>
                <w:spacing w:val="-2"/>
                <w:sz w:val="24"/>
                <w:highlight w:val="none"/>
                <w:u w:val="single" w:color="auto"/>
              </w:rPr>
              <w:t>(2023版)</w:t>
            </w:r>
            <w:r>
              <w:rPr>
                <w:rFonts w:hint="eastAsia"/>
                <w:color w:val="auto"/>
                <w:u w:val="single" w:color="auto"/>
                <w:lang w:eastAsia="zh-CN"/>
              </w:rPr>
              <w:t>》</w:t>
            </w:r>
            <w:r>
              <w:rPr>
                <w:rFonts w:hint="eastAsia"/>
                <w:color w:val="auto"/>
                <w:u w:val="single" w:color="auto"/>
              </w:rPr>
              <w:t>十一、永州市产业园区生态环境准入清单-11-7，江永工业集中区属重点管控单元，管控单元编码 ZH43112520002</w:t>
            </w:r>
            <w:r>
              <w:rPr>
                <w:rFonts w:hint="eastAsia"/>
                <w:color w:val="auto"/>
                <w:u w:val="single" w:color="auto"/>
                <w:lang w:eastAsia="zh-CN"/>
              </w:rPr>
              <w:t>。</w:t>
            </w:r>
          </w:p>
          <w:p w14:paraId="561A1586">
            <w:pPr>
              <w:bidi w:val="0"/>
              <w:spacing w:line="240" w:lineRule="auto"/>
              <w:ind w:left="0" w:leftChars="0" w:firstLine="0" w:firstLineChars="0"/>
              <w:jc w:val="center"/>
              <w:rPr>
                <w:rFonts w:hint="eastAsia" w:ascii="Times New Roman" w:hAnsi="Times New Roman" w:eastAsia="宋体" w:cs="Times New Roman"/>
                <w:b/>
                <w:bCs/>
                <w:color w:val="auto"/>
                <w:sz w:val="21"/>
                <w:szCs w:val="21"/>
                <w:u w:val="single" w:color="auto"/>
                <w:lang w:val="en-US" w:eastAsia="zh-CN"/>
              </w:rPr>
            </w:pPr>
            <w:r>
              <w:rPr>
                <w:rFonts w:hint="eastAsia" w:ascii="Times New Roman" w:hAnsi="Times New Roman" w:eastAsia="宋体" w:cs="Times New Roman"/>
                <w:b/>
                <w:bCs/>
                <w:color w:val="auto"/>
                <w:sz w:val="21"/>
                <w:szCs w:val="21"/>
                <w:u w:val="single" w:color="auto"/>
                <w:lang w:val="en-US" w:eastAsia="zh-CN"/>
              </w:rPr>
              <w:t>表1-2省级“三线一单”关于江永工业集中区相关管控要求</w:t>
            </w:r>
          </w:p>
          <w:tbl>
            <w:tblPr>
              <w:tblStyle w:val="3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3640"/>
              <w:gridCol w:w="2457"/>
              <w:gridCol w:w="873"/>
            </w:tblGrid>
            <w:tr w14:paraId="276F0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pct"/>
                  <w:noWrap w:val="0"/>
                  <w:vAlign w:val="center"/>
                </w:tcPr>
                <w:p w14:paraId="09E066B3">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管控纬度</w:t>
                  </w:r>
                </w:p>
              </w:tc>
              <w:tc>
                <w:tcPr>
                  <w:tcW w:w="2333" w:type="pct"/>
                  <w:noWrap w:val="0"/>
                  <w:vAlign w:val="center"/>
                </w:tcPr>
                <w:p w14:paraId="50AB2DCE">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清单中管控要求</w:t>
                  </w:r>
                </w:p>
              </w:tc>
              <w:tc>
                <w:tcPr>
                  <w:tcW w:w="1575" w:type="pct"/>
                  <w:noWrap w:val="0"/>
                  <w:vAlign w:val="center"/>
                </w:tcPr>
                <w:p w14:paraId="28046C1B">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本项目符合情况</w:t>
                  </w:r>
                </w:p>
              </w:tc>
              <w:tc>
                <w:tcPr>
                  <w:tcW w:w="559" w:type="pct"/>
                  <w:noWrap w:val="0"/>
                  <w:vAlign w:val="center"/>
                </w:tcPr>
                <w:p w14:paraId="603B73C7">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符合性结论</w:t>
                  </w:r>
                </w:p>
              </w:tc>
            </w:tr>
            <w:tr w14:paraId="02596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pct"/>
                  <w:noWrap w:val="0"/>
                  <w:vAlign w:val="center"/>
                </w:tcPr>
                <w:p w14:paraId="6A0192D5">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主导产业</w:t>
                  </w:r>
                </w:p>
              </w:tc>
              <w:tc>
                <w:tcPr>
                  <w:tcW w:w="2333" w:type="pct"/>
                  <w:noWrap w:val="0"/>
                  <w:vAlign w:val="center"/>
                </w:tcPr>
                <w:p w14:paraId="0EACBEC5">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湘环评[2009]110号：建设成冶金、农产品加工、服装、鞋业等加工、高科技工业以及新型建材为主的工业基地；湘发改地区〔2012〕2051号：以农副产品加工业、有色金属冶炼和压延加工等产业为主；六部委公告2018年第4号：食品、有色金属冶炼加工、新材料。</w:t>
                  </w:r>
                </w:p>
              </w:tc>
              <w:tc>
                <w:tcPr>
                  <w:tcW w:w="1575" w:type="pct"/>
                  <w:noWrap w:val="0"/>
                  <w:vAlign w:val="center"/>
                </w:tcPr>
                <w:p w14:paraId="60DC37AA">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本项目位于江永县工业集中区内，项目行业分类为C3</w:t>
                  </w:r>
                  <w:r>
                    <w:rPr>
                      <w:rFonts w:hint="eastAsia" w:cs="Times New Roman"/>
                      <w:color w:val="auto"/>
                      <w:sz w:val="21"/>
                      <w:szCs w:val="21"/>
                      <w:highlight w:val="none"/>
                      <w:u w:val="single" w:color="auto"/>
                      <w:lang w:val="en-US" w:eastAsia="zh-CN"/>
                    </w:rPr>
                    <w:t>392有色金属铸造</w:t>
                  </w:r>
                  <w:r>
                    <w:rPr>
                      <w:rFonts w:hint="eastAsia" w:ascii="Times New Roman" w:hAnsi="Times New Roman" w:eastAsia="宋体" w:cs="Times New Roman"/>
                      <w:color w:val="auto"/>
                      <w:sz w:val="21"/>
                      <w:szCs w:val="21"/>
                      <w:highlight w:val="none"/>
                      <w:u w:val="single" w:color="auto"/>
                      <w:lang w:val="en-US" w:eastAsia="zh-CN"/>
                    </w:rPr>
                    <w:t>，与产业园的产业定位相符。</w:t>
                  </w:r>
                </w:p>
              </w:tc>
              <w:tc>
                <w:tcPr>
                  <w:tcW w:w="559" w:type="pct"/>
                  <w:noWrap w:val="0"/>
                  <w:vAlign w:val="center"/>
                </w:tcPr>
                <w:p w14:paraId="08DCDC2D">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符合</w:t>
                  </w:r>
                </w:p>
              </w:tc>
            </w:tr>
            <w:tr w14:paraId="69CDA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pct"/>
                  <w:noWrap w:val="0"/>
                  <w:vAlign w:val="center"/>
                </w:tcPr>
                <w:p w14:paraId="20549178">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空间布局约束</w:t>
                  </w:r>
                </w:p>
              </w:tc>
              <w:tc>
                <w:tcPr>
                  <w:tcW w:w="2333" w:type="pct"/>
                  <w:noWrap w:val="0"/>
                  <w:vAlign w:val="center"/>
                </w:tcPr>
                <w:p w14:paraId="5D6195CF">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1.1）开发区引入项目应符合“江永县产业准入负面清单”的有关规定。严格限制不符合江永县重点生态功能区管控要求的产业扩张。（1.2）对于不符合园区规划要求的企业（包括部分已停产的企业）予以整改、搬迁或退出。（1.3）园区在重新实施规划环评过程中应明确取消主导产业定位中的“有色金属冶炼”。（1.4）为确保利田片区南部已建的安置小区、学校、公租房的环境安全，利田片区南部原规划二类工业用地原则上只引进一类工业项目，不得引进气型污染排放为主的企业，对已入驻的二类工业不得在原址扩大排污规模。（1.5）园区内不得设置商品住宅用地。</w:t>
                  </w:r>
                </w:p>
              </w:tc>
              <w:tc>
                <w:tcPr>
                  <w:tcW w:w="1575" w:type="pct"/>
                  <w:noWrap w:val="0"/>
                  <w:vAlign w:val="center"/>
                </w:tcPr>
                <w:p w14:paraId="2CE3019B">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本项目不属于湖南省禁止入区、限制入区的负面产业，不属于《湖南省新增19个国家重点生态功能区产业准入负面清单(试行)》里的江永县产业准入负面清单。</w:t>
                  </w:r>
                </w:p>
              </w:tc>
              <w:tc>
                <w:tcPr>
                  <w:tcW w:w="559" w:type="pct"/>
                  <w:noWrap w:val="0"/>
                  <w:vAlign w:val="center"/>
                </w:tcPr>
                <w:p w14:paraId="2EB0AEB1">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符合</w:t>
                  </w:r>
                </w:p>
              </w:tc>
            </w:tr>
            <w:tr w14:paraId="144FE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pct"/>
                  <w:noWrap w:val="0"/>
                  <w:vAlign w:val="center"/>
                </w:tcPr>
                <w:p w14:paraId="31699A78">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污染物排放管控</w:t>
                  </w:r>
                </w:p>
              </w:tc>
              <w:tc>
                <w:tcPr>
                  <w:tcW w:w="2333" w:type="pct"/>
                  <w:noWrap w:val="0"/>
                  <w:vAlign w:val="center"/>
                </w:tcPr>
                <w:p w14:paraId="1B147C71">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2.1）废水：园区实施雨污分流。污水管网建设完成、生产废水接管之前，相关与新建涉废水排放的企业不得投产（含试生产）。湖南江永永明河国家湿地公园内禁止倾倒有毒有害物质、废弃物、垃圾，禁止擅自取土、取水、排污。利田片区：园区废污水经江永工业集中区5000吨/日污水处理厂处理达标后排入马河。污水处理厂建成投运后，园区应及时对利田片区北部地表水体河流底质进行清理，消除集中区北部地表水体底质不良景观影响及黑臭水体。雨水经收集自流排入马河。</w:t>
                  </w:r>
                </w:p>
                <w:p w14:paraId="2CA5995E">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麒麟岩片区：加快污水处理厂及污水管网建设，建成前废污水依托江永工业园污水处理厂处理达标后排入马河。雨水就近自流排入马河。（2.2）废气：加强大气污染防治，加强对园区重点排放企业的防控。全面推进工业VOCs综合治理，建立VOCs排放清单信息库，完善企业一企一档制度。园区内有色金属等行业及涉锅炉大气污染物排放应满足《湖南省生态环境厅关于执行污染物特别排放限值（第一批）的公告》中的要求。（2.3）固废：做好工业固体废物和生活垃圾的分类收集、转运、综合利用和无害化处理，建立完善的固废管理体系。对危险固废应严格按照国家有关规定综合利用或妥善处置，对危险废物产生企业和经营单位，应加强日常环境监管。鉴于园区工业固废产量较大，应建立合理的园区产业链结构，保证园区产生的固废能及时消纳，提高园区循环经济水平。</w:t>
                  </w:r>
                </w:p>
              </w:tc>
              <w:tc>
                <w:tcPr>
                  <w:tcW w:w="1575" w:type="pct"/>
                  <w:noWrap w:val="0"/>
                  <w:vAlign w:val="center"/>
                </w:tcPr>
                <w:p w14:paraId="31D1EC18">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本项目所在园区实施了雨污分流，项目无生产废水，生活污水排入江永工业园污水处理厂处理，工业固体废物和生活垃圾的分类收集、转运、综合利用和无害化处理，危险固废应按国家有关规定暂存后定期委托有资质单位处置。</w:t>
                  </w:r>
                </w:p>
              </w:tc>
              <w:tc>
                <w:tcPr>
                  <w:tcW w:w="559" w:type="pct"/>
                  <w:noWrap w:val="0"/>
                  <w:vAlign w:val="center"/>
                </w:tcPr>
                <w:p w14:paraId="7121C4FA">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符合</w:t>
                  </w:r>
                </w:p>
              </w:tc>
            </w:tr>
            <w:tr w14:paraId="4F223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pct"/>
                  <w:noWrap w:val="0"/>
                  <w:vAlign w:val="center"/>
                </w:tcPr>
                <w:p w14:paraId="0868D67F">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环境风险防控</w:t>
                  </w:r>
                </w:p>
              </w:tc>
              <w:tc>
                <w:tcPr>
                  <w:tcW w:w="2333" w:type="pct"/>
                  <w:noWrap w:val="0"/>
                  <w:vAlign w:val="center"/>
                </w:tcPr>
                <w:p w14:paraId="686ECD02">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3.1）集中区应建立健全环境风险防控体系，组织严格落实《江永工业集中区突发环境事件应急预案》的相关要求，加强环境风险事故防范和应急管理。严格防范乙醇、废油等环境风险物质泄漏，污水收集处理系统事故排放等导致污染物进入永明河，威胁湿地公园水质。（3.2）园区可能发生突发环境事件的污染物排放企业，生产、储存、运输、使用危险化学品的企业，产生危险废物的企业等应当编制和实施环境应急预案；鼓励其他企业制定单独的环境应急预案，或在突发事件应急预案中制定环境应急预案专章，并备案。（3.3）禁止在优先保护类耕地集中区域新建有色金属冶炼、有色金属矿采选、化工、电解锰、电镀、制革、石油加工、危险废物经营等行业企业，已建成的相关企业应当按照有关标准、规定采取措施，防止对耕地造成污染。加大涉重企业治污与清洁生产改造力度，强化园区集中治污，严厉打击超标排放与偷排漏排，规范企业无组织排放与物料、固体废物堆场堆存，稳步推进重金属减排工作。排放重点污染物的建设项目，在开展环境影响评价时，要严格落实对土壤环境影响的评价内容，并提出防范土壤污染的具体措施。</w:t>
                  </w:r>
                </w:p>
              </w:tc>
              <w:tc>
                <w:tcPr>
                  <w:tcW w:w="1575" w:type="pct"/>
                  <w:noWrap w:val="0"/>
                  <w:vAlign w:val="center"/>
                </w:tcPr>
                <w:p w14:paraId="2EBEE9F7">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本项目已在环评中落实健全环境风险防控制度，同时遵照园区应急预案。</w:t>
                  </w:r>
                </w:p>
              </w:tc>
              <w:tc>
                <w:tcPr>
                  <w:tcW w:w="559" w:type="pct"/>
                  <w:noWrap w:val="0"/>
                  <w:vAlign w:val="center"/>
                </w:tcPr>
                <w:p w14:paraId="38E83C0F">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符合</w:t>
                  </w:r>
                </w:p>
              </w:tc>
            </w:tr>
            <w:tr w14:paraId="4468E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 w:type="pct"/>
                  <w:noWrap w:val="0"/>
                  <w:vAlign w:val="center"/>
                </w:tcPr>
                <w:p w14:paraId="0823AD11">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资源开发效率要求</w:t>
                  </w:r>
                </w:p>
              </w:tc>
              <w:tc>
                <w:tcPr>
                  <w:tcW w:w="2333" w:type="pct"/>
                  <w:noWrap w:val="0"/>
                  <w:vAlign w:val="center"/>
                </w:tcPr>
                <w:p w14:paraId="45C32756">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（4.1）能源：（4.1.1）优化能源结构，推动园区天然气管网建设，集中供热条件成熟时必须全面淘汰园区分散建设的燃煤锅炉。</w:t>
                  </w:r>
                </w:p>
                <w:p w14:paraId="68FCDF05">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（4.1.2）积极应用动力传输中的节能技术、压缩空气系统节能技术，尽量选用节能机电设备，推行绿色建筑节能，着力推动商贸</w:t>
                  </w:r>
                  <w:r>
                    <w:rPr>
                      <w:rFonts w:hint="eastAsia" w:cs="Times New Roman"/>
                      <w:color w:val="auto"/>
                      <w:sz w:val="21"/>
                      <w:szCs w:val="21"/>
                      <w:highlight w:val="none"/>
                      <w:u w:val="single" w:color="auto"/>
                      <w:lang w:val="en-US" w:eastAsia="zh-CN"/>
                    </w:rPr>
                    <w:t>服务业</w:t>
                  </w:r>
                  <w:r>
                    <w:rPr>
                      <w:rFonts w:hint="eastAsia" w:ascii="Times New Roman" w:hAnsi="Times New Roman" w:eastAsia="宋体" w:cs="Times New Roman"/>
                      <w:color w:val="auto"/>
                      <w:sz w:val="21"/>
                      <w:szCs w:val="21"/>
                      <w:highlight w:val="none"/>
                      <w:u w:val="single" w:color="auto"/>
                      <w:lang w:val="en-US" w:eastAsia="zh-CN"/>
                    </w:rPr>
                    <w:t>节能，推进公共机构节能，严格配备能源计量器具，建立区域能耗在线监测系统。（4.1.3）2020年，园区综合能源消费量预测当量值为3893.78吨标煤，单位GDP能耗预测值为0.0261吨标煤/万元，能源消费总量控制在25013.59吨标煤（当量值）以内；到2025年，园区能源消费强度控制在0.0220吨标煤/万元，能源消费总量控制在25013.59吨标煤（当量值）以内。（4.2）水资源：强化工业节水，淘汰落后的用水技术、工艺、产品和设备，重点开展化工、食品等高耗水工业行业节水技术改造，开展用水效率评估，大力推广工业水循环利用，推进节水型企业、节水型工业园区建设。到2020年，高耗水行业达到先进定额标准，全县总用水量控制在11992万立方米，全县万元国内生产总值用水量比2015年降低23%。（4.3）土地资源：重点保障工业用地等需求，新增建设用地要优先安排高新技术产业等建设项目，保证国家重点项目建设用地。企业或项目用地原则上按80万元/亩以上且建设容积率达到1.0以上的投资强度供地。用地20亩以上且投资强度预计可达到100万元/亩的，可根据其建设进度按照投资规模的一定比例进行奖励。</w:t>
                  </w:r>
                </w:p>
              </w:tc>
              <w:tc>
                <w:tcPr>
                  <w:tcW w:w="1575" w:type="pct"/>
                  <w:noWrap w:val="0"/>
                  <w:vAlign w:val="center"/>
                </w:tcPr>
                <w:p w14:paraId="58DEA69C">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本项目不涉及燃煤的使用；生产用水少且能循环利用，租用园区标准厂房，无新占用地。</w:t>
                  </w:r>
                </w:p>
              </w:tc>
              <w:tc>
                <w:tcPr>
                  <w:tcW w:w="559" w:type="pct"/>
                  <w:noWrap w:val="0"/>
                  <w:vAlign w:val="center"/>
                </w:tcPr>
                <w:p w14:paraId="56E6BB34">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符合</w:t>
                  </w:r>
                </w:p>
              </w:tc>
            </w:tr>
          </w:tbl>
          <w:p w14:paraId="717FF13A">
            <w:pPr>
              <w:ind w:firstLine="480"/>
              <w:rPr>
                <w:b/>
                <w:bCs/>
                <w:color w:val="auto"/>
                <w:u w:val="single" w:color="auto"/>
              </w:rPr>
            </w:pPr>
            <w:r>
              <w:rPr>
                <w:rFonts w:hint="eastAsia"/>
                <w:b/>
                <w:bCs/>
                <w:color w:val="auto"/>
                <w:u w:val="single" w:color="auto"/>
              </w:rPr>
              <w:t>3、</w:t>
            </w:r>
            <w:r>
              <w:rPr>
                <w:b/>
                <w:bCs/>
                <w:color w:val="auto"/>
                <w:u w:val="single" w:color="auto"/>
              </w:rPr>
              <w:t>与《</w:t>
            </w:r>
            <w:r>
              <w:rPr>
                <w:rFonts w:hint="eastAsia" w:ascii="宋体" w:hAnsi="宋体" w:cs="宋体"/>
                <w:b/>
                <w:bCs/>
                <w:color w:val="auto"/>
                <w:u w:val="single" w:color="auto"/>
              </w:rPr>
              <w:t>湖南省“十四五”生态环境保护规划</w:t>
            </w:r>
            <w:r>
              <w:rPr>
                <w:b/>
                <w:bCs/>
                <w:color w:val="auto"/>
                <w:u w:val="single" w:color="auto"/>
              </w:rPr>
              <w:t>》的符合性分析</w:t>
            </w:r>
          </w:p>
          <w:p w14:paraId="6F567B7A">
            <w:pPr>
              <w:ind w:firstLine="480"/>
              <w:rPr>
                <w:rFonts w:hint="eastAsia"/>
                <w:color w:val="auto"/>
                <w:u w:val="single" w:color="auto"/>
              </w:rPr>
            </w:pPr>
            <w:r>
              <w:rPr>
                <w:color w:val="auto"/>
                <w:u w:val="single" w:color="auto"/>
              </w:rPr>
              <w:t>根据《湖南省“十</w:t>
            </w:r>
            <w:r>
              <w:rPr>
                <w:rFonts w:hint="eastAsia"/>
                <w:color w:val="auto"/>
                <w:u w:val="single" w:color="auto"/>
              </w:rPr>
              <w:t>四</w:t>
            </w:r>
            <w:r>
              <w:rPr>
                <w:color w:val="auto"/>
                <w:u w:val="single" w:color="auto"/>
              </w:rPr>
              <w:t>五”环境保护规划》中</w:t>
            </w:r>
            <w:r>
              <w:rPr>
                <w:rFonts w:hint="eastAsia" w:ascii="宋体" w:hAnsi="宋体" w:cs="宋体"/>
                <w:color w:val="auto"/>
                <w:u w:val="single" w:color="auto"/>
                <w:shd w:val="clear" w:color="auto" w:fill="FFFFFF"/>
              </w:rPr>
              <w:t>“</w:t>
            </w:r>
            <w:r>
              <w:rPr>
                <w:rStyle w:val="32"/>
                <w:rFonts w:hint="eastAsia" w:ascii="宋体" w:hAnsi="宋体" w:cs="宋体"/>
                <w:color w:val="auto"/>
                <w:u w:val="single" w:color="auto"/>
                <w:shd w:val="clear" w:color="auto" w:fill="FFFFFF"/>
              </w:rPr>
              <w:t>（五）严格生态环境准入。严格生态环境分区引导</w:t>
            </w:r>
            <w:r>
              <w:rPr>
                <w:rFonts w:hint="eastAsia" w:ascii="宋体" w:hAnsi="宋体" w:cs="宋体"/>
                <w:color w:val="auto"/>
                <w:u w:val="single" w:color="auto"/>
                <w:shd w:val="clear" w:color="auto" w:fill="FFFFFF"/>
              </w:rPr>
              <w:t>。</w:t>
            </w:r>
            <w:r>
              <w:rPr>
                <w:rFonts w:hint="eastAsia"/>
                <w:color w:val="auto"/>
                <w:u w:val="single" w:color="auto"/>
              </w:rPr>
              <w:t>严格落实湖南省“三线一单”生态环境总体管控要求，将生态保护红线、环境质量底线、资源利用上线和生态环境准入清单作为硬约束落实到环境管控单元，根据生态环境功能、自然资源禀赋、经济与社会发展实际，对环境管控单元实施差异化生态环境准入管理。”</w:t>
            </w:r>
          </w:p>
          <w:p w14:paraId="286FC28B">
            <w:pPr>
              <w:ind w:firstLine="480"/>
              <w:rPr>
                <w:rFonts w:hint="eastAsia"/>
                <w:color w:val="auto"/>
                <w:u w:val="single" w:color="auto"/>
              </w:rPr>
            </w:pPr>
            <w:r>
              <w:rPr>
                <w:rFonts w:hint="eastAsia"/>
                <w:color w:val="auto"/>
                <w:u w:val="single" w:color="auto"/>
              </w:rPr>
              <w:t>符合性分析：本项目位于工业园区，符合“三线一单”准入要求，与《湖南省“十四五”环境保护规划》中相关内容是相符的。</w:t>
            </w:r>
          </w:p>
          <w:p w14:paraId="303008AB">
            <w:pPr>
              <w:ind w:firstLine="480"/>
              <w:rPr>
                <w:rFonts w:hint="eastAsia"/>
                <w:b/>
                <w:bCs/>
                <w:color w:val="auto"/>
                <w:u w:val="single" w:color="auto"/>
              </w:rPr>
            </w:pPr>
            <w:r>
              <w:rPr>
                <w:rFonts w:hint="eastAsia"/>
                <w:b/>
                <w:bCs/>
                <w:color w:val="auto"/>
                <w:u w:val="single" w:color="auto"/>
              </w:rPr>
              <w:t>4、与《永州市“十四五”生态环境保护规划》的符合性分析</w:t>
            </w:r>
          </w:p>
          <w:p w14:paraId="159DBE77">
            <w:pPr>
              <w:ind w:firstLine="480"/>
              <w:rPr>
                <w:rFonts w:hint="eastAsia"/>
                <w:color w:val="auto"/>
                <w:u w:val="single" w:color="auto"/>
              </w:rPr>
            </w:pPr>
            <w:r>
              <w:rPr>
                <w:rFonts w:hint="eastAsia"/>
                <w:color w:val="auto"/>
                <w:u w:val="single" w:color="auto"/>
              </w:rPr>
              <w:t>根据《永州市“十四五”生态环境保护规划》中“（二）严格环境准入与管控”相关内容，分析如下：</w:t>
            </w:r>
          </w:p>
          <w:p w14:paraId="60502E34">
            <w:pPr>
              <w:bidi w:val="0"/>
              <w:spacing w:line="240" w:lineRule="auto"/>
              <w:ind w:left="0" w:leftChars="0" w:firstLine="0" w:firstLineChars="0"/>
              <w:jc w:val="center"/>
              <w:rPr>
                <w:rFonts w:hint="eastAsia" w:ascii="Times New Roman" w:hAnsi="Times New Roman" w:eastAsia="宋体" w:cs="Times New Roman"/>
                <w:b/>
                <w:bCs/>
                <w:color w:val="auto"/>
                <w:sz w:val="21"/>
                <w:szCs w:val="21"/>
                <w:u w:val="single" w:color="auto"/>
                <w:lang w:val="en-US" w:eastAsia="zh-CN"/>
              </w:rPr>
            </w:pPr>
            <w:r>
              <w:rPr>
                <w:rFonts w:hint="eastAsia" w:ascii="Times New Roman" w:hAnsi="Times New Roman" w:eastAsia="宋体" w:cs="Times New Roman"/>
                <w:b/>
                <w:bCs/>
                <w:color w:val="auto"/>
                <w:sz w:val="21"/>
                <w:szCs w:val="21"/>
                <w:u w:val="single" w:color="auto"/>
                <w:lang w:val="en-US" w:eastAsia="zh-CN"/>
              </w:rPr>
              <w:t>表1-5与永州市“十四五”生态环境保护规划符合性分析</w:t>
            </w:r>
          </w:p>
          <w:tbl>
            <w:tblPr>
              <w:tblStyle w:val="29"/>
              <w:tblW w:w="4998"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478"/>
              <w:gridCol w:w="699"/>
              <w:gridCol w:w="4540"/>
              <w:gridCol w:w="1363"/>
              <w:gridCol w:w="713"/>
            </w:tblGrid>
            <w:tr w14:paraId="346589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307" w:type="pct"/>
                  <w:noWrap w:val="0"/>
                  <w:vAlign w:val="center"/>
                </w:tcPr>
                <w:p w14:paraId="4C2300B3">
                  <w:pPr>
                    <w:spacing w:line="240" w:lineRule="auto"/>
                    <w:ind w:firstLine="0" w:firstLineChars="0"/>
                    <w:jc w:val="center"/>
                    <w:rPr>
                      <w:color w:val="auto"/>
                      <w:sz w:val="21"/>
                      <w:szCs w:val="21"/>
                      <w:u w:val="single" w:color="auto"/>
                    </w:rPr>
                  </w:pPr>
                  <w:r>
                    <w:rPr>
                      <w:color w:val="auto"/>
                      <w:sz w:val="21"/>
                      <w:szCs w:val="21"/>
                      <w:u w:val="single" w:color="auto"/>
                    </w:rPr>
                    <w:t>序号</w:t>
                  </w:r>
                </w:p>
              </w:tc>
              <w:tc>
                <w:tcPr>
                  <w:tcW w:w="448" w:type="pct"/>
                  <w:noWrap w:val="0"/>
                  <w:vAlign w:val="center"/>
                </w:tcPr>
                <w:p w14:paraId="2C2AAB32">
                  <w:pPr>
                    <w:spacing w:line="240" w:lineRule="auto"/>
                    <w:ind w:firstLine="0" w:firstLineChars="0"/>
                    <w:jc w:val="center"/>
                    <w:rPr>
                      <w:rFonts w:hint="eastAsia"/>
                      <w:color w:val="auto"/>
                      <w:sz w:val="21"/>
                      <w:szCs w:val="21"/>
                      <w:u w:val="single" w:color="auto"/>
                    </w:rPr>
                  </w:pPr>
                  <w:r>
                    <w:rPr>
                      <w:color w:val="auto"/>
                      <w:sz w:val="21"/>
                      <w:szCs w:val="21"/>
                      <w:u w:val="single" w:color="auto"/>
                    </w:rPr>
                    <w:t>规划</w:t>
                  </w:r>
                  <w:r>
                    <w:rPr>
                      <w:rFonts w:hint="eastAsia"/>
                      <w:color w:val="auto"/>
                      <w:sz w:val="21"/>
                      <w:szCs w:val="21"/>
                      <w:u w:val="single" w:color="auto"/>
                    </w:rPr>
                    <w:t>内容</w:t>
                  </w:r>
                </w:p>
              </w:tc>
              <w:tc>
                <w:tcPr>
                  <w:tcW w:w="2911" w:type="pct"/>
                  <w:noWrap w:val="0"/>
                  <w:vAlign w:val="center"/>
                </w:tcPr>
                <w:p w14:paraId="3E7DF4D0">
                  <w:pPr>
                    <w:spacing w:line="240" w:lineRule="auto"/>
                    <w:ind w:firstLine="0" w:firstLineChars="0"/>
                    <w:jc w:val="center"/>
                    <w:rPr>
                      <w:color w:val="auto"/>
                      <w:sz w:val="21"/>
                      <w:szCs w:val="21"/>
                      <w:u w:val="single" w:color="auto"/>
                    </w:rPr>
                  </w:pPr>
                  <w:r>
                    <w:rPr>
                      <w:color w:val="auto"/>
                      <w:sz w:val="21"/>
                      <w:szCs w:val="21"/>
                      <w:u w:val="single" w:color="auto"/>
                    </w:rPr>
                    <w:t>相关要求</w:t>
                  </w:r>
                </w:p>
              </w:tc>
              <w:tc>
                <w:tcPr>
                  <w:tcW w:w="874" w:type="pct"/>
                  <w:noWrap w:val="0"/>
                  <w:vAlign w:val="center"/>
                </w:tcPr>
                <w:p w14:paraId="65414132">
                  <w:pPr>
                    <w:spacing w:line="240" w:lineRule="auto"/>
                    <w:ind w:firstLine="0" w:firstLineChars="0"/>
                    <w:jc w:val="center"/>
                    <w:rPr>
                      <w:color w:val="auto"/>
                      <w:sz w:val="21"/>
                      <w:szCs w:val="21"/>
                      <w:u w:val="single" w:color="auto"/>
                    </w:rPr>
                  </w:pPr>
                  <w:r>
                    <w:rPr>
                      <w:color w:val="auto"/>
                      <w:sz w:val="21"/>
                      <w:szCs w:val="21"/>
                      <w:u w:val="single" w:color="auto"/>
                    </w:rPr>
                    <w:t>本项目情况</w:t>
                  </w:r>
                </w:p>
              </w:tc>
              <w:tc>
                <w:tcPr>
                  <w:tcW w:w="457" w:type="pct"/>
                  <w:noWrap w:val="0"/>
                  <w:vAlign w:val="center"/>
                </w:tcPr>
                <w:p w14:paraId="60C28251">
                  <w:pPr>
                    <w:spacing w:line="240" w:lineRule="auto"/>
                    <w:ind w:firstLine="0" w:firstLineChars="0"/>
                    <w:jc w:val="center"/>
                    <w:rPr>
                      <w:color w:val="auto"/>
                      <w:sz w:val="21"/>
                      <w:szCs w:val="21"/>
                      <w:u w:val="single" w:color="auto"/>
                    </w:rPr>
                  </w:pPr>
                  <w:r>
                    <w:rPr>
                      <w:color w:val="auto"/>
                      <w:sz w:val="21"/>
                      <w:szCs w:val="21"/>
                      <w:u w:val="single" w:color="auto"/>
                    </w:rPr>
                    <w:t>符合性</w:t>
                  </w:r>
                </w:p>
              </w:tc>
            </w:tr>
            <w:tr w14:paraId="28940AA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609" w:hRule="atLeast"/>
              </w:trPr>
              <w:tc>
                <w:tcPr>
                  <w:tcW w:w="307" w:type="pct"/>
                  <w:noWrap w:val="0"/>
                  <w:vAlign w:val="center"/>
                </w:tcPr>
                <w:p w14:paraId="60E36EE7">
                  <w:pPr>
                    <w:spacing w:line="240" w:lineRule="auto"/>
                    <w:ind w:firstLine="0" w:firstLineChars="0"/>
                    <w:jc w:val="center"/>
                    <w:rPr>
                      <w:color w:val="auto"/>
                      <w:sz w:val="21"/>
                      <w:szCs w:val="21"/>
                      <w:u w:val="single" w:color="auto"/>
                    </w:rPr>
                  </w:pPr>
                  <w:r>
                    <w:rPr>
                      <w:color w:val="auto"/>
                      <w:sz w:val="21"/>
                      <w:szCs w:val="21"/>
                      <w:u w:val="single" w:color="auto"/>
                    </w:rPr>
                    <w:t>1</w:t>
                  </w:r>
                </w:p>
              </w:tc>
              <w:tc>
                <w:tcPr>
                  <w:tcW w:w="448" w:type="pct"/>
                  <w:noWrap w:val="0"/>
                  <w:vAlign w:val="center"/>
                </w:tcPr>
                <w:p w14:paraId="4FD5342E">
                  <w:pPr>
                    <w:spacing w:line="240" w:lineRule="auto"/>
                    <w:ind w:firstLine="0" w:firstLineChars="0"/>
                    <w:jc w:val="center"/>
                    <w:rPr>
                      <w:color w:val="auto"/>
                      <w:sz w:val="21"/>
                      <w:szCs w:val="21"/>
                      <w:u w:val="single" w:color="auto"/>
                    </w:rPr>
                  </w:pPr>
                  <w:r>
                    <w:rPr>
                      <w:color w:val="auto"/>
                      <w:sz w:val="21"/>
                      <w:szCs w:val="21"/>
                      <w:u w:val="single" w:color="auto"/>
                    </w:rPr>
                    <w:t>严格环境准入</w:t>
                  </w:r>
                </w:p>
              </w:tc>
              <w:tc>
                <w:tcPr>
                  <w:tcW w:w="2911" w:type="pct"/>
                  <w:noWrap w:val="0"/>
                  <w:vAlign w:val="center"/>
                </w:tcPr>
                <w:p w14:paraId="6DA57E69">
                  <w:pPr>
                    <w:spacing w:line="240" w:lineRule="auto"/>
                    <w:ind w:firstLine="0" w:firstLineChars="0"/>
                    <w:jc w:val="center"/>
                    <w:rPr>
                      <w:color w:val="auto"/>
                      <w:sz w:val="21"/>
                      <w:szCs w:val="21"/>
                      <w:u w:val="single" w:color="auto"/>
                    </w:rPr>
                  </w:pPr>
                  <w:r>
                    <w:rPr>
                      <w:color w:val="auto"/>
                      <w:sz w:val="21"/>
                      <w:szCs w:val="21"/>
                      <w:u w:val="single" w:color="auto"/>
                    </w:rPr>
                    <w:t>按照国家要求的产业准入目录，严把永州项目产业政策关，促进产业转型升级，防止落后产能和污染严重项目转入永州市，严控化工、建材、有色、电镀、印染等高污染项目的审批，禁止新建、扩建落后产能项目。坚持新建工业企业必须入园，严控高污染高能耗企业入园。加强高能耗高排放项目准入管理，必须符合产业政策、行业发展规划和市场准入要求。实行排污总量前置管理,将建设项目污染物排放总量指标作为项目环评审批的前提条件，严控新增排放量。加强永州市11家省级工业园区生态环境准入管理。推进“三线一单”与排污许可、环评审批、环境监测、环境执法等数据系统共享。探索构建以“三线一单”为环境空间管控基础，以规划环评和项目环评为环境准入关口，以排污许可为企业运行守法依据，以执法、督察为环境监管闭环的全过程环境管理框架。</w:t>
                  </w:r>
                </w:p>
              </w:tc>
              <w:tc>
                <w:tcPr>
                  <w:tcW w:w="874" w:type="pct"/>
                  <w:noWrap w:val="0"/>
                  <w:vAlign w:val="center"/>
                </w:tcPr>
                <w:p w14:paraId="39C64E16">
                  <w:pPr>
                    <w:spacing w:line="240" w:lineRule="auto"/>
                    <w:ind w:firstLine="0" w:firstLineChars="0"/>
                    <w:jc w:val="center"/>
                    <w:rPr>
                      <w:color w:val="auto"/>
                      <w:sz w:val="21"/>
                      <w:szCs w:val="21"/>
                      <w:u w:val="single" w:color="auto"/>
                    </w:rPr>
                  </w:pPr>
                  <w:r>
                    <w:rPr>
                      <w:rFonts w:hint="eastAsia"/>
                      <w:color w:val="auto"/>
                      <w:sz w:val="21"/>
                      <w:szCs w:val="21"/>
                      <w:u w:val="single" w:color="auto"/>
                    </w:rPr>
                    <w:t>本项目为</w:t>
                  </w:r>
                  <w:r>
                    <w:rPr>
                      <w:rFonts w:hint="eastAsia"/>
                      <w:color w:val="auto"/>
                      <w:sz w:val="21"/>
                      <w:szCs w:val="21"/>
                      <w:u w:val="single" w:color="auto"/>
                      <w:lang w:val="en-US" w:eastAsia="zh-CN"/>
                    </w:rPr>
                    <w:t>铸造铝合金汽车零部件</w:t>
                  </w:r>
                  <w:r>
                    <w:rPr>
                      <w:rFonts w:hint="eastAsia"/>
                      <w:color w:val="auto"/>
                      <w:sz w:val="21"/>
                      <w:szCs w:val="21"/>
                      <w:u w:val="single" w:color="auto"/>
                    </w:rPr>
                    <w:t>，位于工业园区，不属于</w:t>
                  </w:r>
                  <w:r>
                    <w:rPr>
                      <w:color w:val="auto"/>
                      <w:sz w:val="21"/>
                      <w:szCs w:val="21"/>
                      <w:u w:val="single" w:color="auto"/>
                    </w:rPr>
                    <w:t>落后产能和污染严重项目</w:t>
                  </w:r>
                </w:p>
              </w:tc>
              <w:tc>
                <w:tcPr>
                  <w:tcW w:w="457" w:type="pct"/>
                  <w:noWrap w:val="0"/>
                  <w:vAlign w:val="center"/>
                </w:tcPr>
                <w:p w14:paraId="51C313AF">
                  <w:pPr>
                    <w:spacing w:line="240" w:lineRule="auto"/>
                    <w:ind w:firstLine="0" w:firstLineChars="0"/>
                    <w:jc w:val="center"/>
                    <w:rPr>
                      <w:color w:val="auto"/>
                      <w:sz w:val="21"/>
                      <w:szCs w:val="21"/>
                      <w:u w:val="single" w:color="auto"/>
                    </w:rPr>
                  </w:pPr>
                  <w:r>
                    <w:rPr>
                      <w:color w:val="auto"/>
                      <w:sz w:val="21"/>
                      <w:szCs w:val="21"/>
                      <w:u w:val="single" w:color="auto"/>
                    </w:rPr>
                    <w:t>符合</w:t>
                  </w:r>
                </w:p>
              </w:tc>
            </w:tr>
            <w:tr w14:paraId="4492D2E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93" w:hRule="atLeast"/>
              </w:trPr>
              <w:tc>
                <w:tcPr>
                  <w:tcW w:w="307" w:type="pct"/>
                  <w:noWrap w:val="0"/>
                  <w:vAlign w:val="center"/>
                </w:tcPr>
                <w:p w14:paraId="79916850">
                  <w:pPr>
                    <w:spacing w:line="240" w:lineRule="auto"/>
                    <w:ind w:firstLine="0" w:firstLineChars="0"/>
                    <w:jc w:val="center"/>
                    <w:rPr>
                      <w:color w:val="auto"/>
                      <w:sz w:val="21"/>
                      <w:szCs w:val="21"/>
                      <w:u w:val="single" w:color="auto"/>
                    </w:rPr>
                  </w:pPr>
                  <w:r>
                    <w:rPr>
                      <w:color w:val="auto"/>
                      <w:sz w:val="21"/>
                      <w:szCs w:val="21"/>
                      <w:u w:val="single" w:color="auto"/>
                    </w:rPr>
                    <w:t>2</w:t>
                  </w:r>
                </w:p>
              </w:tc>
              <w:tc>
                <w:tcPr>
                  <w:tcW w:w="448" w:type="pct"/>
                  <w:noWrap w:val="0"/>
                  <w:vAlign w:val="center"/>
                </w:tcPr>
                <w:p w14:paraId="3F91E06F">
                  <w:pPr>
                    <w:spacing w:line="240" w:lineRule="auto"/>
                    <w:ind w:firstLine="0" w:firstLineChars="0"/>
                    <w:jc w:val="center"/>
                    <w:rPr>
                      <w:color w:val="auto"/>
                      <w:sz w:val="21"/>
                      <w:szCs w:val="21"/>
                      <w:u w:val="single" w:color="auto"/>
                    </w:rPr>
                  </w:pPr>
                  <w:r>
                    <w:rPr>
                      <w:color w:val="auto"/>
                      <w:sz w:val="21"/>
                      <w:szCs w:val="21"/>
                      <w:u w:val="single" w:color="auto"/>
                    </w:rPr>
                    <w:t>加强规划环境影响评价</w:t>
                  </w:r>
                </w:p>
              </w:tc>
              <w:tc>
                <w:tcPr>
                  <w:tcW w:w="2911" w:type="pct"/>
                  <w:noWrap w:val="0"/>
                  <w:vAlign w:val="center"/>
                </w:tcPr>
                <w:p w14:paraId="43AD3BD7">
                  <w:pPr>
                    <w:spacing w:line="240" w:lineRule="auto"/>
                    <w:ind w:firstLine="0" w:firstLineChars="0"/>
                    <w:jc w:val="center"/>
                    <w:rPr>
                      <w:color w:val="auto"/>
                      <w:sz w:val="21"/>
                      <w:szCs w:val="21"/>
                      <w:u w:val="single" w:color="auto"/>
                    </w:rPr>
                  </w:pPr>
                  <w:r>
                    <w:rPr>
                      <w:color w:val="auto"/>
                      <w:sz w:val="21"/>
                      <w:szCs w:val="21"/>
                      <w:u w:val="single" w:color="auto"/>
                    </w:rPr>
                    <w:t>严格执行以环评制度为主体的生态环境源头预防制度，以国土空间规划、区域规划、行业发展规划引导经济社会发展，全面推进重点区域、重点流域、重点行业规划环评。推动规划编制底线约束，前置考虑空间管制、总量管控和生态环境准入，统筹区域空间布局与生态安全格局，统筹发展目标与资源环境承载力。严格审查涉“两高”行业的有关综合性规划和工业、能源等专项规划，严格控制“两高”行业发展规模，优化规划布局与实施时序。推动在项目环评审批及事中事后监督管理中落实规划环评成果</w:t>
                  </w:r>
                  <w:r>
                    <w:rPr>
                      <w:rFonts w:hint="eastAsia"/>
                      <w:color w:val="auto"/>
                      <w:sz w:val="21"/>
                      <w:szCs w:val="21"/>
                      <w:u w:val="single" w:color="auto"/>
                    </w:rPr>
                    <w:t>。</w:t>
                  </w:r>
                </w:p>
              </w:tc>
              <w:tc>
                <w:tcPr>
                  <w:tcW w:w="874" w:type="pct"/>
                  <w:noWrap w:val="0"/>
                  <w:vAlign w:val="center"/>
                </w:tcPr>
                <w:p w14:paraId="6EE9F8C9">
                  <w:pPr>
                    <w:spacing w:line="240" w:lineRule="auto"/>
                    <w:ind w:firstLine="0" w:firstLineChars="0"/>
                    <w:jc w:val="center"/>
                    <w:rPr>
                      <w:color w:val="auto"/>
                      <w:sz w:val="21"/>
                      <w:szCs w:val="21"/>
                      <w:u w:val="single" w:color="auto"/>
                    </w:rPr>
                  </w:pPr>
                  <w:r>
                    <w:rPr>
                      <w:rFonts w:hint="eastAsia"/>
                      <w:color w:val="auto"/>
                      <w:sz w:val="21"/>
                      <w:szCs w:val="21"/>
                      <w:u w:val="single" w:color="auto"/>
                    </w:rPr>
                    <w:t>本项目严格</w:t>
                  </w:r>
                  <w:r>
                    <w:rPr>
                      <w:color w:val="auto"/>
                      <w:sz w:val="21"/>
                      <w:szCs w:val="21"/>
                      <w:u w:val="single" w:color="auto"/>
                    </w:rPr>
                    <w:t>执行以环评制度为主体的生态环境源头预防制度</w:t>
                  </w:r>
                </w:p>
              </w:tc>
              <w:tc>
                <w:tcPr>
                  <w:tcW w:w="457" w:type="pct"/>
                  <w:noWrap w:val="0"/>
                  <w:vAlign w:val="center"/>
                </w:tcPr>
                <w:p w14:paraId="16E9F68F">
                  <w:pPr>
                    <w:spacing w:line="240" w:lineRule="auto"/>
                    <w:ind w:firstLine="0" w:firstLineChars="0"/>
                    <w:jc w:val="center"/>
                    <w:rPr>
                      <w:color w:val="auto"/>
                      <w:sz w:val="21"/>
                      <w:szCs w:val="21"/>
                      <w:u w:val="single" w:color="auto"/>
                    </w:rPr>
                  </w:pPr>
                  <w:r>
                    <w:rPr>
                      <w:color w:val="auto"/>
                      <w:sz w:val="21"/>
                      <w:szCs w:val="21"/>
                      <w:u w:val="single" w:color="auto"/>
                    </w:rPr>
                    <w:t>符合</w:t>
                  </w:r>
                </w:p>
              </w:tc>
            </w:tr>
            <w:tr w14:paraId="263DBF9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307" w:type="pct"/>
                  <w:noWrap w:val="0"/>
                  <w:vAlign w:val="center"/>
                </w:tcPr>
                <w:p w14:paraId="088699FD">
                  <w:pPr>
                    <w:spacing w:line="240" w:lineRule="auto"/>
                    <w:ind w:firstLine="0" w:firstLineChars="0"/>
                    <w:jc w:val="center"/>
                    <w:rPr>
                      <w:color w:val="auto"/>
                      <w:sz w:val="21"/>
                      <w:szCs w:val="21"/>
                      <w:u w:val="single" w:color="auto"/>
                    </w:rPr>
                  </w:pPr>
                  <w:r>
                    <w:rPr>
                      <w:color w:val="auto"/>
                      <w:sz w:val="21"/>
                      <w:szCs w:val="21"/>
                      <w:u w:val="single" w:color="auto"/>
                    </w:rPr>
                    <w:t>3</w:t>
                  </w:r>
                </w:p>
              </w:tc>
              <w:tc>
                <w:tcPr>
                  <w:tcW w:w="448" w:type="pct"/>
                  <w:noWrap w:val="0"/>
                  <w:vAlign w:val="center"/>
                </w:tcPr>
                <w:p w14:paraId="7F8BF444">
                  <w:pPr>
                    <w:spacing w:line="240" w:lineRule="auto"/>
                    <w:ind w:firstLine="0" w:firstLineChars="0"/>
                    <w:jc w:val="center"/>
                    <w:rPr>
                      <w:color w:val="auto"/>
                      <w:sz w:val="21"/>
                      <w:szCs w:val="21"/>
                      <w:u w:val="single" w:color="auto"/>
                    </w:rPr>
                  </w:pPr>
                  <w:r>
                    <w:rPr>
                      <w:color w:val="auto"/>
                      <w:sz w:val="21"/>
                      <w:szCs w:val="21"/>
                      <w:u w:val="single" w:color="auto"/>
                    </w:rPr>
                    <w:t>全面实行排污许可制度</w:t>
                  </w:r>
                </w:p>
              </w:tc>
              <w:tc>
                <w:tcPr>
                  <w:tcW w:w="2911" w:type="pct"/>
                  <w:noWrap w:val="0"/>
                  <w:vAlign w:val="center"/>
                </w:tcPr>
                <w:p w14:paraId="68DFD12B">
                  <w:pPr>
                    <w:spacing w:line="240" w:lineRule="auto"/>
                    <w:ind w:firstLine="0" w:firstLineChars="0"/>
                    <w:jc w:val="center"/>
                    <w:rPr>
                      <w:color w:val="auto"/>
                      <w:sz w:val="21"/>
                      <w:szCs w:val="21"/>
                      <w:u w:val="single" w:color="auto"/>
                    </w:rPr>
                  </w:pPr>
                  <w:r>
                    <w:rPr>
                      <w:color w:val="auto"/>
                      <w:sz w:val="21"/>
                      <w:szCs w:val="21"/>
                      <w:u w:val="single" w:color="auto"/>
                    </w:rPr>
                    <w:t>推行以排污许可制为核心的固定污染源监管制度，推动工业固体废物、土壤环境要素全覆盖，实现固定污染源排污许可全覆盖。严格落实企业持证排污要求，按照“新老有别、平稳过渡”原则，推进排污口清理整治，规范排污口设置。依托排污许可证实施企事业单位污染物排放总量指标分配、监管和考核。加强对排污许可的事中事后监管管理，将排污许可执法检查纳入生态环境执法年度计划，落实排污许可“一证式”管理。持续做好排污许可证换证或登记延续动态更新。推进全市排污许可制度与环境影响评价制度有效融合，推动重点行业企业环境影响评价、排污许可、监管执法全闭环管理。</w:t>
                  </w:r>
                </w:p>
              </w:tc>
              <w:tc>
                <w:tcPr>
                  <w:tcW w:w="874" w:type="pct"/>
                  <w:noWrap w:val="0"/>
                  <w:vAlign w:val="center"/>
                </w:tcPr>
                <w:p w14:paraId="4E056382">
                  <w:pPr>
                    <w:spacing w:line="240" w:lineRule="auto"/>
                    <w:ind w:firstLine="0" w:firstLineChars="0"/>
                    <w:jc w:val="center"/>
                    <w:rPr>
                      <w:color w:val="auto"/>
                      <w:sz w:val="21"/>
                      <w:szCs w:val="21"/>
                      <w:u w:val="single" w:color="auto"/>
                    </w:rPr>
                  </w:pPr>
                  <w:r>
                    <w:rPr>
                      <w:rFonts w:hint="eastAsia"/>
                      <w:color w:val="auto"/>
                      <w:sz w:val="21"/>
                      <w:szCs w:val="21"/>
                      <w:u w:val="single" w:color="auto"/>
                    </w:rPr>
                    <w:t>本项目严格执行</w:t>
                  </w:r>
                  <w:r>
                    <w:rPr>
                      <w:color w:val="auto"/>
                      <w:sz w:val="21"/>
                      <w:szCs w:val="21"/>
                      <w:u w:val="single" w:color="auto"/>
                    </w:rPr>
                    <w:t>排污许可制为核心的固定污染源监管制度</w:t>
                  </w:r>
                </w:p>
              </w:tc>
              <w:tc>
                <w:tcPr>
                  <w:tcW w:w="457" w:type="pct"/>
                  <w:noWrap w:val="0"/>
                  <w:vAlign w:val="center"/>
                </w:tcPr>
                <w:p w14:paraId="52C5D06E">
                  <w:pPr>
                    <w:spacing w:line="240" w:lineRule="auto"/>
                    <w:ind w:firstLine="0" w:firstLineChars="0"/>
                    <w:jc w:val="center"/>
                    <w:rPr>
                      <w:color w:val="auto"/>
                      <w:sz w:val="21"/>
                      <w:szCs w:val="21"/>
                      <w:u w:val="single" w:color="auto"/>
                    </w:rPr>
                  </w:pPr>
                  <w:r>
                    <w:rPr>
                      <w:color w:val="auto"/>
                      <w:sz w:val="21"/>
                      <w:szCs w:val="21"/>
                      <w:u w:val="single" w:color="auto"/>
                    </w:rPr>
                    <w:t>符合</w:t>
                  </w:r>
                </w:p>
              </w:tc>
            </w:tr>
          </w:tbl>
          <w:p w14:paraId="32DF2500">
            <w:pPr>
              <w:widowControl/>
              <w:spacing w:line="240" w:lineRule="auto"/>
              <w:jc w:val="left"/>
              <w:rPr>
                <w:rFonts w:hint="eastAsia" w:ascii="Times New Roman" w:hAnsi="Times New Roman" w:eastAsia="宋体" w:cs="Times New Roman"/>
                <w:b/>
                <w:bCs/>
                <w:color w:val="auto"/>
                <w:sz w:val="24"/>
                <w:szCs w:val="24"/>
                <w:highlight w:val="none"/>
                <w:u w:val="single" w:color="auto"/>
                <w:lang w:val="en-US" w:eastAsia="zh-CN"/>
              </w:rPr>
            </w:pPr>
            <w:r>
              <w:rPr>
                <w:rFonts w:hint="eastAsia" w:ascii="Times New Roman" w:hAnsi="Times New Roman" w:eastAsia="宋体" w:cs="Times New Roman"/>
                <w:b/>
                <w:bCs/>
                <w:color w:val="auto"/>
                <w:sz w:val="24"/>
                <w:szCs w:val="24"/>
                <w:highlight w:val="none"/>
                <w:u w:val="single" w:color="auto"/>
                <w:lang w:val="en-US" w:eastAsia="zh-CN"/>
              </w:rPr>
              <w:t>5、与《铸造企业规范条件（</w:t>
            </w:r>
            <w:r>
              <w:rPr>
                <w:rFonts w:hint="eastAsia" w:ascii="Times New Roman" w:hAnsi="Times New Roman" w:eastAsia="宋体" w:cs="Times New Roman"/>
                <w:b/>
                <w:bCs/>
                <w:color w:val="auto"/>
                <w:kern w:val="2"/>
                <w:sz w:val="24"/>
                <w:szCs w:val="24"/>
                <w:highlight w:val="none"/>
                <w:u w:val="single" w:color="auto"/>
                <w:lang w:val="en-US" w:eastAsia="zh-CN" w:bidi="ar"/>
              </w:rPr>
              <w:t>T/CFA 0310021—2023</w:t>
            </w:r>
            <w:r>
              <w:rPr>
                <w:rFonts w:hint="eastAsia" w:ascii="Times New Roman" w:hAnsi="Times New Roman" w:eastAsia="宋体" w:cs="Times New Roman"/>
                <w:b/>
                <w:bCs/>
                <w:color w:val="auto"/>
                <w:sz w:val="24"/>
                <w:szCs w:val="24"/>
                <w:highlight w:val="none"/>
                <w:u w:val="single" w:color="auto"/>
                <w:lang w:val="en-US" w:eastAsia="zh-CN"/>
              </w:rPr>
              <w:t>）》</w:t>
            </w:r>
          </w:p>
          <w:p w14:paraId="5DBA4B44">
            <w:pPr>
              <w:bidi w:val="0"/>
              <w:spacing w:line="240" w:lineRule="auto"/>
              <w:ind w:left="0" w:leftChars="0" w:firstLine="0" w:firstLineChars="0"/>
              <w:jc w:val="center"/>
              <w:rPr>
                <w:rFonts w:hint="eastAsia" w:ascii="Times New Roman" w:hAnsi="Times New Roman" w:eastAsia="宋体" w:cs="Times New Roman"/>
                <w:b/>
                <w:bCs/>
                <w:color w:val="auto"/>
                <w:sz w:val="21"/>
                <w:szCs w:val="21"/>
                <w:u w:val="single" w:color="auto"/>
                <w:lang w:val="en-US" w:eastAsia="zh-CN"/>
              </w:rPr>
            </w:pPr>
            <w:r>
              <w:rPr>
                <w:rFonts w:hint="eastAsia" w:ascii="Times New Roman" w:hAnsi="Times New Roman" w:eastAsia="宋体" w:cs="Times New Roman"/>
                <w:b/>
                <w:bCs/>
                <w:color w:val="auto"/>
                <w:sz w:val="21"/>
                <w:szCs w:val="21"/>
                <w:u w:val="single" w:color="auto"/>
                <w:lang w:val="en-US" w:eastAsia="zh-CN"/>
              </w:rPr>
              <w:t>表1-6与铸造企业规范条件符合性分析</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3"/>
              <w:gridCol w:w="1100"/>
              <w:gridCol w:w="3048"/>
              <w:gridCol w:w="2010"/>
              <w:gridCol w:w="990"/>
            </w:tblGrid>
            <w:tr w14:paraId="27124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653" w:type="dxa"/>
                  <w:tcBorders>
                    <w:bottom w:val="single" w:color="000000" w:sz="4" w:space="0"/>
                  </w:tcBorders>
                  <w:vAlign w:val="center"/>
                </w:tcPr>
                <w:p w14:paraId="678EA362">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序号</w:t>
                  </w:r>
                </w:p>
              </w:tc>
              <w:tc>
                <w:tcPr>
                  <w:tcW w:w="4148" w:type="dxa"/>
                  <w:gridSpan w:val="2"/>
                  <w:tcBorders>
                    <w:bottom w:val="single" w:color="000000" w:sz="4" w:space="0"/>
                  </w:tcBorders>
                  <w:vAlign w:val="center"/>
                </w:tcPr>
                <w:p w14:paraId="7EA5AC76">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内容</w:t>
                  </w:r>
                </w:p>
              </w:tc>
              <w:tc>
                <w:tcPr>
                  <w:tcW w:w="2010" w:type="dxa"/>
                  <w:tcBorders>
                    <w:bottom w:val="single" w:color="000000" w:sz="4" w:space="0"/>
                    <w:right w:val="single" w:color="000000" w:sz="4" w:space="0"/>
                  </w:tcBorders>
                  <w:vAlign w:val="center"/>
                </w:tcPr>
                <w:p w14:paraId="194CB5F5">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本项目情况</w:t>
                  </w:r>
                </w:p>
              </w:tc>
              <w:tc>
                <w:tcPr>
                  <w:tcW w:w="990" w:type="dxa"/>
                  <w:tcBorders>
                    <w:left w:val="single" w:color="000000" w:sz="4" w:space="0"/>
                    <w:bottom w:val="single" w:color="000000" w:sz="4" w:space="0"/>
                  </w:tcBorders>
                  <w:vAlign w:val="center"/>
                </w:tcPr>
                <w:p w14:paraId="2B2CE09F">
                  <w:pPr>
                    <w:spacing w:line="240" w:lineRule="auto"/>
                    <w:ind w:firstLine="0" w:firstLineChars="0"/>
                    <w:jc w:val="center"/>
                    <w:rPr>
                      <w:rFonts w:hint="eastAsia"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符合性</w:t>
                  </w:r>
                </w:p>
              </w:tc>
            </w:tr>
            <w:tr w14:paraId="628FE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 w:hRule="atLeast"/>
              </w:trPr>
              <w:tc>
                <w:tcPr>
                  <w:tcW w:w="653" w:type="dxa"/>
                  <w:tcBorders>
                    <w:top w:val="single" w:color="000000" w:sz="4" w:space="0"/>
                  </w:tcBorders>
                  <w:vAlign w:val="center"/>
                </w:tcPr>
                <w:p w14:paraId="734825F8">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1</w:t>
                  </w:r>
                </w:p>
              </w:tc>
              <w:tc>
                <w:tcPr>
                  <w:tcW w:w="1100" w:type="dxa"/>
                  <w:tcBorders>
                    <w:top w:val="single" w:color="000000" w:sz="4" w:space="0"/>
                    <w:right w:val="single" w:color="000000" w:sz="4" w:space="0"/>
                  </w:tcBorders>
                  <w:vAlign w:val="center"/>
                </w:tcPr>
                <w:p w14:paraId="03E51E81">
                  <w:pPr>
                    <w:spacing w:line="240" w:lineRule="auto"/>
                    <w:ind w:firstLine="0" w:firstLineChars="0"/>
                    <w:jc w:val="center"/>
                    <w:rPr>
                      <w:rFonts w:hint="eastAsia"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企业规模</w:t>
                  </w:r>
                </w:p>
              </w:tc>
              <w:tc>
                <w:tcPr>
                  <w:tcW w:w="3048" w:type="dxa"/>
                  <w:tcBorders>
                    <w:top w:val="single" w:color="000000" w:sz="4" w:space="0"/>
                    <w:left w:val="single" w:color="000000" w:sz="4" w:space="0"/>
                  </w:tcBorders>
                  <w:vAlign w:val="center"/>
                </w:tcPr>
                <w:p w14:paraId="274204CB">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新建铝合金铸造企业</w:t>
                  </w:r>
                  <w:r>
                    <w:rPr>
                      <w:rFonts w:hint="eastAsia" w:ascii="Times New Roman" w:hAnsi="Times New Roman" w:eastAsia="宋体" w:cs="Times New Roman"/>
                      <w:color w:val="auto"/>
                      <w:kern w:val="2"/>
                      <w:sz w:val="21"/>
                      <w:szCs w:val="21"/>
                      <w:u w:val="single" w:color="auto"/>
                      <w:lang w:val="en-US" w:eastAsia="zh-CN" w:bidi="ar"/>
                    </w:rPr>
                    <w:t>最高销售收入应不低7000万元，对应</w:t>
                  </w:r>
                  <w:r>
                    <w:rPr>
                      <w:rFonts w:hint="eastAsia" w:ascii="Times New Roman" w:hAnsi="Times New Roman" w:eastAsia="宋体" w:cs="Times New Roman"/>
                      <w:b w:val="0"/>
                      <w:bCs w:val="0"/>
                      <w:color w:val="auto"/>
                      <w:sz w:val="21"/>
                      <w:szCs w:val="21"/>
                      <w:u w:val="single" w:color="auto"/>
                      <w:vertAlign w:val="baseline"/>
                      <w:lang w:val="en-US" w:eastAsia="zh-CN"/>
                    </w:rPr>
                    <w:t>产能不低于3000吨</w:t>
                  </w:r>
                </w:p>
              </w:tc>
              <w:tc>
                <w:tcPr>
                  <w:tcW w:w="2010" w:type="dxa"/>
                  <w:tcBorders>
                    <w:top w:val="single" w:color="000000" w:sz="4" w:space="0"/>
                    <w:right w:val="single" w:color="000000" w:sz="4" w:space="0"/>
                  </w:tcBorders>
                  <w:vAlign w:val="center"/>
                </w:tcPr>
                <w:p w14:paraId="59403EE9">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本项目产能为5000吨铝合金铸件</w:t>
                  </w:r>
                </w:p>
              </w:tc>
              <w:tc>
                <w:tcPr>
                  <w:tcW w:w="990" w:type="dxa"/>
                  <w:tcBorders>
                    <w:top w:val="single" w:color="000000" w:sz="4" w:space="0"/>
                    <w:left w:val="single" w:color="000000" w:sz="4" w:space="0"/>
                  </w:tcBorders>
                  <w:vAlign w:val="center"/>
                </w:tcPr>
                <w:p w14:paraId="16A92485">
                  <w:pPr>
                    <w:spacing w:line="240" w:lineRule="auto"/>
                    <w:ind w:firstLine="0" w:firstLineChars="0"/>
                    <w:jc w:val="center"/>
                    <w:rPr>
                      <w:rFonts w:hint="eastAsia"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符合</w:t>
                  </w:r>
                </w:p>
              </w:tc>
            </w:tr>
            <w:tr w14:paraId="791D3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3" w:hRule="atLeast"/>
              </w:trPr>
              <w:tc>
                <w:tcPr>
                  <w:tcW w:w="653" w:type="dxa"/>
                  <w:vMerge w:val="restart"/>
                  <w:vAlign w:val="center"/>
                </w:tcPr>
                <w:p w14:paraId="2D907E6F">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2</w:t>
                  </w:r>
                </w:p>
              </w:tc>
              <w:tc>
                <w:tcPr>
                  <w:tcW w:w="1100" w:type="dxa"/>
                  <w:vMerge w:val="restart"/>
                  <w:tcBorders>
                    <w:right w:val="single" w:color="000000" w:sz="4" w:space="0"/>
                  </w:tcBorders>
                  <w:vAlign w:val="center"/>
                </w:tcPr>
                <w:p w14:paraId="14659597">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生产工艺</w:t>
                  </w:r>
                </w:p>
              </w:tc>
              <w:tc>
                <w:tcPr>
                  <w:tcW w:w="3048" w:type="dxa"/>
                  <w:tcBorders>
                    <w:left w:val="single" w:color="000000" w:sz="4" w:space="0"/>
                  </w:tcBorders>
                  <w:vAlign w:val="center"/>
                </w:tcPr>
                <w:p w14:paraId="6C8848B9">
                  <w:pPr>
                    <w:widowControl/>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color w:val="auto"/>
                      <w:kern w:val="2"/>
                      <w:sz w:val="21"/>
                      <w:szCs w:val="21"/>
                      <w:u w:val="single" w:color="auto"/>
                      <w:lang w:val="en-US" w:eastAsia="zh-CN" w:bidi="ar"/>
                    </w:rPr>
                    <w:t>企业不应使用国家明令淘汰的生产工艺。不应采用粘土砂干型/芯、油砂制芯、七〇砂制型/芯等落后铸造工艺；粘土砂工艺批量生产铸件不应采用手工造型；水玻璃熔模精密铸造模壳硬化不应采用氯化铵硬化工艺；铝合金精炼不应采用六氯乙烷等有毒有害的精炼剂。</w:t>
                  </w:r>
                </w:p>
              </w:tc>
              <w:tc>
                <w:tcPr>
                  <w:tcW w:w="2010" w:type="dxa"/>
                  <w:tcBorders>
                    <w:right w:val="single" w:color="000000" w:sz="4" w:space="0"/>
                  </w:tcBorders>
                  <w:vAlign w:val="center"/>
                </w:tcPr>
                <w:p w14:paraId="287AFD99">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项目采用覆膜砂工艺，未使用</w:t>
                  </w:r>
                  <w:r>
                    <w:rPr>
                      <w:rFonts w:hint="eastAsia" w:ascii="Times New Roman" w:hAnsi="Times New Roman" w:eastAsia="宋体" w:cs="Times New Roman"/>
                      <w:color w:val="auto"/>
                      <w:kern w:val="2"/>
                      <w:sz w:val="21"/>
                      <w:szCs w:val="21"/>
                      <w:u w:val="single" w:color="auto"/>
                      <w:lang w:val="en-US" w:eastAsia="zh-CN" w:bidi="ar"/>
                    </w:rPr>
                    <w:t>国家明令淘汰的生产工艺</w:t>
                  </w:r>
                </w:p>
              </w:tc>
              <w:tc>
                <w:tcPr>
                  <w:tcW w:w="990" w:type="dxa"/>
                  <w:tcBorders>
                    <w:left w:val="single" w:color="000000" w:sz="4" w:space="0"/>
                  </w:tcBorders>
                  <w:vAlign w:val="center"/>
                </w:tcPr>
                <w:p w14:paraId="5E8C26FA">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符合</w:t>
                  </w:r>
                </w:p>
              </w:tc>
            </w:tr>
            <w:tr w14:paraId="399A7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5" w:hRule="atLeast"/>
              </w:trPr>
              <w:tc>
                <w:tcPr>
                  <w:tcW w:w="653" w:type="dxa"/>
                  <w:tcBorders>
                    <w:bottom w:val="single" w:color="000000" w:sz="4" w:space="0"/>
                  </w:tcBorders>
                  <w:vAlign w:val="center"/>
                </w:tcPr>
                <w:p w14:paraId="0843F935">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3</w:t>
                  </w:r>
                </w:p>
              </w:tc>
              <w:tc>
                <w:tcPr>
                  <w:tcW w:w="1100" w:type="dxa"/>
                  <w:tcBorders>
                    <w:bottom w:val="single" w:color="000000" w:sz="4" w:space="0"/>
                    <w:right w:val="single" w:color="000000" w:sz="4" w:space="0"/>
                  </w:tcBorders>
                  <w:vAlign w:val="center"/>
                </w:tcPr>
                <w:p w14:paraId="7382400B">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生产装备</w:t>
                  </w:r>
                </w:p>
              </w:tc>
              <w:tc>
                <w:tcPr>
                  <w:tcW w:w="3048" w:type="dxa"/>
                  <w:tcBorders>
                    <w:left w:val="single" w:color="000000" w:sz="4" w:space="0"/>
                    <w:bottom w:val="single" w:color="000000" w:sz="4" w:space="0"/>
                  </w:tcBorders>
                  <w:vAlign w:val="center"/>
                </w:tcPr>
                <w:p w14:paraId="7B0EF6B4">
                  <w:pPr>
                    <w:widowControl/>
                    <w:adjustRightInd w:val="0"/>
                    <w:snapToGrid w:val="0"/>
                    <w:spacing w:line="240" w:lineRule="auto"/>
                    <w:ind w:firstLine="0" w:firstLineChars="0"/>
                    <w:jc w:val="center"/>
                    <w:rPr>
                      <w:rFonts w:hint="default" w:ascii="Times New Roman" w:hAnsi="Times New Roman" w:eastAsia="宋体" w:cs="Times New Roman"/>
                      <w:b w:val="0"/>
                      <w:bCs w:val="0"/>
                      <w:color w:val="auto"/>
                      <w:spacing w:val="4"/>
                      <w:sz w:val="21"/>
                      <w:szCs w:val="21"/>
                      <w:highlight w:val="none"/>
                      <w:u w:val="single" w:color="auto"/>
                      <w:vertAlign w:val="baseline"/>
                      <w:lang w:val="en-US" w:eastAsia="zh-CN"/>
                    </w:rPr>
                  </w:pPr>
                  <w:r>
                    <w:rPr>
                      <w:rFonts w:hint="default" w:ascii="Times New Roman" w:hAnsi="Times New Roman" w:eastAsia="宋体" w:cs="Times New Roman"/>
                      <w:color w:val="auto"/>
                      <w:spacing w:val="4"/>
                      <w:kern w:val="2"/>
                      <w:sz w:val="21"/>
                      <w:szCs w:val="21"/>
                      <w:highlight w:val="none"/>
                      <w:u w:val="single" w:color="auto"/>
                      <w:lang w:val="en-US" w:eastAsia="zh-CN" w:bidi="ar"/>
                    </w:rPr>
                    <w:t>企业不应使用国家明令淘汰的生产装备，如：无芯工频感应电炉、0.25吨及以上无磁轭的铝壳中频感应电炉等。</w:t>
                  </w:r>
                </w:p>
              </w:tc>
              <w:tc>
                <w:tcPr>
                  <w:tcW w:w="2010" w:type="dxa"/>
                  <w:tcBorders>
                    <w:bottom w:val="single" w:color="000000" w:sz="4" w:space="0"/>
                    <w:right w:val="single" w:color="000000" w:sz="4" w:space="0"/>
                  </w:tcBorders>
                  <w:vAlign w:val="center"/>
                </w:tcPr>
                <w:p w14:paraId="500E66D0">
                  <w:pPr>
                    <w:spacing w:line="240" w:lineRule="auto"/>
                    <w:ind w:firstLine="0" w:firstLineChars="0"/>
                    <w:jc w:val="center"/>
                    <w:rPr>
                      <w:rFonts w:hint="default" w:ascii="Times New Roman" w:hAnsi="Times New Roman" w:eastAsia="宋体" w:cs="Times New Roman"/>
                      <w:b w:val="0"/>
                      <w:bCs w:val="0"/>
                      <w:color w:val="auto"/>
                      <w:spacing w:val="4"/>
                      <w:sz w:val="21"/>
                      <w:szCs w:val="21"/>
                      <w:highlight w:val="none"/>
                      <w:u w:val="single" w:color="auto"/>
                      <w:vertAlign w:val="baseline"/>
                      <w:lang w:val="en-US" w:eastAsia="zh-CN"/>
                    </w:rPr>
                  </w:pPr>
                  <w:r>
                    <w:rPr>
                      <w:rFonts w:hint="eastAsia" w:ascii="Times New Roman" w:hAnsi="Times New Roman" w:eastAsia="宋体" w:cs="Times New Roman"/>
                      <w:b w:val="0"/>
                      <w:bCs w:val="0"/>
                      <w:color w:val="auto"/>
                      <w:spacing w:val="4"/>
                      <w:sz w:val="21"/>
                      <w:szCs w:val="21"/>
                      <w:highlight w:val="none"/>
                      <w:u w:val="single" w:color="auto"/>
                      <w:vertAlign w:val="baseline"/>
                      <w:lang w:val="en-US" w:eastAsia="zh-CN"/>
                    </w:rPr>
                    <w:t>项目未</w:t>
                  </w:r>
                  <w:r>
                    <w:rPr>
                      <w:rFonts w:hint="default" w:ascii="Times New Roman" w:hAnsi="Times New Roman" w:eastAsia="宋体" w:cs="Times New Roman"/>
                      <w:color w:val="auto"/>
                      <w:spacing w:val="4"/>
                      <w:kern w:val="2"/>
                      <w:sz w:val="21"/>
                      <w:szCs w:val="21"/>
                      <w:highlight w:val="none"/>
                      <w:u w:val="single" w:color="auto"/>
                      <w:lang w:val="en-US" w:eastAsia="zh-CN" w:bidi="ar"/>
                    </w:rPr>
                    <w:t>使用</w:t>
                  </w:r>
                  <w:r>
                    <w:rPr>
                      <w:rFonts w:hint="eastAsia" w:ascii="Times New Roman" w:hAnsi="Times New Roman" w:eastAsia="宋体" w:cs="Times New Roman"/>
                      <w:color w:val="auto"/>
                      <w:spacing w:val="4"/>
                      <w:kern w:val="2"/>
                      <w:sz w:val="21"/>
                      <w:szCs w:val="21"/>
                      <w:highlight w:val="none"/>
                      <w:u w:val="single" w:color="auto"/>
                      <w:lang w:val="en-US" w:eastAsia="zh-CN" w:bidi="ar"/>
                    </w:rPr>
                    <w:t>0.5吨的电阻炉，未使用</w:t>
                  </w:r>
                  <w:r>
                    <w:rPr>
                      <w:rFonts w:hint="default" w:ascii="Times New Roman" w:hAnsi="Times New Roman" w:eastAsia="宋体" w:cs="Times New Roman"/>
                      <w:color w:val="auto"/>
                      <w:spacing w:val="4"/>
                      <w:kern w:val="2"/>
                      <w:sz w:val="21"/>
                      <w:szCs w:val="21"/>
                      <w:highlight w:val="none"/>
                      <w:u w:val="single" w:color="auto"/>
                      <w:lang w:val="en-US" w:eastAsia="zh-CN" w:bidi="ar"/>
                    </w:rPr>
                    <w:t>国家明令淘汰的生产装备</w:t>
                  </w:r>
                </w:p>
              </w:tc>
              <w:tc>
                <w:tcPr>
                  <w:tcW w:w="990" w:type="dxa"/>
                  <w:tcBorders>
                    <w:left w:val="single" w:color="000000" w:sz="4" w:space="0"/>
                    <w:bottom w:val="single" w:color="000000" w:sz="4" w:space="0"/>
                  </w:tcBorders>
                  <w:vAlign w:val="center"/>
                </w:tcPr>
                <w:p w14:paraId="25007804">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符合</w:t>
                  </w:r>
                </w:p>
              </w:tc>
            </w:tr>
            <w:tr w14:paraId="2E914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3" w:type="dxa"/>
                  <w:vAlign w:val="center"/>
                </w:tcPr>
                <w:p w14:paraId="6C192746">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4</w:t>
                  </w:r>
                </w:p>
              </w:tc>
              <w:tc>
                <w:tcPr>
                  <w:tcW w:w="1100" w:type="dxa"/>
                  <w:tcBorders>
                    <w:right w:val="single" w:color="000000" w:sz="4" w:space="0"/>
                  </w:tcBorders>
                  <w:vAlign w:val="center"/>
                </w:tcPr>
                <w:p w14:paraId="200374D7">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能源消耗</w:t>
                  </w:r>
                </w:p>
              </w:tc>
              <w:tc>
                <w:tcPr>
                  <w:tcW w:w="3048" w:type="dxa"/>
                  <w:tcBorders>
                    <w:left w:val="single" w:color="000000" w:sz="4" w:space="0"/>
                  </w:tcBorders>
                  <w:vAlign w:val="center"/>
                </w:tcPr>
                <w:p w14:paraId="1D98A6B7">
                  <w:pPr>
                    <w:widowControl/>
                    <w:adjustRightInd w:val="0"/>
                    <w:snapToGrid w:val="0"/>
                    <w:spacing w:line="240" w:lineRule="auto"/>
                    <w:ind w:firstLine="0" w:firstLineChars="0"/>
                    <w:jc w:val="center"/>
                    <w:rPr>
                      <w:rFonts w:hint="default" w:ascii="Times New Roman" w:hAnsi="Times New Roman" w:eastAsia="宋体" w:cs="Times New Roman"/>
                      <w:b w:val="0"/>
                      <w:bCs w:val="0"/>
                      <w:color w:val="auto"/>
                      <w:spacing w:val="4"/>
                      <w:sz w:val="21"/>
                      <w:szCs w:val="21"/>
                      <w:highlight w:val="none"/>
                      <w:u w:val="single" w:color="auto"/>
                      <w:vertAlign w:val="baseline"/>
                      <w:lang w:val="en-US" w:eastAsia="zh-CN" w:bidi="ar"/>
                    </w:rPr>
                  </w:pPr>
                  <w:r>
                    <w:rPr>
                      <w:rFonts w:hint="default" w:ascii="Times New Roman" w:hAnsi="Times New Roman" w:eastAsia="宋体" w:cs="Times New Roman"/>
                      <w:b w:val="0"/>
                      <w:bCs w:val="0"/>
                      <w:color w:val="auto"/>
                      <w:spacing w:val="4"/>
                      <w:sz w:val="21"/>
                      <w:szCs w:val="21"/>
                      <w:highlight w:val="none"/>
                      <w:u w:val="single" w:color="auto"/>
                      <w:vertAlign w:val="baseline"/>
                      <w:lang w:val="en-US" w:eastAsia="zh-CN" w:bidi="ar"/>
                    </w:rPr>
                    <w:t>容量0.5t的电阻炉最高能耗限值为750</w:t>
                  </w:r>
                  <w:r>
                    <w:rPr>
                      <w:rFonts w:hint="default" w:ascii="Times New Roman" w:hAnsi="Times New Roman" w:eastAsia="宋体" w:cs="Times New Roman"/>
                      <w:color w:val="auto"/>
                      <w:spacing w:val="4"/>
                      <w:kern w:val="2"/>
                      <w:sz w:val="21"/>
                      <w:szCs w:val="21"/>
                      <w:highlight w:val="none"/>
                      <w:u w:val="single" w:color="auto"/>
                      <w:lang w:val="en-US" w:eastAsia="zh-CN" w:bidi="ar"/>
                    </w:rPr>
                    <w:t>kW·h/t</w:t>
                  </w:r>
                </w:p>
              </w:tc>
              <w:tc>
                <w:tcPr>
                  <w:tcW w:w="2010" w:type="dxa"/>
                  <w:tcBorders>
                    <w:right w:val="single" w:color="000000" w:sz="4" w:space="0"/>
                  </w:tcBorders>
                  <w:vAlign w:val="center"/>
                </w:tcPr>
                <w:p w14:paraId="4598B7BD">
                  <w:pPr>
                    <w:spacing w:line="240" w:lineRule="auto"/>
                    <w:ind w:firstLine="0" w:firstLineChars="0"/>
                    <w:jc w:val="center"/>
                    <w:rPr>
                      <w:rFonts w:hint="default" w:ascii="Times New Roman" w:hAnsi="Times New Roman" w:eastAsia="宋体" w:cs="Times New Roman"/>
                      <w:b w:val="0"/>
                      <w:bCs w:val="0"/>
                      <w:color w:val="auto"/>
                      <w:spacing w:val="4"/>
                      <w:sz w:val="21"/>
                      <w:szCs w:val="21"/>
                      <w:highlight w:val="none"/>
                      <w:u w:val="single" w:color="auto"/>
                      <w:vertAlign w:val="baseline"/>
                      <w:lang w:val="en-US" w:eastAsia="zh-CN"/>
                    </w:rPr>
                  </w:pPr>
                  <w:r>
                    <w:rPr>
                      <w:rFonts w:hint="eastAsia" w:ascii="Times New Roman" w:hAnsi="Times New Roman" w:eastAsia="宋体" w:cs="Times New Roman"/>
                      <w:b w:val="0"/>
                      <w:bCs w:val="0"/>
                      <w:color w:val="auto"/>
                      <w:spacing w:val="4"/>
                      <w:sz w:val="21"/>
                      <w:szCs w:val="21"/>
                      <w:highlight w:val="none"/>
                      <w:u w:val="single" w:color="auto"/>
                      <w:vertAlign w:val="baseline"/>
                      <w:lang w:val="en-US" w:eastAsia="zh-CN"/>
                    </w:rPr>
                    <w:t>项目</w:t>
                  </w:r>
                  <w:r>
                    <w:rPr>
                      <w:rFonts w:hint="eastAsia" w:ascii="Times New Roman" w:hAnsi="Times New Roman" w:eastAsia="宋体" w:cs="Times New Roman"/>
                      <w:color w:val="auto"/>
                      <w:spacing w:val="4"/>
                      <w:kern w:val="2"/>
                      <w:sz w:val="21"/>
                      <w:szCs w:val="21"/>
                      <w:highlight w:val="none"/>
                      <w:u w:val="single" w:color="auto"/>
                      <w:lang w:val="en-US" w:eastAsia="zh-CN" w:bidi="ar"/>
                    </w:rPr>
                    <w:t>0.5吨的电阻炉能耗限值为400</w:t>
                  </w:r>
                  <w:r>
                    <w:rPr>
                      <w:rFonts w:hint="default" w:ascii="Times New Roman" w:hAnsi="Times New Roman" w:eastAsia="宋体" w:cs="Times New Roman"/>
                      <w:color w:val="auto"/>
                      <w:spacing w:val="4"/>
                      <w:kern w:val="2"/>
                      <w:sz w:val="21"/>
                      <w:szCs w:val="21"/>
                      <w:highlight w:val="none"/>
                      <w:u w:val="single" w:color="auto"/>
                      <w:lang w:val="en-US" w:eastAsia="zh-CN" w:bidi="ar"/>
                    </w:rPr>
                    <w:t>kW·h/t</w:t>
                  </w:r>
                </w:p>
              </w:tc>
              <w:tc>
                <w:tcPr>
                  <w:tcW w:w="990" w:type="dxa"/>
                  <w:tcBorders>
                    <w:left w:val="single" w:color="000000" w:sz="4" w:space="0"/>
                  </w:tcBorders>
                  <w:vAlign w:val="center"/>
                </w:tcPr>
                <w:p w14:paraId="01648002">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符合</w:t>
                  </w:r>
                </w:p>
              </w:tc>
            </w:tr>
            <w:tr w14:paraId="68DB8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653" w:type="dxa"/>
                  <w:vMerge w:val="restart"/>
                  <w:vAlign w:val="center"/>
                </w:tcPr>
                <w:p w14:paraId="53348E84">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5</w:t>
                  </w:r>
                </w:p>
              </w:tc>
              <w:tc>
                <w:tcPr>
                  <w:tcW w:w="1100" w:type="dxa"/>
                  <w:vMerge w:val="restart"/>
                  <w:tcBorders>
                    <w:right w:val="single" w:color="000000" w:sz="4" w:space="0"/>
                  </w:tcBorders>
                  <w:vAlign w:val="center"/>
                </w:tcPr>
                <w:p w14:paraId="39D8303B">
                  <w:pPr>
                    <w:spacing w:line="240" w:lineRule="auto"/>
                    <w:ind w:firstLine="0" w:firstLineChars="0"/>
                    <w:jc w:val="center"/>
                    <w:rPr>
                      <w:rFonts w:hint="default" w:ascii="Times New Roman" w:hAnsi="Times New Roman" w:eastAsia="宋体" w:cs="Times New Roman"/>
                      <w:b w:val="0"/>
                      <w:bCs w:val="0"/>
                      <w:color w:val="auto"/>
                      <w:sz w:val="21"/>
                      <w:szCs w:val="21"/>
                      <w:u w:val="single" w:color="auto"/>
                      <w:vertAlign w:val="baseline"/>
                      <w:lang w:val="en-US" w:eastAsia="zh-CN"/>
                    </w:rPr>
                  </w:pPr>
                  <w:r>
                    <w:rPr>
                      <w:rFonts w:hint="eastAsia" w:ascii="Times New Roman" w:hAnsi="Times New Roman" w:eastAsia="宋体" w:cs="Times New Roman"/>
                      <w:b w:val="0"/>
                      <w:bCs w:val="0"/>
                      <w:color w:val="auto"/>
                      <w:sz w:val="21"/>
                      <w:szCs w:val="21"/>
                      <w:u w:val="single" w:color="auto"/>
                      <w:vertAlign w:val="baseline"/>
                      <w:lang w:val="en-US" w:eastAsia="zh-CN"/>
                    </w:rPr>
                    <w:t>环境保护</w:t>
                  </w:r>
                </w:p>
              </w:tc>
              <w:tc>
                <w:tcPr>
                  <w:tcW w:w="3048" w:type="dxa"/>
                  <w:tcBorders>
                    <w:left w:val="single" w:color="000000" w:sz="4" w:space="0"/>
                    <w:bottom w:val="single" w:color="000000" w:sz="4" w:space="0"/>
                  </w:tcBorders>
                  <w:vAlign w:val="center"/>
                </w:tcPr>
                <w:p w14:paraId="7F00F666">
                  <w:pPr>
                    <w:widowControl/>
                    <w:adjustRightInd w:val="0"/>
                    <w:snapToGrid w:val="0"/>
                    <w:spacing w:line="240" w:lineRule="auto"/>
                    <w:ind w:firstLine="0" w:firstLineChars="0"/>
                    <w:jc w:val="center"/>
                    <w:rPr>
                      <w:rFonts w:hint="default" w:ascii="Times New Roman" w:hAnsi="Times New Roman" w:eastAsia="宋体" w:cs="Times New Roman"/>
                      <w:b w:val="0"/>
                      <w:bCs w:val="0"/>
                      <w:color w:val="auto"/>
                      <w:spacing w:val="4"/>
                      <w:sz w:val="21"/>
                      <w:szCs w:val="21"/>
                      <w:highlight w:val="none"/>
                      <w:u w:val="single" w:color="auto"/>
                      <w:vertAlign w:val="baseline"/>
                      <w:lang w:val="en-US" w:eastAsia="zh-CN" w:bidi="ar"/>
                    </w:rPr>
                  </w:pPr>
                  <w:r>
                    <w:rPr>
                      <w:rFonts w:hint="default" w:ascii="Times New Roman" w:hAnsi="Times New Roman" w:eastAsia="宋体" w:cs="Times New Roman"/>
                      <w:color w:val="auto"/>
                      <w:spacing w:val="4"/>
                      <w:kern w:val="2"/>
                      <w:sz w:val="21"/>
                      <w:szCs w:val="21"/>
                      <w:highlight w:val="none"/>
                      <w:u w:val="single" w:color="auto"/>
                      <w:lang w:val="en-US" w:eastAsia="zh-CN" w:bidi="ar"/>
                    </w:rPr>
                    <w:t>企业应按HJ1115、HJ1200的要求，取得排污许可证；宜按照HJ1251的要求制定自行监测方案。</w:t>
                  </w:r>
                </w:p>
              </w:tc>
              <w:tc>
                <w:tcPr>
                  <w:tcW w:w="2010" w:type="dxa"/>
                  <w:tcBorders>
                    <w:bottom w:val="single" w:color="000000" w:sz="4" w:space="0"/>
                    <w:right w:val="single" w:color="000000" w:sz="4" w:space="0"/>
                  </w:tcBorders>
                  <w:vAlign w:val="center"/>
                </w:tcPr>
                <w:p w14:paraId="43804C88">
                  <w:pPr>
                    <w:widowControl/>
                    <w:adjustRightInd w:val="0"/>
                    <w:snapToGrid w:val="0"/>
                    <w:spacing w:line="240" w:lineRule="auto"/>
                    <w:ind w:firstLine="0" w:firstLineChars="0"/>
                    <w:jc w:val="center"/>
                    <w:rPr>
                      <w:rFonts w:hint="default" w:ascii="Times New Roman" w:hAnsi="Times New Roman" w:eastAsia="宋体" w:cs="Times New Roman"/>
                      <w:b w:val="0"/>
                      <w:bCs w:val="0"/>
                      <w:color w:val="auto"/>
                      <w:spacing w:val="4"/>
                      <w:sz w:val="21"/>
                      <w:szCs w:val="21"/>
                      <w:highlight w:val="none"/>
                      <w:u w:val="single" w:color="auto"/>
                      <w:vertAlign w:val="baseline"/>
                      <w:lang w:val="en-US" w:eastAsia="zh-CN" w:bidi="ar"/>
                    </w:rPr>
                  </w:pPr>
                  <w:r>
                    <w:rPr>
                      <w:rFonts w:hint="eastAsia" w:ascii="Times New Roman" w:hAnsi="Times New Roman" w:eastAsia="宋体" w:cs="Times New Roman"/>
                      <w:b w:val="0"/>
                      <w:bCs w:val="0"/>
                      <w:color w:val="auto"/>
                      <w:spacing w:val="4"/>
                      <w:sz w:val="21"/>
                      <w:szCs w:val="21"/>
                      <w:highlight w:val="none"/>
                      <w:u w:val="single" w:color="auto"/>
                      <w:vertAlign w:val="baseline"/>
                      <w:lang w:val="en-US" w:eastAsia="zh-CN" w:bidi="ar"/>
                    </w:rPr>
                    <w:t>企业在取得环评批复后根据要求办理排污许可证，并指定自行监测方案</w:t>
                  </w:r>
                </w:p>
              </w:tc>
              <w:tc>
                <w:tcPr>
                  <w:tcW w:w="990" w:type="dxa"/>
                  <w:tcBorders>
                    <w:left w:val="single" w:color="000000" w:sz="4" w:space="0"/>
                    <w:bottom w:val="single" w:color="000000" w:sz="4" w:space="0"/>
                  </w:tcBorders>
                  <w:vAlign w:val="center"/>
                </w:tcPr>
                <w:p w14:paraId="786ED113">
                  <w:pPr>
                    <w:widowControl/>
                    <w:spacing w:line="240" w:lineRule="auto"/>
                    <w:ind w:firstLine="0" w:firstLineChars="0"/>
                    <w:jc w:val="center"/>
                    <w:rPr>
                      <w:rFonts w:hint="eastAsia" w:ascii="Times New Roman" w:hAnsi="Times New Roman" w:eastAsia="宋体" w:cs="Times New Roman"/>
                      <w:b w:val="0"/>
                      <w:bCs w:val="0"/>
                      <w:color w:val="auto"/>
                      <w:sz w:val="21"/>
                      <w:szCs w:val="21"/>
                      <w:u w:val="single" w:color="auto"/>
                      <w:vertAlign w:val="baseline"/>
                      <w:lang w:val="en-US" w:eastAsia="zh-CN" w:bidi="ar"/>
                    </w:rPr>
                  </w:pPr>
                  <w:r>
                    <w:rPr>
                      <w:rFonts w:hint="eastAsia" w:ascii="Times New Roman" w:hAnsi="Times New Roman" w:eastAsia="宋体" w:cs="Times New Roman"/>
                      <w:b w:val="0"/>
                      <w:bCs w:val="0"/>
                      <w:color w:val="auto"/>
                      <w:sz w:val="21"/>
                      <w:szCs w:val="21"/>
                      <w:u w:val="single" w:color="auto"/>
                      <w:vertAlign w:val="baseline"/>
                      <w:lang w:val="en-US" w:eastAsia="zh-CN" w:bidi="ar"/>
                    </w:rPr>
                    <w:t>符合</w:t>
                  </w:r>
                </w:p>
              </w:tc>
            </w:tr>
            <w:tr w14:paraId="66D96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653" w:type="dxa"/>
                  <w:vMerge w:val="continue"/>
                  <w:vAlign w:val="center"/>
                </w:tcPr>
                <w:p w14:paraId="503B081D">
                  <w:pPr>
                    <w:spacing w:line="240" w:lineRule="auto"/>
                    <w:ind w:firstLine="0" w:firstLineChars="0"/>
                    <w:jc w:val="center"/>
                    <w:rPr>
                      <w:rFonts w:hint="eastAsia" w:ascii="Times New Roman" w:hAnsi="Times New Roman" w:eastAsia="宋体" w:cs="Times New Roman"/>
                      <w:b w:val="0"/>
                      <w:bCs w:val="0"/>
                      <w:color w:val="auto"/>
                      <w:sz w:val="21"/>
                      <w:szCs w:val="21"/>
                      <w:u w:val="single" w:color="auto"/>
                      <w:vertAlign w:val="baseline"/>
                      <w:lang w:val="en-US" w:eastAsia="zh-CN"/>
                    </w:rPr>
                  </w:pPr>
                </w:p>
              </w:tc>
              <w:tc>
                <w:tcPr>
                  <w:tcW w:w="1100" w:type="dxa"/>
                  <w:vMerge w:val="continue"/>
                  <w:tcBorders>
                    <w:right w:val="single" w:color="000000" w:sz="4" w:space="0"/>
                  </w:tcBorders>
                  <w:vAlign w:val="center"/>
                </w:tcPr>
                <w:p w14:paraId="20175E8D">
                  <w:pPr>
                    <w:spacing w:line="240" w:lineRule="auto"/>
                    <w:ind w:firstLine="0" w:firstLineChars="0"/>
                    <w:jc w:val="center"/>
                    <w:rPr>
                      <w:rFonts w:hint="eastAsia" w:ascii="Times New Roman" w:hAnsi="Times New Roman" w:eastAsia="宋体" w:cs="Times New Roman"/>
                      <w:b w:val="0"/>
                      <w:bCs w:val="0"/>
                      <w:color w:val="auto"/>
                      <w:sz w:val="21"/>
                      <w:szCs w:val="21"/>
                      <w:u w:val="single" w:color="auto"/>
                      <w:vertAlign w:val="baseline"/>
                      <w:lang w:val="en-US" w:eastAsia="zh-CN"/>
                    </w:rPr>
                  </w:pPr>
                </w:p>
              </w:tc>
              <w:tc>
                <w:tcPr>
                  <w:tcW w:w="3048" w:type="dxa"/>
                  <w:tcBorders>
                    <w:top w:val="single" w:color="000000" w:sz="4" w:space="0"/>
                    <w:left w:val="single" w:color="000000" w:sz="4" w:space="0"/>
                  </w:tcBorders>
                  <w:vAlign w:val="center"/>
                </w:tcPr>
                <w:p w14:paraId="5CE108F5">
                  <w:pPr>
                    <w:widowControl/>
                    <w:adjustRightInd w:val="0"/>
                    <w:snapToGrid w:val="0"/>
                    <w:spacing w:line="240" w:lineRule="auto"/>
                    <w:ind w:firstLine="0" w:firstLineChars="0"/>
                    <w:jc w:val="center"/>
                    <w:rPr>
                      <w:rFonts w:hint="default" w:ascii="Times New Roman" w:hAnsi="Times New Roman" w:eastAsia="宋体" w:cs="Times New Roman"/>
                      <w:b w:val="0"/>
                      <w:bCs w:val="0"/>
                      <w:color w:val="auto"/>
                      <w:spacing w:val="4"/>
                      <w:sz w:val="21"/>
                      <w:szCs w:val="21"/>
                      <w:highlight w:val="none"/>
                      <w:u w:val="single" w:color="auto"/>
                      <w:vertAlign w:val="baseline"/>
                      <w:lang w:val="en-US" w:eastAsia="zh-CN" w:bidi="ar"/>
                    </w:rPr>
                  </w:pPr>
                  <w:r>
                    <w:rPr>
                      <w:rFonts w:hint="default" w:ascii="Times New Roman" w:hAnsi="Times New Roman" w:eastAsia="宋体" w:cs="Times New Roman"/>
                      <w:color w:val="auto"/>
                      <w:spacing w:val="4"/>
                      <w:kern w:val="2"/>
                      <w:sz w:val="21"/>
                      <w:szCs w:val="21"/>
                      <w:highlight w:val="none"/>
                      <w:u w:val="single" w:color="auto"/>
                      <w:lang w:val="en-US" w:eastAsia="zh-CN" w:bidi="ar"/>
                    </w:rPr>
                    <w:t>企业大气污染物排放应符合GB39726的要求。应配置完善的环保处理装置，废气、废水、噪声、工业固体废物等排放与处置措施应符合国家及地方环保法规和标准的规定。</w:t>
                  </w:r>
                </w:p>
              </w:tc>
              <w:tc>
                <w:tcPr>
                  <w:tcW w:w="2010" w:type="dxa"/>
                  <w:tcBorders>
                    <w:top w:val="single" w:color="000000" w:sz="4" w:space="0"/>
                    <w:right w:val="single" w:color="000000" w:sz="4" w:space="0"/>
                  </w:tcBorders>
                  <w:vAlign w:val="center"/>
                </w:tcPr>
                <w:p w14:paraId="6A9559BF">
                  <w:pPr>
                    <w:widowControl/>
                    <w:adjustRightInd w:val="0"/>
                    <w:snapToGrid w:val="0"/>
                    <w:spacing w:line="240" w:lineRule="auto"/>
                    <w:ind w:firstLine="0" w:firstLineChars="0"/>
                    <w:jc w:val="center"/>
                    <w:rPr>
                      <w:rFonts w:hint="default" w:ascii="Times New Roman" w:hAnsi="Times New Roman" w:eastAsia="宋体" w:cs="Times New Roman"/>
                      <w:b w:val="0"/>
                      <w:bCs w:val="0"/>
                      <w:color w:val="auto"/>
                      <w:spacing w:val="4"/>
                      <w:sz w:val="21"/>
                      <w:szCs w:val="21"/>
                      <w:highlight w:val="none"/>
                      <w:u w:val="single" w:color="auto"/>
                      <w:vertAlign w:val="baseline"/>
                      <w:lang w:val="en-US" w:eastAsia="zh-CN" w:bidi="ar"/>
                    </w:rPr>
                  </w:pPr>
                  <w:r>
                    <w:rPr>
                      <w:rFonts w:hint="eastAsia" w:ascii="Times New Roman" w:hAnsi="Times New Roman" w:eastAsia="宋体" w:cs="Times New Roman"/>
                      <w:b w:val="0"/>
                      <w:bCs w:val="0"/>
                      <w:color w:val="auto"/>
                      <w:spacing w:val="4"/>
                      <w:sz w:val="21"/>
                      <w:szCs w:val="21"/>
                      <w:highlight w:val="none"/>
                      <w:u w:val="single" w:color="auto"/>
                      <w:vertAlign w:val="baseline"/>
                      <w:lang w:val="en-US" w:eastAsia="zh-CN" w:bidi="ar"/>
                    </w:rPr>
                    <w:t>项目大气污染物排放符合</w:t>
                  </w:r>
                  <w:r>
                    <w:rPr>
                      <w:rFonts w:hint="default" w:ascii="Times New Roman" w:hAnsi="Times New Roman" w:eastAsia="宋体" w:cs="Times New Roman"/>
                      <w:color w:val="auto"/>
                      <w:spacing w:val="4"/>
                      <w:kern w:val="2"/>
                      <w:sz w:val="21"/>
                      <w:szCs w:val="21"/>
                      <w:highlight w:val="none"/>
                      <w:u w:val="single" w:color="auto"/>
                      <w:lang w:val="en-US" w:eastAsia="zh-CN" w:bidi="ar"/>
                    </w:rPr>
                    <w:t>GB39726的要求</w:t>
                  </w:r>
                  <w:r>
                    <w:rPr>
                      <w:rFonts w:hint="eastAsia" w:ascii="Times New Roman" w:hAnsi="Times New Roman" w:eastAsia="宋体" w:cs="Times New Roman"/>
                      <w:color w:val="auto"/>
                      <w:spacing w:val="4"/>
                      <w:kern w:val="2"/>
                      <w:sz w:val="21"/>
                      <w:szCs w:val="21"/>
                      <w:highlight w:val="none"/>
                      <w:u w:val="single" w:color="auto"/>
                      <w:lang w:val="en-US" w:eastAsia="zh-CN" w:bidi="ar"/>
                    </w:rPr>
                    <w:t>，配置了完善的</w:t>
                  </w:r>
                  <w:r>
                    <w:rPr>
                      <w:rFonts w:hint="default" w:ascii="Times New Roman" w:hAnsi="Times New Roman" w:eastAsia="宋体" w:cs="Times New Roman"/>
                      <w:color w:val="auto"/>
                      <w:spacing w:val="4"/>
                      <w:kern w:val="2"/>
                      <w:sz w:val="21"/>
                      <w:szCs w:val="21"/>
                      <w:highlight w:val="none"/>
                      <w:u w:val="single" w:color="auto"/>
                      <w:lang w:val="en-US" w:eastAsia="zh-CN" w:bidi="ar"/>
                    </w:rPr>
                    <w:t>环保处理装置，废气、废水、噪声、工业固体废物等排放与处置措施应符合国家及地方环保法规和标准的规定</w:t>
                  </w:r>
                </w:p>
              </w:tc>
              <w:tc>
                <w:tcPr>
                  <w:tcW w:w="990" w:type="dxa"/>
                  <w:tcBorders>
                    <w:top w:val="single" w:color="000000" w:sz="4" w:space="0"/>
                    <w:left w:val="single" w:color="000000" w:sz="4" w:space="0"/>
                  </w:tcBorders>
                  <w:vAlign w:val="center"/>
                </w:tcPr>
                <w:p w14:paraId="461E1A2D">
                  <w:pPr>
                    <w:widowControl/>
                    <w:spacing w:line="240" w:lineRule="auto"/>
                    <w:ind w:firstLine="0" w:firstLineChars="0"/>
                    <w:jc w:val="center"/>
                    <w:rPr>
                      <w:rFonts w:hint="eastAsia" w:ascii="Times New Roman" w:hAnsi="Times New Roman" w:eastAsia="宋体" w:cs="Times New Roman"/>
                      <w:b w:val="0"/>
                      <w:bCs w:val="0"/>
                      <w:color w:val="auto"/>
                      <w:sz w:val="21"/>
                      <w:szCs w:val="21"/>
                      <w:u w:val="single" w:color="auto"/>
                      <w:vertAlign w:val="baseline"/>
                      <w:lang w:val="en-US" w:eastAsia="zh-CN" w:bidi="ar"/>
                    </w:rPr>
                  </w:pPr>
                  <w:r>
                    <w:rPr>
                      <w:rFonts w:hint="eastAsia" w:ascii="Times New Roman" w:hAnsi="Times New Roman" w:eastAsia="宋体" w:cs="Times New Roman"/>
                      <w:b w:val="0"/>
                      <w:bCs w:val="0"/>
                      <w:color w:val="auto"/>
                      <w:sz w:val="21"/>
                      <w:szCs w:val="21"/>
                      <w:u w:val="single" w:color="auto"/>
                      <w:vertAlign w:val="baseline"/>
                      <w:lang w:val="en-US" w:eastAsia="zh-CN" w:bidi="ar"/>
                    </w:rPr>
                    <w:t>符合</w:t>
                  </w:r>
                </w:p>
              </w:tc>
            </w:tr>
          </w:tbl>
          <w:p w14:paraId="38964B53">
            <w:pPr>
              <w:spacing w:line="360" w:lineRule="auto"/>
              <w:rPr>
                <w:b/>
                <w:bCs/>
                <w:color w:val="auto"/>
                <w:sz w:val="24"/>
                <w:szCs w:val="24"/>
                <w:highlight w:val="none"/>
                <w:u w:val="single" w:color="auto"/>
              </w:rPr>
            </w:pPr>
            <w:r>
              <w:rPr>
                <w:rFonts w:hint="eastAsia"/>
                <w:b/>
                <w:bCs/>
                <w:color w:val="auto"/>
                <w:sz w:val="24"/>
                <w:szCs w:val="24"/>
                <w:highlight w:val="none"/>
                <w:u w:val="single" w:color="auto"/>
                <w:lang w:val="en-US" w:eastAsia="zh-CN"/>
              </w:rPr>
              <w:t>6</w:t>
            </w:r>
            <w:r>
              <w:rPr>
                <w:rFonts w:hint="eastAsia"/>
                <w:b/>
                <w:bCs/>
                <w:color w:val="auto"/>
                <w:sz w:val="24"/>
                <w:szCs w:val="24"/>
                <w:highlight w:val="none"/>
                <w:u w:val="single" w:color="auto"/>
              </w:rPr>
              <w:t>、</w:t>
            </w:r>
            <w:r>
              <w:rPr>
                <w:b/>
                <w:bCs/>
                <w:color w:val="auto"/>
                <w:sz w:val="24"/>
                <w:szCs w:val="24"/>
                <w:highlight w:val="none"/>
                <w:u w:val="single" w:color="auto"/>
              </w:rPr>
              <w:t>项目选址合理性分析</w:t>
            </w:r>
          </w:p>
          <w:p w14:paraId="0C980F27">
            <w:pPr>
              <w:bidi w:val="0"/>
              <w:rPr>
                <w:color w:val="auto"/>
                <w:u w:val="single" w:color="auto"/>
              </w:rPr>
            </w:pPr>
            <w:r>
              <w:rPr>
                <w:rFonts w:hint="eastAsia"/>
                <w:color w:val="auto"/>
                <w:u w:val="single" w:color="auto"/>
                <w:lang w:val="en-US" w:eastAsia="zh-CN"/>
              </w:rPr>
              <w:t>项目选址位于工业园，</w:t>
            </w:r>
            <w:r>
              <w:rPr>
                <w:color w:val="auto"/>
                <w:u w:val="single" w:color="auto"/>
              </w:rPr>
              <w:t>地理位置优越</w:t>
            </w:r>
            <w:r>
              <w:rPr>
                <w:rFonts w:hint="eastAsia"/>
                <w:color w:val="auto"/>
                <w:u w:val="single" w:color="auto"/>
                <w:lang w:eastAsia="zh-CN"/>
              </w:rPr>
              <w:t>，</w:t>
            </w:r>
            <w:r>
              <w:rPr>
                <w:rFonts w:hint="eastAsia"/>
                <w:color w:val="auto"/>
                <w:u w:val="single" w:color="auto"/>
                <w:lang w:val="en-US" w:eastAsia="zh-CN"/>
              </w:rPr>
              <w:t>为一</w:t>
            </w:r>
            <w:r>
              <w:rPr>
                <w:rFonts w:hint="eastAsia"/>
                <w:color w:val="auto"/>
                <w:u w:val="single" w:color="auto"/>
              </w:rPr>
              <w:t>类工业用地</w:t>
            </w:r>
            <w:r>
              <w:rPr>
                <w:color w:val="auto"/>
                <w:u w:val="single" w:color="auto"/>
              </w:rPr>
              <w:t>，</w:t>
            </w:r>
            <w:r>
              <w:rPr>
                <w:rFonts w:hint="eastAsia"/>
                <w:color w:val="auto"/>
                <w:u w:val="single" w:color="auto"/>
              </w:rPr>
              <w:t>符合</w:t>
            </w:r>
            <w:r>
              <w:rPr>
                <w:rFonts w:hint="eastAsia"/>
                <w:color w:val="auto"/>
                <w:u w:val="single" w:color="auto"/>
                <w:lang w:val="en-US" w:eastAsia="zh-CN"/>
              </w:rPr>
              <w:t>江永工业集中区</w:t>
            </w:r>
            <w:r>
              <w:rPr>
                <w:rFonts w:hint="eastAsia"/>
                <w:color w:val="auto"/>
                <w:u w:val="single" w:color="auto"/>
              </w:rPr>
              <w:t>主导产业定位要求。</w:t>
            </w:r>
            <w:r>
              <w:rPr>
                <w:rFonts w:hint="eastAsia"/>
                <w:color w:val="auto"/>
                <w:u w:val="single" w:color="auto"/>
                <w:lang w:val="en-US" w:eastAsia="zh-CN"/>
              </w:rPr>
              <w:t>园区基础配套设施齐全</w:t>
            </w:r>
            <w:r>
              <w:rPr>
                <w:rFonts w:hint="eastAsia"/>
                <w:color w:val="auto"/>
                <w:u w:val="single" w:color="auto"/>
              </w:rPr>
              <w:t>，</w:t>
            </w:r>
            <w:r>
              <w:rPr>
                <w:color w:val="auto"/>
                <w:u w:val="single" w:color="auto"/>
              </w:rPr>
              <w:t>交通便利</w:t>
            </w:r>
            <w:r>
              <w:rPr>
                <w:rFonts w:hint="eastAsia"/>
                <w:color w:val="auto"/>
                <w:u w:val="single" w:color="auto"/>
                <w:lang w:eastAsia="zh-CN"/>
              </w:rPr>
              <w:t>，</w:t>
            </w:r>
            <w:r>
              <w:rPr>
                <w:color w:val="auto"/>
                <w:u w:val="single" w:color="auto"/>
              </w:rPr>
              <w:t>电力供应和水源供应均能保障，用地</w:t>
            </w:r>
            <w:r>
              <w:rPr>
                <w:rFonts w:hint="eastAsia"/>
                <w:color w:val="auto"/>
                <w:u w:val="single" w:color="auto"/>
                <w:lang w:val="en-US" w:eastAsia="zh-CN"/>
              </w:rPr>
              <w:t>及周边</w:t>
            </w:r>
            <w:r>
              <w:rPr>
                <w:color w:val="auto"/>
                <w:u w:val="single" w:color="auto"/>
              </w:rPr>
              <w:t>不占用基本农田</w:t>
            </w:r>
            <w:r>
              <w:rPr>
                <w:rFonts w:hint="eastAsia"/>
                <w:color w:val="auto"/>
                <w:u w:val="single" w:color="auto"/>
                <w:lang w:eastAsia="zh-CN"/>
              </w:rPr>
              <w:t>，</w:t>
            </w:r>
            <w:r>
              <w:rPr>
                <w:rFonts w:hint="eastAsia"/>
                <w:color w:val="auto"/>
                <w:u w:val="single" w:color="auto"/>
                <w:lang w:val="en-US" w:eastAsia="zh-CN"/>
              </w:rPr>
              <w:t>不涉及生态红线，</w:t>
            </w:r>
            <w:r>
              <w:rPr>
                <w:color w:val="auto"/>
                <w:u w:val="single" w:color="auto"/>
              </w:rPr>
              <w:t>周边</w:t>
            </w:r>
            <w:r>
              <w:rPr>
                <w:rFonts w:hint="eastAsia"/>
                <w:color w:val="auto"/>
                <w:u w:val="single" w:color="auto"/>
                <w:lang w:val="en-US" w:eastAsia="zh-CN"/>
              </w:rPr>
              <w:t>无</w:t>
            </w:r>
            <w:r>
              <w:rPr>
                <w:color w:val="auto"/>
                <w:u w:val="single" w:color="auto"/>
              </w:rPr>
              <w:t>风景旅游区以及水源保护区</w:t>
            </w:r>
            <w:r>
              <w:rPr>
                <w:rFonts w:hint="eastAsia"/>
                <w:color w:val="auto"/>
                <w:u w:val="single" w:color="auto"/>
              </w:rPr>
              <w:t>。</w:t>
            </w:r>
          </w:p>
          <w:p w14:paraId="51255892">
            <w:pPr>
              <w:bidi w:val="0"/>
              <w:rPr>
                <w:color w:val="auto"/>
                <w:u w:val="single" w:color="auto"/>
              </w:rPr>
            </w:pPr>
            <w:r>
              <w:rPr>
                <w:rFonts w:hint="eastAsia"/>
                <w:color w:val="auto"/>
                <w:u w:val="single" w:color="auto"/>
              </w:rPr>
              <w:t>根据</w:t>
            </w:r>
            <w:r>
              <w:rPr>
                <w:rFonts w:hint="eastAsia"/>
                <w:color w:val="auto"/>
                <w:u w:val="single" w:color="auto"/>
                <w:lang w:eastAsia="zh-CN"/>
              </w:rPr>
              <w:t>现场勘查</w:t>
            </w:r>
            <w:r>
              <w:rPr>
                <w:rFonts w:hint="eastAsia"/>
                <w:color w:val="auto"/>
                <w:u w:val="single" w:color="auto"/>
              </w:rPr>
              <w:t>，项目周边居民</w:t>
            </w:r>
            <w:r>
              <w:rPr>
                <w:rFonts w:hint="eastAsia"/>
                <w:color w:val="auto"/>
                <w:u w:val="single" w:color="auto"/>
                <w:lang w:val="en-US" w:eastAsia="zh-CN"/>
              </w:rPr>
              <w:t>分布</w:t>
            </w:r>
            <w:r>
              <w:rPr>
                <w:rFonts w:hint="eastAsia"/>
                <w:color w:val="auto"/>
                <w:u w:val="single" w:color="auto"/>
              </w:rPr>
              <w:t>较少，</w:t>
            </w:r>
            <w:r>
              <w:rPr>
                <w:rFonts w:hint="eastAsia"/>
                <w:color w:val="auto"/>
                <w:u w:val="single" w:color="auto"/>
                <w:lang w:val="en-US" w:eastAsia="zh-CN"/>
              </w:rPr>
              <w:t>邻近</w:t>
            </w:r>
            <w:r>
              <w:rPr>
                <w:rFonts w:hint="eastAsia"/>
                <w:color w:val="auto"/>
                <w:u w:val="single" w:color="auto"/>
              </w:rPr>
              <w:t>无学校、医院等敏感目标，</w:t>
            </w:r>
            <w:r>
              <w:rPr>
                <w:rFonts w:hint="eastAsia"/>
                <w:color w:val="auto"/>
                <w:u w:val="single" w:color="auto"/>
                <w:lang w:val="en-US" w:eastAsia="zh-CN"/>
              </w:rPr>
              <w:t>项目污染产生程度较低，</w:t>
            </w:r>
            <w:r>
              <w:rPr>
                <w:rFonts w:hint="eastAsia"/>
                <w:color w:val="auto"/>
                <w:u w:val="single" w:color="auto"/>
              </w:rPr>
              <w:t>在实施了本报告提出的环保措施的前提下，</w:t>
            </w:r>
            <w:r>
              <w:rPr>
                <w:rFonts w:hint="eastAsia"/>
                <w:color w:val="auto"/>
                <w:u w:val="single" w:color="auto"/>
                <w:lang w:val="en-US" w:eastAsia="zh-CN"/>
              </w:rPr>
              <w:t>各污染物实现达标排放</w:t>
            </w:r>
            <w:r>
              <w:rPr>
                <w:rFonts w:hint="eastAsia"/>
                <w:color w:val="auto"/>
                <w:u w:val="single" w:color="auto"/>
              </w:rPr>
              <w:t>、固废</w:t>
            </w:r>
            <w:r>
              <w:rPr>
                <w:rFonts w:hint="eastAsia"/>
                <w:color w:val="auto"/>
                <w:u w:val="single" w:color="auto"/>
                <w:lang w:val="en-US" w:eastAsia="zh-CN"/>
              </w:rPr>
              <w:t>得到妥善处置</w:t>
            </w:r>
            <w:r>
              <w:rPr>
                <w:rFonts w:hint="eastAsia"/>
                <w:color w:val="auto"/>
                <w:u w:val="single" w:color="auto"/>
              </w:rPr>
              <w:t>。</w:t>
            </w:r>
          </w:p>
          <w:p w14:paraId="1F738267">
            <w:pPr>
              <w:bidi w:val="0"/>
              <w:rPr>
                <w:color w:val="auto"/>
                <w:u w:val="single" w:color="auto"/>
                <w:lang w:val="zh-CN"/>
              </w:rPr>
            </w:pPr>
            <w:r>
              <w:rPr>
                <w:rFonts w:hint="eastAsia"/>
                <w:color w:val="auto"/>
                <w:u w:val="single" w:color="auto"/>
              </w:rPr>
              <w:t>总体而言，项目选址具有良好的区位优势，在落实本评价提出的环境保护措施的前提下，本项目建设对周边环境影响较小。因此，从环保的角度考虑，项目的选址是合理的。</w:t>
            </w:r>
          </w:p>
          <w:p w14:paraId="3AA2C50F">
            <w:pPr>
              <w:autoSpaceDE w:val="0"/>
              <w:autoSpaceDN w:val="0"/>
              <w:adjustRightInd w:val="0"/>
              <w:snapToGrid w:val="0"/>
              <w:spacing w:line="360" w:lineRule="auto"/>
              <w:ind w:firstLine="482" w:firstLineChars="200"/>
              <w:rPr>
                <w:b/>
                <w:color w:val="auto"/>
                <w:kern w:val="0"/>
                <w:sz w:val="24"/>
                <w:highlight w:val="none"/>
                <w:u w:val="single" w:color="auto"/>
              </w:rPr>
            </w:pPr>
            <w:r>
              <w:rPr>
                <w:rFonts w:hint="eastAsia"/>
                <w:b/>
                <w:color w:val="auto"/>
                <w:kern w:val="0"/>
                <w:sz w:val="24"/>
                <w:highlight w:val="none"/>
                <w:u w:val="single" w:color="auto"/>
                <w:lang w:val="en-US" w:eastAsia="zh-CN"/>
              </w:rPr>
              <w:t>7</w:t>
            </w:r>
            <w:r>
              <w:rPr>
                <w:rFonts w:hint="eastAsia"/>
                <w:b/>
                <w:color w:val="auto"/>
                <w:kern w:val="0"/>
                <w:sz w:val="24"/>
                <w:highlight w:val="none"/>
                <w:u w:val="single" w:color="auto"/>
              </w:rPr>
              <w:t>、与周边环境相容性分析</w:t>
            </w:r>
          </w:p>
          <w:p w14:paraId="564ECDBA">
            <w:pPr>
              <w:autoSpaceDE w:val="0"/>
              <w:autoSpaceDN w:val="0"/>
              <w:adjustRightInd w:val="0"/>
              <w:snapToGrid w:val="0"/>
              <w:spacing w:line="360" w:lineRule="auto"/>
              <w:ind w:firstLine="480" w:firstLineChars="200"/>
              <w:rPr>
                <w:rFonts w:hint="eastAsia"/>
                <w:color w:val="auto"/>
                <w:sz w:val="24"/>
                <w:highlight w:val="none"/>
                <w:u w:val="single" w:color="auto"/>
              </w:rPr>
            </w:pPr>
            <w:r>
              <w:rPr>
                <w:rFonts w:hint="eastAsia"/>
                <w:color w:val="auto"/>
                <w:sz w:val="24"/>
                <w:highlight w:val="none"/>
                <w:u w:val="single" w:color="auto"/>
              </w:rPr>
              <w:t>本项目选址于</w:t>
            </w:r>
            <w:r>
              <w:rPr>
                <w:rFonts w:hint="eastAsia"/>
                <w:color w:val="auto"/>
                <w:sz w:val="24"/>
                <w:highlight w:val="none"/>
                <w:u w:val="single" w:color="auto"/>
                <w:lang w:eastAsia="zh-CN"/>
              </w:rPr>
              <w:t>江永产业开发区物流园4#栋钢结构厂房，</w:t>
            </w:r>
            <w:r>
              <w:rPr>
                <w:rFonts w:hint="eastAsia"/>
                <w:color w:val="auto"/>
                <w:sz w:val="24"/>
                <w:highlight w:val="none"/>
                <w:u w:val="single" w:color="auto"/>
                <w:lang w:val="en-US" w:eastAsia="zh-CN"/>
              </w:rPr>
              <w:t>项目</w:t>
            </w:r>
            <w:r>
              <w:rPr>
                <w:rFonts w:hint="eastAsia"/>
                <w:color w:val="auto"/>
                <w:kern w:val="21"/>
                <w:sz w:val="24"/>
                <w:highlight w:val="none"/>
                <w:u w:val="single" w:color="auto"/>
                <w:lang w:val="en-US" w:eastAsia="zh-CN"/>
              </w:rPr>
              <w:t>周边</w:t>
            </w:r>
            <w:r>
              <w:rPr>
                <w:rFonts w:hint="eastAsia"/>
                <w:color w:val="auto"/>
                <w:kern w:val="21"/>
                <w:sz w:val="24"/>
                <w:highlight w:val="none"/>
                <w:u w:val="single" w:color="auto"/>
              </w:rPr>
              <w:t>为</w:t>
            </w:r>
            <w:r>
              <w:rPr>
                <w:rFonts w:hint="eastAsia"/>
                <w:color w:val="auto"/>
                <w:kern w:val="21"/>
                <w:sz w:val="24"/>
                <w:highlight w:val="none"/>
                <w:u w:val="single" w:color="auto"/>
                <w:lang w:val="en-US" w:eastAsia="zh-CN"/>
              </w:rPr>
              <w:t>园区标准厂房，主要为与本项目同类型的机加工项目</w:t>
            </w:r>
            <w:r>
              <w:rPr>
                <w:rFonts w:hint="eastAsia"/>
                <w:color w:val="auto"/>
                <w:kern w:val="21"/>
                <w:sz w:val="24"/>
                <w:highlight w:val="none"/>
                <w:u w:val="single" w:color="auto"/>
              </w:rPr>
              <w:t>，</w:t>
            </w:r>
            <w:r>
              <w:rPr>
                <w:rFonts w:hint="eastAsia"/>
                <w:color w:val="auto"/>
                <w:kern w:val="21"/>
                <w:sz w:val="24"/>
                <w:highlight w:val="none"/>
                <w:u w:val="single" w:color="auto"/>
                <w:lang w:val="en-US" w:eastAsia="zh-CN"/>
              </w:rPr>
              <w:t>邻近</w:t>
            </w:r>
            <w:r>
              <w:rPr>
                <w:rFonts w:hint="eastAsia"/>
                <w:color w:val="auto"/>
                <w:kern w:val="0"/>
                <w:sz w:val="24"/>
                <w:highlight w:val="none"/>
                <w:u w:val="single" w:color="auto"/>
              </w:rPr>
              <w:t>无学校、医院、居民</w:t>
            </w:r>
            <w:r>
              <w:rPr>
                <w:rFonts w:hint="eastAsia"/>
                <w:color w:val="auto"/>
                <w:kern w:val="0"/>
                <w:sz w:val="24"/>
                <w:highlight w:val="none"/>
                <w:u w:val="single" w:color="auto"/>
                <w:lang w:val="en-US" w:eastAsia="zh-CN"/>
              </w:rPr>
              <w:t>区</w:t>
            </w:r>
            <w:r>
              <w:rPr>
                <w:rFonts w:hint="eastAsia"/>
                <w:color w:val="auto"/>
                <w:kern w:val="0"/>
                <w:sz w:val="24"/>
                <w:highlight w:val="none"/>
                <w:u w:val="single" w:color="auto"/>
              </w:rPr>
              <w:t>、食品企业等环境敏感点</w:t>
            </w:r>
            <w:r>
              <w:rPr>
                <w:rFonts w:hint="eastAsia"/>
                <w:color w:val="auto"/>
                <w:kern w:val="0"/>
                <w:sz w:val="24"/>
                <w:highlight w:val="none"/>
                <w:u w:val="single" w:color="auto"/>
                <w:lang w:eastAsia="zh-CN"/>
              </w:rPr>
              <w:t>；</w:t>
            </w:r>
            <w:r>
              <w:rPr>
                <w:rFonts w:hint="eastAsia"/>
                <w:color w:val="auto"/>
                <w:kern w:val="0"/>
                <w:sz w:val="24"/>
                <w:highlight w:val="none"/>
                <w:u w:val="single" w:color="auto"/>
              </w:rPr>
              <w:t>因此</w:t>
            </w:r>
            <w:r>
              <w:rPr>
                <w:rFonts w:hint="eastAsia"/>
                <w:color w:val="auto"/>
                <w:kern w:val="0"/>
                <w:sz w:val="24"/>
                <w:highlight w:val="none"/>
                <w:u w:val="single" w:color="auto"/>
                <w:lang w:eastAsia="zh-CN"/>
              </w:rPr>
              <w:t>，</w:t>
            </w:r>
            <w:r>
              <w:rPr>
                <w:color w:val="auto"/>
                <w:sz w:val="24"/>
                <w:highlight w:val="none"/>
                <w:u w:val="single" w:color="auto"/>
              </w:rPr>
              <w:t>项目选址与周边环境相容</w:t>
            </w:r>
            <w:r>
              <w:rPr>
                <w:rFonts w:hint="eastAsia"/>
                <w:color w:val="auto"/>
                <w:sz w:val="24"/>
                <w:highlight w:val="none"/>
                <w:u w:val="single" w:color="auto"/>
              </w:rPr>
              <w:t>性较好</w:t>
            </w:r>
            <w:r>
              <w:rPr>
                <w:color w:val="auto"/>
                <w:sz w:val="24"/>
                <w:highlight w:val="none"/>
                <w:u w:val="single" w:color="auto"/>
              </w:rPr>
              <w:t>。</w:t>
            </w:r>
            <w:r>
              <w:rPr>
                <w:rFonts w:hint="eastAsia"/>
                <w:color w:val="auto"/>
                <w:sz w:val="24"/>
                <w:highlight w:val="none"/>
                <w:u w:val="single" w:color="auto"/>
              </w:rPr>
              <w:t>本项目周边关系见附图，四至现场照片见附图。</w:t>
            </w:r>
          </w:p>
          <w:p w14:paraId="14627633">
            <w:pPr>
              <w:autoSpaceDE w:val="0"/>
              <w:autoSpaceDN w:val="0"/>
              <w:adjustRightInd w:val="0"/>
              <w:snapToGrid w:val="0"/>
              <w:spacing w:line="360" w:lineRule="auto"/>
              <w:ind w:firstLine="480" w:firstLineChars="200"/>
              <w:rPr>
                <w:rFonts w:hint="eastAsia"/>
                <w:color w:val="auto"/>
                <w:sz w:val="24"/>
                <w:highlight w:val="none"/>
                <w:u w:val="single" w:color="auto"/>
              </w:rPr>
            </w:pPr>
          </w:p>
          <w:p w14:paraId="58957F83">
            <w:pPr>
              <w:autoSpaceDE w:val="0"/>
              <w:autoSpaceDN w:val="0"/>
              <w:adjustRightInd w:val="0"/>
              <w:snapToGrid w:val="0"/>
              <w:spacing w:line="360" w:lineRule="auto"/>
              <w:ind w:firstLine="480" w:firstLineChars="200"/>
              <w:rPr>
                <w:rFonts w:hint="eastAsia"/>
                <w:color w:val="auto"/>
                <w:sz w:val="24"/>
                <w:highlight w:val="none"/>
                <w:u w:val="single" w:color="auto"/>
              </w:rPr>
            </w:pPr>
          </w:p>
          <w:p w14:paraId="5558CD30">
            <w:pPr>
              <w:autoSpaceDE w:val="0"/>
              <w:autoSpaceDN w:val="0"/>
              <w:adjustRightInd w:val="0"/>
              <w:snapToGrid w:val="0"/>
              <w:spacing w:line="360" w:lineRule="auto"/>
              <w:ind w:firstLine="480" w:firstLineChars="200"/>
              <w:rPr>
                <w:rFonts w:hint="eastAsia"/>
                <w:color w:val="auto"/>
                <w:sz w:val="24"/>
                <w:highlight w:val="none"/>
                <w:u w:val="single" w:color="auto"/>
              </w:rPr>
            </w:pPr>
          </w:p>
          <w:p w14:paraId="6C30897C">
            <w:pPr>
              <w:autoSpaceDE w:val="0"/>
              <w:autoSpaceDN w:val="0"/>
              <w:adjustRightInd w:val="0"/>
              <w:snapToGrid w:val="0"/>
              <w:spacing w:line="360" w:lineRule="auto"/>
              <w:ind w:firstLine="480" w:firstLineChars="200"/>
              <w:rPr>
                <w:rFonts w:hint="eastAsia"/>
                <w:color w:val="auto"/>
                <w:sz w:val="24"/>
                <w:highlight w:val="none"/>
                <w:u w:val="single" w:color="auto"/>
              </w:rPr>
            </w:pPr>
          </w:p>
          <w:p w14:paraId="31F05370">
            <w:pPr>
              <w:autoSpaceDE w:val="0"/>
              <w:autoSpaceDN w:val="0"/>
              <w:adjustRightInd w:val="0"/>
              <w:snapToGrid w:val="0"/>
              <w:spacing w:line="360" w:lineRule="auto"/>
              <w:ind w:firstLine="480" w:firstLineChars="200"/>
              <w:rPr>
                <w:rFonts w:hint="eastAsia"/>
                <w:color w:val="auto"/>
                <w:sz w:val="24"/>
                <w:highlight w:val="none"/>
                <w:u w:val="single" w:color="auto"/>
              </w:rPr>
            </w:pPr>
          </w:p>
          <w:p w14:paraId="41B712C6">
            <w:pPr>
              <w:autoSpaceDE w:val="0"/>
              <w:autoSpaceDN w:val="0"/>
              <w:adjustRightInd w:val="0"/>
              <w:snapToGrid w:val="0"/>
              <w:spacing w:line="360" w:lineRule="auto"/>
              <w:ind w:firstLine="480" w:firstLineChars="200"/>
              <w:rPr>
                <w:rFonts w:hint="eastAsia"/>
                <w:color w:val="auto"/>
                <w:sz w:val="24"/>
                <w:highlight w:val="none"/>
                <w:u w:val="single" w:color="auto"/>
                <w:lang w:eastAsia="zh-CN"/>
              </w:rPr>
            </w:pPr>
          </w:p>
          <w:p w14:paraId="5353E815">
            <w:pPr>
              <w:autoSpaceDE w:val="0"/>
              <w:autoSpaceDN w:val="0"/>
              <w:adjustRightInd w:val="0"/>
              <w:snapToGrid w:val="0"/>
              <w:spacing w:line="360" w:lineRule="auto"/>
              <w:ind w:firstLine="480" w:firstLineChars="200"/>
              <w:rPr>
                <w:rFonts w:hint="eastAsia"/>
                <w:color w:val="auto"/>
                <w:sz w:val="24"/>
                <w:highlight w:val="none"/>
                <w:u w:val="single" w:color="auto"/>
                <w:lang w:eastAsia="zh-CN"/>
              </w:rPr>
            </w:pPr>
          </w:p>
          <w:p w14:paraId="699EA8EF">
            <w:pPr>
              <w:autoSpaceDE w:val="0"/>
              <w:autoSpaceDN w:val="0"/>
              <w:adjustRightInd w:val="0"/>
              <w:snapToGrid w:val="0"/>
              <w:spacing w:line="360" w:lineRule="auto"/>
              <w:ind w:firstLine="480" w:firstLineChars="200"/>
              <w:rPr>
                <w:rFonts w:hint="eastAsia"/>
                <w:color w:val="auto"/>
                <w:sz w:val="24"/>
                <w:highlight w:val="none"/>
                <w:u w:val="single" w:color="auto"/>
                <w:lang w:eastAsia="zh-CN"/>
              </w:rPr>
            </w:pPr>
          </w:p>
          <w:p w14:paraId="60D5FE0B">
            <w:pPr>
              <w:autoSpaceDE w:val="0"/>
              <w:autoSpaceDN w:val="0"/>
              <w:adjustRightInd w:val="0"/>
              <w:snapToGrid w:val="0"/>
              <w:spacing w:line="360" w:lineRule="auto"/>
              <w:ind w:firstLine="480" w:firstLineChars="200"/>
              <w:rPr>
                <w:rFonts w:hint="eastAsia"/>
                <w:color w:val="auto"/>
                <w:sz w:val="24"/>
                <w:highlight w:val="none"/>
                <w:u w:val="single" w:color="auto"/>
                <w:lang w:eastAsia="zh-CN"/>
              </w:rPr>
            </w:pPr>
          </w:p>
          <w:p w14:paraId="6E55872B">
            <w:pPr>
              <w:autoSpaceDE w:val="0"/>
              <w:autoSpaceDN w:val="0"/>
              <w:adjustRightInd w:val="0"/>
              <w:snapToGrid w:val="0"/>
              <w:spacing w:line="360" w:lineRule="auto"/>
              <w:ind w:firstLine="480" w:firstLineChars="200"/>
              <w:rPr>
                <w:rFonts w:hint="eastAsia"/>
                <w:color w:val="auto"/>
                <w:sz w:val="24"/>
                <w:highlight w:val="none"/>
                <w:u w:val="single" w:color="auto"/>
                <w:lang w:eastAsia="zh-CN"/>
              </w:rPr>
            </w:pPr>
          </w:p>
          <w:p w14:paraId="0AB565C7">
            <w:pPr>
              <w:autoSpaceDE w:val="0"/>
              <w:autoSpaceDN w:val="0"/>
              <w:adjustRightInd w:val="0"/>
              <w:snapToGrid w:val="0"/>
              <w:spacing w:line="360" w:lineRule="auto"/>
              <w:ind w:firstLine="480" w:firstLineChars="200"/>
              <w:rPr>
                <w:rFonts w:hint="eastAsia"/>
                <w:color w:val="auto"/>
                <w:sz w:val="24"/>
                <w:highlight w:val="none"/>
                <w:u w:val="single" w:color="auto"/>
                <w:lang w:eastAsia="zh-CN"/>
              </w:rPr>
            </w:pPr>
          </w:p>
          <w:p w14:paraId="01BE2581">
            <w:pPr>
              <w:autoSpaceDE w:val="0"/>
              <w:autoSpaceDN w:val="0"/>
              <w:adjustRightInd w:val="0"/>
              <w:snapToGrid w:val="0"/>
              <w:spacing w:line="360" w:lineRule="auto"/>
              <w:ind w:firstLine="480" w:firstLineChars="200"/>
              <w:rPr>
                <w:rFonts w:hint="eastAsia"/>
                <w:color w:val="auto"/>
                <w:sz w:val="24"/>
                <w:highlight w:val="none"/>
                <w:u w:val="single" w:color="auto"/>
                <w:lang w:eastAsia="zh-CN"/>
              </w:rPr>
            </w:pPr>
          </w:p>
          <w:p w14:paraId="776E9410">
            <w:pPr>
              <w:autoSpaceDE w:val="0"/>
              <w:autoSpaceDN w:val="0"/>
              <w:adjustRightInd w:val="0"/>
              <w:snapToGrid w:val="0"/>
              <w:spacing w:line="360" w:lineRule="auto"/>
              <w:ind w:firstLine="480" w:firstLineChars="200"/>
              <w:rPr>
                <w:rFonts w:hint="eastAsia" w:eastAsia="宋体"/>
                <w:color w:val="auto"/>
                <w:kern w:val="0"/>
                <w:szCs w:val="21"/>
                <w:highlight w:val="none"/>
                <w:u w:val="single" w:color="auto"/>
                <w:lang w:eastAsia="zh-CN"/>
              </w:rPr>
            </w:pPr>
          </w:p>
        </w:tc>
      </w:tr>
    </w:tbl>
    <w:p w14:paraId="0231BC25">
      <w:pPr>
        <w:spacing w:line="360" w:lineRule="auto"/>
        <w:outlineLvl w:val="0"/>
        <w:rPr>
          <w:rFonts w:eastAsia="黑体"/>
          <w:color w:val="auto"/>
          <w:sz w:val="30"/>
        </w:rPr>
        <w:sectPr>
          <w:footerReference r:id="rId8" w:type="default"/>
          <w:pgSz w:w="11906" w:h="16838"/>
          <w:pgMar w:top="1701" w:right="1531" w:bottom="1701" w:left="1531" w:header="851" w:footer="1077" w:gutter="0"/>
          <w:pgBorders>
            <w:top w:val="none" w:sz="0" w:space="0"/>
            <w:left w:val="none" w:sz="0" w:space="0"/>
            <w:bottom w:val="none" w:sz="0" w:space="0"/>
            <w:right w:val="none" w:sz="0" w:space="0"/>
          </w:pgBorders>
          <w:pgNumType w:fmt="decimal" w:start="1"/>
          <w:cols w:space="720" w:num="1"/>
          <w:docGrid w:linePitch="312" w:charSpace="0"/>
        </w:sectPr>
      </w:pPr>
    </w:p>
    <w:p w14:paraId="5F2DDA8F">
      <w:pPr>
        <w:pStyle w:val="25"/>
        <w:jc w:val="center"/>
        <w:outlineLvl w:val="0"/>
        <w:rPr>
          <w:rFonts w:ascii="Times New Roman" w:hAnsi="Times New Roman" w:eastAsia="黑体"/>
          <w:snapToGrid w:val="0"/>
          <w:color w:val="auto"/>
          <w:sz w:val="30"/>
          <w:szCs w:val="30"/>
        </w:rPr>
      </w:pPr>
      <w:bookmarkStart w:id="8" w:name="_Toc110847884"/>
      <w:bookmarkStart w:id="9" w:name="_Toc1958"/>
      <w:r>
        <w:rPr>
          <w:rFonts w:ascii="Times New Roman" w:hAnsi="Times New Roman" w:eastAsia="黑体"/>
          <w:snapToGrid w:val="0"/>
          <w:color w:val="auto"/>
          <w:sz w:val="30"/>
          <w:szCs w:val="30"/>
        </w:rPr>
        <w:t>二、建设项目工程分析</w:t>
      </w:r>
      <w:bookmarkEnd w:id="8"/>
      <w:bookmarkEnd w:id="9"/>
    </w:p>
    <w:tbl>
      <w:tblPr>
        <w:tblStyle w:val="29"/>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23"/>
        <w:gridCol w:w="8161"/>
      </w:tblGrid>
      <w:tr w14:paraId="2F78ED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8831" w:hRule="atLeast"/>
          <w:jc w:val="center"/>
        </w:trPr>
        <w:tc>
          <w:tcPr>
            <w:tcW w:w="823" w:type="dxa"/>
            <w:noWrap w:val="0"/>
            <w:vAlign w:val="center"/>
          </w:tcPr>
          <w:p w14:paraId="5C0D6F4F">
            <w:pPr>
              <w:bidi w:val="0"/>
              <w:ind w:left="0" w:leftChars="0" w:firstLine="0" w:firstLineChars="0"/>
              <w:jc w:val="center"/>
              <w:rPr>
                <w:rFonts w:ascii="Times New Roman" w:hAnsi="Times New Roman"/>
                <w:color w:val="auto"/>
                <w:szCs w:val="21"/>
              </w:rPr>
            </w:pPr>
            <w:r>
              <w:rPr>
                <w:rFonts w:hint="eastAsia"/>
                <w:color w:val="auto"/>
                <w:lang w:val="en-US" w:eastAsia="zh-CN"/>
              </w:rPr>
              <w:t>建设内容</w:t>
            </w:r>
          </w:p>
        </w:tc>
        <w:tc>
          <w:tcPr>
            <w:tcW w:w="8161" w:type="dxa"/>
            <w:noWrap w:val="0"/>
            <w:vAlign w:val="top"/>
          </w:tcPr>
          <w:p w14:paraId="1266A7FC">
            <w:pPr>
              <w:bidi w:val="0"/>
              <w:rPr>
                <w:rFonts w:hint="default" w:eastAsia="宋体"/>
                <w:b/>
                <w:bCs/>
                <w:color w:val="auto"/>
                <w:lang w:val="en-US" w:eastAsia="zh-CN"/>
              </w:rPr>
            </w:pPr>
            <w:r>
              <w:rPr>
                <w:rFonts w:hint="eastAsia"/>
                <w:b/>
                <w:bCs/>
                <w:color w:val="auto"/>
                <w:lang w:val="en-US" w:eastAsia="zh-CN"/>
              </w:rPr>
              <w:t>项目背景：</w:t>
            </w:r>
          </w:p>
          <w:p w14:paraId="4AC7C286">
            <w:pPr>
              <w:bidi w:val="0"/>
              <w:rPr>
                <w:rFonts w:hint="eastAsia"/>
                <w:color w:val="auto"/>
                <w:lang w:val="en-US" w:eastAsia="zh-CN"/>
              </w:rPr>
            </w:pPr>
            <w:r>
              <w:rPr>
                <w:rFonts w:hint="eastAsia"/>
                <w:color w:val="auto"/>
                <w:lang w:val="en-US" w:eastAsia="zh-CN"/>
              </w:rPr>
              <w:t>湖南湘铝科技有限公司成立于2023年12月18日，公司坐落在湖南省永州市江永县；主要从事汽车零部件及配件制造；通用零部件制造；摩托车零配件制造等。</w:t>
            </w:r>
          </w:p>
          <w:p w14:paraId="50D7EB8C">
            <w:pPr>
              <w:bidi w:val="0"/>
              <w:rPr>
                <w:rFonts w:hint="eastAsia"/>
                <w:color w:val="auto"/>
                <w:u w:val="single"/>
                <w:lang w:val="en-US" w:eastAsia="zh-CN"/>
              </w:rPr>
            </w:pPr>
            <w:r>
              <w:rPr>
                <w:rFonts w:hint="eastAsia"/>
                <w:color w:val="auto"/>
                <w:u w:val="single"/>
                <w:lang w:val="en-US" w:eastAsia="zh-CN"/>
              </w:rPr>
              <w:t>当前，各类新能源汽车处在高速发展中，湖南湘铝科技有限公司为迎合市场发展，选址在江永产业开发区建设江永新能源汽车大型零部件一体化成型及精密加工制造项目。</w:t>
            </w:r>
          </w:p>
          <w:p w14:paraId="64A863BD">
            <w:pPr>
              <w:keepNext w:val="0"/>
              <w:keepLines w:val="0"/>
              <w:widowControl/>
              <w:suppressLineNumbers w:val="0"/>
              <w:jc w:val="left"/>
              <w:rPr>
                <w:rFonts w:hint="eastAsia"/>
                <w:color w:val="auto"/>
              </w:rPr>
            </w:pPr>
            <w:r>
              <w:rPr>
                <w:rFonts w:hint="eastAsia"/>
                <w:color w:val="auto"/>
              </w:rPr>
              <w:t>根据《中华人民共和国环境保护法》、《</w:t>
            </w:r>
            <w:r>
              <w:rPr>
                <w:rFonts w:hint="eastAsia"/>
                <w:color w:val="auto"/>
                <w:lang w:eastAsia="zh-CN"/>
              </w:rPr>
              <w:t>中华人民共和国环境影响评价法</w:t>
            </w:r>
            <w:r>
              <w:rPr>
                <w:rFonts w:hint="eastAsia"/>
                <w:color w:val="auto"/>
              </w:rPr>
              <w:t>》及《建设项目环境保护管理条例》等国家有关政策和规定，该项目需进行环境影</w:t>
            </w:r>
            <w:r>
              <w:rPr>
                <w:rFonts w:hint="eastAsia"/>
                <w:color w:val="auto"/>
                <w:lang w:val="en-US" w:eastAsia="zh-CN"/>
              </w:rPr>
              <w:t>响评价。依据《建设项目环境影响评价分类管理名录》（2021 版），本项目产品采用铝合金锭铸造工艺，属于“三十、金属制品业33-68铸造及其他金属制品制造339 其他（仅分割、焊接、组装的除外）</w:t>
            </w:r>
            <w:r>
              <w:rPr>
                <w:rFonts w:hint="eastAsia"/>
                <w:color w:val="auto"/>
              </w:rPr>
              <w:t>”，应编制环境影响报告表。特此，</w:t>
            </w:r>
            <w:r>
              <w:rPr>
                <w:rFonts w:hint="eastAsia"/>
                <w:color w:val="auto"/>
                <w:lang w:eastAsia="zh-CN"/>
              </w:rPr>
              <w:t>湖南湘铝科技有限公司</w:t>
            </w:r>
            <w:r>
              <w:rPr>
                <w:rFonts w:hint="eastAsia"/>
                <w:color w:val="auto"/>
              </w:rPr>
              <w:t>委托我公司承担该项目的环境影响评价工作，接受委托后，我公司即组成编制小组，对项目</w:t>
            </w:r>
            <w:r>
              <w:rPr>
                <w:rFonts w:hint="eastAsia"/>
                <w:color w:val="auto"/>
                <w:lang w:eastAsia="zh-CN"/>
              </w:rPr>
              <w:t>建设</w:t>
            </w:r>
            <w:r>
              <w:rPr>
                <w:rFonts w:hint="eastAsia"/>
                <w:color w:val="auto"/>
              </w:rPr>
              <w:t>场址进行了实地勘查，在进行较充分的现场调查和资料收集的基础上，按照《建设项目环境影响报告表编制技术指南（污染影响类）》有关要求，编制完成了本项目环境影响报告表</w:t>
            </w:r>
            <w:r>
              <w:rPr>
                <w:rFonts w:hint="eastAsia"/>
                <w:color w:val="auto"/>
                <w:lang w:eastAsia="zh-CN"/>
              </w:rPr>
              <w:t>。</w:t>
            </w:r>
          </w:p>
          <w:p w14:paraId="2C619CA5">
            <w:pPr>
              <w:bidi w:val="0"/>
              <w:rPr>
                <w:rFonts w:hint="eastAsia" w:ascii="Times New Roman" w:hAnsi="Times New Roman" w:eastAsia="宋体" w:cs="Times New Roman"/>
                <w:b/>
                <w:bCs/>
                <w:color w:val="auto"/>
                <w:lang w:eastAsia="zh-CN"/>
              </w:rPr>
            </w:pPr>
            <w:r>
              <w:rPr>
                <w:rFonts w:hint="eastAsia" w:ascii="Times New Roman" w:hAnsi="Times New Roman" w:eastAsia="宋体" w:cs="Times New Roman"/>
                <w:b/>
                <w:bCs/>
                <w:color w:val="auto"/>
                <w:lang w:eastAsia="zh-CN"/>
              </w:rPr>
              <w:t>（</w:t>
            </w:r>
            <w:r>
              <w:rPr>
                <w:rFonts w:hint="eastAsia" w:ascii="Times New Roman" w:hAnsi="Times New Roman" w:eastAsia="宋体" w:cs="Times New Roman"/>
                <w:b/>
                <w:bCs/>
                <w:color w:val="auto"/>
                <w:lang w:val="en-US" w:eastAsia="zh-CN"/>
              </w:rPr>
              <w:t>一</w:t>
            </w:r>
            <w:r>
              <w:rPr>
                <w:rFonts w:hint="eastAsia" w:ascii="Times New Roman" w:hAnsi="Times New Roman" w:eastAsia="宋体" w:cs="Times New Roman"/>
                <w:b/>
                <w:bCs/>
                <w:color w:val="auto"/>
                <w:lang w:eastAsia="zh-CN"/>
              </w:rPr>
              <w:t>）</w:t>
            </w:r>
            <w:r>
              <w:rPr>
                <w:rFonts w:hint="eastAsia" w:ascii="Times New Roman" w:hAnsi="Times New Roman" w:eastAsia="宋体" w:cs="Times New Roman"/>
                <w:b/>
                <w:bCs/>
                <w:color w:val="auto"/>
              </w:rPr>
              <w:t>项目组成</w:t>
            </w:r>
          </w:p>
          <w:p w14:paraId="33C929AC">
            <w:pPr>
              <w:adjustRightInd/>
              <w:snapToGrid/>
              <w:ind w:firstLine="480"/>
              <w:rPr>
                <w:rFonts w:hint="eastAsia"/>
                <w:color w:val="auto"/>
                <w:u w:val="none"/>
              </w:rPr>
            </w:pPr>
            <w:r>
              <w:rPr>
                <w:rFonts w:hint="eastAsia"/>
                <w:color w:val="auto"/>
                <w:u w:val="none"/>
              </w:rPr>
              <w:t>项目</w:t>
            </w:r>
            <w:r>
              <w:rPr>
                <w:rFonts w:hint="eastAsia"/>
                <w:color w:val="auto"/>
                <w:u w:val="none"/>
                <w:lang w:val="en-US" w:eastAsia="zh-CN"/>
              </w:rPr>
              <w:t>租用</w:t>
            </w:r>
            <w:r>
              <w:rPr>
                <w:rFonts w:hint="eastAsia" w:ascii="Times New Roman" w:hAnsi="Times New Roman" w:eastAsia="宋体" w:cs="Times New Roman"/>
                <w:color w:val="auto"/>
                <w:sz w:val="24"/>
                <w:szCs w:val="24"/>
                <w:highlight w:val="none"/>
                <w:lang w:eastAsia="zh-CN"/>
              </w:rPr>
              <w:t>江永县工业集中区</w:t>
            </w:r>
            <w:r>
              <w:rPr>
                <w:rFonts w:hint="eastAsia"/>
                <w:color w:val="auto"/>
                <w:u w:val="none"/>
                <w:lang w:val="en-US" w:eastAsia="zh-CN"/>
              </w:rPr>
              <w:t>标准厂房，位于利田片区标准厂房4#栋钢结构厂房</w:t>
            </w:r>
            <w:r>
              <w:rPr>
                <w:rFonts w:hint="eastAsia"/>
                <w:color w:val="auto"/>
                <w:u w:val="none"/>
              </w:rPr>
              <w:t>，总建</w:t>
            </w:r>
            <w:r>
              <w:rPr>
                <w:rFonts w:hint="eastAsia" w:ascii="Times New Roman" w:hAnsi="Times New Roman" w:eastAsia="宋体" w:cs="Times New Roman"/>
                <w:color w:val="auto"/>
                <w:u w:val="none"/>
              </w:rPr>
              <w:t>筑面积为</w:t>
            </w:r>
            <w:r>
              <w:rPr>
                <w:rFonts w:hint="eastAsia" w:ascii="Times New Roman" w:hAnsi="Times New Roman" w:eastAsia="宋体" w:cs="Times New Roman"/>
                <w:color w:val="auto"/>
                <w:u w:val="none"/>
                <w:lang w:val="en-US" w:eastAsia="zh-CN"/>
              </w:rPr>
              <w:t>7</w:t>
            </w:r>
            <w:r>
              <w:rPr>
                <w:rFonts w:hint="eastAsia" w:cs="Times New Roman"/>
                <w:color w:val="auto"/>
                <w:u w:val="none"/>
                <w:lang w:val="en-US" w:eastAsia="zh-CN"/>
              </w:rPr>
              <w:t>8</w:t>
            </w:r>
            <w:r>
              <w:rPr>
                <w:rFonts w:hint="eastAsia" w:ascii="Times New Roman" w:hAnsi="Times New Roman" w:eastAsia="宋体" w:cs="Times New Roman"/>
                <w:color w:val="auto"/>
                <w:u w:val="none"/>
                <w:lang w:val="en-US" w:eastAsia="zh-CN"/>
              </w:rPr>
              <w:t>00</w:t>
            </w:r>
            <w:r>
              <w:rPr>
                <w:rFonts w:hint="eastAsia" w:ascii="Times New Roman" w:hAnsi="Times New Roman" w:eastAsia="宋体" w:cs="Times New Roman"/>
                <w:color w:val="auto"/>
                <w:u w:val="none"/>
              </w:rPr>
              <w:t>m</w:t>
            </w:r>
            <w:r>
              <w:rPr>
                <w:rFonts w:hint="eastAsia"/>
                <w:color w:val="auto"/>
                <w:u w:val="none"/>
                <w:vertAlign w:val="superscript"/>
              </w:rPr>
              <w:t>2</w:t>
            </w:r>
            <w:r>
              <w:rPr>
                <w:rFonts w:hint="eastAsia"/>
                <w:color w:val="auto"/>
                <w:u w:val="none"/>
              </w:rPr>
              <w:t>，建设内容：生产</w:t>
            </w:r>
            <w:r>
              <w:rPr>
                <w:rFonts w:hint="eastAsia"/>
                <w:color w:val="auto"/>
                <w:u w:val="none"/>
                <w:lang w:val="en-US" w:eastAsia="zh-CN"/>
              </w:rPr>
              <w:t>车间</w:t>
            </w:r>
            <w:r>
              <w:rPr>
                <w:rFonts w:hint="eastAsia"/>
                <w:color w:val="auto"/>
                <w:u w:val="none"/>
              </w:rPr>
              <w:t>、</w:t>
            </w:r>
            <w:r>
              <w:rPr>
                <w:rFonts w:hint="eastAsia"/>
                <w:color w:val="auto"/>
                <w:u w:val="none"/>
                <w:lang w:val="en-US" w:eastAsia="zh-CN"/>
              </w:rPr>
              <w:t>原料仓、成品仓</w:t>
            </w:r>
            <w:r>
              <w:rPr>
                <w:rFonts w:hint="eastAsia"/>
                <w:color w:val="auto"/>
                <w:u w:val="none"/>
                <w:lang w:eastAsia="zh-CN"/>
              </w:rPr>
              <w:t>等</w:t>
            </w:r>
            <w:r>
              <w:rPr>
                <w:rFonts w:hint="eastAsia"/>
                <w:color w:val="auto"/>
                <w:u w:val="none"/>
              </w:rPr>
              <w:t>，主要工程组成见表2-1。</w:t>
            </w:r>
          </w:p>
          <w:p w14:paraId="7DBB3394">
            <w:pPr>
              <w:spacing w:line="400" w:lineRule="exact"/>
              <w:ind w:firstLine="422"/>
              <w:jc w:val="center"/>
              <w:rPr>
                <w:rFonts w:hint="eastAsia"/>
                <w:b/>
                <w:bCs/>
                <w:color w:val="auto"/>
                <w:sz w:val="21"/>
                <w:szCs w:val="21"/>
                <w:u w:val="none"/>
              </w:rPr>
            </w:pPr>
            <w:r>
              <w:rPr>
                <w:rFonts w:hint="eastAsia"/>
                <w:b/>
                <w:bCs/>
                <w:color w:val="auto"/>
                <w:sz w:val="21"/>
                <w:szCs w:val="21"/>
                <w:u w:val="none"/>
              </w:rPr>
              <w:t>表2-1主要建设内容一览表</w:t>
            </w:r>
          </w:p>
          <w:tbl>
            <w:tblPr>
              <w:tblStyle w:val="29"/>
              <w:tblW w:w="0" w:type="auto"/>
              <w:jc w:val="center"/>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autofit"/>
              <w:tblCellMar>
                <w:top w:w="0" w:type="dxa"/>
                <w:left w:w="108" w:type="dxa"/>
                <w:bottom w:w="0" w:type="dxa"/>
                <w:right w:w="108" w:type="dxa"/>
              </w:tblCellMar>
            </w:tblPr>
            <w:tblGrid>
              <w:gridCol w:w="1222"/>
              <w:gridCol w:w="1740"/>
              <w:gridCol w:w="4968"/>
            </w:tblGrid>
            <w:tr w14:paraId="4C2A4A8A">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tcBorders>
                    <w:tl2br w:val="nil"/>
                    <w:tr2bl w:val="nil"/>
                  </w:tcBorders>
                  <w:noWrap w:val="0"/>
                  <w:vAlign w:val="center"/>
                </w:tcPr>
                <w:p w14:paraId="07D0547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工程名称</w:t>
                  </w:r>
                </w:p>
              </w:tc>
              <w:tc>
                <w:tcPr>
                  <w:tcW w:w="6708" w:type="dxa"/>
                  <w:gridSpan w:val="2"/>
                  <w:tcBorders>
                    <w:tl2br w:val="nil"/>
                    <w:tr2bl w:val="nil"/>
                  </w:tcBorders>
                  <w:noWrap w:val="0"/>
                  <w:vAlign w:val="center"/>
                </w:tcPr>
                <w:p w14:paraId="283CD14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建筑</w:t>
                  </w:r>
                  <w:r>
                    <w:rPr>
                      <w:rFonts w:hint="eastAsia" w:ascii="Times New Roman" w:hAnsi="Times New Roman" w:cs="Times New Roman"/>
                      <w:color w:val="auto"/>
                      <w:sz w:val="21"/>
                      <w:szCs w:val="21"/>
                      <w:lang w:val="en-US" w:eastAsia="zh-CN"/>
                    </w:rPr>
                    <w:t>内容及</w:t>
                  </w:r>
                  <w:r>
                    <w:rPr>
                      <w:rFonts w:hint="default" w:ascii="Times New Roman" w:hAnsi="Times New Roman" w:cs="Times New Roman"/>
                      <w:color w:val="auto"/>
                      <w:sz w:val="21"/>
                      <w:szCs w:val="21"/>
                      <w:lang w:val="en-US" w:eastAsia="zh-CN"/>
                    </w:rPr>
                    <w:t>规模</w:t>
                  </w:r>
                </w:p>
              </w:tc>
            </w:tr>
            <w:tr w14:paraId="27DFB425">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restart"/>
                  <w:tcBorders>
                    <w:tl2br w:val="nil"/>
                    <w:tr2bl w:val="nil"/>
                  </w:tcBorders>
                  <w:noWrap w:val="0"/>
                  <w:vAlign w:val="center"/>
                </w:tcPr>
                <w:p w14:paraId="0406E83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主体工程</w:t>
                  </w:r>
                </w:p>
              </w:tc>
              <w:tc>
                <w:tcPr>
                  <w:tcW w:w="1740" w:type="dxa"/>
                  <w:tcBorders>
                    <w:tl2br w:val="nil"/>
                    <w:tr2bl w:val="nil"/>
                  </w:tcBorders>
                  <w:noWrap w:val="0"/>
                  <w:vAlign w:val="center"/>
                </w:tcPr>
                <w:p w14:paraId="6114AAC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生产厂房</w:t>
                  </w:r>
                </w:p>
              </w:tc>
              <w:tc>
                <w:tcPr>
                  <w:tcW w:w="4968" w:type="dxa"/>
                  <w:tcBorders>
                    <w:tl2br w:val="nil"/>
                    <w:tr2bl w:val="nil"/>
                  </w:tcBorders>
                  <w:noWrap w:val="0"/>
                  <w:vAlign w:val="center"/>
                </w:tcPr>
                <w:p w14:paraId="732C976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建筑面积</w:t>
                  </w:r>
                  <w:r>
                    <w:rPr>
                      <w:rFonts w:hint="eastAsia" w:ascii="Times New Roman" w:hAnsi="Times New Roman" w:cs="Times New Roman"/>
                      <w:color w:val="auto"/>
                      <w:sz w:val="21"/>
                      <w:szCs w:val="21"/>
                      <w:lang w:val="en-US" w:eastAsia="zh-CN"/>
                    </w:rPr>
                    <w:t>78</w:t>
                  </w:r>
                  <w:r>
                    <w:rPr>
                      <w:rFonts w:hint="default" w:ascii="Times New Roman" w:hAnsi="Times New Roman" w:cs="Times New Roman"/>
                      <w:color w:val="auto"/>
                      <w:sz w:val="21"/>
                      <w:szCs w:val="21"/>
                      <w:lang w:val="en-US" w:eastAsia="zh-CN"/>
                    </w:rPr>
                    <w:t>00m</w:t>
                  </w:r>
                  <w:r>
                    <w:rPr>
                      <w:rFonts w:hint="default" w:ascii="Times New Roman" w:hAnsi="Times New Roman" w:cs="Times New Roman"/>
                      <w:color w:val="auto"/>
                      <w:sz w:val="21"/>
                      <w:szCs w:val="21"/>
                      <w:vertAlign w:val="superscript"/>
                      <w:lang w:val="en-US" w:eastAsia="zh-CN"/>
                    </w:rPr>
                    <w:t>2</w:t>
                  </w:r>
                  <w:r>
                    <w:rPr>
                      <w:rFonts w:hint="eastAsia" w:ascii="Times New Roman" w:hAnsi="Times New Roman" w:cs="Times New Roman"/>
                      <w:color w:val="auto"/>
                      <w:sz w:val="21"/>
                      <w:szCs w:val="21"/>
                      <w:vertAlign w:val="baseline"/>
                      <w:lang w:val="en-US" w:eastAsia="zh-CN"/>
                    </w:rPr>
                    <w:t>，铝合金锭熔铸、机加工生产等</w:t>
                  </w:r>
                </w:p>
              </w:tc>
            </w:tr>
            <w:tr w14:paraId="3426877B">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restart"/>
                  <w:tcBorders>
                    <w:tl2br w:val="nil"/>
                    <w:tr2bl w:val="nil"/>
                  </w:tcBorders>
                  <w:noWrap w:val="0"/>
                  <w:vAlign w:val="center"/>
                </w:tcPr>
                <w:p w14:paraId="72E97603">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辅助工程</w:t>
                  </w:r>
                </w:p>
              </w:tc>
              <w:tc>
                <w:tcPr>
                  <w:tcW w:w="1740" w:type="dxa"/>
                  <w:tcBorders>
                    <w:tl2br w:val="nil"/>
                    <w:tr2bl w:val="nil"/>
                  </w:tcBorders>
                  <w:noWrap w:val="0"/>
                  <w:vAlign w:val="center"/>
                </w:tcPr>
                <w:p w14:paraId="395B277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原料堆放区</w:t>
                  </w:r>
                </w:p>
              </w:tc>
              <w:tc>
                <w:tcPr>
                  <w:tcW w:w="4968" w:type="dxa"/>
                  <w:tcBorders>
                    <w:tl2br w:val="nil"/>
                    <w:tr2bl w:val="nil"/>
                  </w:tcBorders>
                  <w:noWrap w:val="0"/>
                  <w:vAlign w:val="center"/>
                </w:tcPr>
                <w:p w14:paraId="02133BD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建筑面积</w:t>
                  </w:r>
                  <w:r>
                    <w:rPr>
                      <w:rFonts w:hint="eastAsia" w:ascii="Times New Roman" w:hAnsi="Times New Roman" w:cs="Times New Roman"/>
                      <w:color w:val="auto"/>
                      <w:sz w:val="21"/>
                      <w:szCs w:val="21"/>
                      <w:lang w:val="en-US" w:eastAsia="zh-CN"/>
                    </w:rPr>
                    <w:t>2</w:t>
                  </w:r>
                  <w:r>
                    <w:rPr>
                      <w:rFonts w:hint="default" w:ascii="Times New Roman" w:hAnsi="Times New Roman" w:cs="Times New Roman"/>
                      <w:color w:val="auto"/>
                      <w:sz w:val="21"/>
                      <w:szCs w:val="21"/>
                      <w:lang w:val="en-US" w:eastAsia="zh-CN"/>
                    </w:rPr>
                    <w:t>00m</w:t>
                  </w:r>
                  <w:r>
                    <w:rPr>
                      <w:rFonts w:hint="default" w:ascii="Times New Roman" w:hAnsi="Times New Roman" w:cs="Times New Roman"/>
                      <w:color w:val="auto"/>
                      <w:sz w:val="21"/>
                      <w:szCs w:val="21"/>
                      <w:vertAlign w:val="superscript"/>
                      <w:lang w:val="en-US" w:eastAsia="zh-CN"/>
                    </w:rPr>
                    <w:t>2</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lang w:val="en-US" w:eastAsia="zh-CN"/>
                    </w:rPr>
                    <w:t>原料堆放</w:t>
                  </w:r>
                  <w:r>
                    <w:rPr>
                      <w:rFonts w:hint="eastAsia" w:ascii="Times New Roman" w:hAnsi="Times New Roman" w:cs="Times New Roman"/>
                      <w:color w:val="auto"/>
                      <w:sz w:val="21"/>
                      <w:szCs w:val="21"/>
                      <w:lang w:val="en-US" w:eastAsia="zh-CN"/>
                    </w:rPr>
                    <w:t>，位于生产厂房内</w:t>
                  </w:r>
                </w:p>
              </w:tc>
            </w:tr>
            <w:tr w14:paraId="4C69E213">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7A21F525">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tcBorders>
                    <w:tl2br w:val="nil"/>
                    <w:tr2bl w:val="nil"/>
                  </w:tcBorders>
                  <w:noWrap w:val="0"/>
                  <w:vAlign w:val="center"/>
                </w:tcPr>
                <w:p w14:paraId="1A9E709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成品堆放区</w:t>
                  </w:r>
                </w:p>
              </w:tc>
              <w:tc>
                <w:tcPr>
                  <w:tcW w:w="4968" w:type="dxa"/>
                  <w:tcBorders>
                    <w:tl2br w:val="nil"/>
                    <w:tr2bl w:val="nil"/>
                  </w:tcBorders>
                  <w:noWrap w:val="0"/>
                  <w:vAlign w:val="center"/>
                </w:tcPr>
                <w:p w14:paraId="059A2760">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建筑面积</w:t>
                  </w:r>
                  <w:r>
                    <w:rPr>
                      <w:rFonts w:hint="eastAsia" w:ascii="Times New Roman" w:hAnsi="Times New Roman" w:cs="Times New Roman"/>
                      <w:color w:val="auto"/>
                      <w:sz w:val="21"/>
                      <w:szCs w:val="21"/>
                      <w:lang w:val="en-US" w:eastAsia="zh-CN"/>
                    </w:rPr>
                    <w:t>5</w:t>
                  </w:r>
                  <w:r>
                    <w:rPr>
                      <w:rFonts w:hint="default" w:ascii="Times New Roman" w:hAnsi="Times New Roman" w:cs="Times New Roman"/>
                      <w:color w:val="auto"/>
                      <w:sz w:val="21"/>
                      <w:szCs w:val="21"/>
                      <w:lang w:val="en-US" w:eastAsia="zh-CN"/>
                    </w:rPr>
                    <w:t>00m</w:t>
                  </w:r>
                  <w:r>
                    <w:rPr>
                      <w:rFonts w:hint="default" w:ascii="Times New Roman" w:hAnsi="Times New Roman" w:cs="Times New Roman"/>
                      <w:color w:val="auto"/>
                      <w:sz w:val="21"/>
                      <w:szCs w:val="21"/>
                      <w:vertAlign w:val="superscript"/>
                      <w:lang w:val="en-US" w:eastAsia="zh-CN"/>
                    </w:rPr>
                    <w:t>2</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lang w:val="en-US" w:eastAsia="zh-CN"/>
                    </w:rPr>
                    <w:t>成品堆放</w:t>
                  </w:r>
                  <w:r>
                    <w:rPr>
                      <w:rFonts w:hint="eastAsia" w:ascii="Times New Roman" w:hAnsi="Times New Roman" w:cs="Times New Roman"/>
                      <w:color w:val="auto"/>
                      <w:sz w:val="21"/>
                      <w:szCs w:val="21"/>
                      <w:lang w:val="en-US" w:eastAsia="zh-CN"/>
                    </w:rPr>
                    <w:t>，位于生产厂房内</w:t>
                  </w:r>
                </w:p>
              </w:tc>
            </w:tr>
            <w:tr w14:paraId="033D988D">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23953B9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tcBorders>
                    <w:tl2br w:val="nil"/>
                    <w:tr2bl w:val="nil"/>
                  </w:tcBorders>
                  <w:noWrap w:val="0"/>
                  <w:vAlign w:val="center"/>
                </w:tcPr>
                <w:p w14:paraId="56EFC4B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办公室</w:t>
                  </w:r>
                </w:p>
              </w:tc>
              <w:tc>
                <w:tcPr>
                  <w:tcW w:w="4968" w:type="dxa"/>
                  <w:tcBorders>
                    <w:tl2br w:val="nil"/>
                    <w:tr2bl w:val="nil"/>
                  </w:tcBorders>
                  <w:noWrap w:val="0"/>
                  <w:vAlign w:val="center"/>
                </w:tcPr>
                <w:p w14:paraId="2130AC8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总建筑面积</w:t>
                  </w:r>
                  <w:r>
                    <w:rPr>
                      <w:rFonts w:hint="eastAsia" w:ascii="Times New Roman" w:hAnsi="Times New Roman" w:cs="Times New Roman"/>
                      <w:color w:val="auto"/>
                      <w:sz w:val="21"/>
                      <w:szCs w:val="21"/>
                      <w:lang w:val="en-US" w:eastAsia="zh-CN"/>
                    </w:rPr>
                    <w:t>5</w:t>
                  </w:r>
                  <w:r>
                    <w:rPr>
                      <w:rFonts w:hint="default" w:ascii="Times New Roman" w:hAnsi="Times New Roman" w:cs="Times New Roman"/>
                      <w:color w:val="auto"/>
                      <w:sz w:val="21"/>
                      <w:szCs w:val="21"/>
                      <w:lang w:val="en-US" w:eastAsia="zh-CN"/>
                    </w:rPr>
                    <w:t>00m</w:t>
                  </w:r>
                  <w:r>
                    <w:rPr>
                      <w:rFonts w:hint="default" w:ascii="Times New Roman" w:hAnsi="Times New Roman" w:cs="Times New Roman"/>
                      <w:color w:val="auto"/>
                      <w:sz w:val="21"/>
                      <w:szCs w:val="21"/>
                      <w:vertAlign w:val="superscript"/>
                      <w:lang w:val="en-US" w:eastAsia="zh-CN"/>
                    </w:rPr>
                    <w:t>2</w:t>
                  </w:r>
                  <w:r>
                    <w:rPr>
                      <w:rFonts w:hint="eastAsia" w:ascii="Times New Roman" w:hAnsi="Times New Roman" w:cs="Times New Roman"/>
                      <w:color w:val="auto"/>
                      <w:sz w:val="21"/>
                      <w:szCs w:val="21"/>
                      <w:lang w:val="en-US" w:eastAsia="zh-CN"/>
                    </w:rPr>
                    <w:t>，办公管理，位于生产厂房内</w:t>
                  </w:r>
                </w:p>
              </w:tc>
            </w:tr>
            <w:tr w14:paraId="5AFD9B64">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restart"/>
                  <w:tcBorders>
                    <w:tl2br w:val="nil"/>
                    <w:tr2bl w:val="nil"/>
                  </w:tcBorders>
                  <w:noWrap w:val="0"/>
                  <w:vAlign w:val="center"/>
                </w:tcPr>
                <w:p w14:paraId="50EC26E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公用工程</w:t>
                  </w:r>
                </w:p>
              </w:tc>
              <w:tc>
                <w:tcPr>
                  <w:tcW w:w="1740" w:type="dxa"/>
                  <w:tcBorders>
                    <w:tl2br w:val="nil"/>
                    <w:tr2bl w:val="nil"/>
                  </w:tcBorders>
                  <w:noWrap w:val="0"/>
                  <w:vAlign w:val="center"/>
                </w:tcPr>
                <w:p w14:paraId="6DD9193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道路</w:t>
                  </w:r>
                </w:p>
              </w:tc>
              <w:tc>
                <w:tcPr>
                  <w:tcW w:w="4968" w:type="dxa"/>
                  <w:tcBorders>
                    <w:tl2br w:val="nil"/>
                    <w:tr2bl w:val="nil"/>
                  </w:tcBorders>
                  <w:noWrap w:val="0"/>
                  <w:vAlign w:val="center"/>
                </w:tcPr>
                <w:p w14:paraId="4DF5CB0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依托园区已建道路</w:t>
                  </w:r>
                </w:p>
              </w:tc>
            </w:tr>
            <w:tr w14:paraId="4573F44C">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06886025">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tcBorders>
                    <w:tl2br w:val="nil"/>
                    <w:tr2bl w:val="nil"/>
                  </w:tcBorders>
                  <w:noWrap w:val="0"/>
                  <w:vAlign w:val="center"/>
                </w:tcPr>
                <w:p w14:paraId="60EC85B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供电</w:t>
                  </w:r>
                </w:p>
              </w:tc>
              <w:tc>
                <w:tcPr>
                  <w:tcW w:w="4968" w:type="dxa"/>
                  <w:tcBorders>
                    <w:tl2br w:val="nil"/>
                    <w:tr2bl w:val="nil"/>
                  </w:tcBorders>
                  <w:noWrap w:val="0"/>
                  <w:vAlign w:val="center"/>
                </w:tcPr>
                <w:p w14:paraId="7F1B54ED">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工业园电网提供，380/220V</w:t>
                  </w:r>
                </w:p>
              </w:tc>
            </w:tr>
            <w:tr w14:paraId="0298B229">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19542803">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tcBorders>
                    <w:tl2br w:val="nil"/>
                    <w:tr2bl w:val="nil"/>
                  </w:tcBorders>
                  <w:noWrap w:val="0"/>
                  <w:vAlign w:val="center"/>
                </w:tcPr>
                <w:p w14:paraId="675CB6C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供水</w:t>
                  </w:r>
                </w:p>
              </w:tc>
              <w:tc>
                <w:tcPr>
                  <w:tcW w:w="4968" w:type="dxa"/>
                  <w:tcBorders>
                    <w:tl2br w:val="nil"/>
                    <w:tr2bl w:val="nil"/>
                  </w:tcBorders>
                  <w:noWrap w:val="0"/>
                  <w:vAlign w:val="center"/>
                </w:tcPr>
                <w:p w14:paraId="3ABEE3C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依托园区</w:t>
                  </w:r>
                  <w:r>
                    <w:rPr>
                      <w:rFonts w:hint="default" w:ascii="Times New Roman" w:hAnsi="Times New Roman" w:cs="Times New Roman"/>
                      <w:color w:val="auto"/>
                      <w:sz w:val="21"/>
                      <w:szCs w:val="21"/>
                      <w:lang w:val="en-US" w:eastAsia="zh-CN"/>
                    </w:rPr>
                    <w:t>自来水管网供给</w:t>
                  </w:r>
                </w:p>
              </w:tc>
            </w:tr>
            <w:tr w14:paraId="7A2732D4">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restart"/>
                  <w:tcBorders>
                    <w:tl2br w:val="nil"/>
                    <w:tr2bl w:val="nil"/>
                  </w:tcBorders>
                  <w:noWrap w:val="0"/>
                  <w:vAlign w:val="center"/>
                </w:tcPr>
                <w:p w14:paraId="1E5E9D8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环保工程</w:t>
                  </w:r>
                </w:p>
              </w:tc>
              <w:tc>
                <w:tcPr>
                  <w:tcW w:w="1740" w:type="dxa"/>
                  <w:vMerge w:val="restart"/>
                  <w:tcBorders>
                    <w:tl2br w:val="nil"/>
                    <w:tr2bl w:val="nil"/>
                  </w:tcBorders>
                  <w:noWrap w:val="0"/>
                  <w:vAlign w:val="center"/>
                </w:tcPr>
                <w:p w14:paraId="2956920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废水处理设施</w:t>
                  </w:r>
                </w:p>
              </w:tc>
              <w:tc>
                <w:tcPr>
                  <w:tcW w:w="4968" w:type="dxa"/>
                  <w:tcBorders>
                    <w:tl2br w:val="nil"/>
                    <w:tr2bl w:val="nil"/>
                  </w:tcBorders>
                  <w:noWrap w:val="0"/>
                  <w:vAlign w:val="center"/>
                </w:tcPr>
                <w:p w14:paraId="2514BCF1">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依托园区</w:t>
                  </w:r>
                  <w:r>
                    <w:rPr>
                      <w:rFonts w:hint="default" w:ascii="Times New Roman" w:hAnsi="Times New Roman" w:cs="Times New Roman"/>
                      <w:color w:val="auto"/>
                      <w:sz w:val="21"/>
                      <w:szCs w:val="21"/>
                      <w:lang w:val="en-US" w:eastAsia="zh-CN"/>
                    </w:rPr>
                    <w:t>雨污分流</w:t>
                  </w:r>
                </w:p>
              </w:tc>
            </w:tr>
            <w:tr w14:paraId="3D7CA1D1">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5A1908C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vMerge w:val="continue"/>
                  <w:tcBorders>
                    <w:tl2br w:val="nil"/>
                    <w:tr2bl w:val="nil"/>
                  </w:tcBorders>
                  <w:noWrap w:val="0"/>
                  <w:vAlign w:val="center"/>
                </w:tcPr>
                <w:p w14:paraId="6C9EB23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4968" w:type="dxa"/>
                  <w:tcBorders>
                    <w:tl2br w:val="nil"/>
                    <w:tr2bl w:val="nil"/>
                  </w:tcBorders>
                  <w:noWrap w:val="0"/>
                  <w:vAlign w:val="center"/>
                </w:tcPr>
                <w:p w14:paraId="45BBE141">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生活污水</w:t>
                  </w:r>
                  <w:r>
                    <w:rPr>
                      <w:rFonts w:hint="eastAsia" w:ascii="Times New Roman" w:hAnsi="Times New Roman" w:cs="Times New Roman"/>
                      <w:color w:val="auto"/>
                      <w:sz w:val="21"/>
                      <w:szCs w:val="21"/>
                      <w:lang w:val="en-US" w:eastAsia="zh-CN"/>
                    </w:rPr>
                    <w:t>经</w:t>
                  </w:r>
                  <w:r>
                    <w:rPr>
                      <w:rFonts w:hint="default" w:ascii="Times New Roman" w:hAnsi="Times New Roman" w:cs="Times New Roman"/>
                      <w:color w:val="auto"/>
                      <w:sz w:val="21"/>
                      <w:szCs w:val="21"/>
                      <w:lang w:val="en-US" w:eastAsia="zh-CN"/>
                    </w:rPr>
                    <w:t>园区化粪池</w:t>
                  </w:r>
                  <w:r>
                    <w:rPr>
                      <w:rFonts w:hint="eastAsia" w:ascii="Times New Roman" w:hAnsi="Times New Roman" w:cs="Times New Roman"/>
                      <w:color w:val="auto"/>
                      <w:sz w:val="21"/>
                      <w:szCs w:val="21"/>
                      <w:lang w:val="en-US" w:eastAsia="zh-CN"/>
                    </w:rPr>
                    <w:t>处理后排入市政污水管网</w:t>
                  </w:r>
                </w:p>
              </w:tc>
            </w:tr>
            <w:tr w14:paraId="172F4597">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09AA10D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tcBorders>
                    <w:tl2br w:val="nil"/>
                    <w:tr2bl w:val="nil"/>
                  </w:tcBorders>
                  <w:noWrap w:val="0"/>
                  <w:vAlign w:val="center"/>
                </w:tcPr>
                <w:p w14:paraId="15A85F53">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废气处理设施</w:t>
                  </w:r>
                </w:p>
              </w:tc>
              <w:tc>
                <w:tcPr>
                  <w:tcW w:w="4968" w:type="dxa"/>
                  <w:tcBorders>
                    <w:tl2br w:val="nil"/>
                    <w:tr2bl w:val="nil"/>
                  </w:tcBorders>
                  <w:noWrap w:val="0"/>
                  <w:vAlign w:val="center"/>
                </w:tcPr>
                <w:p w14:paraId="3B0FDA1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熔铸废气经集气罩收集+布袋除尘+15m高排气筒</w:t>
                  </w:r>
                </w:p>
              </w:tc>
            </w:tr>
            <w:tr w14:paraId="6C483B27">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781C1AD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tcBorders>
                    <w:tl2br w:val="nil"/>
                    <w:tr2bl w:val="nil"/>
                  </w:tcBorders>
                  <w:noWrap w:val="0"/>
                  <w:vAlign w:val="center"/>
                </w:tcPr>
                <w:p w14:paraId="58487FF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噪声处理设施</w:t>
                  </w:r>
                </w:p>
              </w:tc>
              <w:tc>
                <w:tcPr>
                  <w:tcW w:w="4968" w:type="dxa"/>
                  <w:tcBorders>
                    <w:tl2br w:val="nil"/>
                    <w:tr2bl w:val="nil"/>
                  </w:tcBorders>
                  <w:noWrap w:val="0"/>
                  <w:vAlign w:val="center"/>
                </w:tcPr>
                <w:p w14:paraId="0F8662B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选用</w:t>
                  </w:r>
                  <w:r>
                    <w:rPr>
                      <w:rFonts w:hint="default" w:ascii="Times New Roman" w:hAnsi="Times New Roman" w:cs="Times New Roman"/>
                      <w:color w:val="auto"/>
                      <w:sz w:val="21"/>
                      <w:szCs w:val="21"/>
                      <w:lang w:val="en-US" w:eastAsia="zh-CN"/>
                    </w:rPr>
                    <w:t>低噪声设备，设备</w:t>
                  </w:r>
                  <w:r>
                    <w:rPr>
                      <w:rFonts w:hint="eastAsia" w:ascii="Times New Roman" w:hAnsi="Times New Roman" w:cs="Times New Roman"/>
                      <w:color w:val="auto"/>
                      <w:sz w:val="21"/>
                      <w:szCs w:val="21"/>
                      <w:lang w:val="en-US" w:eastAsia="zh-CN"/>
                    </w:rPr>
                    <w:t>减震、隔声</w:t>
                  </w:r>
                </w:p>
              </w:tc>
            </w:tr>
            <w:tr w14:paraId="57BBAC05">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1A57DD29">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vMerge w:val="restart"/>
                  <w:tcBorders>
                    <w:tl2br w:val="nil"/>
                    <w:tr2bl w:val="nil"/>
                  </w:tcBorders>
                  <w:noWrap w:val="0"/>
                  <w:vAlign w:val="center"/>
                </w:tcPr>
                <w:p w14:paraId="4D23AE8C">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固废处理设施</w:t>
                  </w:r>
                </w:p>
              </w:tc>
              <w:tc>
                <w:tcPr>
                  <w:tcW w:w="4968" w:type="dxa"/>
                  <w:tcBorders>
                    <w:tl2br w:val="nil"/>
                    <w:tr2bl w:val="nil"/>
                  </w:tcBorders>
                  <w:noWrap w:val="0"/>
                  <w:vAlign w:val="center"/>
                </w:tcPr>
                <w:p w14:paraId="7411B4B5">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生活垃圾：垃圾桶（若干）</w:t>
                  </w:r>
                </w:p>
              </w:tc>
            </w:tr>
            <w:tr w14:paraId="729A901F">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7CACFBF1">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vMerge w:val="continue"/>
                  <w:tcBorders>
                    <w:tl2br w:val="nil"/>
                    <w:tr2bl w:val="nil"/>
                  </w:tcBorders>
                  <w:noWrap w:val="0"/>
                  <w:vAlign w:val="center"/>
                </w:tcPr>
                <w:p w14:paraId="7A67336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4968" w:type="dxa"/>
                  <w:tcBorders>
                    <w:tl2br w:val="nil"/>
                    <w:tr2bl w:val="nil"/>
                  </w:tcBorders>
                  <w:noWrap w:val="0"/>
                  <w:vAlign w:val="center"/>
                </w:tcPr>
                <w:p w14:paraId="59E6A01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一般固废间（</w:t>
                  </w:r>
                  <w:r>
                    <w:rPr>
                      <w:rFonts w:hint="eastAsia" w:ascii="Times New Roman" w:hAnsi="Times New Roman" w:cs="Times New Roman"/>
                      <w:color w:val="auto"/>
                      <w:sz w:val="21"/>
                      <w:szCs w:val="21"/>
                      <w:lang w:val="en-US" w:eastAsia="zh-CN"/>
                    </w:rPr>
                    <w:t>5</w:t>
                  </w:r>
                  <w:r>
                    <w:rPr>
                      <w:rFonts w:hint="default" w:ascii="Times New Roman" w:hAnsi="Times New Roman" w:cs="Times New Roman"/>
                      <w:color w:val="auto"/>
                      <w:sz w:val="21"/>
                      <w:szCs w:val="21"/>
                      <w:lang w:val="en-US" w:eastAsia="zh-CN"/>
                    </w:rPr>
                    <w:t>m</w:t>
                  </w:r>
                  <w:r>
                    <w:rPr>
                      <w:rFonts w:hint="default" w:ascii="Times New Roman" w:hAnsi="Times New Roman" w:cs="Times New Roman"/>
                      <w:color w:val="auto"/>
                      <w:sz w:val="21"/>
                      <w:szCs w:val="21"/>
                      <w:vertAlign w:val="superscript"/>
                      <w:lang w:val="en-US" w:eastAsia="zh-CN"/>
                    </w:rPr>
                    <w:t>2</w:t>
                  </w:r>
                  <w:r>
                    <w:rPr>
                      <w:rFonts w:hint="default" w:ascii="Times New Roman" w:hAnsi="Times New Roman" w:cs="Times New Roman"/>
                      <w:color w:val="auto"/>
                      <w:sz w:val="21"/>
                      <w:szCs w:val="21"/>
                      <w:lang w:val="en-US" w:eastAsia="zh-CN"/>
                    </w:rPr>
                    <w:t>）</w:t>
                  </w:r>
                </w:p>
              </w:tc>
            </w:tr>
            <w:tr w14:paraId="40CA6A3D">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5703CBD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vMerge w:val="continue"/>
                  <w:tcBorders>
                    <w:tl2br w:val="nil"/>
                    <w:tr2bl w:val="nil"/>
                  </w:tcBorders>
                  <w:noWrap w:val="0"/>
                  <w:vAlign w:val="center"/>
                </w:tcPr>
                <w:p w14:paraId="0DDE195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4968" w:type="dxa"/>
                  <w:tcBorders>
                    <w:tl2br w:val="nil"/>
                    <w:tr2bl w:val="nil"/>
                  </w:tcBorders>
                  <w:noWrap w:val="0"/>
                  <w:vAlign w:val="center"/>
                </w:tcPr>
                <w:p w14:paraId="59E8FF9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危险废物：危险固废间（10m</w:t>
                  </w:r>
                  <w:r>
                    <w:rPr>
                      <w:rFonts w:hint="default" w:ascii="Times New Roman" w:hAnsi="Times New Roman" w:cs="Times New Roman"/>
                      <w:color w:val="auto"/>
                      <w:sz w:val="21"/>
                      <w:szCs w:val="21"/>
                      <w:vertAlign w:val="superscript"/>
                      <w:lang w:val="en-US" w:eastAsia="zh-CN"/>
                    </w:rPr>
                    <w:t>2</w:t>
                  </w:r>
                  <w:r>
                    <w:rPr>
                      <w:rFonts w:hint="default" w:ascii="Times New Roman" w:hAnsi="Times New Roman" w:cs="Times New Roman"/>
                      <w:color w:val="auto"/>
                      <w:sz w:val="21"/>
                      <w:szCs w:val="21"/>
                      <w:lang w:val="en-US" w:eastAsia="zh-CN"/>
                    </w:rPr>
                    <w:t>）</w:t>
                  </w:r>
                </w:p>
              </w:tc>
            </w:tr>
            <w:tr w14:paraId="31E01FD6">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22" w:type="dxa"/>
                  <w:vMerge w:val="continue"/>
                  <w:tcBorders>
                    <w:tl2br w:val="nil"/>
                    <w:tr2bl w:val="nil"/>
                  </w:tcBorders>
                  <w:noWrap w:val="0"/>
                  <w:vAlign w:val="center"/>
                </w:tcPr>
                <w:p w14:paraId="287B721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p>
              </w:tc>
              <w:tc>
                <w:tcPr>
                  <w:tcW w:w="1740" w:type="dxa"/>
                  <w:tcBorders>
                    <w:tl2br w:val="nil"/>
                    <w:tr2bl w:val="nil"/>
                  </w:tcBorders>
                  <w:noWrap w:val="0"/>
                  <w:vAlign w:val="center"/>
                </w:tcPr>
                <w:p w14:paraId="3F32A2B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环境风险</w:t>
                  </w:r>
                </w:p>
              </w:tc>
              <w:tc>
                <w:tcPr>
                  <w:tcW w:w="4968" w:type="dxa"/>
                  <w:tcBorders>
                    <w:tl2br w:val="nil"/>
                    <w:tr2bl w:val="nil"/>
                  </w:tcBorders>
                  <w:noWrap w:val="0"/>
                  <w:vAlign w:val="center"/>
                </w:tcPr>
                <w:p w14:paraId="1CDF9D4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原料仓库、危废暂存间设置防渗措施，制定相应的环境风险应急预案</w:t>
                  </w:r>
                </w:p>
              </w:tc>
            </w:tr>
          </w:tbl>
          <w:p w14:paraId="3774ABCE">
            <w:pPr>
              <w:bidi w:val="0"/>
              <w:rPr>
                <w:b/>
                <w:bCs/>
                <w:color w:val="auto"/>
                <w:u w:val="single"/>
              </w:rPr>
            </w:pPr>
            <w:r>
              <w:rPr>
                <w:rFonts w:hint="eastAsia"/>
                <w:b/>
                <w:bCs/>
                <w:color w:val="auto"/>
                <w:u w:val="single"/>
                <w:lang w:eastAsia="zh-CN"/>
              </w:rPr>
              <w:t>（</w:t>
            </w:r>
            <w:r>
              <w:rPr>
                <w:rFonts w:hint="eastAsia"/>
                <w:b/>
                <w:bCs/>
                <w:color w:val="auto"/>
                <w:u w:val="single"/>
                <w:lang w:val="en-US" w:eastAsia="zh-CN"/>
              </w:rPr>
              <w:t>二</w:t>
            </w:r>
            <w:r>
              <w:rPr>
                <w:rFonts w:hint="eastAsia"/>
                <w:b/>
                <w:bCs/>
                <w:color w:val="auto"/>
                <w:u w:val="single"/>
                <w:lang w:eastAsia="zh-CN"/>
              </w:rPr>
              <w:t>）</w:t>
            </w:r>
            <w:r>
              <w:rPr>
                <w:rFonts w:hint="eastAsia"/>
                <w:b/>
                <w:bCs/>
                <w:color w:val="auto"/>
                <w:u w:val="single"/>
              </w:rPr>
              <w:t>产品方案</w:t>
            </w:r>
          </w:p>
          <w:p w14:paraId="44AF4F2E">
            <w:pPr>
              <w:bidi w:val="0"/>
              <w:rPr>
                <w:color w:val="auto"/>
                <w:u w:val="single"/>
              </w:rPr>
            </w:pPr>
            <w:r>
              <w:rPr>
                <w:rFonts w:hint="eastAsia"/>
                <w:color w:val="auto"/>
                <w:u w:val="single"/>
              </w:rPr>
              <w:t>本项目</w:t>
            </w:r>
            <w:r>
              <w:rPr>
                <w:rFonts w:hint="eastAsia"/>
                <w:color w:val="auto"/>
                <w:u w:val="single"/>
                <w:lang w:val="en-US" w:eastAsia="zh-CN"/>
              </w:rPr>
              <w:t>主要产品为铸造铝合金汽车零部件</w:t>
            </w:r>
            <w:r>
              <w:rPr>
                <w:rFonts w:hint="eastAsia"/>
                <w:color w:val="auto"/>
                <w:u w:val="single"/>
                <w:lang w:eastAsia="zh-CN"/>
              </w:rPr>
              <w:t>，</w:t>
            </w:r>
            <w:r>
              <w:rPr>
                <w:rFonts w:hint="eastAsia"/>
                <w:color w:val="auto"/>
                <w:u w:val="single"/>
              </w:rPr>
              <w:t>具体产品方案见表2</w:t>
            </w:r>
            <w:r>
              <w:rPr>
                <w:color w:val="auto"/>
                <w:u w:val="single"/>
              </w:rPr>
              <w:t>-</w:t>
            </w:r>
            <w:r>
              <w:rPr>
                <w:rFonts w:hint="eastAsia"/>
                <w:color w:val="auto"/>
                <w:u w:val="single"/>
                <w:lang w:val="en-US" w:eastAsia="zh-CN"/>
              </w:rPr>
              <w:t>2</w:t>
            </w:r>
            <w:r>
              <w:rPr>
                <w:rFonts w:hint="eastAsia"/>
                <w:color w:val="auto"/>
                <w:u w:val="single"/>
              </w:rPr>
              <w:t>。</w:t>
            </w:r>
          </w:p>
          <w:p w14:paraId="554F0073">
            <w:pPr>
              <w:adjustRightInd w:val="0"/>
              <w:snapToGrid w:val="0"/>
              <w:spacing w:before="120" w:beforeLines="50" w:line="240" w:lineRule="auto"/>
              <w:jc w:val="center"/>
              <w:rPr>
                <w:b/>
                <w:color w:val="auto"/>
                <w:sz w:val="21"/>
                <w:szCs w:val="21"/>
                <w:u w:val="single"/>
              </w:rPr>
            </w:pPr>
            <w:r>
              <w:rPr>
                <w:rFonts w:hint="eastAsia"/>
                <w:b/>
                <w:color w:val="auto"/>
                <w:sz w:val="21"/>
                <w:szCs w:val="21"/>
                <w:u w:val="single"/>
              </w:rPr>
              <w:t>表2</w:t>
            </w:r>
            <w:r>
              <w:rPr>
                <w:b/>
                <w:color w:val="auto"/>
                <w:sz w:val="21"/>
                <w:szCs w:val="21"/>
                <w:u w:val="single"/>
              </w:rPr>
              <w:t>-</w:t>
            </w:r>
            <w:r>
              <w:rPr>
                <w:rFonts w:hint="eastAsia"/>
                <w:b/>
                <w:color w:val="auto"/>
                <w:sz w:val="21"/>
                <w:szCs w:val="21"/>
                <w:u w:val="single"/>
                <w:lang w:val="en-US" w:eastAsia="zh-CN"/>
              </w:rPr>
              <w:t>2</w:t>
            </w:r>
            <w:r>
              <w:rPr>
                <w:b/>
                <w:color w:val="auto"/>
                <w:sz w:val="21"/>
                <w:szCs w:val="21"/>
                <w:u w:val="single"/>
              </w:rPr>
              <w:t xml:space="preserve">  </w:t>
            </w:r>
            <w:r>
              <w:rPr>
                <w:rFonts w:hint="eastAsia"/>
                <w:b/>
                <w:color w:val="auto"/>
                <w:sz w:val="21"/>
                <w:szCs w:val="21"/>
                <w:u w:val="single"/>
              </w:rPr>
              <w:t>本项目产品方案及生产规模</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6"/>
              <w:gridCol w:w="2492"/>
              <w:gridCol w:w="2227"/>
              <w:gridCol w:w="2227"/>
            </w:tblGrid>
            <w:tr w14:paraId="6EED2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22" w:type="pct"/>
                  <w:tcBorders>
                    <w:tl2br w:val="nil"/>
                    <w:tr2bl w:val="nil"/>
                  </w:tcBorders>
                  <w:noWrap w:val="0"/>
                  <w:vAlign w:val="center"/>
                </w:tcPr>
                <w:p w14:paraId="30AF2A90">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序号</w:t>
                  </w:r>
                </w:p>
              </w:tc>
              <w:tc>
                <w:tcPr>
                  <w:tcW w:w="1570" w:type="pct"/>
                  <w:tcBorders>
                    <w:tl2br w:val="nil"/>
                    <w:tr2bl w:val="nil"/>
                  </w:tcBorders>
                  <w:noWrap w:val="0"/>
                  <w:vAlign w:val="center"/>
                </w:tcPr>
                <w:p w14:paraId="4A2C905D">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产品名称</w:t>
                  </w:r>
                </w:p>
              </w:tc>
              <w:tc>
                <w:tcPr>
                  <w:tcW w:w="1403" w:type="pct"/>
                  <w:tcBorders>
                    <w:tl2br w:val="nil"/>
                    <w:tr2bl w:val="nil"/>
                  </w:tcBorders>
                  <w:noWrap w:val="0"/>
                  <w:vAlign w:val="center"/>
                </w:tcPr>
                <w:p w14:paraId="685F27B8">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设计产能</w:t>
                  </w:r>
                </w:p>
              </w:tc>
              <w:tc>
                <w:tcPr>
                  <w:tcW w:w="1403" w:type="pct"/>
                  <w:tcBorders>
                    <w:tl2br w:val="nil"/>
                    <w:tr2bl w:val="nil"/>
                  </w:tcBorders>
                  <w:noWrap w:val="0"/>
                  <w:vAlign w:val="center"/>
                </w:tcPr>
                <w:p w14:paraId="1AD17CDC">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规格</w:t>
                  </w:r>
                </w:p>
              </w:tc>
            </w:tr>
            <w:tr w14:paraId="18D27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22" w:type="pct"/>
                  <w:tcBorders>
                    <w:tl2br w:val="nil"/>
                    <w:tr2bl w:val="nil"/>
                  </w:tcBorders>
                  <w:noWrap w:val="0"/>
                  <w:vAlign w:val="center"/>
                </w:tcPr>
                <w:p w14:paraId="31010818">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1</w:t>
                  </w:r>
                </w:p>
              </w:tc>
              <w:tc>
                <w:tcPr>
                  <w:tcW w:w="2492" w:type="dxa"/>
                  <w:tcBorders>
                    <w:tl2br w:val="nil"/>
                    <w:tr2bl w:val="nil"/>
                  </w:tcBorders>
                  <w:noWrap w:val="0"/>
                  <w:vAlign w:val="center"/>
                </w:tcPr>
                <w:p w14:paraId="5AD0EE95">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电池箱体</w:t>
                  </w:r>
                </w:p>
              </w:tc>
              <w:tc>
                <w:tcPr>
                  <w:tcW w:w="1403" w:type="pct"/>
                  <w:tcBorders>
                    <w:tl2br w:val="nil"/>
                    <w:tr2bl w:val="nil"/>
                  </w:tcBorders>
                  <w:noWrap w:val="0"/>
                  <w:vAlign w:val="center"/>
                </w:tcPr>
                <w:p w14:paraId="7E906752">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lang w:val="en-US" w:eastAsia="zh-CN"/>
                    </w:rPr>
                  </w:pPr>
                  <w:r>
                    <w:rPr>
                      <w:rFonts w:hint="eastAsia" w:cs="Times New Roman"/>
                      <w:color w:val="auto"/>
                      <w:sz w:val="21"/>
                      <w:szCs w:val="21"/>
                      <w:highlight w:val="none"/>
                      <w:u w:val="single"/>
                      <w:lang w:val="en-US" w:eastAsia="zh-CN"/>
                    </w:rPr>
                    <w:t>72</w:t>
                  </w:r>
                  <w:r>
                    <w:rPr>
                      <w:rFonts w:hint="eastAsia" w:ascii="Times New Roman" w:hAnsi="Times New Roman" w:eastAsia="宋体" w:cs="Times New Roman"/>
                      <w:color w:val="auto"/>
                      <w:sz w:val="21"/>
                      <w:szCs w:val="21"/>
                      <w:highlight w:val="none"/>
                      <w:u w:val="single"/>
                      <w:lang w:val="en-US" w:eastAsia="zh-CN"/>
                    </w:rPr>
                    <w:t>000套</w:t>
                  </w:r>
                </w:p>
              </w:tc>
              <w:tc>
                <w:tcPr>
                  <w:tcW w:w="2227" w:type="dxa"/>
                  <w:tcBorders>
                    <w:tl2br w:val="nil"/>
                    <w:tr2bl w:val="nil"/>
                  </w:tcBorders>
                  <w:noWrap w:val="0"/>
                  <w:vAlign w:val="center"/>
                </w:tcPr>
                <w:p w14:paraId="4229753C">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2130</w:t>
                  </w:r>
                </w:p>
              </w:tc>
            </w:tr>
            <w:tr w14:paraId="0FB44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22" w:type="pct"/>
                  <w:tcBorders>
                    <w:tl2br w:val="nil"/>
                    <w:tr2bl w:val="nil"/>
                  </w:tcBorders>
                  <w:noWrap w:val="0"/>
                  <w:vAlign w:val="center"/>
                </w:tcPr>
                <w:p w14:paraId="6371C2BF">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2</w:t>
                  </w:r>
                </w:p>
              </w:tc>
              <w:tc>
                <w:tcPr>
                  <w:tcW w:w="2492" w:type="dxa"/>
                  <w:tcBorders>
                    <w:tl2br w:val="nil"/>
                    <w:tr2bl w:val="nil"/>
                  </w:tcBorders>
                  <w:noWrap w:val="0"/>
                  <w:vAlign w:val="center"/>
                </w:tcPr>
                <w:p w14:paraId="2EEB5D68">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电机壳体</w:t>
                  </w:r>
                </w:p>
              </w:tc>
              <w:tc>
                <w:tcPr>
                  <w:tcW w:w="1403" w:type="pct"/>
                  <w:tcBorders>
                    <w:tl2br w:val="nil"/>
                    <w:tr2bl w:val="nil"/>
                  </w:tcBorders>
                  <w:noWrap w:val="0"/>
                  <w:vAlign w:val="center"/>
                </w:tcPr>
                <w:p w14:paraId="6B0A3338">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lang w:val="en-US" w:eastAsia="zh-CN"/>
                    </w:rPr>
                  </w:pPr>
                  <w:r>
                    <w:rPr>
                      <w:rFonts w:hint="eastAsia" w:cs="Times New Roman"/>
                      <w:color w:val="auto"/>
                      <w:sz w:val="21"/>
                      <w:szCs w:val="21"/>
                      <w:highlight w:val="none"/>
                      <w:u w:val="single"/>
                      <w:lang w:val="en-US" w:eastAsia="zh-CN"/>
                    </w:rPr>
                    <w:t>12</w:t>
                  </w:r>
                  <w:r>
                    <w:rPr>
                      <w:rFonts w:hint="eastAsia" w:ascii="Times New Roman" w:hAnsi="Times New Roman" w:eastAsia="宋体" w:cs="Times New Roman"/>
                      <w:color w:val="auto"/>
                      <w:sz w:val="21"/>
                      <w:szCs w:val="21"/>
                      <w:highlight w:val="none"/>
                      <w:u w:val="single"/>
                      <w:lang w:val="en-US" w:eastAsia="zh-CN"/>
                    </w:rPr>
                    <w:t>0000套</w:t>
                  </w:r>
                </w:p>
              </w:tc>
              <w:tc>
                <w:tcPr>
                  <w:tcW w:w="2227" w:type="dxa"/>
                  <w:tcBorders>
                    <w:tl2br w:val="nil"/>
                    <w:tr2bl w:val="nil"/>
                  </w:tcBorders>
                  <w:noWrap w:val="0"/>
                  <w:vAlign w:val="center"/>
                </w:tcPr>
                <w:p w14:paraId="0C579C16">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800</w:t>
                  </w:r>
                </w:p>
              </w:tc>
            </w:tr>
            <w:tr w14:paraId="7F562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22" w:type="pct"/>
                  <w:tcBorders>
                    <w:tl2br w:val="nil"/>
                    <w:tr2bl w:val="nil"/>
                  </w:tcBorders>
                  <w:noWrap w:val="0"/>
                  <w:vAlign w:val="center"/>
                </w:tcPr>
                <w:p w14:paraId="7F69A47F">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3</w:t>
                  </w:r>
                </w:p>
              </w:tc>
              <w:tc>
                <w:tcPr>
                  <w:tcW w:w="2492" w:type="dxa"/>
                  <w:tcBorders>
                    <w:tl2br w:val="nil"/>
                    <w:tr2bl w:val="nil"/>
                  </w:tcBorders>
                  <w:noWrap w:val="0"/>
                  <w:vAlign w:val="center"/>
                </w:tcPr>
                <w:p w14:paraId="15ACC409">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接线盒</w:t>
                  </w:r>
                </w:p>
              </w:tc>
              <w:tc>
                <w:tcPr>
                  <w:tcW w:w="1403" w:type="pct"/>
                  <w:tcBorders>
                    <w:tl2br w:val="nil"/>
                    <w:tr2bl w:val="nil"/>
                  </w:tcBorders>
                  <w:noWrap w:val="0"/>
                  <w:vAlign w:val="center"/>
                </w:tcPr>
                <w:p w14:paraId="4DAF4127">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lang w:val="en-US" w:eastAsia="zh-CN"/>
                    </w:rPr>
                  </w:pPr>
                  <w:r>
                    <w:rPr>
                      <w:rFonts w:hint="eastAsia" w:cs="Times New Roman"/>
                      <w:color w:val="auto"/>
                      <w:sz w:val="21"/>
                      <w:szCs w:val="21"/>
                      <w:highlight w:val="none"/>
                      <w:u w:val="single"/>
                      <w:lang w:val="en-US" w:eastAsia="zh-CN"/>
                    </w:rPr>
                    <w:t>12</w:t>
                  </w:r>
                  <w:r>
                    <w:rPr>
                      <w:rFonts w:hint="eastAsia" w:ascii="Times New Roman" w:hAnsi="Times New Roman" w:eastAsia="宋体" w:cs="Times New Roman"/>
                      <w:color w:val="auto"/>
                      <w:sz w:val="21"/>
                      <w:szCs w:val="21"/>
                      <w:highlight w:val="none"/>
                      <w:u w:val="single"/>
                      <w:lang w:val="en-US" w:eastAsia="zh-CN"/>
                    </w:rPr>
                    <w:t>0000套</w:t>
                  </w:r>
                </w:p>
              </w:tc>
              <w:tc>
                <w:tcPr>
                  <w:tcW w:w="2227" w:type="dxa"/>
                  <w:tcBorders>
                    <w:tl2br w:val="nil"/>
                    <w:tr2bl w:val="nil"/>
                  </w:tcBorders>
                  <w:noWrap w:val="0"/>
                  <w:vAlign w:val="center"/>
                </w:tcPr>
                <w:p w14:paraId="25001B58">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lang w:val="en-US" w:eastAsia="zh-CN"/>
                    </w:rPr>
                  </w:pPr>
                  <w:r>
                    <w:rPr>
                      <w:rFonts w:hint="eastAsia" w:ascii="Times New Roman" w:hAnsi="Times New Roman" w:eastAsia="宋体" w:cs="Times New Roman"/>
                      <w:color w:val="auto"/>
                      <w:sz w:val="21"/>
                      <w:szCs w:val="21"/>
                      <w:highlight w:val="none"/>
                      <w:u w:val="single"/>
                      <w:lang w:val="en-US" w:eastAsia="zh-CN"/>
                    </w:rPr>
                    <w:t>695</w:t>
                  </w:r>
                </w:p>
              </w:tc>
            </w:tr>
          </w:tbl>
          <w:p w14:paraId="65E78819">
            <w:pPr>
              <w:bidi w:val="0"/>
              <w:rPr>
                <w:b/>
                <w:bCs/>
                <w:color w:val="auto"/>
                <w:u w:val="single"/>
              </w:rPr>
            </w:pPr>
            <w:r>
              <w:rPr>
                <w:rFonts w:hint="eastAsia"/>
                <w:b/>
                <w:bCs/>
                <w:color w:val="auto"/>
                <w:u w:val="single"/>
                <w:lang w:eastAsia="zh-CN"/>
              </w:rPr>
              <w:t>（</w:t>
            </w:r>
            <w:r>
              <w:rPr>
                <w:rFonts w:hint="eastAsia"/>
                <w:b/>
                <w:bCs/>
                <w:color w:val="auto"/>
                <w:u w:val="single"/>
                <w:lang w:val="en-US" w:eastAsia="zh-CN"/>
              </w:rPr>
              <w:t>三</w:t>
            </w:r>
            <w:r>
              <w:rPr>
                <w:rFonts w:hint="eastAsia"/>
                <w:b/>
                <w:bCs/>
                <w:color w:val="auto"/>
                <w:u w:val="single"/>
                <w:lang w:eastAsia="zh-CN"/>
              </w:rPr>
              <w:t>）</w:t>
            </w:r>
            <w:r>
              <w:rPr>
                <w:rFonts w:hint="eastAsia"/>
                <w:b/>
                <w:bCs/>
                <w:color w:val="auto"/>
                <w:u w:val="single"/>
              </w:rPr>
              <w:t>主要原辅材料</w:t>
            </w:r>
          </w:p>
          <w:p w14:paraId="35E07154">
            <w:pPr>
              <w:bidi w:val="0"/>
              <w:rPr>
                <w:color w:val="auto"/>
                <w:u w:val="single"/>
              </w:rPr>
            </w:pPr>
            <w:r>
              <w:rPr>
                <w:color w:val="auto"/>
                <w:u w:val="single"/>
              </w:rPr>
              <w:t>本项目主要原辅料详见表2-3所示。</w:t>
            </w:r>
          </w:p>
          <w:p w14:paraId="5FD9B7E0">
            <w:pPr>
              <w:adjustRightInd w:val="0"/>
              <w:snapToGrid w:val="0"/>
              <w:spacing w:before="120" w:beforeLines="50" w:line="240" w:lineRule="auto"/>
              <w:ind w:firstLine="720"/>
              <w:jc w:val="center"/>
              <w:rPr>
                <w:rFonts w:hint="eastAsia" w:ascii="Times New Roman" w:hAnsi="Times New Roman" w:eastAsia="宋体" w:cs="Times New Roman"/>
                <w:b/>
                <w:color w:val="auto"/>
                <w:sz w:val="21"/>
                <w:szCs w:val="21"/>
                <w:u w:val="single"/>
              </w:rPr>
            </w:pPr>
            <w:r>
              <w:rPr>
                <w:rFonts w:hint="eastAsia" w:ascii="Times New Roman" w:hAnsi="Times New Roman" w:eastAsia="宋体" w:cs="Times New Roman"/>
                <w:b/>
                <w:color w:val="auto"/>
                <w:sz w:val="21"/>
                <w:szCs w:val="21"/>
                <w:u w:val="single"/>
              </w:rPr>
              <w:t>表2-3  项目主要原辅料使用情况</w:t>
            </w:r>
          </w:p>
          <w:tbl>
            <w:tblPr>
              <w:tblStyle w:val="29"/>
              <w:tblW w:w="4986"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324"/>
              <w:gridCol w:w="1941"/>
              <w:gridCol w:w="1620"/>
              <w:gridCol w:w="3023"/>
            </w:tblGrid>
            <w:tr w14:paraId="2884802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37" w:type="pct"/>
                  <w:tcBorders>
                    <w:tl2br w:val="nil"/>
                    <w:tr2bl w:val="nil"/>
                  </w:tcBorders>
                  <w:noWrap w:val="0"/>
                  <w:vAlign w:val="center"/>
                </w:tcPr>
                <w:p w14:paraId="6465911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类别</w:t>
                  </w:r>
                </w:p>
              </w:tc>
              <w:tc>
                <w:tcPr>
                  <w:tcW w:w="1227" w:type="pct"/>
                  <w:tcBorders>
                    <w:tl2br w:val="nil"/>
                    <w:tr2bl w:val="nil"/>
                  </w:tcBorders>
                  <w:noWrap w:val="0"/>
                  <w:vAlign w:val="center"/>
                </w:tcPr>
                <w:p w14:paraId="6FB65C3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主要原辅材料名称</w:t>
                  </w:r>
                </w:p>
              </w:tc>
              <w:tc>
                <w:tcPr>
                  <w:tcW w:w="1024" w:type="pct"/>
                  <w:tcBorders>
                    <w:tl2br w:val="nil"/>
                    <w:tr2bl w:val="nil"/>
                  </w:tcBorders>
                  <w:noWrap w:val="0"/>
                  <w:vAlign w:val="center"/>
                </w:tcPr>
                <w:p w14:paraId="1455A4E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年消耗量</w:t>
                  </w:r>
                </w:p>
              </w:tc>
              <w:tc>
                <w:tcPr>
                  <w:tcW w:w="1911" w:type="pct"/>
                  <w:tcBorders>
                    <w:tl2br w:val="nil"/>
                    <w:tr2bl w:val="nil"/>
                  </w:tcBorders>
                  <w:noWrap w:val="0"/>
                  <w:vAlign w:val="center"/>
                </w:tcPr>
                <w:p w14:paraId="73CBE1C0">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备注</w:t>
                  </w:r>
                </w:p>
              </w:tc>
            </w:tr>
            <w:tr w14:paraId="0A7F7CD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37" w:type="pct"/>
                  <w:tcBorders>
                    <w:tl2br w:val="nil"/>
                    <w:tr2bl w:val="nil"/>
                  </w:tcBorders>
                  <w:noWrap w:val="0"/>
                  <w:vAlign w:val="center"/>
                </w:tcPr>
                <w:p w14:paraId="1D80B79C">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zh-TW" w:eastAsia="zh-CN"/>
                    </w:rPr>
                  </w:pPr>
                  <w:r>
                    <w:rPr>
                      <w:rFonts w:hint="eastAsia" w:ascii="Times New Roman" w:hAnsi="Times New Roman" w:cs="Times New Roman"/>
                      <w:color w:val="auto"/>
                      <w:sz w:val="21"/>
                      <w:szCs w:val="21"/>
                      <w:u w:val="single"/>
                      <w:lang w:val="zh-TW" w:eastAsia="zh-CN"/>
                    </w:rPr>
                    <w:t>主料</w:t>
                  </w:r>
                </w:p>
              </w:tc>
              <w:tc>
                <w:tcPr>
                  <w:tcW w:w="1227" w:type="pct"/>
                  <w:tcBorders>
                    <w:tl2br w:val="nil"/>
                    <w:tr2bl w:val="nil"/>
                  </w:tcBorders>
                  <w:noWrap w:val="0"/>
                  <w:vAlign w:val="center"/>
                </w:tcPr>
                <w:p w14:paraId="24E262AB">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铝合金锭</w:t>
                  </w:r>
                </w:p>
              </w:tc>
              <w:tc>
                <w:tcPr>
                  <w:tcW w:w="1024" w:type="pct"/>
                  <w:tcBorders>
                    <w:tl2br w:val="nil"/>
                    <w:tr2bl w:val="nil"/>
                  </w:tcBorders>
                  <w:noWrap w:val="0"/>
                  <w:vAlign w:val="center"/>
                </w:tcPr>
                <w:p w14:paraId="3DDADF3B">
                  <w:pPr>
                    <w:spacing w:line="240" w:lineRule="auto"/>
                    <w:ind w:firstLine="0" w:firstLineChars="0"/>
                    <w:jc w:val="center"/>
                    <w:rPr>
                      <w:rFonts w:hint="eastAsia" w:ascii="Times New Roman" w:hAnsi="Times New Roman" w:cs="Times New Roman"/>
                      <w:color w:val="auto"/>
                      <w:sz w:val="21"/>
                      <w:szCs w:val="21"/>
                      <w:u w:val="single"/>
                      <w:lang w:val="en-US" w:eastAsia="zh-CN"/>
                    </w:rPr>
                  </w:pPr>
                  <w:r>
                    <w:rPr>
                      <w:rFonts w:hint="eastAsia" w:cs="Times New Roman"/>
                      <w:color w:val="auto"/>
                      <w:sz w:val="21"/>
                      <w:szCs w:val="21"/>
                      <w:u w:val="single"/>
                      <w:lang w:val="en-US" w:eastAsia="zh-CN"/>
                    </w:rPr>
                    <w:t>5000</w:t>
                  </w:r>
                  <w:r>
                    <w:rPr>
                      <w:rFonts w:hint="eastAsia" w:ascii="Times New Roman" w:hAnsi="Times New Roman" w:cs="Times New Roman"/>
                      <w:color w:val="auto"/>
                      <w:sz w:val="21"/>
                      <w:szCs w:val="21"/>
                      <w:u w:val="single"/>
                      <w:lang w:val="en-US" w:eastAsia="zh-CN"/>
                    </w:rPr>
                    <w:t>t/a</w:t>
                  </w:r>
                </w:p>
              </w:tc>
              <w:tc>
                <w:tcPr>
                  <w:tcW w:w="1911" w:type="pct"/>
                  <w:tcBorders>
                    <w:tl2br w:val="nil"/>
                    <w:tr2bl w:val="nil"/>
                  </w:tcBorders>
                  <w:noWrap w:val="0"/>
                  <w:vAlign w:val="center"/>
                </w:tcPr>
                <w:p w14:paraId="7DCD3E4D">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外购</w:t>
                  </w:r>
                </w:p>
              </w:tc>
            </w:tr>
            <w:tr w14:paraId="3350571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37" w:type="pct"/>
                  <w:vMerge w:val="restart"/>
                  <w:tcBorders>
                    <w:tl2br w:val="nil"/>
                    <w:tr2bl w:val="nil"/>
                  </w:tcBorders>
                  <w:noWrap w:val="0"/>
                  <w:vAlign w:val="center"/>
                </w:tcPr>
                <w:p w14:paraId="3DDA894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辅料</w:t>
                  </w:r>
                </w:p>
              </w:tc>
              <w:tc>
                <w:tcPr>
                  <w:tcW w:w="1227" w:type="pct"/>
                  <w:tcBorders>
                    <w:tl2br w:val="nil"/>
                    <w:tr2bl w:val="nil"/>
                  </w:tcBorders>
                  <w:noWrap w:val="0"/>
                  <w:vAlign w:val="center"/>
                </w:tcPr>
                <w:p w14:paraId="0EB5EB19">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切削液</w:t>
                  </w:r>
                </w:p>
              </w:tc>
              <w:tc>
                <w:tcPr>
                  <w:tcW w:w="1024" w:type="pct"/>
                  <w:tcBorders>
                    <w:tl2br w:val="nil"/>
                    <w:tr2bl w:val="nil"/>
                  </w:tcBorders>
                  <w:noWrap w:val="0"/>
                  <w:vAlign w:val="center"/>
                </w:tcPr>
                <w:p w14:paraId="0F8F92BE">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cs="Times New Roman"/>
                      <w:color w:val="auto"/>
                      <w:sz w:val="21"/>
                      <w:szCs w:val="21"/>
                      <w:u w:val="single"/>
                      <w:lang w:val="en-US" w:eastAsia="zh-CN"/>
                    </w:rPr>
                    <w:t>12</w:t>
                  </w:r>
                  <w:r>
                    <w:rPr>
                      <w:rFonts w:hint="eastAsia" w:ascii="Times New Roman" w:hAnsi="Times New Roman" w:cs="Times New Roman"/>
                      <w:color w:val="auto"/>
                      <w:sz w:val="21"/>
                      <w:szCs w:val="21"/>
                      <w:u w:val="single"/>
                      <w:lang w:val="en-US" w:eastAsia="zh-CN"/>
                    </w:rPr>
                    <w:t>t/a</w:t>
                  </w:r>
                </w:p>
              </w:tc>
              <w:tc>
                <w:tcPr>
                  <w:tcW w:w="1911" w:type="pct"/>
                  <w:tcBorders>
                    <w:tl2br w:val="nil"/>
                    <w:tr2bl w:val="nil"/>
                  </w:tcBorders>
                  <w:noWrap w:val="0"/>
                  <w:vAlign w:val="center"/>
                </w:tcPr>
                <w:p w14:paraId="64BAEBC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外购，用于切割润滑和冷却</w:t>
                  </w:r>
                </w:p>
              </w:tc>
            </w:tr>
            <w:tr w14:paraId="797D64D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37" w:type="pct"/>
                  <w:vMerge w:val="continue"/>
                  <w:tcBorders>
                    <w:tl2br w:val="nil"/>
                    <w:tr2bl w:val="nil"/>
                  </w:tcBorders>
                  <w:noWrap w:val="0"/>
                  <w:vAlign w:val="center"/>
                </w:tcPr>
                <w:p w14:paraId="0BC5584B">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p>
              </w:tc>
              <w:tc>
                <w:tcPr>
                  <w:tcW w:w="1227" w:type="pct"/>
                  <w:tcBorders>
                    <w:tl2br w:val="nil"/>
                    <w:tr2bl w:val="nil"/>
                  </w:tcBorders>
                  <w:noWrap w:val="0"/>
                  <w:vAlign w:val="center"/>
                </w:tcPr>
                <w:p w14:paraId="6A2A931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液压油</w:t>
                  </w:r>
                </w:p>
              </w:tc>
              <w:tc>
                <w:tcPr>
                  <w:tcW w:w="1024" w:type="pct"/>
                  <w:tcBorders>
                    <w:tl2br w:val="nil"/>
                    <w:tr2bl w:val="nil"/>
                  </w:tcBorders>
                  <w:noWrap w:val="0"/>
                  <w:vAlign w:val="center"/>
                </w:tcPr>
                <w:p w14:paraId="7FCF50D3">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cs="Times New Roman"/>
                      <w:color w:val="auto"/>
                      <w:sz w:val="21"/>
                      <w:szCs w:val="21"/>
                      <w:u w:val="single"/>
                      <w:lang w:val="en-US" w:eastAsia="zh-CN"/>
                    </w:rPr>
                    <w:t>6</w:t>
                  </w:r>
                  <w:r>
                    <w:rPr>
                      <w:rFonts w:hint="eastAsia" w:ascii="Times New Roman" w:hAnsi="Times New Roman" w:cs="Times New Roman"/>
                      <w:color w:val="auto"/>
                      <w:sz w:val="21"/>
                      <w:szCs w:val="21"/>
                      <w:u w:val="single"/>
                      <w:lang w:val="en-US" w:eastAsia="zh-CN"/>
                    </w:rPr>
                    <w:t>t/a</w:t>
                  </w:r>
                </w:p>
              </w:tc>
              <w:tc>
                <w:tcPr>
                  <w:tcW w:w="1911" w:type="pct"/>
                  <w:tcBorders>
                    <w:tl2br w:val="nil"/>
                    <w:tr2bl w:val="nil"/>
                  </w:tcBorders>
                  <w:noWrap w:val="0"/>
                  <w:vAlign w:val="center"/>
                </w:tcPr>
                <w:p w14:paraId="28C2707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外购，液压系统中传递能量、润滑、冷却和防锈的工作介质</w:t>
                  </w:r>
                </w:p>
              </w:tc>
            </w:tr>
            <w:tr w14:paraId="747C1E5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37" w:type="pct"/>
                  <w:vMerge w:val="continue"/>
                  <w:tcBorders>
                    <w:tl2br w:val="nil"/>
                    <w:tr2bl w:val="nil"/>
                  </w:tcBorders>
                  <w:noWrap w:val="0"/>
                  <w:vAlign w:val="center"/>
                </w:tcPr>
                <w:p w14:paraId="7D64C73C">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p>
              </w:tc>
              <w:tc>
                <w:tcPr>
                  <w:tcW w:w="1227" w:type="pct"/>
                  <w:tcBorders>
                    <w:bottom w:val="single" w:color="000000" w:sz="4" w:space="0"/>
                    <w:tl2br w:val="nil"/>
                    <w:tr2bl w:val="nil"/>
                  </w:tcBorders>
                  <w:noWrap w:val="0"/>
                  <w:vAlign w:val="center"/>
                </w:tcPr>
                <w:p w14:paraId="368BAD03">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金属型涂料395</w:t>
                  </w:r>
                </w:p>
              </w:tc>
              <w:tc>
                <w:tcPr>
                  <w:tcW w:w="1024" w:type="pct"/>
                  <w:tcBorders>
                    <w:bottom w:val="single" w:color="000000" w:sz="4" w:space="0"/>
                    <w:tl2br w:val="nil"/>
                    <w:tr2bl w:val="nil"/>
                  </w:tcBorders>
                  <w:noWrap w:val="0"/>
                  <w:vAlign w:val="center"/>
                </w:tcPr>
                <w:p w14:paraId="10B5AEA1">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cs="Times New Roman"/>
                      <w:color w:val="auto"/>
                      <w:sz w:val="21"/>
                      <w:szCs w:val="21"/>
                      <w:u w:val="single"/>
                      <w:lang w:val="en-US" w:eastAsia="zh-CN"/>
                    </w:rPr>
                    <w:t>3.6</w:t>
                  </w:r>
                  <w:r>
                    <w:rPr>
                      <w:rFonts w:hint="eastAsia" w:ascii="Times New Roman" w:hAnsi="Times New Roman" w:cs="Times New Roman"/>
                      <w:color w:val="auto"/>
                      <w:sz w:val="21"/>
                      <w:szCs w:val="21"/>
                      <w:u w:val="single"/>
                      <w:lang w:val="en-US" w:eastAsia="zh-CN"/>
                    </w:rPr>
                    <w:t>t/a</w:t>
                  </w:r>
                </w:p>
              </w:tc>
              <w:tc>
                <w:tcPr>
                  <w:tcW w:w="1911" w:type="pct"/>
                  <w:tcBorders>
                    <w:bottom w:val="single" w:color="000000" w:sz="4" w:space="0"/>
                    <w:tl2br w:val="nil"/>
                    <w:tr2bl w:val="nil"/>
                  </w:tcBorders>
                  <w:noWrap w:val="0"/>
                  <w:vAlign w:val="center"/>
                </w:tcPr>
                <w:p w14:paraId="156761CA">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外购</w:t>
                  </w:r>
                </w:p>
              </w:tc>
            </w:tr>
            <w:tr w14:paraId="54A622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88" w:hRule="atLeast"/>
                <w:jc w:val="center"/>
              </w:trPr>
              <w:tc>
                <w:tcPr>
                  <w:tcW w:w="837" w:type="pct"/>
                  <w:vMerge w:val="continue"/>
                  <w:tcBorders>
                    <w:tl2br w:val="nil"/>
                    <w:tr2bl w:val="nil"/>
                  </w:tcBorders>
                  <w:noWrap w:val="0"/>
                  <w:vAlign w:val="center"/>
                </w:tcPr>
                <w:p w14:paraId="43127E1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p>
              </w:tc>
              <w:tc>
                <w:tcPr>
                  <w:tcW w:w="1227" w:type="pct"/>
                  <w:tcBorders>
                    <w:top w:val="single" w:color="000000" w:sz="4" w:space="0"/>
                    <w:bottom w:val="single" w:color="000000" w:sz="4" w:space="0"/>
                    <w:tl2br w:val="nil"/>
                    <w:tr2bl w:val="nil"/>
                  </w:tcBorders>
                  <w:noWrap w:val="0"/>
                  <w:vAlign w:val="center"/>
                </w:tcPr>
                <w:p w14:paraId="679FDB0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钢丸</w:t>
                  </w:r>
                </w:p>
              </w:tc>
              <w:tc>
                <w:tcPr>
                  <w:tcW w:w="1024" w:type="pct"/>
                  <w:tcBorders>
                    <w:top w:val="single" w:color="000000" w:sz="4" w:space="0"/>
                    <w:bottom w:val="single" w:color="000000" w:sz="4" w:space="0"/>
                    <w:tl2br w:val="nil"/>
                    <w:tr2bl w:val="nil"/>
                  </w:tcBorders>
                  <w:noWrap w:val="0"/>
                  <w:vAlign w:val="center"/>
                </w:tcPr>
                <w:p w14:paraId="75695B0A">
                  <w:pPr>
                    <w:spacing w:line="240" w:lineRule="auto"/>
                    <w:ind w:firstLine="0" w:firstLineChars="0"/>
                    <w:jc w:val="center"/>
                    <w:rPr>
                      <w:rFonts w:hint="default" w:cs="Times New Roman"/>
                      <w:color w:val="auto"/>
                      <w:sz w:val="21"/>
                      <w:szCs w:val="21"/>
                      <w:u w:val="single"/>
                      <w:lang w:val="en-US" w:eastAsia="zh-CN"/>
                    </w:rPr>
                  </w:pPr>
                  <w:r>
                    <w:rPr>
                      <w:rFonts w:hint="eastAsia" w:cs="Times New Roman"/>
                      <w:color w:val="auto"/>
                      <w:sz w:val="21"/>
                      <w:szCs w:val="21"/>
                      <w:u w:val="single"/>
                      <w:lang w:val="en-US" w:eastAsia="zh-CN"/>
                    </w:rPr>
                    <w:t>50t/a</w:t>
                  </w:r>
                </w:p>
              </w:tc>
              <w:tc>
                <w:tcPr>
                  <w:tcW w:w="1911" w:type="pct"/>
                  <w:tcBorders>
                    <w:top w:val="single" w:color="000000" w:sz="4" w:space="0"/>
                    <w:bottom w:val="single" w:color="000000" w:sz="4" w:space="0"/>
                    <w:tl2br w:val="nil"/>
                    <w:tr2bl w:val="nil"/>
                  </w:tcBorders>
                  <w:noWrap w:val="0"/>
                  <w:vAlign w:val="center"/>
                </w:tcPr>
                <w:p w14:paraId="7C5172A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外购，抛丸用</w:t>
                  </w:r>
                </w:p>
              </w:tc>
            </w:tr>
            <w:tr w14:paraId="42C651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67" w:hRule="atLeast"/>
                <w:jc w:val="center"/>
              </w:trPr>
              <w:tc>
                <w:tcPr>
                  <w:tcW w:w="837" w:type="pct"/>
                  <w:vMerge w:val="continue"/>
                  <w:tcBorders>
                    <w:tl2br w:val="nil"/>
                    <w:tr2bl w:val="nil"/>
                  </w:tcBorders>
                  <w:noWrap w:val="0"/>
                  <w:vAlign w:val="center"/>
                </w:tcPr>
                <w:p w14:paraId="228E01C5">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p>
              </w:tc>
              <w:tc>
                <w:tcPr>
                  <w:tcW w:w="1227" w:type="pct"/>
                  <w:tcBorders>
                    <w:top w:val="single" w:color="000000" w:sz="4" w:space="0"/>
                    <w:tl2br w:val="nil"/>
                    <w:tr2bl w:val="nil"/>
                  </w:tcBorders>
                  <w:noWrap w:val="0"/>
                  <w:vAlign w:val="center"/>
                </w:tcPr>
                <w:p w14:paraId="48D1B58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覆膜砂</w:t>
                  </w:r>
                </w:p>
              </w:tc>
              <w:tc>
                <w:tcPr>
                  <w:tcW w:w="1024" w:type="pct"/>
                  <w:tcBorders>
                    <w:top w:val="single" w:color="000000" w:sz="4" w:space="0"/>
                    <w:tl2br w:val="nil"/>
                    <w:tr2bl w:val="nil"/>
                  </w:tcBorders>
                  <w:noWrap w:val="0"/>
                  <w:vAlign w:val="center"/>
                </w:tcPr>
                <w:p w14:paraId="7AD8A2D3">
                  <w:pPr>
                    <w:spacing w:line="240" w:lineRule="auto"/>
                    <w:ind w:firstLine="0" w:firstLineChars="0"/>
                    <w:jc w:val="center"/>
                    <w:rPr>
                      <w:rFonts w:hint="default" w:cs="Times New Roman"/>
                      <w:color w:val="auto"/>
                      <w:sz w:val="21"/>
                      <w:szCs w:val="21"/>
                      <w:u w:val="single"/>
                      <w:lang w:val="en-US" w:eastAsia="zh-CN"/>
                    </w:rPr>
                  </w:pPr>
                  <w:r>
                    <w:rPr>
                      <w:rFonts w:hint="eastAsia" w:cs="Times New Roman"/>
                      <w:color w:val="auto"/>
                      <w:sz w:val="21"/>
                      <w:szCs w:val="21"/>
                      <w:u w:val="single"/>
                      <w:lang w:val="en-US" w:eastAsia="zh-CN"/>
                    </w:rPr>
                    <w:t>50t/a</w:t>
                  </w:r>
                </w:p>
              </w:tc>
              <w:tc>
                <w:tcPr>
                  <w:tcW w:w="1911" w:type="pct"/>
                  <w:tcBorders>
                    <w:top w:val="single" w:color="000000" w:sz="4" w:space="0"/>
                    <w:tl2br w:val="nil"/>
                    <w:tr2bl w:val="nil"/>
                  </w:tcBorders>
                  <w:noWrap w:val="0"/>
                  <w:vAlign w:val="center"/>
                </w:tcPr>
                <w:p w14:paraId="2C991BE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外购，砂芯制作</w:t>
                  </w:r>
                </w:p>
              </w:tc>
            </w:tr>
            <w:tr w14:paraId="4D6CC48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37" w:type="pct"/>
                  <w:vMerge w:val="restart"/>
                  <w:tcBorders>
                    <w:top w:val="single" w:color="auto" w:sz="4" w:space="0"/>
                    <w:tl2br w:val="nil"/>
                    <w:tr2bl w:val="nil"/>
                  </w:tcBorders>
                  <w:noWrap w:val="0"/>
                  <w:vAlign w:val="center"/>
                </w:tcPr>
                <w:p w14:paraId="4708D49A">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资源、能源</w:t>
                  </w:r>
                </w:p>
              </w:tc>
              <w:tc>
                <w:tcPr>
                  <w:tcW w:w="1227" w:type="pct"/>
                  <w:tcBorders>
                    <w:top w:val="single" w:color="auto" w:sz="4" w:space="0"/>
                    <w:tl2br w:val="nil"/>
                    <w:tr2bl w:val="nil"/>
                  </w:tcBorders>
                  <w:noWrap w:val="0"/>
                  <w:vAlign w:val="center"/>
                </w:tcPr>
                <w:p w14:paraId="541AF45C">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水</w:t>
                  </w:r>
                </w:p>
              </w:tc>
              <w:tc>
                <w:tcPr>
                  <w:tcW w:w="1024" w:type="pct"/>
                  <w:tcBorders>
                    <w:tl2br w:val="nil"/>
                    <w:tr2bl w:val="nil"/>
                  </w:tcBorders>
                  <w:noWrap w:val="0"/>
                  <w:vAlign w:val="center"/>
                </w:tcPr>
                <w:p w14:paraId="12ECAC9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500m</w:t>
                  </w:r>
                  <w:r>
                    <w:rPr>
                      <w:rFonts w:hint="eastAsia" w:ascii="Times New Roman" w:hAnsi="Times New Roman" w:cs="Times New Roman"/>
                      <w:color w:val="auto"/>
                      <w:sz w:val="21"/>
                      <w:szCs w:val="21"/>
                      <w:u w:val="single"/>
                      <w:vertAlign w:val="superscript"/>
                      <w:lang w:val="en-US" w:eastAsia="zh-CN"/>
                    </w:rPr>
                    <w:t>3</w:t>
                  </w:r>
                  <w:r>
                    <w:rPr>
                      <w:rFonts w:hint="eastAsia" w:ascii="Times New Roman" w:hAnsi="Times New Roman" w:cs="Times New Roman"/>
                      <w:color w:val="auto"/>
                      <w:sz w:val="21"/>
                      <w:szCs w:val="21"/>
                      <w:u w:val="single"/>
                      <w:lang w:val="en-US" w:eastAsia="zh-CN"/>
                    </w:rPr>
                    <w:t>/a</w:t>
                  </w:r>
                </w:p>
              </w:tc>
              <w:tc>
                <w:tcPr>
                  <w:tcW w:w="1911" w:type="pct"/>
                  <w:tcBorders>
                    <w:tl2br w:val="nil"/>
                    <w:tr2bl w:val="nil"/>
                  </w:tcBorders>
                  <w:noWrap w:val="0"/>
                  <w:vAlign w:val="center"/>
                </w:tcPr>
                <w:p w14:paraId="1E9B97E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当地自来水供水管网供给</w:t>
                  </w:r>
                </w:p>
              </w:tc>
            </w:tr>
            <w:tr w14:paraId="7DE9AD4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37" w:type="pct"/>
                  <w:vMerge w:val="continue"/>
                  <w:tcBorders>
                    <w:bottom w:val="single" w:color="auto" w:sz="4" w:space="0"/>
                    <w:tl2br w:val="nil"/>
                    <w:tr2bl w:val="nil"/>
                  </w:tcBorders>
                  <w:noWrap w:val="0"/>
                  <w:vAlign w:val="center"/>
                </w:tcPr>
                <w:p w14:paraId="1F426F41">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p>
              </w:tc>
              <w:tc>
                <w:tcPr>
                  <w:tcW w:w="1227" w:type="pct"/>
                  <w:tcBorders>
                    <w:left w:val="single" w:color="auto" w:sz="4" w:space="0"/>
                    <w:bottom w:val="single" w:color="auto" w:sz="4" w:space="0"/>
                    <w:tl2br w:val="nil"/>
                    <w:tr2bl w:val="nil"/>
                  </w:tcBorders>
                  <w:noWrap w:val="0"/>
                  <w:vAlign w:val="center"/>
                </w:tcPr>
                <w:p w14:paraId="27B8B4C0">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电</w:t>
                  </w:r>
                </w:p>
              </w:tc>
              <w:tc>
                <w:tcPr>
                  <w:tcW w:w="1024" w:type="pct"/>
                  <w:tcBorders>
                    <w:tl2br w:val="nil"/>
                    <w:tr2bl w:val="nil"/>
                  </w:tcBorders>
                  <w:noWrap w:val="0"/>
                  <w:vAlign w:val="center"/>
                </w:tcPr>
                <w:p w14:paraId="2471189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200万kW·h/a</w:t>
                  </w:r>
                </w:p>
              </w:tc>
              <w:tc>
                <w:tcPr>
                  <w:tcW w:w="1911" w:type="pct"/>
                  <w:tcBorders>
                    <w:tl2br w:val="nil"/>
                    <w:tr2bl w:val="nil"/>
                  </w:tcBorders>
                  <w:noWrap w:val="0"/>
                  <w:vAlign w:val="center"/>
                </w:tcPr>
                <w:p w14:paraId="26C6929D">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当地供电局电网</w:t>
                  </w:r>
                </w:p>
              </w:tc>
            </w:tr>
          </w:tbl>
          <w:p w14:paraId="4E97C5FE">
            <w:pPr>
              <w:bidi w:val="0"/>
              <w:rPr>
                <w:color w:val="auto"/>
                <w:u w:val="single"/>
              </w:rPr>
            </w:pPr>
            <w:r>
              <w:rPr>
                <w:rFonts w:hint="eastAsia"/>
                <w:color w:val="auto"/>
                <w:u w:val="single"/>
              </w:rPr>
              <w:t>部分材料理化性质：</w:t>
            </w:r>
          </w:p>
          <w:p w14:paraId="5C63951B">
            <w:pPr>
              <w:bidi w:val="0"/>
              <w:rPr>
                <w:rFonts w:hint="eastAsia"/>
                <w:color w:val="auto"/>
                <w:u w:val="single"/>
              </w:rPr>
            </w:pPr>
            <w:r>
              <w:rPr>
                <w:rFonts w:hint="eastAsia"/>
                <w:color w:val="auto"/>
                <w:u w:val="single"/>
                <w:lang w:val="en-US" w:eastAsia="zh-CN"/>
              </w:rPr>
              <w:t>切削液</w:t>
            </w:r>
            <w:r>
              <w:rPr>
                <w:rFonts w:hint="eastAsia"/>
                <w:color w:val="auto"/>
                <w:u w:val="single"/>
              </w:rPr>
              <w:t>：</w:t>
            </w:r>
            <w:r>
              <w:rPr>
                <w:rFonts w:hint="eastAsia"/>
                <w:color w:val="auto"/>
                <w:u w:val="single"/>
                <w:lang w:eastAsia="zh-CN"/>
              </w:rPr>
              <w:t>水基型切削液为</w:t>
            </w:r>
            <w:r>
              <w:rPr>
                <w:rFonts w:hint="eastAsia"/>
                <w:color w:val="auto"/>
                <w:u w:val="single"/>
              </w:rPr>
              <w:t>无色透明油状液体，</w:t>
            </w:r>
            <w:r>
              <w:rPr>
                <w:rFonts w:hint="eastAsia"/>
                <w:color w:val="auto"/>
                <w:u w:val="single"/>
                <w:lang w:eastAsia="zh-CN"/>
              </w:rPr>
              <w:t>不燃烧、无腐蚀性，主要成分为软化水（</w:t>
            </w:r>
            <w:r>
              <w:rPr>
                <w:rFonts w:hint="eastAsia"/>
                <w:color w:val="auto"/>
                <w:u w:val="single"/>
                <w:lang w:val="en-US" w:eastAsia="zh-CN"/>
              </w:rPr>
              <w:t>60-90%</w:t>
            </w:r>
            <w:r>
              <w:rPr>
                <w:rFonts w:hint="eastAsia"/>
                <w:color w:val="auto"/>
                <w:u w:val="single"/>
                <w:lang w:eastAsia="zh-CN"/>
              </w:rPr>
              <w:t>）、油性剂（</w:t>
            </w:r>
            <w:r>
              <w:rPr>
                <w:rFonts w:hint="eastAsia"/>
                <w:color w:val="auto"/>
                <w:u w:val="single"/>
                <w:lang w:val="en-US" w:eastAsia="zh-CN"/>
              </w:rPr>
              <w:t>10-30%</w:t>
            </w:r>
            <w:r>
              <w:rPr>
                <w:rFonts w:hint="eastAsia"/>
                <w:color w:val="auto"/>
                <w:u w:val="single"/>
                <w:lang w:eastAsia="zh-CN"/>
              </w:rPr>
              <w:t>）、表面活性剂、防锈剂、挤压添加剂、消泡剂、</w:t>
            </w:r>
            <w:r>
              <w:rPr>
                <w:rFonts w:hint="eastAsia"/>
                <w:color w:val="auto"/>
                <w:u w:val="single"/>
                <w:lang w:val="en-US" w:eastAsia="zh-CN"/>
              </w:rPr>
              <w:t>pH调节剂等</w:t>
            </w:r>
            <w:r>
              <w:rPr>
                <w:rFonts w:hint="eastAsia"/>
                <w:color w:val="auto"/>
                <w:u w:val="single"/>
              </w:rPr>
              <w:t>。</w:t>
            </w:r>
          </w:p>
          <w:p w14:paraId="35A591DA">
            <w:pPr>
              <w:bidi w:val="0"/>
              <w:rPr>
                <w:rFonts w:hint="eastAsia"/>
                <w:color w:val="auto"/>
                <w:u w:val="single"/>
                <w:lang w:eastAsia="zh-CN"/>
              </w:rPr>
            </w:pPr>
            <w:r>
              <w:rPr>
                <w:rFonts w:hint="eastAsia"/>
                <w:color w:val="auto"/>
                <w:u w:val="single"/>
                <w:lang w:eastAsia="zh-CN"/>
              </w:rPr>
              <w:t>液压油：液压油的成分主要由基础油和添加剂两部分组成，基础油是液压油的主要成分（占比通常80%-95%），主要为矿物油；添加剂用于改善基础油的性能，主要有抗磨剂、抗氧化剂、抗泡剂、防锈剂、粘度指数改进剂等。</w:t>
            </w:r>
          </w:p>
          <w:p w14:paraId="3F724006">
            <w:pPr>
              <w:keepNext w:val="0"/>
              <w:keepLines w:val="0"/>
              <w:widowControl/>
              <w:suppressLineNumbers w:val="0"/>
              <w:jc w:val="left"/>
              <w:rPr>
                <w:rFonts w:hint="eastAsia" w:ascii="Times New Roman" w:hAnsi="Times New Roman" w:eastAsia="宋体" w:cs="Times New Roman"/>
                <w:color w:val="auto"/>
                <w:kern w:val="2"/>
                <w:sz w:val="24"/>
                <w:szCs w:val="24"/>
                <w:u w:val="single"/>
                <w:lang w:val="en-US" w:eastAsia="zh-CN" w:bidi="ar"/>
              </w:rPr>
            </w:pPr>
            <w:r>
              <w:rPr>
                <w:rFonts w:hint="eastAsia" w:ascii="Times New Roman" w:hAnsi="Times New Roman" w:eastAsia="宋体" w:cs="Times New Roman"/>
                <w:color w:val="auto"/>
                <w:kern w:val="2"/>
                <w:sz w:val="24"/>
                <w:szCs w:val="24"/>
                <w:u w:val="single"/>
                <w:lang w:val="en-US" w:eastAsia="zh-CN" w:bidi="ar"/>
              </w:rPr>
              <w:t>金属型涂料395：根据生产单位提供的MSDS，金属型涂料395主要由九水偏硅钠、蛭石、水、碳酸钙组成，其中九水偏硅钠占比25%，蛭石占比25%，水占比45%，碳酸钙占比约5%。</w:t>
            </w:r>
          </w:p>
          <w:p w14:paraId="3ECEB35B">
            <w:pPr>
              <w:keepNext w:val="0"/>
              <w:keepLines w:val="0"/>
              <w:widowControl/>
              <w:suppressLineNumbers w:val="0"/>
              <w:jc w:val="left"/>
              <w:rPr>
                <w:rFonts w:hint="default" w:ascii="Times New Roman" w:hAnsi="Times New Roman" w:eastAsia="宋体" w:cs="Times New Roman"/>
                <w:color w:val="auto"/>
                <w:kern w:val="2"/>
                <w:sz w:val="24"/>
                <w:szCs w:val="24"/>
                <w:u w:val="single"/>
                <w:lang w:val="en-US" w:eastAsia="zh-CN" w:bidi="ar"/>
              </w:rPr>
            </w:pPr>
            <w:r>
              <w:rPr>
                <w:rFonts w:hint="eastAsia" w:ascii="Times New Roman" w:hAnsi="Times New Roman" w:eastAsia="宋体" w:cs="Times New Roman"/>
                <w:color w:val="auto"/>
                <w:kern w:val="2"/>
                <w:sz w:val="24"/>
                <w:szCs w:val="24"/>
                <w:u w:val="single"/>
                <w:lang w:val="en-US" w:eastAsia="zh-CN" w:bidi="ar"/>
              </w:rPr>
              <w:t>覆膜砂：根据生产单位提供的MSDS，</w:t>
            </w:r>
            <w:r>
              <w:rPr>
                <w:rFonts w:hint="eastAsia" w:cs="Times New Roman"/>
                <w:color w:val="auto"/>
                <w:kern w:val="2"/>
                <w:sz w:val="24"/>
                <w:szCs w:val="24"/>
                <w:u w:val="single"/>
                <w:lang w:val="en-US" w:eastAsia="zh-CN" w:bidi="ar"/>
              </w:rPr>
              <w:t>覆膜砂主要由硅砂、酚醛树脂等组成，硅砂占比约85-99%，酚醛树脂及占比约1-3%。</w:t>
            </w:r>
          </w:p>
          <w:p w14:paraId="2BED4020">
            <w:pPr>
              <w:bidi w:val="0"/>
              <w:rPr>
                <w:b/>
                <w:bCs/>
                <w:color w:val="auto"/>
                <w:u w:val="single"/>
              </w:rPr>
            </w:pPr>
            <w:r>
              <w:rPr>
                <w:rFonts w:hint="eastAsia"/>
                <w:b/>
                <w:bCs/>
                <w:color w:val="auto"/>
                <w:u w:val="single"/>
                <w:lang w:eastAsia="zh-CN"/>
              </w:rPr>
              <w:t>（</w:t>
            </w:r>
            <w:r>
              <w:rPr>
                <w:rFonts w:hint="eastAsia"/>
                <w:b/>
                <w:bCs/>
                <w:color w:val="auto"/>
                <w:u w:val="single"/>
                <w:lang w:val="en-US" w:eastAsia="zh-CN"/>
              </w:rPr>
              <w:t>四</w:t>
            </w:r>
            <w:r>
              <w:rPr>
                <w:rFonts w:hint="eastAsia"/>
                <w:b/>
                <w:bCs/>
                <w:color w:val="auto"/>
                <w:u w:val="single"/>
                <w:lang w:eastAsia="zh-CN"/>
              </w:rPr>
              <w:t>）</w:t>
            </w:r>
            <w:r>
              <w:rPr>
                <w:rFonts w:hint="eastAsia"/>
                <w:b/>
                <w:bCs/>
                <w:color w:val="auto"/>
                <w:u w:val="single"/>
              </w:rPr>
              <w:t>主要设备清单</w:t>
            </w:r>
          </w:p>
          <w:p w14:paraId="1A87925B">
            <w:pPr>
              <w:bidi w:val="0"/>
              <w:rPr>
                <w:color w:val="auto"/>
                <w:u w:val="single"/>
              </w:rPr>
            </w:pPr>
            <w:r>
              <w:rPr>
                <w:rFonts w:hint="eastAsia"/>
                <w:color w:val="auto"/>
                <w:u w:val="single"/>
              </w:rPr>
              <w:t>本项目主要设备详见表2</w:t>
            </w:r>
            <w:r>
              <w:rPr>
                <w:color w:val="auto"/>
                <w:u w:val="single"/>
              </w:rPr>
              <w:t>-4</w:t>
            </w:r>
            <w:r>
              <w:rPr>
                <w:rFonts w:hint="eastAsia"/>
                <w:color w:val="auto"/>
                <w:u w:val="single"/>
              </w:rPr>
              <w:t>。</w:t>
            </w:r>
          </w:p>
          <w:p w14:paraId="379F5B87">
            <w:pPr>
              <w:adjustRightInd w:val="0"/>
              <w:snapToGrid w:val="0"/>
              <w:spacing w:before="120" w:beforeLines="50" w:line="240" w:lineRule="auto"/>
              <w:ind w:firstLine="720"/>
              <w:jc w:val="center"/>
              <w:rPr>
                <w:rFonts w:hint="eastAsia" w:ascii="Times New Roman" w:hAnsi="Times New Roman" w:eastAsia="宋体" w:cs="Times New Roman"/>
                <w:b/>
                <w:color w:val="auto"/>
                <w:sz w:val="21"/>
                <w:szCs w:val="21"/>
                <w:u w:val="single"/>
              </w:rPr>
            </w:pPr>
            <w:r>
              <w:rPr>
                <w:rFonts w:hint="eastAsia" w:ascii="Times New Roman" w:hAnsi="Times New Roman" w:eastAsia="宋体" w:cs="Times New Roman"/>
                <w:b/>
                <w:color w:val="auto"/>
                <w:sz w:val="21"/>
                <w:szCs w:val="21"/>
                <w:u w:val="single"/>
              </w:rPr>
              <w:t>表2-4  项目主要设备清单</w:t>
            </w:r>
          </w:p>
          <w:tbl>
            <w:tblPr>
              <w:tblStyle w:val="29"/>
              <w:tblW w:w="4998"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765"/>
              <w:gridCol w:w="2598"/>
              <w:gridCol w:w="2790"/>
              <w:gridCol w:w="838"/>
              <w:gridCol w:w="941"/>
            </w:tblGrid>
            <w:tr w14:paraId="31B28B3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184DA98F">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10" w:name="_Toc118086918"/>
                  <w:r>
                    <w:rPr>
                      <w:rFonts w:hint="eastAsia" w:ascii="Times New Roman" w:hAnsi="Times New Roman" w:eastAsia="宋体" w:cs="Times New Roman"/>
                      <w:color w:val="auto"/>
                      <w:sz w:val="21"/>
                      <w:szCs w:val="21"/>
                      <w:u w:val="single"/>
                      <w:lang w:val="en-US" w:eastAsia="zh-CN"/>
                    </w:rPr>
                    <w:t>序号</w:t>
                  </w:r>
                  <w:bookmarkEnd w:id="10"/>
                </w:p>
              </w:tc>
              <w:tc>
                <w:tcPr>
                  <w:tcW w:w="1637" w:type="pct"/>
                  <w:tcBorders>
                    <w:tl2br w:val="nil"/>
                    <w:tr2bl w:val="nil"/>
                  </w:tcBorders>
                  <w:noWrap w:val="0"/>
                  <w:vAlign w:val="center"/>
                </w:tcPr>
                <w:p w14:paraId="75A83248">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11" w:name="_Toc118086919"/>
                  <w:r>
                    <w:rPr>
                      <w:rFonts w:hint="eastAsia" w:ascii="Times New Roman" w:hAnsi="Times New Roman" w:eastAsia="宋体" w:cs="Times New Roman"/>
                      <w:color w:val="auto"/>
                      <w:sz w:val="21"/>
                      <w:szCs w:val="21"/>
                      <w:u w:val="single"/>
                      <w:lang w:val="en-US" w:eastAsia="zh-CN"/>
                    </w:rPr>
                    <w:t>设备（设施）名称</w:t>
                  </w:r>
                  <w:bookmarkEnd w:id="11"/>
                </w:p>
              </w:tc>
              <w:tc>
                <w:tcPr>
                  <w:tcW w:w="1758" w:type="pct"/>
                  <w:tcBorders>
                    <w:tl2br w:val="nil"/>
                    <w:tr2bl w:val="nil"/>
                  </w:tcBorders>
                  <w:noWrap w:val="0"/>
                  <w:vAlign w:val="center"/>
                </w:tcPr>
                <w:p w14:paraId="7E7F246D">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bookmarkStart w:id="12" w:name="_Toc118086921"/>
                  <w:r>
                    <w:rPr>
                      <w:rFonts w:hint="eastAsia" w:ascii="Times New Roman" w:hAnsi="Times New Roman" w:eastAsia="宋体" w:cs="Times New Roman"/>
                      <w:color w:val="auto"/>
                      <w:sz w:val="21"/>
                      <w:szCs w:val="21"/>
                      <w:u w:val="single"/>
                      <w:lang w:val="en-US" w:eastAsia="zh-CN"/>
                    </w:rPr>
                    <w:t>规格型号</w:t>
                  </w:r>
                </w:p>
              </w:tc>
              <w:tc>
                <w:tcPr>
                  <w:tcW w:w="528" w:type="pct"/>
                  <w:tcBorders>
                    <w:tl2br w:val="nil"/>
                    <w:tr2bl w:val="nil"/>
                  </w:tcBorders>
                  <w:noWrap w:val="0"/>
                  <w:vAlign w:val="center"/>
                </w:tcPr>
                <w:p w14:paraId="2BA6466C">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单位</w:t>
                  </w:r>
                  <w:bookmarkEnd w:id="12"/>
                </w:p>
              </w:tc>
              <w:tc>
                <w:tcPr>
                  <w:tcW w:w="593" w:type="pct"/>
                  <w:tcBorders>
                    <w:tl2br w:val="nil"/>
                    <w:tr2bl w:val="nil"/>
                  </w:tcBorders>
                  <w:noWrap w:val="0"/>
                  <w:vAlign w:val="center"/>
                </w:tcPr>
                <w:p w14:paraId="2A127386">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13" w:name="_Toc118086922"/>
                  <w:r>
                    <w:rPr>
                      <w:rFonts w:hint="eastAsia" w:ascii="Times New Roman" w:hAnsi="Times New Roman" w:eastAsia="宋体" w:cs="Times New Roman"/>
                      <w:color w:val="auto"/>
                      <w:sz w:val="21"/>
                      <w:szCs w:val="21"/>
                      <w:u w:val="single"/>
                      <w:lang w:val="en-US" w:eastAsia="zh-CN"/>
                    </w:rPr>
                    <w:t>数量</w:t>
                  </w:r>
                  <w:bookmarkEnd w:id="13"/>
                </w:p>
              </w:tc>
            </w:tr>
            <w:tr w14:paraId="772F5FD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6302744D">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14" w:name="_Toc118086923"/>
                  <w:r>
                    <w:rPr>
                      <w:rFonts w:hint="eastAsia" w:ascii="Times New Roman" w:hAnsi="Times New Roman" w:eastAsia="宋体" w:cs="Times New Roman"/>
                      <w:color w:val="auto"/>
                      <w:sz w:val="21"/>
                      <w:szCs w:val="21"/>
                      <w:u w:val="single"/>
                      <w:lang w:val="en-US" w:eastAsia="zh-CN"/>
                    </w:rPr>
                    <w:t>1</w:t>
                  </w:r>
                  <w:bookmarkEnd w:id="14"/>
                </w:p>
              </w:tc>
              <w:tc>
                <w:tcPr>
                  <w:tcW w:w="1637" w:type="pct"/>
                  <w:tcBorders>
                    <w:tl2br w:val="nil"/>
                    <w:tr2bl w:val="nil"/>
                  </w:tcBorders>
                  <w:noWrap w:val="0"/>
                  <w:vAlign w:val="center"/>
                </w:tcPr>
                <w:p w14:paraId="761EC47C">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低压铸造机</w:t>
                  </w:r>
                </w:p>
              </w:tc>
              <w:tc>
                <w:tcPr>
                  <w:tcW w:w="1758" w:type="pct"/>
                  <w:tcBorders>
                    <w:tl2br w:val="nil"/>
                    <w:tr2bl w:val="nil"/>
                  </w:tcBorders>
                  <w:noWrap w:val="0"/>
                  <w:vAlign w:val="center"/>
                </w:tcPr>
                <w:p w14:paraId="7C3AEF10">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TG</w:t>
                  </w:r>
                  <w:r>
                    <w:rPr>
                      <w:rFonts w:hint="default" w:ascii="Times New Roman" w:hAnsi="Times New Roman" w:eastAsia="宋体" w:cs="Times New Roman"/>
                      <w:color w:val="auto"/>
                      <w:sz w:val="21"/>
                      <w:szCs w:val="21"/>
                      <w:u w:val="single"/>
                      <w:lang w:val="en-US" w:eastAsia="zh-CN"/>
                    </w:rPr>
                    <w:t>4510</w:t>
                  </w:r>
                </w:p>
              </w:tc>
              <w:tc>
                <w:tcPr>
                  <w:tcW w:w="528" w:type="pct"/>
                  <w:tcBorders>
                    <w:tl2br w:val="nil"/>
                    <w:tr2bl w:val="nil"/>
                  </w:tcBorders>
                  <w:noWrap w:val="0"/>
                  <w:vAlign w:val="center"/>
                </w:tcPr>
                <w:p w14:paraId="13FBA4DF">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套</w:t>
                  </w:r>
                </w:p>
              </w:tc>
              <w:tc>
                <w:tcPr>
                  <w:tcW w:w="593" w:type="pct"/>
                  <w:tcBorders>
                    <w:tl2br w:val="nil"/>
                    <w:tr2bl w:val="nil"/>
                  </w:tcBorders>
                  <w:noWrap w:val="0"/>
                  <w:vAlign w:val="center"/>
                </w:tcPr>
                <w:p w14:paraId="68F07341">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2</w:t>
                  </w:r>
                </w:p>
              </w:tc>
            </w:tr>
            <w:tr w14:paraId="686AF74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5B8289BD">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15" w:name="_Toc118086928"/>
                  <w:r>
                    <w:rPr>
                      <w:rFonts w:hint="eastAsia" w:ascii="Times New Roman" w:hAnsi="Times New Roman" w:eastAsia="宋体" w:cs="Times New Roman"/>
                      <w:color w:val="auto"/>
                      <w:sz w:val="21"/>
                      <w:szCs w:val="21"/>
                      <w:u w:val="single"/>
                      <w:lang w:val="en-US" w:eastAsia="zh-CN"/>
                    </w:rPr>
                    <w:t>2</w:t>
                  </w:r>
                  <w:bookmarkEnd w:id="15"/>
                </w:p>
              </w:tc>
              <w:tc>
                <w:tcPr>
                  <w:tcW w:w="1637" w:type="pct"/>
                  <w:tcBorders>
                    <w:tl2br w:val="nil"/>
                    <w:tr2bl w:val="nil"/>
                  </w:tcBorders>
                  <w:noWrap w:val="0"/>
                  <w:vAlign w:val="center"/>
                </w:tcPr>
                <w:p w14:paraId="450B7673">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砂芯机（覆膜砂工艺）</w:t>
                  </w:r>
                </w:p>
              </w:tc>
              <w:tc>
                <w:tcPr>
                  <w:tcW w:w="1758" w:type="pct"/>
                  <w:tcBorders>
                    <w:tl2br w:val="nil"/>
                    <w:tr2bl w:val="nil"/>
                  </w:tcBorders>
                  <w:noWrap w:val="0"/>
                  <w:vAlign w:val="center"/>
                </w:tcPr>
                <w:p w14:paraId="257C6084">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NS-Z1010</w:t>
                  </w:r>
                </w:p>
              </w:tc>
              <w:tc>
                <w:tcPr>
                  <w:tcW w:w="528" w:type="pct"/>
                  <w:tcBorders>
                    <w:tl2br w:val="nil"/>
                    <w:tr2bl w:val="nil"/>
                  </w:tcBorders>
                  <w:noWrap w:val="0"/>
                  <w:vAlign w:val="center"/>
                </w:tcPr>
                <w:p w14:paraId="107D0BB3">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套</w:t>
                  </w:r>
                </w:p>
              </w:tc>
              <w:tc>
                <w:tcPr>
                  <w:tcW w:w="593" w:type="pct"/>
                  <w:tcBorders>
                    <w:tl2br w:val="nil"/>
                    <w:tr2bl w:val="nil"/>
                  </w:tcBorders>
                  <w:noWrap w:val="0"/>
                  <w:vAlign w:val="center"/>
                </w:tcPr>
                <w:p w14:paraId="45CAC6A4">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3</w:t>
                  </w:r>
                </w:p>
              </w:tc>
            </w:tr>
            <w:tr w14:paraId="2B2BAC9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2196124A">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16" w:name="_Toc118086932"/>
                  <w:r>
                    <w:rPr>
                      <w:rFonts w:hint="eastAsia" w:ascii="Times New Roman" w:hAnsi="Times New Roman" w:eastAsia="宋体" w:cs="Times New Roman"/>
                      <w:color w:val="auto"/>
                      <w:sz w:val="21"/>
                      <w:szCs w:val="21"/>
                      <w:u w:val="single"/>
                      <w:lang w:val="en-US" w:eastAsia="zh-CN"/>
                    </w:rPr>
                    <w:t>3</w:t>
                  </w:r>
                  <w:bookmarkEnd w:id="16"/>
                </w:p>
              </w:tc>
              <w:tc>
                <w:tcPr>
                  <w:tcW w:w="1637" w:type="pct"/>
                  <w:tcBorders>
                    <w:tl2br w:val="nil"/>
                    <w:tr2bl w:val="nil"/>
                  </w:tcBorders>
                  <w:noWrap w:val="0"/>
                  <w:vAlign w:val="center"/>
                </w:tcPr>
                <w:p w14:paraId="4AB3750C">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立式带锯床</w:t>
                  </w:r>
                </w:p>
              </w:tc>
              <w:tc>
                <w:tcPr>
                  <w:tcW w:w="1758" w:type="pct"/>
                  <w:tcBorders>
                    <w:tl2br w:val="nil"/>
                    <w:tr2bl w:val="nil"/>
                  </w:tcBorders>
                  <w:noWrap w:val="0"/>
                  <w:vAlign w:val="center"/>
                </w:tcPr>
                <w:p w14:paraId="42AD44E0">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S-400</w:t>
                  </w:r>
                </w:p>
              </w:tc>
              <w:tc>
                <w:tcPr>
                  <w:tcW w:w="528" w:type="pct"/>
                  <w:tcBorders>
                    <w:tl2br w:val="nil"/>
                    <w:tr2bl w:val="nil"/>
                  </w:tcBorders>
                  <w:noWrap w:val="0"/>
                  <w:vAlign w:val="center"/>
                </w:tcPr>
                <w:p w14:paraId="00F7868E">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台</w:t>
                  </w:r>
                </w:p>
              </w:tc>
              <w:tc>
                <w:tcPr>
                  <w:tcW w:w="593" w:type="pct"/>
                  <w:tcBorders>
                    <w:tl2br w:val="nil"/>
                    <w:tr2bl w:val="nil"/>
                  </w:tcBorders>
                  <w:noWrap w:val="0"/>
                  <w:vAlign w:val="center"/>
                </w:tcPr>
                <w:p w14:paraId="18FB7E12">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2</w:t>
                  </w:r>
                </w:p>
              </w:tc>
            </w:tr>
            <w:tr w14:paraId="4C7A27E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5EF90804">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17" w:name="_Toc118086944"/>
                  <w:r>
                    <w:rPr>
                      <w:rFonts w:hint="eastAsia" w:ascii="Times New Roman" w:hAnsi="Times New Roman" w:eastAsia="宋体" w:cs="Times New Roman"/>
                      <w:color w:val="auto"/>
                      <w:sz w:val="21"/>
                      <w:szCs w:val="21"/>
                      <w:u w:val="single"/>
                      <w:lang w:val="en-US" w:eastAsia="zh-CN"/>
                    </w:rPr>
                    <w:t>5</w:t>
                  </w:r>
                  <w:bookmarkEnd w:id="17"/>
                </w:p>
              </w:tc>
              <w:tc>
                <w:tcPr>
                  <w:tcW w:w="1637" w:type="pct"/>
                  <w:tcBorders>
                    <w:tl2br w:val="nil"/>
                    <w:tr2bl w:val="nil"/>
                  </w:tcBorders>
                  <w:noWrap w:val="0"/>
                  <w:vAlign w:val="center"/>
                </w:tcPr>
                <w:p w14:paraId="01CB69C9">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电阻炉</w:t>
                  </w:r>
                </w:p>
              </w:tc>
              <w:tc>
                <w:tcPr>
                  <w:tcW w:w="1758" w:type="pct"/>
                  <w:tcBorders>
                    <w:tl2br w:val="nil"/>
                    <w:tr2bl w:val="nil"/>
                  </w:tcBorders>
                  <w:noWrap w:val="0"/>
                  <w:vAlign w:val="center"/>
                </w:tcPr>
                <w:p w14:paraId="3D6C6A5A">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TG-500</w:t>
                  </w:r>
                  <w:r>
                    <w:rPr>
                      <w:rFonts w:hint="eastAsia" w:ascii="Times New Roman" w:hAnsi="Times New Roman" w:eastAsia="宋体" w:cs="Times New Roman"/>
                      <w:color w:val="auto"/>
                      <w:sz w:val="21"/>
                      <w:szCs w:val="21"/>
                      <w:u w:val="single"/>
                      <w:lang w:val="en-US" w:eastAsia="zh-CN"/>
                    </w:rPr>
                    <w:t>，</w:t>
                  </w:r>
                  <w:r>
                    <w:rPr>
                      <w:rFonts w:hint="default" w:ascii="Times New Roman" w:hAnsi="Times New Roman" w:eastAsia="宋体" w:cs="Times New Roman"/>
                      <w:color w:val="auto"/>
                      <w:kern w:val="2"/>
                      <w:sz w:val="21"/>
                      <w:szCs w:val="21"/>
                      <w:u w:val="single"/>
                      <w:lang w:val="en-US" w:eastAsia="zh-CN" w:bidi="ar"/>
                    </w:rPr>
                    <w:t>电阻炉容量</w:t>
                  </w:r>
                  <w:r>
                    <w:rPr>
                      <w:rFonts w:hint="default" w:ascii="Times New Roman" w:hAnsi="Times New Roman" w:eastAsia="宋体" w:cs="Times New Roman"/>
                      <w:color w:val="auto"/>
                      <w:sz w:val="21"/>
                      <w:szCs w:val="21"/>
                      <w:u w:val="single"/>
                      <w:lang w:val="en-US" w:eastAsia="zh-CN"/>
                    </w:rPr>
                    <w:t>0.5t</w:t>
                  </w:r>
                </w:p>
              </w:tc>
              <w:tc>
                <w:tcPr>
                  <w:tcW w:w="528" w:type="pct"/>
                  <w:tcBorders>
                    <w:tl2br w:val="nil"/>
                    <w:tr2bl w:val="nil"/>
                  </w:tcBorders>
                  <w:noWrap w:val="0"/>
                  <w:vAlign w:val="center"/>
                </w:tcPr>
                <w:p w14:paraId="474BC0BE">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台</w:t>
                  </w:r>
                </w:p>
              </w:tc>
              <w:tc>
                <w:tcPr>
                  <w:tcW w:w="593" w:type="pct"/>
                  <w:tcBorders>
                    <w:tl2br w:val="nil"/>
                    <w:tr2bl w:val="nil"/>
                  </w:tcBorders>
                  <w:noWrap w:val="0"/>
                  <w:vAlign w:val="center"/>
                </w:tcPr>
                <w:p w14:paraId="468526C8">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4</w:t>
                  </w:r>
                </w:p>
              </w:tc>
            </w:tr>
            <w:tr w14:paraId="559C4B2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4ED0BBF7">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18" w:name="_Toc118086949"/>
                  <w:r>
                    <w:rPr>
                      <w:rFonts w:hint="eastAsia" w:ascii="Times New Roman" w:hAnsi="Times New Roman" w:eastAsia="宋体" w:cs="Times New Roman"/>
                      <w:color w:val="auto"/>
                      <w:sz w:val="21"/>
                      <w:szCs w:val="21"/>
                      <w:u w:val="single"/>
                      <w:lang w:val="en-US" w:eastAsia="zh-CN"/>
                    </w:rPr>
                    <w:t>6</w:t>
                  </w:r>
                  <w:bookmarkEnd w:id="18"/>
                </w:p>
              </w:tc>
              <w:tc>
                <w:tcPr>
                  <w:tcW w:w="1637" w:type="pct"/>
                  <w:tcBorders>
                    <w:tl2br w:val="nil"/>
                    <w:tr2bl w:val="nil"/>
                  </w:tcBorders>
                  <w:noWrap w:val="0"/>
                  <w:vAlign w:val="center"/>
                </w:tcPr>
                <w:p w14:paraId="4BFC7575">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重力铸造机</w:t>
                  </w:r>
                </w:p>
              </w:tc>
              <w:tc>
                <w:tcPr>
                  <w:tcW w:w="1758" w:type="pct"/>
                  <w:tcBorders>
                    <w:tl2br w:val="nil"/>
                    <w:tr2bl w:val="nil"/>
                  </w:tcBorders>
                  <w:noWrap w:val="0"/>
                  <w:vAlign w:val="center"/>
                </w:tcPr>
                <w:p w14:paraId="6EB70CFE">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default" w:ascii="Times New Roman" w:hAnsi="Times New Roman" w:eastAsia="宋体" w:cs="Times New Roman"/>
                      <w:color w:val="auto"/>
                      <w:sz w:val="21"/>
                      <w:szCs w:val="21"/>
                      <w:u w:val="single"/>
                      <w:lang w:val="en-US" w:eastAsia="zh-CN"/>
                    </w:rPr>
                    <w:t>NS-8060</w:t>
                  </w:r>
                </w:p>
              </w:tc>
              <w:tc>
                <w:tcPr>
                  <w:tcW w:w="528" w:type="pct"/>
                  <w:tcBorders>
                    <w:tl2br w:val="nil"/>
                    <w:tr2bl w:val="nil"/>
                  </w:tcBorders>
                  <w:noWrap w:val="0"/>
                  <w:vAlign w:val="center"/>
                </w:tcPr>
                <w:p w14:paraId="7ED9060D">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套</w:t>
                  </w:r>
                </w:p>
              </w:tc>
              <w:tc>
                <w:tcPr>
                  <w:tcW w:w="593" w:type="pct"/>
                  <w:tcBorders>
                    <w:tl2br w:val="nil"/>
                    <w:tr2bl w:val="nil"/>
                  </w:tcBorders>
                  <w:noWrap w:val="0"/>
                  <w:vAlign w:val="center"/>
                </w:tcPr>
                <w:p w14:paraId="0E7ACBFD">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1</w:t>
                  </w:r>
                </w:p>
              </w:tc>
            </w:tr>
            <w:tr w14:paraId="71833C1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4B7E0453">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19" w:name="_Toc118086954"/>
                  <w:r>
                    <w:rPr>
                      <w:rFonts w:hint="eastAsia" w:ascii="Times New Roman" w:hAnsi="Times New Roman" w:eastAsia="宋体" w:cs="Times New Roman"/>
                      <w:color w:val="auto"/>
                      <w:sz w:val="21"/>
                      <w:szCs w:val="21"/>
                      <w:u w:val="single"/>
                      <w:lang w:val="en-US" w:eastAsia="zh-CN"/>
                    </w:rPr>
                    <w:t>7</w:t>
                  </w:r>
                  <w:bookmarkEnd w:id="19"/>
                </w:p>
              </w:tc>
              <w:tc>
                <w:tcPr>
                  <w:tcW w:w="1637" w:type="pct"/>
                  <w:tcBorders>
                    <w:tl2br w:val="nil"/>
                    <w:tr2bl w:val="nil"/>
                  </w:tcBorders>
                  <w:noWrap w:val="0"/>
                  <w:vAlign w:val="center"/>
                </w:tcPr>
                <w:p w14:paraId="519F85C8">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龙门加工中心</w:t>
                  </w:r>
                </w:p>
              </w:tc>
              <w:tc>
                <w:tcPr>
                  <w:tcW w:w="1758" w:type="pct"/>
                  <w:tcBorders>
                    <w:tl2br w:val="nil"/>
                    <w:tr2bl w:val="nil"/>
                  </w:tcBorders>
                  <w:noWrap w:val="0"/>
                  <w:vAlign w:val="center"/>
                </w:tcPr>
                <w:p w14:paraId="148FF77F">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2718</w:t>
                  </w:r>
                </w:p>
              </w:tc>
              <w:tc>
                <w:tcPr>
                  <w:tcW w:w="528" w:type="pct"/>
                  <w:tcBorders>
                    <w:tl2br w:val="nil"/>
                    <w:tr2bl w:val="nil"/>
                  </w:tcBorders>
                  <w:noWrap w:val="0"/>
                  <w:vAlign w:val="center"/>
                </w:tcPr>
                <w:p w14:paraId="27D07186">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台</w:t>
                  </w:r>
                </w:p>
              </w:tc>
              <w:tc>
                <w:tcPr>
                  <w:tcW w:w="593" w:type="pct"/>
                  <w:tcBorders>
                    <w:tl2br w:val="nil"/>
                    <w:tr2bl w:val="nil"/>
                  </w:tcBorders>
                  <w:noWrap w:val="0"/>
                  <w:vAlign w:val="center"/>
                </w:tcPr>
                <w:p w14:paraId="688169BE">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2</w:t>
                  </w:r>
                </w:p>
              </w:tc>
            </w:tr>
            <w:tr w14:paraId="62A1F50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5103EAEA">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20" w:name="_Toc118086959"/>
                  <w:r>
                    <w:rPr>
                      <w:rFonts w:hint="eastAsia" w:ascii="Times New Roman" w:hAnsi="Times New Roman" w:eastAsia="宋体" w:cs="Times New Roman"/>
                      <w:color w:val="auto"/>
                      <w:sz w:val="21"/>
                      <w:szCs w:val="21"/>
                      <w:u w:val="single"/>
                      <w:lang w:val="en-US" w:eastAsia="zh-CN"/>
                    </w:rPr>
                    <w:t>8</w:t>
                  </w:r>
                  <w:bookmarkEnd w:id="20"/>
                </w:p>
              </w:tc>
              <w:tc>
                <w:tcPr>
                  <w:tcW w:w="1637" w:type="pct"/>
                  <w:tcBorders>
                    <w:tl2br w:val="nil"/>
                    <w:tr2bl w:val="nil"/>
                  </w:tcBorders>
                  <w:noWrap w:val="0"/>
                  <w:vAlign w:val="center"/>
                </w:tcPr>
                <w:p w14:paraId="6AC1BA3C">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立式加工中心</w:t>
                  </w:r>
                </w:p>
              </w:tc>
              <w:tc>
                <w:tcPr>
                  <w:tcW w:w="1758" w:type="pct"/>
                  <w:tcBorders>
                    <w:tl2br w:val="nil"/>
                    <w:tr2bl w:val="nil"/>
                  </w:tcBorders>
                  <w:noWrap w:val="0"/>
                  <w:vAlign w:val="center"/>
                </w:tcPr>
                <w:p w14:paraId="138D93A2">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1580</w:t>
                  </w:r>
                </w:p>
              </w:tc>
              <w:tc>
                <w:tcPr>
                  <w:tcW w:w="528" w:type="pct"/>
                  <w:tcBorders>
                    <w:tl2br w:val="nil"/>
                    <w:tr2bl w:val="nil"/>
                  </w:tcBorders>
                  <w:noWrap w:val="0"/>
                  <w:vAlign w:val="center"/>
                </w:tcPr>
                <w:p w14:paraId="482418B1">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台</w:t>
                  </w:r>
                </w:p>
              </w:tc>
              <w:tc>
                <w:tcPr>
                  <w:tcW w:w="593" w:type="pct"/>
                  <w:tcBorders>
                    <w:tl2br w:val="nil"/>
                    <w:tr2bl w:val="nil"/>
                  </w:tcBorders>
                  <w:noWrap w:val="0"/>
                  <w:vAlign w:val="center"/>
                </w:tcPr>
                <w:p w14:paraId="7FC922CF">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1</w:t>
                  </w:r>
                </w:p>
              </w:tc>
            </w:tr>
            <w:tr w14:paraId="5BEE378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39ED6351">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bookmarkStart w:id="21" w:name="_Toc118086964"/>
                  <w:r>
                    <w:rPr>
                      <w:rFonts w:hint="eastAsia" w:ascii="Times New Roman" w:hAnsi="Times New Roman" w:eastAsia="宋体" w:cs="Times New Roman"/>
                      <w:color w:val="auto"/>
                      <w:sz w:val="21"/>
                      <w:szCs w:val="21"/>
                      <w:u w:val="single"/>
                      <w:lang w:val="en-US" w:eastAsia="zh-CN"/>
                    </w:rPr>
                    <w:t>9</w:t>
                  </w:r>
                  <w:bookmarkEnd w:id="21"/>
                </w:p>
              </w:tc>
              <w:tc>
                <w:tcPr>
                  <w:tcW w:w="1637" w:type="pct"/>
                  <w:tcBorders>
                    <w:tl2br w:val="nil"/>
                    <w:tr2bl w:val="nil"/>
                  </w:tcBorders>
                  <w:noWrap w:val="0"/>
                  <w:vAlign w:val="center"/>
                </w:tcPr>
                <w:p w14:paraId="11C8A0C8">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行车</w:t>
                  </w:r>
                </w:p>
              </w:tc>
              <w:tc>
                <w:tcPr>
                  <w:tcW w:w="1758" w:type="pct"/>
                  <w:tcBorders>
                    <w:tl2br w:val="nil"/>
                    <w:tr2bl w:val="nil"/>
                  </w:tcBorders>
                  <w:noWrap w:val="0"/>
                  <w:vAlign w:val="center"/>
                </w:tcPr>
                <w:p w14:paraId="45E57121">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10吨</w:t>
                  </w:r>
                </w:p>
              </w:tc>
              <w:tc>
                <w:tcPr>
                  <w:tcW w:w="528" w:type="pct"/>
                  <w:tcBorders>
                    <w:tl2br w:val="nil"/>
                    <w:tr2bl w:val="nil"/>
                  </w:tcBorders>
                  <w:noWrap w:val="0"/>
                  <w:vAlign w:val="center"/>
                </w:tcPr>
                <w:p w14:paraId="5616250B">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台</w:t>
                  </w:r>
                </w:p>
              </w:tc>
              <w:tc>
                <w:tcPr>
                  <w:tcW w:w="593" w:type="pct"/>
                  <w:tcBorders>
                    <w:tl2br w:val="nil"/>
                    <w:tr2bl w:val="nil"/>
                  </w:tcBorders>
                  <w:noWrap w:val="0"/>
                  <w:vAlign w:val="center"/>
                </w:tcPr>
                <w:p w14:paraId="7FF37D86">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2</w:t>
                  </w:r>
                </w:p>
              </w:tc>
            </w:tr>
            <w:tr w14:paraId="78888D4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82" w:type="pct"/>
                  <w:tcBorders>
                    <w:tl2br w:val="nil"/>
                    <w:tr2bl w:val="nil"/>
                  </w:tcBorders>
                  <w:noWrap w:val="0"/>
                  <w:vAlign w:val="center"/>
                </w:tcPr>
                <w:p w14:paraId="0BC7D045">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11</w:t>
                  </w:r>
                </w:p>
              </w:tc>
              <w:tc>
                <w:tcPr>
                  <w:tcW w:w="1637" w:type="pct"/>
                  <w:tcBorders>
                    <w:tl2br w:val="nil"/>
                    <w:tr2bl w:val="nil"/>
                  </w:tcBorders>
                  <w:noWrap w:val="0"/>
                  <w:vAlign w:val="center"/>
                </w:tcPr>
                <w:p w14:paraId="225BFC7F">
                  <w:pPr>
                    <w:spacing w:line="240" w:lineRule="auto"/>
                    <w:ind w:firstLine="0" w:firstLineChars="0"/>
                    <w:jc w:val="center"/>
                    <w:rPr>
                      <w:rFonts w:hint="eastAsia"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叉车</w:t>
                  </w:r>
                </w:p>
              </w:tc>
              <w:tc>
                <w:tcPr>
                  <w:tcW w:w="1758" w:type="pct"/>
                  <w:tcBorders>
                    <w:tl2br w:val="nil"/>
                    <w:tr2bl w:val="nil"/>
                  </w:tcBorders>
                  <w:noWrap w:val="0"/>
                  <w:vAlign w:val="center"/>
                </w:tcPr>
                <w:p w14:paraId="3DEDB87F">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3吨</w:t>
                  </w:r>
                </w:p>
              </w:tc>
              <w:tc>
                <w:tcPr>
                  <w:tcW w:w="528" w:type="pct"/>
                  <w:tcBorders>
                    <w:tl2br w:val="nil"/>
                    <w:tr2bl w:val="nil"/>
                  </w:tcBorders>
                  <w:noWrap w:val="0"/>
                  <w:vAlign w:val="center"/>
                </w:tcPr>
                <w:p w14:paraId="11533449">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台</w:t>
                  </w:r>
                </w:p>
              </w:tc>
              <w:tc>
                <w:tcPr>
                  <w:tcW w:w="593" w:type="pct"/>
                  <w:tcBorders>
                    <w:tl2br w:val="nil"/>
                    <w:tr2bl w:val="nil"/>
                  </w:tcBorders>
                  <w:noWrap w:val="0"/>
                  <w:vAlign w:val="center"/>
                </w:tcPr>
                <w:p w14:paraId="58E660E4">
                  <w:pPr>
                    <w:spacing w:line="240" w:lineRule="auto"/>
                    <w:ind w:firstLine="0" w:firstLineChars="0"/>
                    <w:jc w:val="center"/>
                    <w:rPr>
                      <w:rFonts w:hint="default" w:ascii="Times New Roman" w:hAnsi="Times New Roman" w:eastAsia="宋体"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1</w:t>
                  </w:r>
                </w:p>
              </w:tc>
            </w:tr>
          </w:tbl>
          <w:p w14:paraId="1B8FFE69">
            <w:pPr>
              <w:keepNext w:val="0"/>
              <w:keepLines w:val="0"/>
              <w:widowControl/>
              <w:suppressLineNumbers w:val="0"/>
              <w:jc w:val="left"/>
              <w:rPr>
                <w:rFonts w:ascii="Times New Roman" w:hAnsi="Times New Roman" w:eastAsia="宋体" w:cs="Times New Roman"/>
                <w:color w:val="auto"/>
                <w:u w:val="single"/>
              </w:rPr>
            </w:pPr>
            <w:r>
              <w:rPr>
                <w:rFonts w:hint="default" w:ascii="Times New Roman" w:hAnsi="Times New Roman" w:eastAsia="宋体" w:cs="Times New Roman"/>
                <w:color w:val="auto"/>
                <w:kern w:val="2"/>
                <w:sz w:val="24"/>
                <w:szCs w:val="24"/>
                <w:u w:val="single"/>
                <w:lang w:val="en-US" w:eastAsia="zh-CN" w:bidi="ar"/>
              </w:rPr>
              <w:t>注：</w:t>
            </w:r>
            <w:r>
              <w:rPr>
                <w:rFonts w:hint="eastAsia" w:cs="Times New Roman"/>
                <w:color w:val="auto"/>
                <w:kern w:val="2"/>
                <w:sz w:val="24"/>
                <w:szCs w:val="24"/>
                <w:u w:val="single"/>
                <w:lang w:val="en-US" w:eastAsia="zh-CN" w:bidi="ar"/>
              </w:rPr>
              <w:t>本项目使用的铝合金熔化炉为电阻炉，</w:t>
            </w:r>
            <w:r>
              <w:rPr>
                <w:rFonts w:hint="default" w:ascii="Times New Roman" w:hAnsi="Times New Roman" w:eastAsia="宋体" w:cs="Times New Roman"/>
                <w:color w:val="auto"/>
                <w:kern w:val="2"/>
                <w:sz w:val="24"/>
                <w:szCs w:val="24"/>
                <w:u w:val="single"/>
                <w:lang w:val="en-US" w:eastAsia="zh-CN" w:bidi="ar"/>
              </w:rPr>
              <w:t>企业</w:t>
            </w:r>
            <w:r>
              <w:rPr>
                <w:rFonts w:hint="eastAsia" w:ascii="Times New Roman" w:hAnsi="Times New Roman" w:eastAsia="宋体" w:cs="Times New Roman"/>
                <w:color w:val="auto"/>
                <w:kern w:val="2"/>
                <w:sz w:val="24"/>
                <w:szCs w:val="24"/>
                <w:u w:val="single"/>
                <w:lang w:val="en-US" w:eastAsia="zh-CN" w:bidi="ar"/>
              </w:rPr>
              <w:t>未</w:t>
            </w:r>
            <w:r>
              <w:rPr>
                <w:rFonts w:hint="default" w:ascii="Times New Roman" w:hAnsi="Times New Roman" w:eastAsia="宋体" w:cs="Times New Roman"/>
                <w:color w:val="auto"/>
                <w:kern w:val="2"/>
                <w:sz w:val="24"/>
                <w:szCs w:val="24"/>
                <w:u w:val="single"/>
                <w:lang w:val="en-US" w:eastAsia="zh-CN" w:bidi="ar"/>
              </w:rPr>
              <w:t>应使用国家明令淘汰的生产装备，如：无芯工频感应电炉、0.25吨及以上无磁轭的铝壳中频感应电炉等。</w:t>
            </w:r>
          </w:p>
          <w:p w14:paraId="43CB7D82">
            <w:pPr>
              <w:bidi w:val="0"/>
              <w:rPr>
                <w:color w:val="auto"/>
              </w:rPr>
            </w:pPr>
            <w:r>
              <w:rPr>
                <w:color w:val="auto"/>
              </w:rPr>
              <w:t>5</w:t>
            </w:r>
            <w:r>
              <w:rPr>
                <w:rFonts w:hint="eastAsia"/>
                <w:color w:val="auto"/>
              </w:rPr>
              <w:t>、劳动定员及工作制度</w:t>
            </w:r>
          </w:p>
          <w:p w14:paraId="5A67FDAA">
            <w:pPr>
              <w:bidi w:val="0"/>
              <w:rPr>
                <w:color w:val="auto"/>
              </w:rPr>
            </w:pPr>
            <w:r>
              <w:rPr>
                <w:color w:val="auto"/>
              </w:rPr>
              <w:t>本项目劳动定员为</w:t>
            </w:r>
            <w:r>
              <w:rPr>
                <w:rFonts w:hint="eastAsia"/>
                <w:color w:val="auto"/>
                <w:lang w:val="en-US" w:eastAsia="zh-CN"/>
              </w:rPr>
              <w:t>35</w:t>
            </w:r>
            <w:r>
              <w:rPr>
                <w:rFonts w:hint="eastAsia"/>
                <w:color w:val="auto"/>
                <w:lang w:eastAsia="zh-CN"/>
              </w:rPr>
              <w:t>人</w:t>
            </w:r>
            <w:r>
              <w:rPr>
                <w:color w:val="auto"/>
              </w:rPr>
              <w:t>，</w:t>
            </w:r>
            <w:r>
              <w:rPr>
                <w:rFonts w:hint="eastAsia"/>
                <w:color w:val="auto"/>
              </w:rPr>
              <w:t>均不在</w:t>
            </w:r>
            <w:r>
              <w:rPr>
                <w:color w:val="auto"/>
              </w:rPr>
              <w:t>厂内</w:t>
            </w:r>
            <w:r>
              <w:rPr>
                <w:rFonts w:hint="eastAsia"/>
                <w:color w:val="auto"/>
              </w:rPr>
              <w:t>食</w:t>
            </w:r>
            <w:r>
              <w:rPr>
                <w:color w:val="auto"/>
              </w:rPr>
              <w:t>宿。</w:t>
            </w:r>
            <w:r>
              <w:rPr>
                <w:rFonts w:hint="eastAsia"/>
                <w:color w:val="auto"/>
              </w:rPr>
              <w:t>生产按</w:t>
            </w:r>
            <w:r>
              <w:rPr>
                <w:rFonts w:hint="eastAsia"/>
                <w:color w:val="auto"/>
                <w:lang w:eastAsia="zh-CN"/>
              </w:rPr>
              <w:t>两</w:t>
            </w:r>
            <w:r>
              <w:rPr>
                <w:rFonts w:hint="eastAsia"/>
                <w:color w:val="auto"/>
              </w:rPr>
              <w:t>班制，每</w:t>
            </w:r>
            <w:r>
              <w:rPr>
                <w:rFonts w:hint="eastAsia"/>
                <w:color w:val="auto"/>
                <w:lang w:eastAsia="zh-CN"/>
              </w:rPr>
              <w:t>班</w:t>
            </w:r>
            <w:r>
              <w:rPr>
                <w:rFonts w:hint="eastAsia"/>
                <w:color w:val="auto"/>
              </w:rPr>
              <w:t>工作</w:t>
            </w:r>
            <w:r>
              <w:rPr>
                <w:rFonts w:hint="eastAsia"/>
                <w:color w:val="auto"/>
                <w:lang w:val="en-US" w:eastAsia="zh-CN"/>
              </w:rPr>
              <w:t>10</w:t>
            </w:r>
            <w:r>
              <w:rPr>
                <w:rFonts w:hint="eastAsia"/>
                <w:color w:val="auto"/>
              </w:rPr>
              <w:t>小时，</w:t>
            </w:r>
            <w:r>
              <w:rPr>
                <w:rFonts w:hint="eastAsia"/>
                <w:color w:val="auto"/>
                <w:lang w:val="en-US" w:eastAsia="zh-CN"/>
              </w:rPr>
              <w:t>年生产260天</w:t>
            </w:r>
            <w:r>
              <w:rPr>
                <w:color w:val="auto"/>
              </w:rPr>
              <w:t>。</w:t>
            </w:r>
          </w:p>
          <w:p w14:paraId="3C4747D4">
            <w:pPr>
              <w:bidi w:val="0"/>
              <w:rPr>
                <w:color w:val="auto"/>
              </w:rPr>
            </w:pPr>
            <w:r>
              <w:rPr>
                <w:color w:val="auto"/>
              </w:rPr>
              <w:t>6</w:t>
            </w:r>
            <w:r>
              <w:rPr>
                <w:rFonts w:hint="eastAsia"/>
                <w:color w:val="auto"/>
              </w:rPr>
              <w:t>、总平面布置</w:t>
            </w:r>
          </w:p>
          <w:p w14:paraId="54C6DAAF">
            <w:pPr>
              <w:bidi w:val="0"/>
              <w:rPr>
                <w:color w:val="auto"/>
              </w:rPr>
            </w:pPr>
            <w:r>
              <w:rPr>
                <w:rFonts w:hint="eastAsia"/>
                <w:color w:val="auto"/>
              </w:rPr>
              <w:t>本项目</w:t>
            </w:r>
            <w:r>
              <w:rPr>
                <w:rFonts w:hint="eastAsia"/>
                <w:color w:val="auto"/>
                <w:lang w:eastAsia="zh-CN"/>
              </w:rPr>
              <w:t>租赁江永县工业集中区利田片区4#栋钢结构厂房</w:t>
            </w:r>
            <w:r>
              <w:rPr>
                <w:rFonts w:hint="eastAsia"/>
                <w:color w:val="auto"/>
              </w:rPr>
              <w:t>作为生产车间，</w:t>
            </w:r>
            <w:r>
              <w:rPr>
                <w:rFonts w:hint="eastAsia"/>
                <w:color w:val="auto"/>
                <w:lang w:val="en-US" w:eastAsia="zh-CN"/>
              </w:rPr>
              <w:t>所有功能都设置在一层厂房内，包括熔铸、机加工等生产区，原辅料仓、成品仓等辅助生产区，办公室面积占比小，位于厂房东侧</w:t>
            </w:r>
            <w:r>
              <w:rPr>
                <w:color w:val="auto"/>
              </w:rPr>
              <w:t>，总体来说，该项目平面布置功能区分较明显，与周围环境协调性较好，整个项目平面布局较为合理</w:t>
            </w:r>
            <w:r>
              <w:rPr>
                <w:rFonts w:hint="eastAsia"/>
                <w:color w:val="auto"/>
              </w:rPr>
              <w:t>。</w:t>
            </w:r>
          </w:p>
          <w:p w14:paraId="6B0ABD84">
            <w:pPr>
              <w:bidi w:val="0"/>
              <w:rPr>
                <w:color w:val="auto"/>
              </w:rPr>
            </w:pPr>
            <w:r>
              <w:rPr>
                <w:color w:val="auto"/>
              </w:rPr>
              <w:t>7</w:t>
            </w:r>
            <w:r>
              <w:rPr>
                <w:rFonts w:hint="eastAsia"/>
                <w:color w:val="auto"/>
              </w:rPr>
              <w:t>、公用工程</w:t>
            </w:r>
          </w:p>
          <w:p w14:paraId="4971F04F">
            <w:pPr>
              <w:bidi w:val="0"/>
              <w:rPr>
                <w:color w:val="auto"/>
              </w:rPr>
            </w:pPr>
            <w:r>
              <w:rPr>
                <w:rFonts w:hint="eastAsia"/>
                <w:color w:val="auto"/>
                <w:lang w:eastAsia="zh-CN"/>
              </w:rPr>
              <w:t>（1）</w:t>
            </w:r>
            <w:r>
              <w:rPr>
                <w:rFonts w:hint="eastAsia"/>
                <w:color w:val="auto"/>
              </w:rPr>
              <w:t>给水</w:t>
            </w:r>
          </w:p>
          <w:p w14:paraId="53160740">
            <w:pPr>
              <w:adjustRightInd w:val="0"/>
              <w:snapToGrid w:val="0"/>
              <w:spacing w:line="360" w:lineRule="auto"/>
              <w:ind w:firstLine="480" w:firstLineChars="200"/>
              <w:rPr>
                <w:rFonts w:ascii="宋体" w:hAnsi="宋体"/>
                <w:color w:val="auto"/>
                <w:sz w:val="24"/>
              </w:rPr>
            </w:pPr>
            <w:r>
              <w:rPr>
                <w:rFonts w:hint="eastAsia" w:ascii="宋体" w:hAnsi="宋体"/>
                <w:color w:val="auto"/>
                <w:sz w:val="24"/>
              </w:rPr>
              <w:t>①生产用水</w:t>
            </w:r>
          </w:p>
          <w:p w14:paraId="259150FD">
            <w:pPr>
              <w:adjustRightInd w:val="0"/>
              <w:snapToGrid w:val="0"/>
              <w:spacing w:line="360" w:lineRule="auto"/>
              <w:ind w:firstLine="480" w:firstLineChars="200"/>
              <w:rPr>
                <w:color w:val="auto"/>
                <w:sz w:val="24"/>
              </w:rPr>
            </w:pPr>
            <w:r>
              <w:rPr>
                <w:rFonts w:hint="eastAsia" w:ascii="宋体" w:hAnsi="宋体"/>
                <w:color w:val="auto"/>
                <w:sz w:val="24"/>
              </w:rPr>
              <w:t>本项目生产用水主要为</w:t>
            </w:r>
            <w:r>
              <w:rPr>
                <w:rFonts w:hint="eastAsia" w:ascii="宋体" w:hAnsi="宋体"/>
                <w:color w:val="auto"/>
                <w:sz w:val="24"/>
                <w:lang w:val="en-US" w:eastAsia="zh-CN"/>
              </w:rPr>
              <w:t>机加工</w:t>
            </w:r>
            <w:r>
              <w:rPr>
                <w:rFonts w:hint="eastAsia" w:ascii="宋体" w:hAnsi="宋体"/>
                <w:color w:val="auto"/>
                <w:sz w:val="24"/>
              </w:rPr>
              <w:t>用水，水量</w:t>
            </w:r>
            <w:r>
              <w:rPr>
                <w:rFonts w:hint="eastAsia"/>
                <w:color w:val="auto"/>
                <w:sz w:val="24"/>
              </w:rPr>
              <w:t>为</w:t>
            </w:r>
            <w:r>
              <w:rPr>
                <w:rFonts w:hint="eastAsia"/>
                <w:color w:val="auto"/>
                <w:sz w:val="24"/>
                <w:lang w:eastAsia="zh-CN"/>
              </w:rPr>
              <w:t>12</w:t>
            </w:r>
            <w:r>
              <w:rPr>
                <w:rFonts w:hint="eastAsia"/>
                <w:color w:val="auto"/>
                <w:sz w:val="24"/>
              </w:rPr>
              <w:t>m</w:t>
            </w:r>
            <w:r>
              <w:rPr>
                <w:rFonts w:hint="eastAsia"/>
                <w:color w:val="auto"/>
                <w:sz w:val="24"/>
                <w:vertAlign w:val="superscript"/>
              </w:rPr>
              <w:t>3</w:t>
            </w:r>
            <w:r>
              <w:rPr>
                <w:rFonts w:hint="eastAsia"/>
                <w:color w:val="auto"/>
                <w:sz w:val="24"/>
              </w:rPr>
              <w:t>/d</w:t>
            </w:r>
            <w:r>
              <w:rPr>
                <w:rFonts w:hint="eastAsia"/>
                <w:color w:val="auto"/>
                <w:sz w:val="24"/>
                <w:lang w:eastAsia="zh-CN"/>
              </w:rPr>
              <w:t>(</w:t>
            </w:r>
            <w:r>
              <w:rPr>
                <w:rFonts w:hint="eastAsia"/>
                <w:color w:val="auto"/>
                <w:sz w:val="24"/>
                <w:lang w:val="en-US" w:eastAsia="zh-CN"/>
              </w:rPr>
              <w:t>3120</w:t>
            </w:r>
            <w:r>
              <w:rPr>
                <w:rFonts w:hint="eastAsia"/>
                <w:color w:val="auto"/>
                <w:sz w:val="24"/>
              </w:rPr>
              <w:t>m</w:t>
            </w:r>
            <w:r>
              <w:rPr>
                <w:rFonts w:hint="eastAsia"/>
                <w:color w:val="auto"/>
                <w:sz w:val="24"/>
                <w:vertAlign w:val="superscript"/>
              </w:rPr>
              <w:t>3</w:t>
            </w:r>
            <w:r>
              <w:rPr>
                <w:rFonts w:hint="eastAsia"/>
                <w:color w:val="auto"/>
                <w:sz w:val="24"/>
              </w:rPr>
              <w:t>/a</w:t>
            </w:r>
            <w:r>
              <w:rPr>
                <w:rFonts w:hint="eastAsia"/>
                <w:color w:val="auto"/>
                <w:sz w:val="24"/>
                <w:lang w:eastAsia="zh-CN"/>
              </w:rPr>
              <w:t>)</w:t>
            </w:r>
            <w:r>
              <w:rPr>
                <w:rFonts w:hint="eastAsia"/>
                <w:color w:val="auto"/>
                <w:sz w:val="24"/>
              </w:rPr>
              <w:t>，</w:t>
            </w:r>
            <w:r>
              <w:rPr>
                <w:rFonts w:hint="eastAsia" w:ascii="宋体" w:hAnsi="宋体"/>
                <w:color w:val="auto"/>
                <w:sz w:val="24"/>
                <w:lang w:eastAsia="zh-CN"/>
              </w:rPr>
              <w:t>循环使用，</w:t>
            </w:r>
            <w:r>
              <w:rPr>
                <w:rFonts w:hint="eastAsia" w:ascii="宋体" w:hAnsi="宋体"/>
                <w:color w:val="auto"/>
                <w:sz w:val="24"/>
              </w:rPr>
              <w:t>其损失水</w:t>
            </w:r>
            <w:r>
              <w:rPr>
                <w:rFonts w:hint="eastAsia"/>
                <w:color w:val="auto"/>
                <w:sz w:val="24"/>
              </w:rPr>
              <w:t>量按照</w:t>
            </w:r>
            <w:r>
              <w:rPr>
                <w:rFonts w:hint="eastAsia"/>
                <w:color w:val="auto"/>
                <w:sz w:val="24"/>
                <w:lang w:val="en-US" w:eastAsia="zh-CN"/>
              </w:rPr>
              <w:t>10</w:t>
            </w:r>
            <w:r>
              <w:rPr>
                <w:color w:val="auto"/>
                <w:sz w:val="24"/>
              </w:rPr>
              <w:t>%</w:t>
            </w:r>
            <w:r>
              <w:rPr>
                <w:rFonts w:hint="eastAsia"/>
                <w:color w:val="auto"/>
                <w:sz w:val="24"/>
              </w:rPr>
              <w:t>计，则</w:t>
            </w:r>
            <w:r>
              <w:rPr>
                <w:rFonts w:hint="eastAsia"/>
                <w:color w:val="auto"/>
                <w:sz w:val="24"/>
                <w:lang w:val="en-US" w:eastAsia="zh-CN"/>
              </w:rPr>
              <w:t>生产用水</w:t>
            </w:r>
            <w:r>
              <w:rPr>
                <w:rFonts w:hint="eastAsia"/>
                <w:color w:val="auto"/>
                <w:sz w:val="24"/>
              </w:rPr>
              <w:t>损耗量</w:t>
            </w:r>
            <w:r>
              <w:rPr>
                <w:rFonts w:hint="eastAsia"/>
                <w:color w:val="auto"/>
                <w:sz w:val="24"/>
                <w:lang w:val="en-US" w:eastAsia="zh-CN"/>
              </w:rPr>
              <w:t>1.2</w:t>
            </w:r>
            <w:r>
              <w:rPr>
                <w:rFonts w:hint="eastAsia"/>
                <w:color w:val="auto"/>
                <w:sz w:val="24"/>
              </w:rPr>
              <w:t>m</w:t>
            </w:r>
            <w:r>
              <w:rPr>
                <w:rFonts w:hint="eastAsia"/>
                <w:color w:val="auto"/>
                <w:sz w:val="24"/>
                <w:vertAlign w:val="superscript"/>
              </w:rPr>
              <w:t>3</w:t>
            </w:r>
            <w:r>
              <w:rPr>
                <w:rFonts w:hint="eastAsia"/>
                <w:color w:val="auto"/>
                <w:sz w:val="24"/>
              </w:rPr>
              <w:t>/d</w:t>
            </w:r>
            <w:r>
              <w:rPr>
                <w:rFonts w:hint="eastAsia"/>
                <w:color w:val="auto"/>
                <w:sz w:val="24"/>
                <w:lang w:eastAsia="zh-CN"/>
              </w:rPr>
              <w:t>(</w:t>
            </w:r>
            <w:r>
              <w:rPr>
                <w:rFonts w:hint="eastAsia"/>
                <w:color w:val="auto"/>
                <w:sz w:val="24"/>
                <w:lang w:val="en-US" w:eastAsia="zh-CN"/>
              </w:rPr>
              <w:t>312</w:t>
            </w:r>
            <w:r>
              <w:rPr>
                <w:rFonts w:hint="eastAsia"/>
                <w:color w:val="auto"/>
                <w:sz w:val="24"/>
              </w:rPr>
              <w:t>m</w:t>
            </w:r>
            <w:r>
              <w:rPr>
                <w:rFonts w:hint="eastAsia"/>
                <w:color w:val="auto"/>
                <w:sz w:val="24"/>
                <w:vertAlign w:val="superscript"/>
              </w:rPr>
              <w:t>3</w:t>
            </w:r>
            <w:r>
              <w:rPr>
                <w:rFonts w:hint="eastAsia"/>
                <w:color w:val="auto"/>
                <w:sz w:val="24"/>
              </w:rPr>
              <w:t>/</w:t>
            </w:r>
            <w:r>
              <w:rPr>
                <w:color w:val="auto"/>
                <w:sz w:val="24"/>
              </w:rPr>
              <w:t>a</w:t>
            </w:r>
            <w:r>
              <w:rPr>
                <w:rFonts w:hint="eastAsia"/>
                <w:color w:val="auto"/>
                <w:sz w:val="24"/>
                <w:lang w:eastAsia="zh-CN"/>
              </w:rPr>
              <w:t>)</w:t>
            </w:r>
            <w:r>
              <w:rPr>
                <w:rFonts w:hint="eastAsia"/>
                <w:color w:val="auto"/>
                <w:sz w:val="24"/>
              </w:rPr>
              <w:t>。</w:t>
            </w:r>
          </w:p>
          <w:p w14:paraId="0F356127">
            <w:pPr>
              <w:adjustRightInd w:val="0"/>
              <w:snapToGrid w:val="0"/>
              <w:spacing w:line="360" w:lineRule="auto"/>
              <w:ind w:firstLine="480" w:firstLineChars="200"/>
              <w:rPr>
                <w:rFonts w:ascii="宋体" w:hAnsi="宋体"/>
                <w:bCs/>
                <w:color w:val="auto"/>
                <w:sz w:val="24"/>
              </w:rPr>
            </w:pPr>
            <w:r>
              <w:rPr>
                <w:rFonts w:hint="eastAsia" w:ascii="宋体" w:hAnsi="宋体" w:cs="宋体"/>
                <w:color w:val="auto"/>
                <w:sz w:val="24"/>
              </w:rPr>
              <w:t>②</w:t>
            </w:r>
            <w:r>
              <w:rPr>
                <w:rFonts w:hint="eastAsia" w:ascii="宋体" w:hAnsi="宋体"/>
                <w:bCs/>
                <w:color w:val="auto"/>
                <w:sz w:val="24"/>
              </w:rPr>
              <w:t>生活用水</w:t>
            </w:r>
          </w:p>
          <w:p w14:paraId="6D337984">
            <w:pPr>
              <w:adjustRightInd w:val="0"/>
              <w:snapToGrid w:val="0"/>
              <w:spacing w:line="360" w:lineRule="auto"/>
              <w:ind w:firstLine="480" w:firstLineChars="200"/>
              <w:rPr>
                <w:color w:val="auto"/>
                <w:sz w:val="24"/>
              </w:rPr>
            </w:pPr>
            <w:r>
              <w:rPr>
                <w:rFonts w:hint="eastAsia"/>
                <w:color w:val="auto"/>
                <w:sz w:val="24"/>
              </w:rPr>
              <w:t>项目</w:t>
            </w:r>
            <w:r>
              <w:rPr>
                <w:color w:val="auto"/>
                <w:sz w:val="24"/>
              </w:rPr>
              <w:t>劳动定员为</w:t>
            </w:r>
            <w:r>
              <w:rPr>
                <w:rFonts w:hint="eastAsia"/>
                <w:color w:val="auto"/>
                <w:sz w:val="24"/>
                <w:lang w:val="en-US" w:eastAsia="zh-CN"/>
              </w:rPr>
              <w:t>35</w:t>
            </w:r>
            <w:r>
              <w:rPr>
                <w:rFonts w:hint="eastAsia"/>
                <w:color w:val="auto"/>
                <w:sz w:val="24"/>
                <w:lang w:eastAsia="zh-CN"/>
              </w:rPr>
              <w:t>人</w:t>
            </w:r>
            <w:r>
              <w:rPr>
                <w:color w:val="auto"/>
                <w:sz w:val="24"/>
              </w:rPr>
              <w:t>，</w:t>
            </w:r>
            <w:r>
              <w:rPr>
                <w:rFonts w:hint="eastAsia"/>
                <w:color w:val="auto"/>
                <w:sz w:val="24"/>
              </w:rPr>
              <w:t>均不在厂区食宿，</w:t>
            </w:r>
            <w:r>
              <w:rPr>
                <w:color w:val="auto"/>
                <w:sz w:val="24"/>
              </w:rPr>
              <w:t>年工作</w:t>
            </w:r>
            <w:r>
              <w:rPr>
                <w:rFonts w:hint="eastAsia"/>
                <w:color w:val="auto"/>
                <w:sz w:val="24"/>
                <w:lang w:val="en-US" w:eastAsia="zh-CN"/>
              </w:rPr>
              <w:t>26</w:t>
            </w:r>
            <w:r>
              <w:rPr>
                <w:rFonts w:hint="eastAsia"/>
                <w:color w:val="auto"/>
                <w:sz w:val="24"/>
                <w:lang w:eastAsia="zh-CN"/>
              </w:rPr>
              <w:t>0天</w:t>
            </w:r>
            <w:r>
              <w:rPr>
                <w:color w:val="auto"/>
                <w:sz w:val="24"/>
              </w:rPr>
              <w:t>，根据《</w:t>
            </w:r>
            <w:r>
              <w:rPr>
                <w:rFonts w:hint="eastAsia"/>
                <w:color w:val="auto"/>
                <w:sz w:val="24"/>
                <w:lang w:eastAsia="zh-CN"/>
              </w:rPr>
              <w:t>湖南省</w:t>
            </w:r>
            <w:r>
              <w:rPr>
                <w:color w:val="auto"/>
                <w:sz w:val="24"/>
              </w:rPr>
              <w:t>生活用水定额》</w:t>
            </w:r>
            <w:r>
              <w:rPr>
                <w:rFonts w:hint="eastAsia"/>
                <w:color w:val="auto"/>
                <w:sz w:val="24"/>
                <w:lang w:eastAsia="zh-CN"/>
              </w:rPr>
              <w:t>(</w:t>
            </w:r>
            <w:r>
              <w:rPr>
                <w:color w:val="auto"/>
                <w:sz w:val="24"/>
              </w:rPr>
              <w:t>DB36/T419-2017</w:t>
            </w:r>
            <w:r>
              <w:rPr>
                <w:rFonts w:hint="eastAsia"/>
                <w:color w:val="auto"/>
                <w:sz w:val="24"/>
                <w:lang w:eastAsia="zh-CN"/>
              </w:rPr>
              <w:t>)</w:t>
            </w:r>
            <w:r>
              <w:rPr>
                <w:color w:val="auto"/>
                <w:sz w:val="24"/>
              </w:rPr>
              <w:t>，</w:t>
            </w:r>
            <w:r>
              <w:rPr>
                <w:rFonts w:hint="eastAsia" w:ascii="Times New Roman" w:hAnsi="Times New Roman" w:eastAsia="宋体" w:cs="Times New Roman"/>
                <w:color w:val="auto"/>
                <w:lang w:val="en-US" w:eastAsia="zh-CN"/>
              </w:rPr>
              <w:t>员工用水量按45L/人·d，则生活用水量约为409.5m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/a（1.575m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/d）</w:t>
            </w:r>
            <w:r>
              <w:rPr>
                <w:color w:val="auto"/>
                <w:sz w:val="24"/>
              </w:rPr>
              <w:t>。</w:t>
            </w:r>
          </w:p>
          <w:p w14:paraId="7A3FDBD1">
            <w:pPr>
              <w:adjustRightInd w:val="0"/>
              <w:snapToGrid w:val="0"/>
              <w:spacing w:line="360" w:lineRule="auto"/>
              <w:ind w:firstLine="480" w:firstLineChars="200"/>
              <w:rPr>
                <w:color w:val="auto"/>
                <w:sz w:val="24"/>
              </w:rPr>
            </w:pPr>
            <w:r>
              <w:rPr>
                <w:rFonts w:hint="eastAsia" w:ascii="Times New Roman" w:hAnsi="Times New Roman" w:eastAsia="宋体" w:cs="Times New Roman"/>
                <w:color w:val="auto"/>
                <w:lang w:val="en-US" w:eastAsia="zh-CN"/>
              </w:rPr>
              <w:t>员工用水量按45L/人·d，则生活用水量约为409.5m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/a（1.575m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/d），排水量按用水量的85%计，则本项目排水量约为348m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/a（1.34m</w:t>
            </w:r>
            <w:r>
              <w:rPr>
                <w:rFonts w:hint="eastAsia" w:ascii="Times New Roman" w:hAnsi="Times New Roman" w:eastAsia="宋体" w:cs="Times New Roman"/>
                <w:color w:val="auto"/>
                <w:vertAlign w:val="superscript"/>
                <w:lang w:val="en-US" w:eastAsia="zh-CN"/>
              </w:rPr>
              <w:t>3</w:t>
            </w:r>
            <w:r>
              <w:rPr>
                <w:rFonts w:hint="eastAsia" w:ascii="Times New Roman" w:hAnsi="Times New Roman" w:eastAsia="宋体" w:cs="Times New Roman"/>
                <w:color w:val="auto"/>
                <w:lang w:val="en-US" w:eastAsia="zh-CN"/>
              </w:rPr>
              <w:t>/d）</w:t>
            </w:r>
            <w:r>
              <w:rPr>
                <w:rFonts w:hint="eastAsia" w:cs="Times New Roman"/>
                <w:color w:val="auto"/>
                <w:lang w:val="en-US" w:eastAsia="zh-CN"/>
              </w:rPr>
              <w:t>。</w:t>
            </w:r>
          </w:p>
          <w:p w14:paraId="008D5D74">
            <w:pPr>
              <w:bidi w:val="0"/>
              <w:rPr>
                <w:color w:val="auto"/>
              </w:rPr>
            </w:pPr>
            <w:r>
              <w:rPr>
                <w:rFonts w:hint="eastAsia"/>
                <w:color w:val="auto"/>
                <w:lang w:eastAsia="zh-CN"/>
              </w:rPr>
              <w:t>（2）</w:t>
            </w:r>
            <w:r>
              <w:rPr>
                <w:rFonts w:hint="eastAsia"/>
                <w:color w:val="auto"/>
              </w:rPr>
              <w:t>排水</w:t>
            </w:r>
          </w:p>
          <w:p w14:paraId="3986A05D">
            <w:pPr>
              <w:bidi w:val="0"/>
              <w:rPr>
                <w:color w:val="auto"/>
              </w:rPr>
            </w:pPr>
            <w:r>
              <w:rPr>
                <w:rFonts w:hint="eastAsia"/>
                <w:color w:val="auto"/>
              </w:rPr>
              <w:t>本项目</w:t>
            </w:r>
            <w:r>
              <w:rPr>
                <w:rFonts w:hint="eastAsia"/>
                <w:color w:val="auto"/>
                <w:lang w:eastAsia="zh-CN"/>
              </w:rPr>
              <w:t>无生产废水排放，</w:t>
            </w:r>
            <w:r>
              <w:rPr>
                <w:rFonts w:hint="eastAsia"/>
                <w:color w:val="auto"/>
              </w:rPr>
              <w:t>生活污水经</w:t>
            </w:r>
            <w:r>
              <w:rPr>
                <w:rFonts w:hint="eastAsia"/>
                <w:color w:val="auto"/>
                <w:lang w:eastAsia="zh-CN"/>
              </w:rPr>
              <w:t>园区</w:t>
            </w:r>
            <w:r>
              <w:rPr>
                <w:rFonts w:hint="eastAsia"/>
                <w:color w:val="auto"/>
              </w:rPr>
              <w:t>化粪池预处理，达到</w:t>
            </w:r>
            <w:r>
              <w:rPr>
                <w:rFonts w:hint="eastAsia"/>
                <w:color w:val="auto"/>
                <w:lang w:eastAsia="zh-CN"/>
              </w:rPr>
              <w:t>江永工业园污水处理厂</w:t>
            </w:r>
            <w:r>
              <w:rPr>
                <w:rFonts w:hint="eastAsia"/>
                <w:color w:val="auto"/>
              </w:rPr>
              <w:t>接管标准及《污水综合排放标准》</w:t>
            </w:r>
            <w:r>
              <w:rPr>
                <w:rFonts w:hint="eastAsia"/>
                <w:color w:val="auto"/>
                <w:lang w:eastAsia="zh-CN"/>
              </w:rPr>
              <w:t>(</w:t>
            </w:r>
            <w:r>
              <w:rPr>
                <w:rFonts w:hint="eastAsia"/>
                <w:color w:val="auto"/>
              </w:rPr>
              <w:t>GB8978-1996</w:t>
            </w:r>
            <w:r>
              <w:rPr>
                <w:rFonts w:hint="eastAsia"/>
                <w:color w:val="auto"/>
                <w:lang w:eastAsia="zh-CN"/>
              </w:rPr>
              <w:t>)</w:t>
            </w:r>
            <w:r>
              <w:rPr>
                <w:rFonts w:hint="eastAsia"/>
                <w:color w:val="auto"/>
              </w:rPr>
              <w:t>表4中三级标准后，经园区污水管网排入</w:t>
            </w:r>
            <w:r>
              <w:rPr>
                <w:rFonts w:hint="eastAsia"/>
                <w:color w:val="auto"/>
                <w:lang w:eastAsia="zh-CN"/>
              </w:rPr>
              <w:t>江永工业园污水处理厂</w:t>
            </w:r>
            <w:r>
              <w:rPr>
                <w:rFonts w:hint="eastAsia"/>
                <w:color w:val="auto"/>
              </w:rPr>
              <w:t>进一步处理，尾水最终</w:t>
            </w:r>
            <w:r>
              <w:rPr>
                <w:rFonts w:hint="eastAsia"/>
                <w:color w:val="auto"/>
                <w:lang w:eastAsia="zh-CN"/>
              </w:rPr>
              <w:t>排入马河</w:t>
            </w:r>
            <w:r>
              <w:rPr>
                <w:color w:val="auto"/>
              </w:rPr>
              <w:t>。</w:t>
            </w:r>
          </w:p>
          <w:p w14:paraId="7BA5521F">
            <w:pPr>
              <w:bidi w:val="0"/>
              <w:rPr>
                <w:color w:val="auto"/>
              </w:rPr>
            </w:pPr>
            <w:r>
              <w:rPr>
                <w:rFonts w:hint="eastAsia"/>
                <w:color w:val="auto"/>
              </w:rPr>
              <w:t>本项目水平衡见表</w:t>
            </w:r>
            <w:r>
              <w:rPr>
                <w:color w:val="auto"/>
              </w:rPr>
              <w:t>2-5</w:t>
            </w:r>
            <w:r>
              <w:rPr>
                <w:rFonts w:hint="eastAsia"/>
                <w:color w:val="auto"/>
              </w:rPr>
              <w:t>及图</w:t>
            </w:r>
            <w:r>
              <w:rPr>
                <w:color w:val="auto"/>
              </w:rPr>
              <w:t>2-1</w:t>
            </w:r>
            <w:r>
              <w:rPr>
                <w:rFonts w:hint="eastAsia"/>
                <w:color w:val="auto"/>
              </w:rPr>
              <w:t>所示。</w:t>
            </w:r>
          </w:p>
          <w:p w14:paraId="646716FE">
            <w:pPr>
              <w:adjustRightInd w:val="0"/>
              <w:snapToGrid w:val="0"/>
              <w:spacing w:before="120" w:beforeLines="50" w:line="240" w:lineRule="auto"/>
              <w:ind w:firstLine="720"/>
              <w:jc w:val="center"/>
              <w:rPr>
                <w:rFonts w:hint="eastAsia" w:ascii="Times New Roman" w:hAnsi="Times New Roman" w:eastAsia="宋体" w:cs="Times New Roman"/>
                <w:b/>
                <w:color w:val="auto"/>
                <w:sz w:val="21"/>
                <w:szCs w:val="21"/>
                <w:lang w:eastAsia="zh-CN"/>
              </w:rPr>
            </w:pPr>
            <w:r>
              <w:rPr>
                <w:rFonts w:hint="eastAsia" w:ascii="Times New Roman" w:hAnsi="Times New Roman" w:eastAsia="宋体" w:cs="Times New Roman"/>
                <w:b/>
                <w:color w:val="auto"/>
                <w:sz w:val="21"/>
                <w:szCs w:val="21"/>
              </w:rPr>
              <w:t>表2-5  本项目给排水平衡表</w:t>
            </w:r>
            <w:r>
              <w:rPr>
                <w:rFonts w:hint="eastAsia" w:ascii="Times New Roman" w:hAnsi="Times New Roman" w:eastAsia="宋体" w:cs="Times New Roman"/>
                <w:b/>
                <w:color w:val="auto"/>
                <w:sz w:val="21"/>
                <w:szCs w:val="21"/>
                <w:lang w:eastAsia="zh-CN"/>
              </w:rPr>
              <w:t>(</w:t>
            </w:r>
            <w:r>
              <w:rPr>
                <w:rFonts w:hint="eastAsia" w:ascii="Times New Roman" w:hAnsi="Times New Roman" w:eastAsia="宋体" w:cs="Times New Roman"/>
                <w:b/>
                <w:color w:val="auto"/>
                <w:sz w:val="21"/>
                <w:szCs w:val="21"/>
              </w:rPr>
              <w:t>m</w:t>
            </w:r>
            <w:r>
              <w:rPr>
                <w:rFonts w:hint="eastAsia" w:ascii="Times New Roman" w:hAnsi="Times New Roman" w:eastAsia="宋体" w:cs="Times New Roman"/>
                <w:b/>
                <w:color w:val="auto"/>
                <w:sz w:val="21"/>
                <w:szCs w:val="21"/>
                <w:vertAlign w:val="superscript"/>
              </w:rPr>
              <w:t>3</w:t>
            </w:r>
            <w:r>
              <w:rPr>
                <w:rFonts w:hint="eastAsia" w:ascii="Times New Roman" w:hAnsi="Times New Roman" w:eastAsia="宋体" w:cs="Times New Roman"/>
                <w:b/>
                <w:color w:val="auto"/>
                <w:sz w:val="21"/>
                <w:szCs w:val="21"/>
              </w:rPr>
              <w:t>/d</w:t>
            </w:r>
            <w:r>
              <w:rPr>
                <w:rFonts w:hint="eastAsia" w:ascii="Times New Roman" w:hAnsi="Times New Roman" w:eastAsia="宋体" w:cs="Times New Roman"/>
                <w:b/>
                <w:color w:val="auto"/>
                <w:sz w:val="21"/>
                <w:szCs w:val="21"/>
                <w:lang w:eastAsia="zh-CN"/>
              </w:rPr>
              <w:t>)</w:t>
            </w:r>
          </w:p>
          <w:tbl>
            <w:tblPr>
              <w:tblStyle w:val="29"/>
              <w:tblW w:w="50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4"/>
              <w:gridCol w:w="1157"/>
              <w:gridCol w:w="1295"/>
              <w:gridCol w:w="979"/>
              <w:gridCol w:w="970"/>
              <w:gridCol w:w="962"/>
              <w:gridCol w:w="1168"/>
            </w:tblGrid>
            <w:tr w14:paraId="5D3D1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 w:type="pct"/>
                  <w:vMerge w:val="restart"/>
                  <w:tcBorders>
                    <w:tl2br w:val="nil"/>
                    <w:tr2bl w:val="nil"/>
                  </w:tcBorders>
                  <w:noWrap w:val="0"/>
                  <w:vAlign w:val="center"/>
                </w:tcPr>
                <w:p w14:paraId="5D0031BD">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用水项目</w:t>
                  </w:r>
                </w:p>
              </w:tc>
              <w:tc>
                <w:tcPr>
                  <w:tcW w:w="729" w:type="pct"/>
                  <w:vMerge w:val="restart"/>
                  <w:tcBorders>
                    <w:tl2br w:val="nil"/>
                    <w:tr2bl w:val="nil"/>
                  </w:tcBorders>
                  <w:noWrap w:val="0"/>
                  <w:vAlign w:val="center"/>
                </w:tcPr>
                <w:p w14:paraId="4C2A5EF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总用水量</w:t>
                  </w:r>
                </w:p>
              </w:tc>
              <w:tc>
                <w:tcPr>
                  <w:tcW w:w="1433" w:type="pct"/>
                  <w:gridSpan w:val="2"/>
                  <w:tcBorders>
                    <w:tl2br w:val="nil"/>
                    <w:tr2bl w:val="nil"/>
                  </w:tcBorders>
                  <w:noWrap w:val="0"/>
                  <w:vAlign w:val="center"/>
                </w:tcPr>
                <w:p w14:paraId="299BE0E9">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用水量</w:t>
                  </w:r>
                </w:p>
              </w:tc>
              <w:tc>
                <w:tcPr>
                  <w:tcW w:w="1954" w:type="pct"/>
                  <w:gridSpan w:val="3"/>
                  <w:tcBorders>
                    <w:tl2br w:val="nil"/>
                    <w:tr2bl w:val="nil"/>
                  </w:tcBorders>
                  <w:noWrap w:val="0"/>
                  <w:vAlign w:val="center"/>
                </w:tcPr>
                <w:p w14:paraId="3EEF0285">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出水量</w:t>
                  </w:r>
                </w:p>
              </w:tc>
            </w:tr>
            <w:tr w14:paraId="706A6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 w:type="pct"/>
                  <w:vMerge w:val="continue"/>
                  <w:tcBorders>
                    <w:tl2br w:val="nil"/>
                    <w:tr2bl w:val="nil"/>
                  </w:tcBorders>
                  <w:noWrap w:val="0"/>
                  <w:vAlign w:val="center"/>
                </w:tcPr>
                <w:p w14:paraId="1BB0514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p>
              </w:tc>
              <w:tc>
                <w:tcPr>
                  <w:tcW w:w="729" w:type="pct"/>
                  <w:vMerge w:val="continue"/>
                  <w:tcBorders>
                    <w:tl2br w:val="nil"/>
                    <w:tr2bl w:val="nil"/>
                  </w:tcBorders>
                  <w:noWrap w:val="0"/>
                  <w:vAlign w:val="center"/>
                </w:tcPr>
                <w:p w14:paraId="355F4E8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p>
              </w:tc>
              <w:tc>
                <w:tcPr>
                  <w:tcW w:w="816" w:type="pct"/>
                  <w:tcBorders>
                    <w:tl2br w:val="nil"/>
                    <w:tr2bl w:val="nil"/>
                  </w:tcBorders>
                  <w:noWrap w:val="0"/>
                  <w:vAlign w:val="center"/>
                </w:tcPr>
                <w:p w14:paraId="428290ED">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新鲜水</w:t>
                  </w:r>
                </w:p>
              </w:tc>
              <w:tc>
                <w:tcPr>
                  <w:tcW w:w="617" w:type="pct"/>
                  <w:tcBorders>
                    <w:tl2br w:val="nil"/>
                    <w:tr2bl w:val="nil"/>
                  </w:tcBorders>
                  <w:noWrap w:val="0"/>
                  <w:vAlign w:val="center"/>
                </w:tcPr>
                <w:p w14:paraId="4D9E3A9C">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循环水</w:t>
                  </w:r>
                </w:p>
              </w:tc>
              <w:tc>
                <w:tcPr>
                  <w:tcW w:w="611" w:type="pct"/>
                  <w:tcBorders>
                    <w:tl2br w:val="nil"/>
                    <w:tr2bl w:val="nil"/>
                  </w:tcBorders>
                  <w:noWrap w:val="0"/>
                  <w:vAlign w:val="center"/>
                </w:tcPr>
                <w:p w14:paraId="0976D0B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损耗</w:t>
                  </w:r>
                </w:p>
              </w:tc>
              <w:tc>
                <w:tcPr>
                  <w:tcW w:w="606" w:type="pct"/>
                  <w:tcBorders>
                    <w:tl2br w:val="nil"/>
                    <w:tr2bl w:val="nil"/>
                  </w:tcBorders>
                  <w:noWrap w:val="0"/>
                  <w:vAlign w:val="center"/>
                </w:tcPr>
                <w:p w14:paraId="6D631E71">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循环水</w:t>
                  </w:r>
                </w:p>
              </w:tc>
              <w:tc>
                <w:tcPr>
                  <w:tcW w:w="737" w:type="pct"/>
                  <w:tcBorders>
                    <w:tl2br w:val="nil"/>
                    <w:tr2bl w:val="nil"/>
                  </w:tcBorders>
                  <w:noWrap w:val="0"/>
                  <w:vAlign w:val="center"/>
                </w:tcPr>
                <w:p w14:paraId="1EA46C3D">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外排废水</w:t>
                  </w:r>
                </w:p>
              </w:tc>
            </w:tr>
            <w:tr w14:paraId="4B04D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 w:type="pct"/>
                  <w:tcBorders>
                    <w:tl2br w:val="nil"/>
                    <w:tr2bl w:val="nil"/>
                  </w:tcBorders>
                  <w:noWrap w:val="0"/>
                  <w:vAlign w:val="center"/>
                </w:tcPr>
                <w:p w14:paraId="1847C0A0">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机加工用水</w:t>
                  </w:r>
                </w:p>
              </w:tc>
              <w:tc>
                <w:tcPr>
                  <w:tcW w:w="729" w:type="pct"/>
                  <w:tcBorders>
                    <w:tl2br w:val="nil"/>
                    <w:tr2bl w:val="nil"/>
                  </w:tcBorders>
                  <w:noWrap w:val="0"/>
                  <w:vAlign w:val="center"/>
                </w:tcPr>
                <w:p w14:paraId="0F6928F5">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12</w:t>
                  </w:r>
                </w:p>
              </w:tc>
              <w:tc>
                <w:tcPr>
                  <w:tcW w:w="816" w:type="pct"/>
                  <w:tcBorders>
                    <w:tl2br w:val="nil"/>
                    <w:tr2bl w:val="nil"/>
                  </w:tcBorders>
                  <w:noWrap w:val="0"/>
                  <w:vAlign w:val="center"/>
                </w:tcPr>
                <w:p w14:paraId="3A20A9C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1.2</w:t>
                  </w:r>
                </w:p>
              </w:tc>
              <w:tc>
                <w:tcPr>
                  <w:tcW w:w="617" w:type="pct"/>
                  <w:tcBorders>
                    <w:tl2br w:val="nil"/>
                    <w:tr2bl w:val="nil"/>
                  </w:tcBorders>
                  <w:noWrap w:val="0"/>
                  <w:vAlign w:val="center"/>
                </w:tcPr>
                <w:p w14:paraId="2AEFD8EA">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10.8</w:t>
                  </w:r>
                </w:p>
              </w:tc>
              <w:tc>
                <w:tcPr>
                  <w:tcW w:w="611" w:type="pct"/>
                  <w:tcBorders>
                    <w:tl2br w:val="nil"/>
                    <w:tr2bl w:val="nil"/>
                  </w:tcBorders>
                  <w:noWrap w:val="0"/>
                  <w:vAlign w:val="center"/>
                </w:tcPr>
                <w:p w14:paraId="7A165B5A">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1.2</w:t>
                  </w:r>
                </w:p>
              </w:tc>
              <w:tc>
                <w:tcPr>
                  <w:tcW w:w="606" w:type="pct"/>
                  <w:tcBorders>
                    <w:tl2br w:val="nil"/>
                    <w:tr2bl w:val="nil"/>
                  </w:tcBorders>
                  <w:noWrap w:val="0"/>
                  <w:vAlign w:val="center"/>
                </w:tcPr>
                <w:p w14:paraId="1CE8187C">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10.8</w:t>
                  </w:r>
                </w:p>
              </w:tc>
              <w:tc>
                <w:tcPr>
                  <w:tcW w:w="737" w:type="pct"/>
                  <w:tcBorders>
                    <w:tl2br w:val="nil"/>
                    <w:tr2bl w:val="nil"/>
                  </w:tcBorders>
                  <w:noWrap w:val="0"/>
                  <w:vAlign w:val="center"/>
                </w:tcPr>
                <w:p w14:paraId="0C24C6BB">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0</w:t>
                  </w:r>
                </w:p>
              </w:tc>
            </w:tr>
            <w:tr w14:paraId="16BFD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 w:type="pct"/>
                  <w:tcBorders>
                    <w:tl2br w:val="nil"/>
                    <w:tr2bl w:val="nil"/>
                  </w:tcBorders>
                  <w:noWrap w:val="0"/>
                  <w:vAlign w:val="center"/>
                </w:tcPr>
                <w:p w14:paraId="01A04493">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生活用水</w:t>
                  </w:r>
                </w:p>
              </w:tc>
              <w:tc>
                <w:tcPr>
                  <w:tcW w:w="1216" w:type="dxa"/>
                  <w:tcBorders>
                    <w:tl2br w:val="nil"/>
                    <w:tr2bl w:val="nil"/>
                  </w:tcBorders>
                  <w:noWrap w:val="0"/>
                  <w:vAlign w:val="center"/>
                </w:tcPr>
                <w:p w14:paraId="4AC724F5">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1.575</w:t>
                  </w:r>
                </w:p>
              </w:tc>
              <w:tc>
                <w:tcPr>
                  <w:tcW w:w="1361" w:type="dxa"/>
                  <w:tcBorders>
                    <w:tl2br w:val="nil"/>
                    <w:tr2bl w:val="nil"/>
                  </w:tcBorders>
                  <w:noWrap w:val="0"/>
                  <w:vAlign w:val="center"/>
                </w:tcPr>
                <w:p w14:paraId="5717D25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1.575</w:t>
                  </w:r>
                </w:p>
              </w:tc>
              <w:tc>
                <w:tcPr>
                  <w:tcW w:w="1029" w:type="dxa"/>
                  <w:tcBorders>
                    <w:tl2br w:val="nil"/>
                    <w:tr2bl w:val="nil"/>
                  </w:tcBorders>
                  <w:noWrap w:val="0"/>
                  <w:vAlign w:val="center"/>
                </w:tcPr>
                <w:p w14:paraId="43C7358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w:t>
                  </w:r>
                </w:p>
              </w:tc>
              <w:tc>
                <w:tcPr>
                  <w:tcW w:w="1019" w:type="dxa"/>
                  <w:tcBorders>
                    <w:tl2br w:val="nil"/>
                    <w:tr2bl w:val="nil"/>
                  </w:tcBorders>
                  <w:noWrap w:val="0"/>
                  <w:vAlign w:val="center"/>
                </w:tcPr>
                <w:p w14:paraId="59C3BEAA">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0.235</w:t>
                  </w:r>
                </w:p>
              </w:tc>
              <w:tc>
                <w:tcPr>
                  <w:tcW w:w="1011" w:type="dxa"/>
                  <w:tcBorders>
                    <w:tl2br w:val="nil"/>
                    <w:tr2bl w:val="nil"/>
                  </w:tcBorders>
                  <w:noWrap w:val="0"/>
                  <w:vAlign w:val="center"/>
                </w:tcPr>
                <w:p w14:paraId="2420BA2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0</w:t>
                  </w:r>
                </w:p>
              </w:tc>
              <w:tc>
                <w:tcPr>
                  <w:tcW w:w="1228" w:type="dxa"/>
                  <w:tcBorders>
                    <w:tl2br w:val="nil"/>
                    <w:tr2bl w:val="nil"/>
                  </w:tcBorders>
                  <w:noWrap w:val="0"/>
                  <w:vAlign w:val="center"/>
                </w:tcPr>
                <w:p w14:paraId="04C3FF0B">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1.34</w:t>
                  </w:r>
                </w:p>
              </w:tc>
            </w:tr>
            <w:tr w14:paraId="181D9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 w:type="pct"/>
                  <w:vMerge w:val="restart"/>
                  <w:tcBorders>
                    <w:tl2br w:val="nil"/>
                    <w:tr2bl w:val="nil"/>
                  </w:tcBorders>
                  <w:noWrap w:val="0"/>
                  <w:vAlign w:val="center"/>
                </w:tcPr>
                <w:p w14:paraId="1472AD1A">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合计</w:t>
                  </w:r>
                </w:p>
              </w:tc>
              <w:tc>
                <w:tcPr>
                  <w:tcW w:w="1216" w:type="dxa"/>
                  <w:vMerge w:val="restart"/>
                  <w:tcBorders>
                    <w:tl2br w:val="nil"/>
                    <w:tr2bl w:val="nil"/>
                  </w:tcBorders>
                  <w:noWrap w:val="0"/>
                  <w:vAlign w:val="center"/>
                </w:tcPr>
                <w:p w14:paraId="49F74569">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13.575</w:t>
                  </w:r>
                </w:p>
              </w:tc>
              <w:tc>
                <w:tcPr>
                  <w:tcW w:w="1361" w:type="dxa"/>
                  <w:tcBorders>
                    <w:tl2br w:val="nil"/>
                    <w:tr2bl w:val="nil"/>
                  </w:tcBorders>
                  <w:noWrap w:val="0"/>
                  <w:vAlign w:val="bottom"/>
                </w:tcPr>
                <w:p w14:paraId="40989451">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2.775</w:t>
                  </w:r>
                </w:p>
              </w:tc>
              <w:tc>
                <w:tcPr>
                  <w:tcW w:w="1029" w:type="dxa"/>
                  <w:tcBorders>
                    <w:tl2br w:val="nil"/>
                    <w:tr2bl w:val="nil"/>
                  </w:tcBorders>
                  <w:noWrap w:val="0"/>
                  <w:vAlign w:val="bottom"/>
                </w:tcPr>
                <w:p w14:paraId="36A99623">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10.8</w:t>
                  </w:r>
                </w:p>
              </w:tc>
              <w:tc>
                <w:tcPr>
                  <w:tcW w:w="1019" w:type="dxa"/>
                  <w:tcBorders>
                    <w:tl2br w:val="nil"/>
                    <w:tr2bl w:val="nil"/>
                  </w:tcBorders>
                  <w:noWrap w:val="0"/>
                  <w:vAlign w:val="bottom"/>
                </w:tcPr>
                <w:p w14:paraId="312B995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1.435</w:t>
                  </w:r>
                </w:p>
              </w:tc>
              <w:tc>
                <w:tcPr>
                  <w:tcW w:w="1011" w:type="dxa"/>
                  <w:tcBorders>
                    <w:tl2br w:val="nil"/>
                    <w:tr2bl w:val="nil"/>
                  </w:tcBorders>
                  <w:noWrap w:val="0"/>
                  <w:vAlign w:val="bottom"/>
                </w:tcPr>
                <w:p w14:paraId="5754C7EA">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10.8</w:t>
                  </w:r>
                </w:p>
              </w:tc>
              <w:tc>
                <w:tcPr>
                  <w:tcW w:w="1228" w:type="dxa"/>
                  <w:tcBorders>
                    <w:tl2br w:val="nil"/>
                    <w:tr2bl w:val="nil"/>
                  </w:tcBorders>
                  <w:noWrap w:val="0"/>
                  <w:vAlign w:val="bottom"/>
                </w:tcPr>
                <w:p w14:paraId="4521906C">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1.34</w:t>
                  </w:r>
                </w:p>
              </w:tc>
            </w:tr>
            <w:tr w14:paraId="50281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85" w:type="pct"/>
                  <w:vMerge w:val="continue"/>
                  <w:tcBorders>
                    <w:tl2br w:val="nil"/>
                    <w:tr2bl w:val="nil"/>
                  </w:tcBorders>
                  <w:noWrap w:val="0"/>
                  <w:vAlign w:val="center"/>
                </w:tcPr>
                <w:p w14:paraId="7E9FC34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p>
              </w:tc>
              <w:tc>
                <w:tcPr>
                  <w:tcW w:w="1216" w:type="dxa"/>
                  <w:vMerge w:val="continue"/>
                  <w:tcBorders>
                    <w:tl2br w:val="nil"/>
                    <w:tr2bl w:val="nil"/>
                  </w:tcBorders>
                  <w:noWrap w:val="0"/>
                  <w:vAlign w:val="center"/>
                </w:tcPr>
                <w:p w14:paraId="6BE864B0">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lang w:val="en-US" w:eastAsia="zh-CN"/>
                    </w:rPr>
                  </w:pPr>
                </w:p>
              </w:tc>
              <w:tc>
                <w:tcPr>
                  <w:tcW w:w="2390" w:type="dxa"/>
                  <w:gridSpan w:val="2"/>
                  <w:tcBorders>
                    <w:tl2br w:val="nil"/>
                    <w:tr2bl w:val="nil"/>
                  </w:tcBorders>
                  <w:noWrap w:val="0"/>
                  <w:vAlign w:val="center"/>
                </w:tcPr>
                <w:p w14:paraId="518AE2F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122</w:t>
                  </w:r>
                </w:p>
              </w:tc>
              <w:tc>
                <w:tcPr>
                  <w:tcW w:w="3258" w:type="dxa"/>
                  <w:gridSpan w:val="3"/>
                  <w:tcBorders>
                    <w:tl2br w:val="nil"/>
                    <w:tr2bl w:val="nil"/>
                  </w:tcBorders>
                  <w:noWrap w:val="0"/>
                  <w:vAlign w:val="center"/>
                </w:tcPr>
                <w:p w14:paraId="609A7FEA">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122</w:t>
                  </w:r>
                </w:p>
              </w:tc>
            </w:tr>
          </w:tbl>
          <w:p w14:paraId="71F39576">
            <w:pPr>
              <w:bidi w:val="0"/>
              <w:rPr>
                <w:color w:val="auto"/>
              </w:rPr>
            </w:pPr>
          </w:p>
        </w:tc>
      </w:tr>
      <w:tr w14:paraId="605E2B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23" w:type="dxa"/>
            <w:noWrap w:val="0"/>
            <w:vAlign w:val="center"/>
          </w:tcPr>
          <w:p w14:paraId="6C68D844">
            <w:pPr>
              <w:pStyle w:val="25"/>
              <w:adjustRightInd w:val="0"/>
              <w:snapToGrid w:val="0"/>
              <w:spacing w:before="0" w:beforeAutospacing="0" w:after="0" w:afterAutospacing="0"/>
              <w:ind w:left="0" w:leftChars="0" w:firstLine="0" w:firstLineChars="0"/>
              <w:jc w:val="center"/>
              <w:rPr>
                <w:rFonts w:ascii="Times New Roman" w:hAnsi="Times New Roman"/>
                <w:color w:val="auto"/>
                <w:sz w:val="21"/>
                <w:szCs w:val="21"/>
              </w:rPr>
            </w:pPr>
            <w:r>
              <w:rPr>
                <w:rFonts w:ascii="Times New Roman" w:hAnsi="Times New Roman"/>
                <w:color w:val="auto"/>
                <w:sz w:val="21"/>
                <w:szCs w:val="21"/>
              </w:rPr>
              <w:t>工艺流程和产排污环节</w:t>
            </w:r>
          </w:p>
        </w:tc>
        <w:tc>
          <w:tcPr>
            <w:tcW w:w="8161" w:type="dxa"/>
            <w:noWrap w:val="0"/>
            <w:vAlign w:val="center"/>
          </w:tcPr>
          <w:p w14:paraId="2200526A">
            <w:pPr>
              <w:bidi w:val="0"/>
              <w:rPr>
                <w:color w:val="auto"/>
              </w:rPr>
            </w:pPr>
            <w:r>
              <w:rPr>
                <w:color w:val="auto"/>
              </w:rPr>
              <w:t>1、施工期</w:t>
            </w:r>
          </w:p>
          <w:p w14:paraId="59DFABB0">
            <w:pPr>
              <w:bidi w:val="0"/>
              <w:rPr>
                <w:color w:val="auto"/>
              </w:rPr>
            </w:pPr>
            <w:r>
              <w:rPr>
                <w:rFonts w:hint="eastAsia"/>
                <w:color w:val="auto"/>
              </w:rPr>
              <w:t>本项目是</w:t>
            </w:r>
            <w:r>
              <w:rPr>
                <w:rFonts w:hint="eastAsia"/>
                <w:color w:val="auto"/>
                <w:lang w:eastAsia="zh-CN"/>
              </w:rPr>
              <w:t>租赁</w:t>
            </w:r>
            <w:r>
              <w:rPr>
                <w:rFonts w:hint="eastAsia"/>
                <w:color w:val="auto"/>
              </w:rPr>
              <w:t>已建成的空置厂房，施工期仅为设备安装调试，由于施工时间较短，施工过程较为简单，基本在封闭的空间内施工，施工期对项目周边环境敏感目标没有产生明显影响。</w:t>
            </w:r>
          </w:p>
          <w:p w14:paraId="05A98B9C">
            <w:pPr>
              <w:bidi w:val="0"/>
              <w:rPr>
                <w:color w:val="auto"/>
              </w:rPr>
            </w:pPr>
            <w:r>
              <w:rPr>
                <w:color w:val="auto"/>
              </w:rPr>
              <w:t>2、营运期</w:t>
            </w:r>
          </w:p>
          <w:p w14:paraId="4976A24B">
            <w:pPr>
              <w:bidi w:val="0"/>
              <w:rPr>
                <w:rFonts w:hint="eastAsia"/>
                <w:color w:val="auto"/>
                <w:u w:val="single"/>
              </w:rPr>
            </w:pPr>
            <w:r>
              <w:rPr>
                <w:rFonts w:hint="eastAsia"/>
                <w:color w:val="auto"/>
                <w:u w:val="single"/>
              </w:rPr>
              <w:t>本项目主要外购</w:t>
            </w:r>
            <w:r>
              <w:rPr>
                <w:rFonts w:hint="eastAsia"/>
                <w:color w:val="auto"/>
                <w:u w:val="single"/>
                <w:lang w:val="en-US" w:eastAsia="zh-CN"/>
              </w:rPr>
              <w:t>铝合金锭</w:t>
            </w:r>
            <w:r>
              <w:rPr>
                <w:rFonts w:hint="eastAsia"/>
                <w:color w:val="auto"/>
                <w:u w:val="single"/>
              </w:rPr>
              <w:t>，进行</w:t>
            </w:r>
            <w:r>
              <w:rPr>
                <w:rFonts w:hint="eastAsia"/>
                <w:color w:val="auto"/>
                <w:u w:val="single"/>
                <w:lang w:val="en-US" w:eastAsia="zh-CN"/>
              </w:rPr>
              <w:t>熔铸、机加工</w:t>
            </w:r>
            <w:r>
              <w:rPr>
                <w:rFonts w:hint="eastAsia"/>
                <w:color w:val="auto"/>
                <w:u w:val="single"/>
              </w:rPr>
              <w:t>等流程，得到最终产品，工艺流程及产污环节详见图2</w:t>
            </w:r>
            <w:r>
              <w:rPr>
                <w:color w:val="auto"/>
                <w:u w:val="single"/>
              </w:rPr>
              <w:t>-2</w:t>
            </w:r>
            <w:r>
              <w:rPr>
                <w:rFonts w:hint="eastAsia"/>
                <w:color w:val="auto"/>
                <w:u w:val="single"/>
              </w:rPr>
              <w:t>所示。</w:t>
            </w:r>
          </w:p>
          <w:p w14:paraId="3831D4BA">
            <w:pPr>
              <w:bidi w:val="0"/>
              <w:ind w:left="0" w:leftChars="0" w:firstLine="0" w:firstLineChars="0"/>
              <w:jc w:val="center"/>
              <w:rPr>
                <w:rFonts w:hint="eastAsia"/>
                <w:color w:val="auto"/>
                <w:u w:val="single"/>
                <w:lang w:eastAsia="zh-CN"/>
              </w:rPr>
            </w:pPr>
            <w:r>
              <w:rPr>
                <w:rFonts w:hint="eastAsia"/>
                <w:color w:val="auto"/>
                <w:u w:val="single"/>
                <w:lang w:eastAsia="zh-CN"/>
              </w:rPr>
              <w:drawing>
                <wp:inline distT="0" distB="0" distL="114300" distR="114300">
                  <wp:extent cx="3510915" cy="5410200"/>
                  <wp:effectExtent l="0" t="0" r="0" b="0"/>
                  <wp:docPr id="16" name="ECB019B1-382A-4266-B25C-5B523AA43C14-1" descr="C:/Users/admin/AppData/Local/Temp/wps.niZzyM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CB019B1-382A-4266-B25C-5B523AA43C14-1" descr="C:/Users/admin/AppData/Local/Temp/wps.niZzyMwps"/>
                          <pic:cNvPicPr>
                            <a:picLocks noChangeAspect="1"/>
                          </pic:cNvPicPr>
                        </pic:nvPicPr>
                        <pic:blipFill>
                          <a:blip r:embed="rId13"/>
                          <a:stretch>
                            <a:fillRect/>
                          </a:stretch>
                        </pic:blipFill>
                        <pic:spPr>
                          <a:xfrm>
                            <a:off x="0" y="0"/>
                            <a:ext cx="3510915" cy="5410200"/>
                          </a:xfrm>
                          <a:prstGeom prst="rect">
                            <a:avLst/>
                          </a:prstGeom>
                          <a:noFill/>
                          <a:ln>
                            <a:noFill/>
                          </a:ln>
                        </pic:spPr>
                      </pic:pic>
                    </a:graphicData>
                  </a:graphic>
                </wp:inline>
              </w:drawing>
            </w:r>
          </w:p>
          <w:p w14:paraId="78C45C15">
            <w:pPr>
              <w:adjustRightInd w:val="0"/>
              <w:snapToGrid w:val="0"/>
              <w:spacing w:after="120" w:afterLines="50"/>
              <w:jc w:val="center"/>
              <w:rPr>
                <w:b/>
                <w:color w:val="auto"/>
                <w:szCs w:val="21"/>
                <w:u w:val="single"/>
              </w:rPr>
            </w:pPr>
            <w:r>
              <w:rPr>
                <w:rFonts w:hint="eastAsia"/>
                <w:b/>
                <w:color w:val="auto"/>
                <w:szCs w:val="21"/>
                <w:u w:val="single"/>
              </w:rPr>
              <w:t>图2</w:t>
            </w:r>
            <w:r>
              <w:rPr>
                <w:b/>
                <w:color w:val="auto"/>
                <w:szCs w:val="21"/>
                <w:u w:val="single"/>
              </w:rPr>
              <w:t xml:space="preserve">-2 </w:t>
            </w:r>
            <w:r>
              <w:rPr>
                <w:rFonts w:hint="eastAsia"/>
                <w:b/>
                <w:color w:val="auto"/>
                <w:szCs w:val="21"/>
                <w:u w:val="single"/>
              </w:rPr>
              <w:t>生产工艺流程及产污环节示意图</w:t>
            </w:r>
          </w:p>
          <w:p w14:paraId="6A8FD19E">
            <w:pPr>
              <w:adjustRightInd w:val="0"/>
              <w:snapToGrid w:val="0"/>
              <w:spacing w:line="360" w:lineRule="auto"/>
              <w:ind w:firstLine="482" w:firstLineChars="200"/>
              <w:rPr>
                <w:b/>
                <w:color w:val="auto"/>
                <w:sz w:val="24"/>
                <w:u w:val="single"/>
              </w:rPr>
            </w:pPr>
            <w:r>
              <w:rPr>
                <w:rFonts w:hint="eastAsia"/>
                <w:b/>
                <w:color w:val="auto"/>
                <w:sz w:val="24"/>
                <w:u w:val="single"/>
              </w:rPr>
              <w:t>工艺流程说明如下：</w:t>
            </w:r>
          </w:p>
          <w:p w14:paraId="615396AF">
            <w:pPr>
              <w:bidi w:val="0"/>
              <w:rPr>
                <w:rFonts w:hint="eastAsia"/>
                <w:color w:val="auto"/>
                <w:u w:val="single"/>
                <w:lang w:eastAsia="zh-CN"/>
              </w:rPr>
            </w:pPr>
            <w:r>
              <w:rPr>
                <w:rFonts w:hint="eastAsia"/>
                <w:color w:val="auto"/>
                <w:u w:val="single"/>
                <w:lang w:eastAsia="zh-CN"/>
              </w:rPr>
              <w:t>（</w:t>
            </w:r>
            <w:r>
              <w:rPr>
                <w:rFonts w:hint="eastAsia"/>
                <w:color w:val="auto"/>
                <w:u w:val="single"/>
                <w:lang w:val="en-US" w:eastAsia="zh-CN"/>
              </w:rPr>
              <w:t>1）</w:t>
            </w:r>
            <w:r>
              <w:rPr>
                <w:rFonts w:hint="eastAsia"/>
                <w:color w:val="auto"/>
                <w:u w:val="single"/>
                <w:lang w:eastAsia="zh-CN"/>
              </w:rPr>
              <w:t>铝合金锭熔化</w:t>
            </w:r>
          </w:p>
          <w:p w14:paraId="1ADBCF35">
            <w:pPr>
              <w:bidi w:val="0"/>
              <w:rPr>
                <w:rFonts w:hint="eastAsia" w:ascii="Times New Roman" w:hAnsi="Times New Roman" w:eastAsia="宋体" w:cs="Times New Roman"/>
                <w:color w:val="auto"/>
                <w:szCs w:val="24"/>
                <w:u w:val="single"/>
                <w:lang w:eastAsia="zh-CN"/>
              </w:rPr>
            </w:pPr>
            <w:r>
              <w:rPr>
                <w:rFonts w:hint="eastAsia" w:ascii="Times New Roman" w:hAnsi="Times New Roman" w:eastAsia="宋体" w:cs="Times New Roman"/>
                <w:color w:val="auto"/>
                <w:szCs w:val="24"/>
                <w:u w:val="single"/>
                <w:lang w:eastAsia="zh-CN"/>
              </w:rPr>
              <w:t>将固态</w:t>
            </w:r>
            <w:r>
              <w:rPr>
                <w:rFonts w:hint="eastAsia" w:cs="Times New Roman"/>
                <w:color w:val="auto"/>
                <w:szCs w:val="24"/>
                <w:u w:val="single"/>
                <w:lang w:eastAsia="zh-CN"/>
              </w:rPr>
              <w:t>铝合金锭</w:t>
            </w:r>
            <w:r>
              <w:rPr>
                <w:rFonts w:hint="eastAsia" w:ascii="Times New Roman" w:hAnsi="Times New Roman" w:eastAsia="宋体" w:cs="Times New Roman"/>
                <w:color w:val="auto"/>
                <w:szCs w:val="24"/>
                <w:u w:val="single"/>
                <w:lang w:eastAsia="zh-CN"/>
              </w:rPr>
              <w:t>加热熔化为液态铝，为后续压铸成型做准备， 使铝能够在压铸过程中更好地填充模具型腔，获得所需形状的铸件。使用电熔炉进行加热，温度一般控制在700-750℃左右。</w:t>
            </w:r>
          </w:p>
          <w:p w14:paraId="430D6337">
            <w:pPr>
              <w:bidi w:val="0"/>
              <w:rPr>
                <w:rFonts w:hint="eastAsia"/>
                <w:color w:val="auto"/>
                <w:u w:val="single"/>
              </w:rPr>
            </w:pPr>
            <w:r>
              <w:rPr>
                <w:rFonts w:hint="eastAsia"/>
                <w:color w:val="auto"/>
                <w:u w:val="single"/>
                <w:lang w:val="en-US" w:eastAsia="zh-CN"/>
              </w:rPr>
              <w:t>成品铝合金锭熔化体不产生废渣，无需清渣，在熔化过程会产生少量烟尘，在熔化炉出料口设置集气罩收集</w:t>
            </w:r>
            <w:r>
              <w:rPr>
                <w:rFonts w:hint="eastAsia"/>
                <w:color w:val="auto"/>
                <w:u w:val="single"/>
              </w:rPr>
              <w:t>。</w:t>
            </w:r>
          </w:p>
          <w:p w14:paraId="7B4613C8">
            <w:pPr>
              <w:bidi w:val="0"/>
              <w:rPr>
                <w:rFonts w:hint="eastAsia"/>
                <w:color w:val="auto"/>
                <w:u w:val="single"/>
                <w:lang w:eastAsia="zh-CN"/>
              </w:rPr>
            </w:pPr>
            <w:r>
              <w:rPr>
                <w:rFonts w:hint="eastAsia"/>
                <w:color w:val="auto"/>
                <w:u w:val="single"/>
                <w:lang w:eastAsia="zh-CN"/>
              </w:rPr>
              <w:t>（</w:t>
            </w:r>
            <w:r>
              <w:rPr>
                <w:rFonts w:hint="eastAsia"/>
                <w:color w:val="auto"/>
                <w:u w:val="single"/>
                <w:lang w:val="en-US" w:eastAsia="zh-CN"/>
              </w:rPr>
              <w:t>2）</w:t>
            </w:r>
            <w:r>
              <w:rPr>
                <w:rFonts w:hint="eastAsia"/>
                <w:color w:val="auto"/>
                <w:u w:val="single"/>
                <w:lang w:eastAsia="zh-CN"/>
              </w:rPr>
              <w:t>砂芯成型</w:t>
            </w:r>
          </w:p>
          <w:p w14:paraId="089403E1">
            <w:pPr>
              <w:bidi w:val="0"/>
              <w:rPr>
                <w:rFonts w:hint="eastAsia"/>
                <w:color w:val="auto"/>
                <w:u w:val="single"/>
                <w:lang w:eastAsia="zh-CN"/>
              </w:rPr>
            </w:pPr>
            <w:r>
              <w:rPr>
                <w:rFonts w:hint="eastAsia"/>
                <w:color w:val="auto"/>
                <w:u w:val="single"/>
                <w:lang w:eastAsia="zh-CN"/>
              </w:rPr>
              <w:t>项目约</w:t>
            </w:r>
            <w:r>
              <w:rPr>
                <w:rFonts w:hint="eastAsia"/>
                <w:color w:val="auto"/>
                <w:u w:val="single"/>
                <w:lang w:val="en-US" w:eastAsia="zh-CN"/>
              </w:rPr>
              <w:t>3%</w:t>
            </w:r>
            <w:r>
              <w:rPr>
                <w:rFonts w:hint="eastAsia"/>
                <w:color w:val="auto"/>
                <w:u w:val="single"/>
                <w:lang w:eastAsia="zh-CN"/>
              </w:rPr>
              <w:t>产品在不容易脱模的情况下需在模具中制作一层砂芯；制作砂芯模具先将覆膜砂加入砂芯机的芯盒内，通过加热芯盒（温度约180-250℃）使覆膜砂中的树脂熔融、固化，砂粒粘结成型，形成具有一定强度和形状的砂芯。</w:t>
            </w:r>
          </w:p>
          <w:p w14:paraId="66E1DAB8">
            <w:pPr>
              <w:rPr>
                <w:rFonts w:hint="eastAsia" w:ascii="Times New Roman" w:hAnsi="Times New Roman" w:eastAsia="宋体" w:cs="Times New Roman"/>
                <w:color w:val="auto"/>
                <w:u w:val="single"/>
                <w:lang w:eastAsia="zh-CN"/>
              </w:rPr>
            </w:pPr>
            <w:r>
              <w:rPr>
                <w:rFonts w:hint="eastAsia" w:ascii="Times New Roman" w:hAnsi="Times New Roman" w:eastAsia="宋体" w:cs="Times New Roman"/>
                <w:color w:val="auto"/>
                <w:u w:val="single"/>
                <w:lang w:eastAsia="zh-CN"/>
              </w:rPr>
              <w:t>此过程产生粉尘、有机废气、噪声、废砂芯等污染物。</w:t>
            </w:r>
          </w:p>
          <w:p w14:paraId="172E7F05">
            <w:pPr>
              <w:bidi w:val="0"/>
              <w:rPr>
                <w:rFonts w:hint="eastAsia"/>
                <w:color w:val="auto"/>
                <w:u w:val="single"/>
                <w:lang w:val="en-US" w:eastAsia="zh-CN"/>
              </w:rPr>
            </w:pPr>
            <w:r>
              <w:rPr>
                <w:rFonts w:hint="eastAsia"/>
                <w:color w:val="auto"/>
                <w:u w:val="single"/>
                <w:lang w:eastAsia="zh-CN"/>
              </w:rPr>
              <w:t>（</w:t>
            </w:r>
            <w:r>
              <w:rPr>
                <w:rFonts w:hint="eastAsia"/>
                <w:color w:val="auto"/>
                <w:u w:val="single"/>
                <w:lang w:val="en-US" w:eastAsia="zh-CN"/>
              </w:rPr>
              <w:t>3）浇注</w:t>
            </w:r>
          </w:p>
          <w:p w14:paraId="72369740">
            <w:pPr>
              <w:bidi w:val="0"/>
              <w:rPr>
                <w:rFonts w:hint="eastAsia"/>
                <w:color w:val="auto"/>
                <w:u w:val="single"/>
              </w:rPr>
            </w:pPr>
            <w:r>
              <w:rPr>
                <w:rFonts w:hint="eastAsia"/>
                <w:color w:val="auto"/>
                <w:u w:val="single"/>
                <w:lang w:val="en-US" w:eastAsia="zh-CN"/>
              </w:rPr>
              <w:t>熔化后的铝合金熔体转入压铸机，本项目采用</w:t>
            </w:r>
            <w:r>
              <w:rPr>
                <w:rFonts w:hint="eastAsia"/>
                <w:color w:val="auto"/>
                <w:u w:val="single"/>
                <w:lang w:eastAsia="zh-CN"/>
              </w:rPr>
              <w:t>低压压铸和重力压铸，低压压铸是通过压缩空气对金属液表面施加压力，将液态铝合金压入模具型腔中，重力压铸是通过金属液本身重力流入模具中，金属液冷却凝固后成型，获得所需形状和尺寸的产品毛坯</w:t>
            </w:r>
            <w:r>
              <w:rPr>
                <w:rFonts w:hint="eastAsia"/>
                <w:color w:val="auto"/>
                <w:u w:val="single"/>
                <w:lang w:val="en-US" w:eastAsia="zh-CN"/>
              </w:rPr>
              <w:t>。浇注时模具与熔体接触面上要喷洒上一层395保温涂料，以利于铸件的保护和取出，模具经自然冷却</w:t>
            </w:r>
            <w:r>
              <w:rPr>
                <w:rFonts w:hint="eastAsia"/>
                <w:color w:val="auto"/>
                <w:u w:val="single"/>
              </w:rPr>
              <w:t>。</w:t>
            </w:r>
          </w:p>
          <w:p w14:paraId="015CEF35">
            <w:pPr>
              <w:bidi w:val="0"/>
              <w:rPr>
                <w:rFonts w:hint="eastAsia" w:ascii="Times New Roman" w:hAnsi="Times New Roman" w:eastAsia="宋体" w:cs="Times New Roman"/>
                <w:color w:val="auto"/>
                <w:szCs w:val="24"/>
                <w:u w:val="single"/>
                <w:lang w:eastAsia="zh-CN"/>
              </w:rPr>
            </w:pPr>
            <w:r>
              <w:rPr>
                <w:rFonts w:hint="eastAsia"/>
                <w:color w:val="auto"/>
                <w:u w:val="single"/>
                <w:lang w:val="en-US" w:eastAsia="zh-CN"/>
              </w:rPr>
              <w:t>该过程</w:t>
            </w:r>
            <w:r>
              <w:rPr>
                <w:rFonts w:hint="eastAsia"/>
                <w:color w:val="auto"/>
                <w:u w:val="single"/>
                <w:lang w:eastAsia="zh-CN"/>
              </w:rPr>
              <w:t>产生有机废气、</w:t>
            </w:r>
            <w:r>
              <w:rPr>
                <w:rFonts w:hint="eastAsia" w:ascii="Times New Roman" w:hAnsi="Times New Roman" w:eastAsia="宋体" w:cs="Times New Roman"/>
                <w:color w:val="auto"/>
                <w:szCs w:val="24"/>
                <w:u w:val="single"/>
                <w:lang w:eastAsia="zh-CN"/>
              </w:rPr>
              <w:t>机械噪声等。</w:t>
            </w:r>
          </w:p>
          <w:p w14:paraId="31B9F3E2">
            <w:pPr>
              <w:bidi w:val="0"/>
              <w:rPr>
                <w:rFonts w:hint="eastAsia"/>
                <w:color w:val="auto"/>
                <w:u w:val="single"/>
                <w:lang w:eastAsia="zh-CN"/>
              </w:rPr>
            </w:pPr>
            <w:r>
              <w:rPr>
                <w:rFonts w:hint="eastAsia"/>
                <w:color w:val="auto"/>
                <w:u w:val="single"/>
                <w:lang w:eastAsia="zh-CN"/>
              </w:rPr>
              <w:t>（</w:t>
            </w:r>
            <w:r>
              <w:rPr>
                <w:rFonts w:hint="eastAsia"/>
                <w:color w:val="auto"/>
                <w:u w:val="single"/>
                <w:lang w:val="en-US" w:eastAsia="zh-CN"/>
              </w:rPr>
              <w:t>4）</w:t>
            </w:r>
            <w:r>
              <w:rPr>
                <w:rFonts w:hint="eastAsia"/>
                <w:color w:val="auto"/>
                <w:u w:val="single"/>
                <w:lang w:eastAsia="zh-CN"/>
              </w:rPr>
              <w:t>铣浇口</w:t>
            </w:r>
          </w:p>
          <w:p w14:paraId="22093C0A">
            <w:pPr>
              <w:bidi w:val="0"/>
              <w:rPr>
                <w:rFonts w:hint="eastAsia"/>
                <w:color w:val="auto"/>
                <w:u w:val="single"/>
                <w:lang w:eastAsia="zh-CN"/>
              </w:rPr>
            </w:pPr>
            <w:r>
              <w:rPr>
                <w:rFonts w:hint="eastAsia"/>
                <w:color w:val="auto"/>
                <w:u w:val="single"/>
                <w:lang w:eastAsia="zh-CN"/>
              </w:rPr>
              <w:t>对铸件上的浇口进行铣削加工，去除浇口残留部分，使产品外观和尺寸符合要求。</w:t>
            </w:r>
          </w:p>
          <w:p w14:paraId="7D211F36">
            <w:pPr>
              <w:bidi w:val="0"/>
              <w:rPr>
                <w:rFonts w:hint="eastAsia"/>
                <w:color w:val="auto"/>
                <w:u w:val="single"/>
                <w:lang w:eastAsia="zh-CN"/>
              </w:rPr>
            </w:pPr>
            <w:r>
              <w:rPr>
                <w:rFonts w:hint="eastAsia"/>
                <w:color w:val="auto"/>
                <w:u w:val="single"/>
                <w:lang w:val="en-US" w:eastAsia="zh-CN"/>
              </w:rPr>
              <w:t>该过程</w:t>
            </w:r>
            <w:r>
              <w:rPr>
                <w:rFonts w:hint="eastAsia"/>
                <w:color w:val="auto"/>
                <w:u w:val="single"/>
                <w:lang w:eastAsia="zh-CN"/>
              </w:rPr>
              <w:t>产生</w:t>
            </w:r>
            <w:r>
              <w:rPr>
                <w:rFonts w:hint="eastAsia"/>
                <w:color w:val="auto"/>
                <w:u w:val="single"/>
                <w:lang w:val="en-US" w:eastAsia="zh-CN"/>
              </w:rPr>
              <w:t>金属碎屑、机械噪声</w:t>
            </w:r>
            <w:r>
              <w:rPr>
                <w:rFonts w:hint="eastAsia"/>
                <w:color w:val="auto"/>
                <w:u w:val="single"/>
                <w:lang w:eastAsia="zh-CN"/>
              </w:rPr>
              <w:t>。</w:t>
            </w:r>
          </w:p>
          <w:p w14:paraId="57D03A47">
            <w:pPr>
              <w:bidi w:val="0"/>
              <w:rPr>
                <w:rFonts w:hint="eastAsia"/>
                <w:color w:val="auto"/>
                <w:u w:val="single"/>
                <w:lang w:val="en-US" w:eastAsia="zh-CN"/>
              </w:rPr>
            </w:pPr>
            <w:r>
              <w:rPr>
                <w:rFonts w:hint="eastAsia"/>
                <w:color w:val="auto"/>
                <w:u w:val="single"/>
                <w:lang w:eastAsia="zh-CN"/>
              </w:rPr>
              <w:t>（</w:t>
            </w:r>
            <w:r>
              <w:rPr>
                <w:rFonts w:hint="eastAsia"/>
                <w:color w:val="auto"/>
                <w:u w:val="single"/>
                <w:lang w:val="en-US" w:eastAsia="zh-CN"/>
              </w:rPr>
              <w:t>5）</w:t>
            </w:r>
            <w:r>
              <w:rPr>
                <w:rFonts w:hint="eastAsia"/>
                <w:color w:val="auto"/>
                <w:u w:val="single"/>
                <w:lang w:eastAsia="zh-CN"/>
              </w:rPr>
              <w:t>去毛刺</w:t>
            </w:r>
          </w:p>
          <w:p w14:paraId="6A17389D">
            <w:pPr>
              <w:bidi w:val="0"/>
              <w:rPr>
                <w:rFonts w:hint="eastAsia" w:ascii="Times New Roman" w:hAnsi="Times New Roman" w:eastAsia="宋体" w:cs="Times New Roman"/>
                <w:color w:val="auto"/>
                <w:szCs w:val="24"/>
                <w:u w:val="single"/>
                <w:lang w:eastAsia="zh-CN"/>
              </w:rPr>
            </w:pPr>
            <w:r>
              <w:rPr>
                <w:rFonts w:hint="eastAsia" w:ascii="Times New Roman" w:hAnsi="Times New Roman" w:eastAsia="宋体" w:cs="Times New Roman"/>
                <w:color w:val="auto"/>
                <w:szCs w:val="24"/>
                <w:u w:val="single"/>
                <w:lang w:eastAsia="zh-CN"/>
              </w:rPr>
              <w:t>采用</w:t>
            </w:r>
            <w:r>
              <w:rPr>
                <w:rFonts w:hint="eastAsia"/>
                <w:color w:val="auto"/>
                <w:u w:val="single"/>
                <w:lang w:val="en-US" w:eastAsia="zh-CN"/>
              </w:rPr>
              <w:t>人工去毛刺，</w:t>
            </w:r>
            <w:r>
              <w:rPr>
                <w:rFonts w:hint="eastAsia" w:ascii="Times New Roman" w:hAnsi="Times New Roman" w:eastAsia="宋体" w:cs="Times New Roman"/>
                <w:color w:val="auto"/>
                <w:szCs w:val="24"/>
                <w:u w:val="single"/>
                <w:lang w:eastAsia="zh-CN"/>
              </w:rPr>
              <w:t>去除铸件表面因压铸、铣削等加工过程产生的毛刺，使零件表面更加光滑，提高产品的外观质量和装配性能。</w:t>
            </w:r>
          </w:p>
          <w:p w14:paraId="139CE312">
            <w:pPr>
              <w:bidi w:val="0"/>
              <w:rPr>
                <w:color w:val="auto"/>
                <w:u w:val="single"/>
              </w:rPr>
            </w:pPr>
            <w:r>
              <w:rPr>
                <w:rFonts w:hint="eastAsia"/>
                <w:color w:val="auto"/>
                <w:u w:val="single"/>
                <w:lang w:val="en-US" w:eastAsia="zh-CN"/>
              </w:rPr>
              <w:t>该过程产生金属碎屑</w:t>
            </w:r>
            <w:r>
              <w:rPr>
                <w:rFonts w:hint="eastAsia"/>
                <w:color w:val="auto"/>
                <w:u w:val="single"/>
              </w:rPr>
              <w:t>。</w:t>
            </w:r>
          </w:p>
          <w:p w14:paraId="17A174D8">
            <w:pPr>
              <w:bidi w:val="0"/>
              <w:rPr>
                <w:rFonts w:hint="eastAsia"/>
                <w:color w:val="auto"/>
                <w:u w:val="single"/>
                <w:lang w:eastAsia="zh-CN"/>
              </w:rPr>
            </w:pPr>
            <w:r>
              <w:rPr>
                <w:rFonts w:hint="eastAsia"/>
                <w:color w:val="auto"/>
                <w:u w:val="single"/>
                <w:lang w:eastAsia="zh-CN"/>
              </w:rPr>
              <w:t>（</w:t>
            </w:r>
            <w:r>
              <w:rPr>
                <w:rFonts w:hint="eastAsia"/>
                <w:color w:val="auto"/>
                <w:u w:val="single"/>
                <w:lang w:val="en-US" w:eastAsia="zh-CN"/>
              </w:rPr>
              <w:t>6）</w:t>
            </w:r>
            <w:r>
              <w:rPr>
                <w:rFonts w:hint="eastAsia"/>
                <w:color w:val="auto"/>
                <w:u w:val="single"/>
                <w:lang w:eastAsia="zh-CN"/>
              </w:rPr>
              <w:t>热处理</w:t>
            </w:r>
          </w:p>
          <w:p w14:paraId="608D56A8">
            <w:pPr>
              <w:bidi w:val="0"/>
              <w:rPr>
                <w:rFonts w:hint="eastAsia"/>
                <w:color w:val="auto"/>
                <w:u w:val="single"/>
                <w:lang w:eastAsia="zh-CN"/>
              </w:rPr>
            </w:pPr>
            <w:r>
              <w:rPr>
                <w:rFonts w:hint="eastAsia"/>
                <w:color w:val="auto"/>
                <w:u w:val="single"/>
                <w:lang w:eastAsia="zh-CN"/>
              </w:rPr>
              <w:t>铸件使用电加热至</w:t>
            </w:r>
            <w:r>
              <w:rPr>
                <w:rFonts w:hint="eastAsia"/>
                <w:color w:val="auto"/>
                <w:u w:val="single"/>
                <w:lang w:val="en-US" w:eastAsia="zh-CN"/>
              </w:rPr>
              <w:t>5</w:t>
            </w:r>
            <w:r>
              <w:rPr>
                <w:rFonts w:hint="eastAsia"/>
                <w:color w:val="auto"/>
                <w:u w:val="single"/>
                <w:lang w:eastAsia="zh-CN"/>
              </w:rPr>
              <w:t>00℃左右，通过加热、保温和冷却等操作，改善铸件的内部组织结构，提高其力学性能（如强度、硬度、韧性等），消除铸造应力，稳定零件尺寸。</w:t>
            </w:r>
          </w:p>
          <w:p w14:paraId="5A41D50C">
            <w:pPr>
              <w:bidi w:val="0"/>
              <w:rPr>
                <w:rFonts w:hint="eastAsia"/>
                <w:color w:val="auto"/>
                <w:u w:val="single"/>
                <w:lang w:eastAsia="zh-CN"/>
              </w:rPr>
            </w:pPr>
            <w:r>
              <w:rPr>
                <w:rFonts w:hint="eastAsia"/>
                <w:color w:val="auto"/>
                <w:u w:val="single"/>
                <w:lang w:eastAsia="zh-CN"/>
              </w:rPr>
              <w:t>（</w:t>
            </w:r>
            <w:r>
              <w:rPr>
                <w:rFonts w:hint="eastAsia"/>
                <w:color w:val="auto"/>
                <w:u w:val="single"/>
                <w:lang w:val="en-US" w:eastAsia="zh-CN"/>
              </w:rPr>
              <w:t>7）</w:t>
            </w:r>
            <w:r>
              <w:rPr>
                <w:rFonts w:hint="eastAsia" w:ascii="Times New Roman" w:hAnsi="Times New Roman" w:eastAsia="宋体" w:cs="Times New Roman"/>
                <w:color w:val="auto"/>
                <w:szCs w:val="24"/>
                <w:u w:val="single"/>
                <w:lang w:eastAsia="zh-CN"/>
              </w:rPr>
              <w:t>表面抛丸</w:t>
            </w:r>
          </w:p>
          <w:p w14:paraId="75DA6412">
            <w:pPr>
              <w:bidi w:val="0"/>
              <w:rPr>
                <w:rFonts w:hint="eastAsia" w:ascii="Times New Roman" w:hAnsi="Times New Roman" w:eastAsia="宋体" w:cs="Times New Roman"/>
                <w:color w:val="auto"/>
                <w:szCs w:val="24"/>
                <w:u w:val="single"/>
                <w:lang w:eastAsia="zh-CN"/>
              </w:rPr>
            </w:pPr>
            <w:r>
              <w:rPr>
                <w:rFonts w:hint="eastAsia" w:ascii="Times New Roman" w:hAnsi="Times New Roman" w:eastAsia="宋体" w:cs="Times New Roman"/>
                <w:color w:val="auto"/>
                <w:szCs w:val="24"/>
                <w:u w:val="single"/>
                <w:lang w:eastAsia="zh-CN"/>
              </w:rPr>
              <w:t>利用高速弹丸流冲击铸件表面，清理表面的氧化皮、杂质等，提高表面粗糙度，增强表面硬度和抗疲劳性能，同时也能发现一些隐藏的表面缺陷。</w:t>
            </w:r>
          </w:p>
          <w:p w14:paraId="3831FB3D">
            <w:pPr>
              <w:bidi w:val="0"/>
              <w:rPr>
                <w:color w:val="auto"/>
                <w:u w:val="single"/>
              </w:rPr>
            </w:pPr>
            <w:r>
              <w:rPr>
                <w:rFonts w:hint="eastAsia"/>
                <w:color w:val="auto"/>
                <w:u w:val="single"/>
              </w:rPr>
              <w:t>该过程会产生噪声</w:t>
            </w:r>
            <w:r>
              <w:rPr>
                <w:rFonts w:hint="eastAsia"/>
                <w:color w:val="auto"/>
                <w:u w:val="single"/>
                <w:lang w:eastAsia="zh-CN"/>
              </w:rPr>
              <w:t>、</w:t>
            </w:r>
            <w:r>
              <w:rPr>
                <w:rFonts w:hint="eastAsia"/>
                <w:color w:val="auto"/>
                <w:u w:val="single"/>
                <w:lang w:val="en-US" w:eastAsia="zh-CN"/>
              </w:rPr>
              <w:t>粉尘</w:t>
            </w:r>
            <w:r>
              <w:rPr>
                <w:rFonts w:hint="eastAsia"/>
                <w:color w:val="auto"/>
                <w:u w:val="single"/>
              </w:rPr>
              <w:t>。</w:t>
            </w:r>
          </w:p>
          <w:p w14:paraId="1980A19F">
            <w:pPr>
              <w:bidi w:val="0"/>
              <w:rPr>
                <w:rFonts w:hint="eastAsia"/>
                <w:color w:val="auto"/>
                <w:u w:val="single"/>
                <w:lang w:eastAsia="zh-CN"/>
              </w:rPr>
            </w:pPr>
            <w:r>
              <w:rPr>
                <w:rFonts w:hint="eastAsia"/>
                <w:color w:val="auto"/>
                <w:u w:val="single"/>
                <w:lang w:eastAsia="zh-CN"/>
              </w:rPr>
              <w:t>（</w:t>
            </w:r>
            <w:r>
              <w:rPr>
                <w:rFonts w:hint="eastAsia"/>
                <w:color w:val="auto"/>
                <w:u w:val="single"/>
                <w:lang w:val="en-US" w:eastAsia="zh-CN"/>
              </w:rPr>
              <w:t>8）粗加工</w:t>
            </w:r>
          </w:p>
          <w:p w14:paraId="33AEA2C7">
            <w:pPr>
              <w:bidi w:val="0"/>
              <w:rPr>
                <w:rFonts w:hint="eastAsia"/>
                <w:color w:val="auto"/>
                <w:u w:val="single"/>
              </w:rPr>
            </w:pPr>
            <w:r>
              <w:rPr>
                <w:rFonts w:hint="eastAsia"/>
                <w:color w:val="auto"/>
                <w:u w:val="single"/>
              </w:rPr>
              <w:t>对铸件进行初步的机械加工，去除大部分加工余量，使零件接近成品尺寸，为精加工做准备。</w:t>
            </w:r>
          </w:p>
          <w:p w14:paraId="3AC18F1B">
            <w:pPr>
              <w:bidi w:val="0"/>
              <w:rPr>
                <w:color w:val="auto"/>
                <w:u w:val="single"/>
              </w:rPr>
            </w:pPr>
            <w:r>
              <w:rPr>
                <w:rFonts w:hint="eastAsia"/>
                <w:color w:val="auto"/>
                <w:u w:val="single"/>
                <w:lang w:val="en-US" w:eastAsia="zh-CN"/>
              </w:rPr>
              <w:t>该过程</w:t>
            </w:r>
            <w:r>
              <w:rPr>
                <w:rFonts w:hint="eastAsia"/>
                <w:color w:val="auto"/>
                <w:u w:val="single"/>
              </w:rPr>
              <w:t>产生金属切屑等固废，设备运行噪声。</w:t>
            </w:r>
          </w:p>
          <w:p w14:paraId="6D481E45">
            <w:pPr>
              <w:bidi w:val="0"/>
              <w:rPr>
                <w:rFonts w:hint="default"/>
                <w:color w:val="auto"/>
                <w:u w:val="single"/>
                <w:lang w:val="en-US" w:eastAsia="zh-CN"/>
              </w:rPr>
            </w:pPr>
            <w:r>
              <w:rPr>
                <w:rFonts w:hint="eastAsia"/>
                <w:color w:val="auto"/>
                <w:u w:val="single"/>
                <w:lang w:eastAsia="zh-CN"/>
              </w:rPr>
              <w:t>（</w:t>
            </w:r>
            <w:r>
              <w:rPr>
                <w:rFonts w:hint="eastAsia"/>
                <w:color w:val="auto"/>
                <w:u w:val="single"/>
                <w:lang w:val="en-US" w:eastAsia="zh-CN"/>
              </w:rPr>
              <w:t>9）精加工</w:t>
            </w:r>
          </w:p>
          <w:p w14:paraId="25917899">
            <w:pPr>
              <w:bidi w:val="0"/>
              <w:rPr>
                <w:rFonts w:hint="eastAsia"/>
                <w:color w:val="auto"/>
                <w:u w:val="single"/>
              </w:rPr>
            </w:pPr>
            <w:r>
              <w:rPr>
                <w:rFonts w:hint="eastAsia"/>
                <w:color w:val="auto"/>
                <w:u w:val="single"/>
              </w:rPr>
              <w:t>对粗加工后的零件进行高精度加工，达到零件的最终尺寸精度、表面粗糙度等技术要求，保证零件的装配和使用性能。</w:t>
            </w:r>
          </w:p>
          <w:p w14:paraId="1E1A4C55">
            <w:pPr>
              <w:bidi w:val="0"/>
              <w:rPr>
                <w:rFonts w:hint="eastAsia"/>
                <w:color w:val="auto"/>
                <w:u w:val="single"/>
              </w:rPr>
            </w:pPr>
            <w:r>
              <w:rPr>
                <w:rFonts w:hint="eastAsia"/>
                <w:color w:val="auto"/>
                <w:u w:val="single"/>
              </w:rPr>
              <w:t>该过程产生金属切屑等固废，设备运行噪声。</w:t>
            </w:r>
          </w:p>
          <w:p w14:paraId="4CE08EF7">
            <w:pPr>
              <w:bidi w:val="0"/>
              <w:rPr>
                <w:rFonts w:hint="eastAsia" w:ascii="Times New Roman" w:hAnsi="Times New Roman" w:eastAsia="宋体" w:cs="Times New Roman"/>
                <w:color w:val="auto"/>
                <w:u w:val="single"/>
                <w:lang w:eastAsia="zh-CN"/>
              </w:rPr>
            </w:pPr>
            <w:r>
              <w:rPr>
                <w:rFonts w:hint="eastAsia" w:ascii="Times New Roman" w:hAnsi="Times New Roman" w:eastAsia="宋体" w:cs="Times New Roman"/>
                <w:color w:val="auto"/>
                <w:u w:val="single"/>
                <w:lang w:eastAsia="zh-CN"/>
              </w:rPr>
              <w:t>（</w:t>
            </w:r>
            <w:r>
              <w:rPr>
                <w:rFonts w:hint="eastAsia" w:ascii="Times New Roman" w:hAnsi="Times New Roman" w:eastAsia="宋体" w:cs="Times New Roman"/>
                <w:color w:val="auto"/>
                <w:u w:val="single"/>
                <w:lang w:val="en-US" w:eastAsia="zh-CN"/>
              </w:rPr>
              <w:t>10</w:t>
            </w:r>
            <w:r>
              <w:rPr>
                <w:rFonts w:hint="eastAsia" w:ascii="Times New Roman" w:hAnsi="Times New Roman" w:eastAsia="宋体" w:cs="Times New Roman"/>
                <w:color w:val="auto"/>
                <w:u w:val="single"/>
                <w:lang w:eastAsia="zh-CN"/>
              </w:rPr>
              <w:t>）成品入库</w:t>
            </w:r>
          </w:p>
          <w:p w14:paraId="29F31FF4">
            <w:pPr>
              <w:bidi w:val="0"/>
              <w:rPr>
                <w:rFonts w:hint="eastAsia" w:ascii="Times New Roman" w:hAnsi="Times New Roman" w:eastAsia="宋体" w:cs="Times New Roman"/>
                <w:color w:val="auto"/>
                <w:u w:val="single"/>
              </w:rPr>
            </w:pPr>
            <w:r>
              <w:rPr>
                <w:rFonts w:hint="eastAsia" w:ascii="Times New Roman" w:hAnsi="Times New Roman" w:eastAsia="宋体" w:cs="Times New Roman"/>
                <w:color w:val="auto"/>
                <w:u w:val="single"/>
              </w:rPr>
              <w:t>将最终加工完成并检验合格的</w:t>
            </w:r>
            <w:r>
              <w:rPr>
                <w:rFonts w:hint="eastAsia" w:ascii="Times New Roman" w:hAnsi="Times New Roman" w:eastAsia="宋体" w:cs="Times New Roman"/>
                <w:color w:val="auto"/>
                <w:u w:val="single"/>
                <w:lang w:eastAsia="zh-CN"/>
              </w:rPr>
              <w:t>产品</w:t>
            </w:r>
            <w:r>
              <w:rPr>
                <w:rFonts w:hint="eastAsia" w:ascii="Times New Roman" w:hAnsi="Times New Roman" w:eastAsia="宋体" w:cs="Times New Roman"/>
                <w:color w:val="auto"/>
                <w:u w:val="single"/>
              </w:rPr>
              <w:t>进行入库管理，等待发货交付给客户。</w:t>
            </w:r>
          </w:p>
          <w:p w14:paraId="629EBDC3">
            <w:pPr>
              <w:rPr>
                <w:rFonts w:hint="eastAsia" w:ascii="Times New Roman" w:hAnsi="Times New Roman" w:eastAsia="宋体" w:cs="Times New Roman"/>
                <w:color w:val="auto"/>
                <w:u w:val="single"/>
                <w:lang w:val="en-US" w:eastAsia="zh-CN"/>
              </w:rPr>
            </w:pPr>
            <w:r>
              <w:rPr>
                <w:rFonts w:hint="eastAsia" w:ascii="Times New Roman" w:hAnsi="Times New Roman" w:eastAsia="宋体" w:cs="Times New Roman"/>
                <w:color w:val="auto"/>
                <w:u w:val="single"/>
                <w:lang w:val="en-US" w:eastAsia="zh-CN"/>
              </w:rPr>
              <w:t>3、物料平衡</w:t>
            </w:r>
          </w:p>
          <w:p w14:paraId="11411757">
            <w:pPr>
              <w:rPr>
                <w:rFonts w:hint="eastAsia" w:ascii="Times New Roman" w:hAnsi="Times New Roman" w:eastAsia="宋体" w:cs="Times New Roman"/>
                <w:color w:val="auto"/>
                <w:u w:val="single"/>
                <w:lang w:val="en-US" w:eastAsia="zh-CN"/>
              </w:rPr>
            </w:pPr>
            <w:r>
              <w:rPr>
                <w:color w:val="auto"/>
                <w:u w:val="single"/>
              </w:rPr>
              <w:t>项目具体生产物料</w:t>
            </w:r>
            <w:r>
              <w:rPr>
                <w:rFonts w:hint="eastAsia" w:ascii="宋体" w:hAnsi="宋体"/>
                <w:color w:val="auto"/>
                <w:u w:val="single"/>
              </w:rPr>
              <w:t>平衡如表</w:t>
            </w:r>
            <w:r>
              <w:rPr>
                <w:rFonts w:hint="eastAsia"/>
                <w:color w:val="auto"/>
                <w:u w:val="single"/>
              </w:rPr>
              <w:t>2-6</w:t>
            </w:r>
            <w:r>
              <w:rPr>
                <w:rFonts w:hint="eastAsia" w:ascii="宋体" w:hAnsi="宋体"/>
                <w:color w:val="auto"/>
                <w:u w:val="single"/>
              </w:rPr>
              <w:t>所示。</w:t>
            </w:r>
          </w:p>
          <w:p w14:paraId="7AEFB6CE">
            <w:pPr>
              <w:adjustRightInd w:val="0"/>
              <w:snapToGrid w:val="0"/>
              <w:spacing w:before="120" w:beforeLines="50" w:line="240" w:lineRule="auto"/>
              <w:ind w:firstLine="720"/>
              <w:jc w:val="center"/>
              <w:rPr>
                <w:rFonts w:hint="eastAsia" w:ascii="Times New Roman" w:hAnsi="Times New Roman" w:eastAsia="宋体" w:cs="Times New Roman"/>
                <w:b/>
                <w:color w:val="auto"/>
                <w:sz w:val="21"/>
                <w:szCs w:val="21"/>
                <w:u w:val="single"/>
                <w:lang w:eastAsia="zh-CN"/>
              </w:rPr>
            </w:pPr>
            <w:r>
              <w:rPr>
                <w:rFonts w:hint="eastAsia" w:ascii="Times New Roman" w:hAnsi="Times New Roman" w:eastAsia="宋体" w:cs="Times New Roman"/>
                <w:b/>
                <w:color w:val="auto"/>
                <w:sz w:val="21"/>
                <w:szCs w:val="21"/>
                <w:u w:val="single"/>
              </w:rPr>
              <w:t>表2-</w:t>
            </w:r>
            <w:r>
              <w:rPr>
                <w:rFonts w:hint="eastAsia" w:ascii="Times New Roman" w:hAnsi="Times New Roman" w:eastAsia="宋体" w:cs="Times New Roman"/>
                <w:b/>
                <w:color w:val="auto"/>
                <w:sz w:val="21"/>
                <w:szCs w:val="21"/>
                <w:u w:val="single"/>
                <w:lang w:val="en-US" w:eastAsia="zh-CN"/>
              </w:rPr>
              <w:t>6</w:t>
            </w:r>
            <w:r>
              <w:rPr>
                <w:rFonts w:hint="eastAsia" w:ascii="Times New Roman" w:hAnsi="Times New Roman" w:eastAsia="宋体" w:cs="Times New Roman"/>
                <w:b/>
                <w:color w:val="auto"/>
                <w:sz w:val="21"/>
                <w:szCs w:val="21"/>
                <w:u w:val="single"/>
              </w:rPr>
              <w:t xml:space="preserve">  </w:t>
            </w:r>
            <w:r>
              <w:rPr>
                <w:rFonts w:hint="eastAsia" w:ascii="Times New Roman" w:hAnsi="Times New Roman" w:eastAsia="宋体" w:cs="Times New Roman"/>
                <w:b/>
                <w:color w:val="auto"/>
                <w:sz w:val="21"/>
                <w:szCs w:val="21"/>
                <w:u w:val="single"/>
                <w:lang w:eastAsia="zh-CN"/>
              </w:rPr>
              <w:t>物料</w:t>
            </w:r>
            <w:r>
              <w:rPr>
                <w:rFonts w:hint="eastAsia" w:ascii="Times New Roman" w:hAnsi="Times New Roman" w:eastAsia="宋体" w:cs="Times New Roman"/>
                <w:b/>
                <w:color w:val="auto"/>
                <w:sz w:val="21"/>
                <w:szCs w:val="21"/>
                <w:u w:val="single"/>
              </w:rPr>
              <w:t>平衡表</w:t>
            </w:r>
            <w:r>
              <w:rPr>
                <w:rFonts w:hint="eastAsia" w:ascii="Times New Roman" w:hAnsi="Times New Roman" w:eastAsia="宋体" w:cs="Times New Roman"/>
                <w:b/>
                <w:color w:val="auto"/>
                <w:sz w:val="21"/>
                <w:szCs w:val="21"/>
                <w:u w:val="single"/>
                <w:lang w:val="en-US" w:eastAsia="zh-CN"/>
              </w:rPr>
              <w:t xml:space="preserve"> </w:t>
            </w:r>
            <w:r>
              <w:rPr>
                <w:rFonts w:hint="eastAsia" w:ascii="Times New Roman" w:hAnsi="Times New Roman" w:eastAsia="宋体" w:cs="Times New Roman"/>
                <w:b/>
                <w:color w:val="auto"/>
                <w:sz w:val="21"/>
                <w:szCs w:val="21"/>
                <w:u w:val="single"/>
                <w:lang w:eastAsia="zh-CN"/>
              </w:rPr>
              <w:t>(</w:t>
            </w:r>
            <w:r>
              <w:rPr>
                <w:rFonts w:hint="eastAsia" w:ascii="Times New Roman" w:hAnsi="Times New Roman" w:eastAsia="宋体" w:cs="Times New Roman"/>
                <w:b/>
                <w:color w:val="auto"/>
                <w:sz w:val="21"/>
                <w:szCs w:val="21"/>
                <w:u w:val="single"/>
                <w:lang w:val="en-US" w:eastAsia="zh-CN"/>
              </w:rPr>
              <w:t>t</w:t>
            </w:r>
            <w:r>
              <w:rPr>
                <w:rFonts w:hint="eastAsia" w:ascii="Times New Roman" w:hAnsi="Times New Roman" w:eastAsia="宋体" w:cs="Times New Roman"/>
                <w:b/>
                <w:color w:val="auto"/>
                <w:sz w:val="21"/>
                <w:szCs w:val="21"/>
                <w:u w:val="single"/>
              </w:rPr>
              <w:t>/</w:t>
            </w:r>
            <w:r>
              <w:rPr>
                <w:rFonts w:hint="eastAsia" w:ascii="Times New Roman" w:hAnsi="Times New Roman" w:eastAsia="宋体" w:cs="Times New Roman"/>
                <w:b/>
                <w:color w:val="auto"/>
                <w:sz w:val="21"/>
                <w:szCs w:val="21"/>
                <w:u w:val="single"/>
                <w:lang w:val="en-US" w:eastAsia="zh-CN"/>
              </w:rPr>
              <w:t>a</w:t>
            </w:r>
            <w:r>
              <w:rPr>
                <w:rFonts w:hint="eastAsia" w:ascii="Times New Roman" w:hAnsi="Times New Roman" w:eastAsia="宋体" w:cs="Times New Roman"/>
                <w:b/>
                <w:color w:val="auto"/>
                <w:sz w:val="21"/>
                <w:szCs w:val="21"/>
                <w:u w:val="single"/>
                <w:lang w:eastAsia="zh-CN"/>
              </w:rPr>
              <w:t>)</w:t>
            </w:r>
          </w:p>
          <w:tbl>
            <w:tblPr>
              <w:tblStyle w:val="29"/>
              <w:tblW w:w="4998"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2323"/>
              <w:gridCol w:w="1247"/>
              <w:gridCol w:w="1922"/>
              <w:gridCol w:w="1327"/>
            </w:tblGrid>
            <w:tr w14:paraId="1A32C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2" w:type="pct"/>
                  <w:vMerge w:val="restart"/>
                  <w:tcBorders>
                    <w:tl2br w:val="nil"/>
                    <w:tr2bl w:val="nil"/>
                  </w:tcBorders>
                  <w:noWrap w:val="0"/>
                  <w:vAlign w:val="center"/>
                </w:tcPr>
                <w:p w14:paraId="7C076833">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序号</w:t>
                  </w:r>
                </w:p>
              </w:tc>
              <w:tc>
                <w:tcPr>
                  <w:tcW w:w="2250" w:type="pct"/>
                  <w:gridSpan w:val="2"/>
                  <w:tcBorders>
                    <w:tl2br w:val="nil"/>
                    <w:tr2bl w:val="nil"/>
                  </w:tcBorders>
                  <w:noWrap w:val="0"/>
                  <w:vAlign w:val="center"/>
                </w:tcPr>
                <w:p w14:paraId="4245DDB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投入</w:t>
                  </w:r>
                </w:p>
              </w:tc>
              <w:tc>
                <w:tcPr>
                  <w:tcW w:w="2047" w:type="pct"/>
                  <w:gridSpan w:val="2"/>
                  <w:tcBorders>
                    <w:right w:val="single" w:color="000000" w:sz="4" w:space="0"/>
                    <w:tl2br w:val="nil"/>
                    <w:tr2bl w:val="nil"/>
                  </w:tcBorders>
                  <w:noWrap w:val="0"/>
                  <w:vAlign w:val="center"/>
                </w:tcPr>
                <w:p w14:paraId="567539B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产出</w:t>
                  </w:r>
                </w:p>
              </w:tc>
            </w:tr>
            <w:tr w14:paraId="3ECEC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2" w:type="pct"/>
                  <w:vMerge w:val="continue"/>
                  <w:tcBorders>
                    <w:tl2br w:val="nil"/>
                    <w:tr2bl w:val="nil"/>
                  </w:tcBorders>
                  <w:noWrap w:val="0"/>
                  <w:vAlign w:val="center"/>
                </w:tcPr>
                <w:p w14:paraId="6176B43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p>
              </w:tc>
              <w:tc>
                <w:tcPr>
                  <w:tcW w:w="1463" w:type="pct"/>
                  <w:tcBorders>
                    <w:tl2br w:val="nil"/>
                    <w:tr2bl w:val="nil"/>
                  </w:tcBorders>
                  <w:noWrap w:val="0"/>
                  <w:vAlign w:val="center"/>
                </w:tcPr>
                <w:p w14:paraId="23F8BE0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物料名称</w:t>
                  </w:r>
                </w:p>
              </w:tc>
              <w:tc>
                <w:tcPr>
                  <w:tcW w:w="786" w:type="pct"/>
                  <w:tcBorders>
                    <w:tl2br w:val="nil"/>
                    <w:tr2bl w:val="nil"/>
                  </w:tcBorders>
                  <w:noWrap w:val="0"/>
                  <w:vAlign w:val="center"/>
                </w:tcPr>
                <w:p w14:paraId="1030E57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数量</w:t>
                  </w:r>
                </w:p>
              </w:tc>
              <w:tc>
                <w:tcPr>
                  <w:tcW w:w="1211" w:type="pct"/>
                  <w:tcBorders>
                    <w:tl2br w:val="nil"/>
                    <w:tr2bl w:val="nil"/>
                  </w:tcBorders>
                  <w:noWrap w:val="0"/>
                  <w:vAlign w:val="center"/>
                </w:tcPr>
                <w:p w14:paraId="26359CEB">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物料名称</w:t>
                  </w:r>
                </w:p>
              </w:tc>
              <w:tc>
                <w:tcPr>
                  <w:tcW w:w="835" w:type="pct"/>
                  <w:tcBorders>
                    <w:tl2br w:val="nil"/>
                    <w:tr2bl w:val="nil"/>
                  </w:tcBorders>
                  <w:noWrap w:val="0"/>
                  <w:vAlign w:val="center"/>
                </w:tcPr>
                <w:p w14:paraId="52250DB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数量</w:t>
                  </w:r>
                </w:p>
              </w:tc>
            </w:tr>
            <w:tr w14:paraId="3F6F6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2" w:type="pct"/>
                  <w:tcBorders>
                    <w:tl2br w:val="nil"/>
                    <w:tr2bl w:val="nil"/>
                  </w:tcBorders>
                  <w:noWrap w:val="0"/>
                  <w:vAlign w:val="center"/>
                </w:tcPr>
                <w:p w14:paraId="031D2A38">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1</w:t>
                  </w:r>
                </w:p>
              </w:tc>
              <w:tc>
                <w:tcPr>
                  <w:tcW w:w="1463" w:type="pct"/>
                  <w:tcBorders>
                    <w:tl2br w:val="nil"/>
                    <w:tr2bl w:val="nil"/>
                  </w:tcBorders>
                  <w:noWrap w:val="0"/>
                  <w:vAlign w:val="center"/>
                </w:tcPr>
                <w:p w14:paraId="5CAD74B9">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铝合金锭</w:t>
                  </w:r>
                </w:p>
              </w:tc>
              <w:tc>
                <w:tcPr>
                  <w:tcW w:w="786" w:type="pct"/>
                  <w:tcBorders>
                    <w:tl2br w:val="nil"/>
                    <w:tr2bl w:val="nil"/>
                  </w:tcBorders>
                  <w:noWrap w:val="0"/>
                  <w:vAlign w:val="center"/>
                </w:tcPr>
                <w:p w14:paraId="10A44A5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5000</w:t>
                  </w:r>
                </w:p>
              </w:tc>
              <w:tc>
                <w:tcPr>
                  <w:tcW w:w="1211" w:type="pct"/>
                  <w:tcBorders>
                    <w:tl2br w:val="nil"/>
                    <w:tr2bl w:val="nil"/>
                  </w:tcBorders>
                  <w:noWrap w:val="0"/>
                  <w:vAlign w:val="center"/>
                </w:tcPr>
                <w:p w14:paraId="7141393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铝合金铸件</w:t>
                  </w:r>
                </w:p>
              </w:tc>
              <w:tc>
                <w:tcPr>
                  <w:tcW w:w="835" w:type="pct"/>
                  <w:tcBorders>
                    <w:tl2br w:val="nil"/>
                    <w:tr2bl w:val="nil"/>
                  </w:tcBorders>
                  <w:noWrap w:val="0"/>
                  <w:vAlign w:val="center"/>
                </w:tcPr>
                <w:p w14:paraId="5AD7A64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4991.13</w:t>
                  </w:r>
                </w:p>
              </w:tc>
            </w:tr>
            <w:tr w14:paraId="192AD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2" w:type="pct"/>
                  <w:tcBorders>
                    <w:tl2br w:val="nil"/>
                    <w:tr2bl w:val="nil"/>
                  </w:tcBorders>
                  <w:noWrap w:val="0"/>
                  <w:vAlign w:val="center"/>
                </w:tcPr>
                <w:p w14:paraId="5573F1A0">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2</w:t>
                  </w:r>
                </w:p>
              </w:tc>
              <w:tc>
                <w:tcPr>
                  <w:tcW w:w="1463" w:type="pct"/>
                  <w:tcBorders>
                    <w:right w:val="single" w:color="000000" w:sz="4" w:space="0"/>
                    <w:tl2br w:val="nil"/>
                    <w:tr2bl w:val="nil"/>
                  </w:tcBorders>
                  <w:noWrap w:val="0"/>
                  <w:vAlign w:val="center"/>
                </w:tcPr>
                <w:p w14:paraId="0E89EB8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切削液</w:t>
                  </w:r>
                </w:p>
              </w:tc>
              <w:tc>
                <w:tcPr>
                  <w:tcW w:w="786" w:type="pct"/>
                  <w:tcBorders>
                    <w:left w:val="single" w:color="000000" w:sz="4" w:space="0"/>
                    <w:tl2br w:val="nil"/>
                    <w:tr2bl w:val="nil"/>
                  </w:tcBorders>
                  <w:noWrap w:val="0"/>
                  <w:vAlign w:val="center"/>
                </w:tcPr>
                <w:p w14:paraId="537FF883">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12</w:t>
                  </w:r>
                </w:p>
              </w:tc>
              <w:tc>
                <w:tcPr>
                  <w:tcW w:w="1211" w:type="pct"/>
                  <w:tcBorders>
                    <w:right w:val="single" w:color="000000" w:sz="4" w:space="0"/>
                    <w:tl2br w:val="nil"/>
                    <w:tr2bl w:val="nil"/>
                  </w:tcBorders>
                  <w:noWrap w:val="0"/>
                  <w:vAlign w:val="center"/>
                </w:tcPr>
                <w:p w14:paraId="6960E40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废气损耗</w:t>
                  </w:r>
                </w:p>
              </w:tc>
              <w:tc>
                <w:tcPr>
                  <w:tcW w:w="835" w:type="pct"/>
                  <w:tcBorders>
                    <w:left w:val="single" w:color="000000" w:sz="4" w:space="0"/>
                    <w:tl2br w:val="nil"/>
                    <w:tr2bl w:val="nil"/>
                  </w:tcBorders>
                  <w:noWrap w:val="0"/>
                  <w:vAlign w:val="center"/>
                </w:tcPr>
                <w:p w14:paraId="15756999">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0.32</w:t>
                  </w:r>
                </w:p>
              </w:tc>
            </w:tr>
            <w:tr w14:paraId="3B16F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2" w:type="pct"/>
                  <w:tcBorders>
                    <w:bottom w:val="single" w:color="000000" w:sz="4" w:space="0"/>
                    <w:tl2br w:val="nil"/>
                    <w:tr2bl w:val="nil"/>
                  </w:tcBorders>
                  <w:noWrap w:val="0"/>
                  <w:vAlign w:val="center"/>
                </w:tcPr>
                <w:p w14:paraId="5768351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3</w:t>
                  </w:r>
                </w:p>
              </w:tc>
              <w:tc>
                <w:tcPr>
                  <w:tcW w:w="1463" w:type="pct"/>
                  <w:tcBorders>
                    <w:bottom w:val="single" w:color="000000" w:sz="4" w:space="0"/>
                    <w:right w:val="single" w:color="000000" w:sz="4" w:space="0"/>
                    <w:tl2br w:val="nil"/>
                    <w:tr2bl w:val="nil"/>
                  </w:tcBorders>
                  <w:noWrap w:val="0"/>
                  <w:vAlign w:val="bottom"/>
                </w:tcPr>
                <w:p w14:paraId="0527494D">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液压油</w:t>
                  </w:r>
                </w:p>
              </w:tc>
              <w:tc>
                <w:tcPr>
                  <w:tcW w:w="786" w:type="pct"/>
                  <w:tcBorders>
                    <w:left w:val="single" w:color="000000" w:sz="4" w:space="0"/>
                    <w:bottom w:val="single" w:color="000000" w:sz="4" w:space="0"/>
                    <w:tl2br w:val="nil"/>
                    <w:tr2bl w:val="nil"/>
                  </w:tcBorders>
                  <w:noWrap w:val="0"/>
                  <w:vAlign w:val="bottom"/>
                </w:tcPr>
                <w:p w14:paraId="42F6A34B">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6</w:t>
                  </w:r>
                </w:p>
              </w:tc>
              <w:tc>
                <w:tcPr>
                  <w:tcW w:w="1211" w:type="pct"/>
                  <w:tcBorders>
                    <w:right w:val="single" w:color="000000" w:sz="4" w:space="0"/>
                    <w:tl2br w:val="nil"/>
                    <w:tr2bl w:val="nil"/>
                  </w:tcBorders>
                  <w:noWrap w:val="0"/>
                  <w:vAlign w:val="bottom"/>
                </w:tcPr>
                <w:p w14:paraId="4935844E">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边角料</w:t>
                  </w:r>
                </w:p>
              </w:tc>
              <w:tc>
                <w:tcPr>
                  <w:tcW w:w="835" w:type="pct"/>
                  <w:tcBorders>
                    <w:left w:val="single" w:color="000000" w:sz="4" w:space="0"/>
                    <w:right w:val="single" w:color="000000" w:sz="4" w:space="0"/>
                    <w:tl2br w:val="nil"/>
                    <w:tr2bl w:val="nil"/>
                  </w:tcBorders>
                  <w:noWrap w:val="0"/>
                  <w:vAlign w:val="bottom"/>
                </w:tcPr>
                <w:p w14:paraId="0E19991B">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24</w:t>
                  </w:r>
                </w:p>
              </w:tc>
            </w:tr>
            <w:tr w14:paraId="4DBE9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2" w:type="pct"/>
                  <w:tcBorders>
                    <w:top w:val="single" w:color="000000" w:sz="4" w:space="0"/>
                    <w:tl2br w:val="nil"/>
                    <w:tr2bl w:val="nil"/>
                  </w:tcBorders>
                  <w:noWrap w:val="0"/>
                  <w:vAlign w:val="center"/>
                </w:tcPr>
                <w:p w14:paraId="5D955F1D">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4</w:t>
                  </w:r>
                </w:p>
              </w:tc>
              <w:tc>
                <w:tcPr>
                  <w:tcW w:w="1463" w:type="pct"/>
                  <w:tcBorders>
                    <w:top w:val="single" w:color="000000" w:sz="4" w:space="0"/>
                    <w:right w:val="single" w:color="000000" w:sz="4" w:space="0"/>
                    <w:tl2br w:val="nil"/>
                    <w:tr2bl w:val="nil"/>
                  </w:tcBorders>
                  <w:noWrap w:val="0"/>
                  <w:vAlign w:val="center"/>
                </w:tcPr>
                <w:p w14:paraId="7270598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eastAsia="宋体" w:cs="Times New Roman"/>
                      <w:color w:val="auto"/>
                      <w:sz w:val="21"/>
                      <w:szCs w:val="21"/>
                      <w:u w:val="single"/>
                      <w:lang w:val="en-US" w:eastAsia="zh-CN"/>
                    </w:rPr>
                    <w:t>395保温涂料</w:t>
                  </w:r>
                </w:p>
              </w:tc>
              <w:tc>
                <w:tcPr>
                  <w:tcW w:w="786" w:type="pct"/>
                  <w:tcBorders>
                    <w:top w:val="single" w:color="000000" w:sz="4" w:space="0"/>
                    <w:left w:val="single" w:color="000000" w:sz="4" w:space="0"/>
                    <w:tl2br w:val="nil"/>
                    <w:tr2bl w:val="nil"/>
                  </w:tcBorders>
                  <w:noWrap w:val="0"/>
                  <w:vAlign w:val="center"/>
                </w:tcPr>
                <w:p w14:paraId="4B0D3BAC">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3.6</w:t>
                  </w:r>
                </w:p>
              </w:tc>
              <w:tc>
                <w:tcPr>
                  <w:tcW w:w="1211" w:type="pct"/>
                  <w:tcBorders>
                    <w:right w:val="single" w:color="000000" w:sz="4" w:space="0"/>
                    <w:tl2br w:val="nil"/>
                    <w:tr2bl w:val="nil"/>
                  </w:tcBorders>
                  <w:noWrap w:val="0"/>
                  <w:vAlign w:val="center"/>
                </w:tcPr>
                <w:p w14:paraId="17891BA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废砂芯</w:t>
                  </w:r>
                </w:p>
              </w:tc>
              <w:tc>
                <w:tcPr>
                  <w:tcW w:w="835" w:type="pct"/>
                  <w:tcBorders>
                    <w:left w:val="single" w:color="000000" w:sz="4" w:space="0"/>
                    <w:right w:val="single" w:color="000000" w:sz="4" w:space="0"/>
                    <w:tl2br w:val="nil"/>
                    <w:tr2bl w:val="nil"/>
                  </w:tcBorders>
                  <w:noWrap w:val="0"/>
                  <w:vAlign w:val="center"/>
                </w:tcPr>
                <w:p w14:paraId="5B5FF00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50</w:t>
                  </w:r>
                </w:p>
              </w:tc>
            </w:tr>
            <w:tr w14:paraId="7C4B1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2" w:type="pct"/>
                  <w:tcBorders>
                    <w:tl2br w:val="nil"/>
                    <w:tr2bl w:val="nil"/>
                  </w:tcBorders>
                  <w:noWrap w:val="0"/>
                  <w:vAlign w:val="center"/>
                </w:tcPr>
                <w:p w14:paraId="27FB18E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5</w:t>
                  </w:r>
                </w:p>
              </w:tc>
              <w:tc>
                <w:tcPr>
                  <w:tcW w:w="1463" w:type="pct"/>
                  <w:tcBorders>
                    <w:right w:val="single" w:color="000000" w:sz="4" w:space="0"/>
                    <w:tl2br w:val="nil"/>
                    <w:tr2bl w:val="nil"/>
                  </w:tcBorders>
                  <w:noWrap w:val="0"/>
                  <w:vAlign w:val="center"/>
                </w:tcPr>
                <w:p w14:paraId="3A12EF8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钢丸</w:t>
                  </w:r>
                </w:p>
              </w:tc>
              <w:tc>
                <w:tcPr>
                  <w:tcW w:w="786" w:type="pct"/>
                  <w:tcBorders>
                    <w:left w:val="single" w:color="000000" w:sz="4" w:space="0"/>
                    <w:tl2br w:val="nil"/>
                    <w:tr2bl w:val="nil"/>
                  </w:tcBorders>
                  <w:noWrap w:val="0"/>
                  <w:vAlign w:val="center"/>
                </w:tcPr>
                <w:p w14:paraId="18BE2600">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50</w:t>
                  </w:r>
                </w:p>
              </w:tc>
              <w:tc>
                <w:tcPr>
                  <w:tcW w:w="1211" w:type="pct"/>
                  <w:tcBorders>
                    <w:right w:val="single" w:color="000000" w:sz="4" w:space="0"/>
                    <w:tl2br w:val="nil"/>
                    <w:tr2bl w:val="nil"/>
                  </w:tcBorders>
                  <w:noWrap w:val="0"/>
                  <w:vAlign w:val="center"/>
                </w:tcPr>
                <w:p w14:paraId="2D94415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铝灰</w:t>
                  </w:r>
                </w:p>
              </w:tc>
              <w:tc>
                <w:tcPr>
                  <w:tcW w:w="835" w:type="pct"/>
                  <w:tcBorders>
                    <w:left w:val="single" w:color="000000" w:sz="4" w:space="0"/>
                    <w:right w:val="single" w:color="000000" w:sz="4" w:space="0"/>
                    <w:tl2br w:val="nil"/>
                    <w:tr2bl w:val="nil"/>
                  </w:tcBorders>
                  <w:noWrap w:val="0"/>
                  <w:vAlign w:val="center"/>
                </w:tcPr>
                <w:p w14:paraId="3E9F5855">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6.06</w:t>
                  </w:r>
                </w:p>
              </w:tc>
            </w:tr>
            <w:tr w14:paraId="3ED56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02" w:type="pct"/>
                  <w:tcBorders>
                    <w:bottom w:val="single" w:color="000000" w:sz="4" w:space="0"/>
                    <w:tl2br w:val="nil"/>
                    <w:tr2bl w:val="nil"/>
                  </w:tcBorders>
                  <w:noWrap w:val="0"/>
                  <w:vAlign w:val="center"/>
                </w:tcPr>
                <w:p w14:paraId="2D6C0C50">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6</w:t>
                  </w:r>
                </w:p>
              </w:tc>
              <w:tc>
                <w:tcPr>
                  <w:tcW w:w="1463" w:type="pct"/>
                  <w:tcBorders>
                    <w:bottom w:val="single" w:color="000000" w:sz="4" w:space="0"/>
                    <w:right w:val="single" w:color="000000" w:sz="4" w:space="0"/>
                    <w:tl2br w:val="nil"/>
                    <w:tr2bl w:val="nil"/>
                  </w:tcBorders>
                  <w:noWrap w:val="0"/>
                  <w:vAlign w:val="center"/>
                </w:tcPr>
                <w:p w14:paraId="5DDBB7B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覆膜砂</w:t>
                  </w:r>
                </w:p>
              </w:tc>
              <w:tc>
                <w:tcPr>
                  <w:tcW w:w="786" w:type="pct"/>
                  <w:tcBorders>
                    <w:left w:val="single" w:color="000000" w:sz="4" w:space="0"/>
                    <w:bottom w:val="single" w:color="000000" w:sz="4" w:space="0"/>
                    <w:tl2br w:val="nil"/>
                    <w:tr2bl w:val="nil"/>
                  </w:tcBorders>
                  <w:noWrap w:val="0"/>
                  <w:vAlign w:val="center"/>
                </w:tcPr>
                <w:p w14:paraId="5AC7B22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50</w:t>
                  </w:r>
                </w:p>
              </w:tc>
              <w:tc>
                <w:tcPr>
                  <w:tcW w:w="1211" w:type="pct"/>
                  <w:tcBorders>
                    <w:bottom w:val="single" w:color="000000" w:sz="4" w:space="0"/>
                    <w:right w:val="single" w:color="000000" w:sz="4" w:space="0"/>
                    <w:tl2br w:val="nil"/>
                    <w:tr2bl w:val="nil"/>
                  </w:tcBorders>
                  <w:noWrap w:val="0"/>
                  <w:vAlign w:val="center"/>
                </w:tcPr>
                <w:p w14:paraId="751FABB7">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废钢丸</w:t>
                  </w:r>
                </w:p>
              </w:tc>
              <w:tc>
                <w:tcPr>
                  <w:tcW w:w="835" w:type="pct"/>
                  <w:tcBorders>
                    <w:left w:val="single" w:color="000000" w:sz="4" w:space="0"/>
                    <w:bottom w:val="single" w:color="000000" w:sz="4" w:space="0"/>
                    <w:right w:val="single" w:color="000000" w:sz="4" w:space="0"/>
                    <w:tl2br w:val="nil"/>
                    <w:tr2bl w:val="nil"/>
                  </w:tcBorders>
                  <w:noWrap w:val="0"/>
                  <w:vAlign w:val="center"/>
                </w:tcPr>
                <w:p w14:paraId="38BB551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50</w:t>
                  </w:r>
                </w:p>
              </w:tc>
            </w:tr>
            <w:tr w14:paraId="2CFC8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trPr>
              <w:tc>
                <w:tcPr>
                  <w:tcW w:w="702" w:type="pct"/>
                  <w:tcBorders>
                    <w:top w:val="single" w:color="000000" w:sz="4" w:space="0"/>
                    <w:tl2br w:val="nil"/>
                    <w:tr2bl w:val="nil"/>
                  </w:tcBorders>
                  <w:noWrap w:val="0"/>
                  <w:vAlign w:val="center"/>
                </w:tcPr>
                <w:p w14:paraId="10992220">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7</w:t>
                  </w:r>
                </w:p>
              </w:tc>
              <w:tc>
                <w:tcPr>
                  <w:tcW w:w="1463" w:type="pct"/>
                  <w:tcBorders>
                    <w:top w:val="single" w:color="000000" w:sz="4" w:space="0"/>
                    <w:right w:val="single" w:color="000000" w:sz="4" w:space="0"/>
                    <w:tl2br w:val="nil"/>
                    <w:tr2bl w:val="nil"/>
                  </w:tcBorders>
                  <w:noWrap w:val="0"/>
                  <w:vAlign w:val="center"/>
                </w:tcPr>
                <w:p w14:paraId="71AFCEC2">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p>
              </w:tc>
              <w:tc>
                <w:tcPr>
                  <w:tcW w:w="786" w:type="pct"/>
                  <w:tcBorders>
                    <w:top w:val="single" w:color="000000" w:sz="4" w:space="0"/>
                    <w:left w:val="single" w:color="000000" w:sz="4" w:space="0"/>
                    <w:tl2br w:val="nil"/>
                    <w:tr2bl w:val="nil"/>
                  </w:tcBorders>
                  <w:noWrap w:val="0"/>
                  <w:vAlign w:val="center"/>
                </w:tcPr>
                <w:p w14:paraId="13E6A974">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p>
              </w:tc>
              <w:tc>
                <w:tcPr>
                  <w:tcW w:w="1211" w:type="pct"/>
                  <w:tcBorders>
                    <w:top w:val="single" w:color="000000" w:sz="4" w:space="0"/>
                    <w:right w:val="single" w:color="000000" w:sz="4" w:space="0"/>
                    <w:tl2br w:val="nil"/>
                    <w:tr2bl w:val="nil"/>
                  </w:tcBorders>
                  <w:shd w:val="clear" w:color="auto" w:fill="auto"/>
                  <w:noWrap w:val="0"/>
                  <w:vAlign w:val="center"/>
                </w:tcPr>
                <w:p w14:paraId="1B7CE6E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eastAsia="宋体" w:cs="Times New Roman"/>
                      <w:color w:val="auto"/>
                      <w:kern w:val="2"/>
                      <w:sz w:val="21"/>
                      <w:szCs w:val="21"/>
                      <w:u w:val="single"/>
                      <w:shd w:val="clear" w:color="auto" w:fill="auto"/>
                      <w:lang w:val="en-US" w:eastAsia="zh-CN" w:bidi="zh-TW"/>
                    </w:rPr>
                  </w:pPr>
                  <w:r>
                    <w:rPr>
                      <w:rFonts w:hint="eastAsia" w:ascii="Times New Roman" w:hAnsi="Times New Roman" w:cs="Times New Roman"/>
                      <w:color w:val="auto"/>
                      <w:sz w:val="21"/>
                      <w:szCs w:val="21"/>
                      <w:u w:val="single"/>
                      <w:lang w:val="en-US" w:eastAsia="zh-CN"/>
                    </w:rPr>
                    <w:t>废矿物油</w:t>
                  </w:r>
                </w:p>
              </w:tc>
              <w:tc>
                <w:tcPr>
                  <w:tcW w:w="835" w:type="pct"/>
                  <w:tcBorders>
                    <w:top w:val="single" w:color="000000" w:sz="4" w:space="0"/>
                    <w:left w:val="single" w:color="000000" w:sz="4" w:space="0"/>
                    <w:right w:val="single" w:color="000000" w:sz="4" w:space="0"/>
                    <w:tl2br w:val="nil"/>
                    <w:tr2bl w:val="nil"/>
                  </w:tcBorders>
                  <w:shd w:val="clear" w:color="auto" w:fill="auto"/>
                  <w:noWrap w:val="0"/>
                  <w:vAlign w:val="center"/>
                </w:tcPr>
                <w:p w14:paraId="72C1460F">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eastAsia="宋体" w:cs="Times New Roman"/>
                      <w:color w:val="auto"/>
                      <w:kern w:val="2"/>
                      <w:sz w:val="21"/>
                      <w:szCs w:val="21"/>
                      <w:u w:val="single"/>
                      <w:shd w:val="clear" w:color="auto" w:fill="auto"/>
                      <w:lang w:val="en-US" w:eastAsia="zh-CN" w:bidi="zh-TW"/>
                    </w:rPr>
                  </w:pPr>
                  <w:r>
                    <w:rPr>
                      <w:rFonts w:hint="eastAsia" w:ascii="Times New Roman" w:hAnsi="Times New Roman" w:cs="Times New Roman"/>
                      <w:color w:val="auto"/>
                      <w:sz w:val="21"/>
                      <w:szCs w:val="21"/>
                      <w:u w:val="single"/>
                      <w:lang w:val="en-US" w:eastAsia="zh-CN"/>
                    </w:rPr>
                    <w:t>0.1</w:t>
                  </w:r>
                </w:p>
              </w:tc>
            </w:tr>
            <w:tr w14:paraId="326FE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66" w:type="pct"/>
                  <w:gridSpan w:val="2"/>
                  <w:tcBorders>
                    <w:right w:val="single" w:color="000000" w:sz="4" w:space="0"/>
                    <w:tl2br w:val="nil"/>
                    <w:tr2bl w:val="nil"/>
                  </w:tcBorders>
                  <w:noWrap w:val="0"/>
                  <w:vAlign w:val="center"/>
                </w:tcPr>
                <w:p w14:paraId="4501CC6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合计</w:t>
                  </w:r>
                </w:p>
              </w:tc>
              <w:tc>
                <w:tcPr>
                  <w:tcW w:w="786" w:type="pct"/>
                  <w:tcBorders>
                    <w:left w:val="single" w:color="000000" w:sz="4" w:space="0"/>
                    <w:tl2br w:val="nil"/>
                    <w:tr2bl w:val="nil"/>
                  </w:tcBorders>
                  <w:noWrap w:val="0"/>
                  <w:vAlign w:val="center"/>
                </w:tcPr>
                <w:p w14:paraId="61E3E0A6">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5121.6</w:t>
                  </w:r>
                </w:p>
              </w:tc>
              <w:tc>
                <w:tcPr>
                  <w:tcW w:w="1211" w:type="pct"/>
                  <w:tcBorders>
                    <w:right w:val="single" w:color="000000" w:sz="4" w:space="0"/>
                    <w:tl2br w:val="nil"/>
                    <w:tr2bl w:val="nil"/>
                  </w:tcBorders>
                  <w:noWrap w:val="0"/>
                  <w:vAlign w:val="center"/>
                </w:tcPr>
                <w:p w14:paraId="1797D435">
                  <w:pPr>
                    <w:pStyle w:val="103"/>
                    <w:keepNext w:val="0"/>
                    <w:keepLines w:val="0"/>
                    <w:widowControl w:val="0"/>
                    <w:shd w:val="clear" w:color="auto" w:fill="auto"/>
                    <w:bidi w:val="0"/>
                    <w:spacing w:before="0" w:after="0" w:line="240" w:lineRule="auto"/>
                    <w:ind w:left="0" w:leftChars="0" w:right="0" w:rightChars="0" w:firstLine="0" w:firstLineChars="0"/>
                    <w:jc w:val="center"/>
                    <w:rPr>
                      <w:rFonts w:hint="eastAsia" w:ascii="Times New Roman" w:hAnsi="Times New Roman" w:cs="Times New Roman"/>
                      <w:color w:val="auto"/>
                      <w:sz w:val="21"/>
                      <w:szCs w:val="21"/>
                      <w:u w:val="single"/>
                      <w:lang w:val="en-US" w:eastAsia="zh-CN"/>
                    </w:rPr>
                  </w:pPr>
                </w:p>
              </w:tc>
              <w:tc>
                <w:tcPr>
                  <w:tcW w:w="835" w:type="pct"/>
                  <w:tcBorders>
                    <w:left w:val="single" w:color="000000" w:sz="4" w:space="0"/>
                    <w:right w:val="single" w:color="000000" w:sz="4" w:space="0"/>
                    <w:tl2br w:val="nil"/>
                    <w:tr2bl w:val="nil"/>
                  </w:tcBorders>
                  <w:noWrap w:val="0"/>
                  <w:vAlign w:val="center"/>
                </w:tcPr>
                <w:p w14:paraId="41116D23">
                  <w:pPr>
                    <w:pStyle w:val="103"/>
                    <w:keepNext w:val="0"/>
                    <w:keepLines w:val="0"/>
                    <w:widowControl w:val="0"/>
                    <w:shd w:val="clear" w:color="auto" w:fill="auto"/>
                    <w:bidi w:val="0"/>
                    <w:spacing w:before="0" w:after="0" w:line="240" w:lineRule="auto"/>
                    <w:ind w:left="0" w:leftChars="0" w:right="0" w:rightChars="0" w:firstLine="0" w:firstLineChars="0"/>
                    <w:jc w:val="center"/>
                    <w:rPr>
                      <w:rFonts w:hint="default" w:ascii="Times New Roman" w:hAnsi="Times New Roman" w:cs="Times New Roman"/>
                      <w:color w:val="auto"/>
                      <w:sz w:val="21"/>
                      <w:szCs w:val="21"/>
                      <w:u w:val="single"/>
                      <w:lang w:val="en-US" w:eastAsia="zh-CN"/>
                    </w:rPr>
                  </w:pPr>
                  <w:r>
                    <w:rPr>
                      <w:rFonts w:hint="eastAsia" w:ascii="Times New Roman" w:hAnsi="Times New Roman" w:cs="Times New Roman"/>
                      <w:color w:val="auto"/>
                      <w:sz w:val="21"/>
                      <w:szCs w:val="21"/>
                      <w:u w:val="single"/>
                      <w:lang w:val="en-US" w:eastAsia="zh-CN"/>
                    </w:rPr>
                    <w:t>5121.6</w:t>
                  </w:r>
                </w:p>
              </w:tc>
            </w:tr>
          </w:tbl>
          <w:p w14:paraId="2559C4E8">
            <w:pPr>
              <w:bidi w:val="0"/>
              <w:ind w:left="0" w:leftChars="0" w:firstLine="0" w:firstLineChars="0"/>
              <w:jc w:val="center"/>
              <w:rPr>
                <w:rFonts w:hint="eastAsia"/>
                <w:u w:val="single"/>
                <w:lang w:eastAsia="zh-CN"/>
              </w:rPr>
            </w:pPr>
            <w:r>
              <w:rPr>
                <w:rFonts w:hint="eastAsia"/>
                <w:u w:val="single"/>
                <w:lang w:eastAsia="zh-CN"/>
              </w:rPr>
              <w:drawing>
                <wp:inline distT="0" distB="0" distL="114300" distR="114300">
                  <wp:extent cx="2965450" cy="4269740"/>
                  <wp:effectExtent l="0" t="0" r="0" b="0"/>
                  <wp:docPr id="1" name="ECB019B1-382A-4266-B25C-5B523AA43C14-2" descr="C:/Users/admin/AppData/Local/Temp/wps.ekmdkn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CB019B1-382A-4266-B25C-5B523AA43C14-2" descr="C:/Users/admin/AppData/Local/Temp/wps.ekmdknwps"/>
                          <pic:cNvPicPr>
                            <a:picLocks noChangeAspect="1"/>
                          </pic:cNvPicPr>
                        </pic:nvPicPr>
                        <pic:blipFill>
                          <a:blip r:embed="rId14"/>
                          <a:stretch>
                            <a:fillRect/>
                          </a:stretch>
                        </pic:blipFill>
                        <pic:spPr>
                          <a:xfrm>
                            <a:off x="0" y="0"/>
                            <a:ext cx="2965450" cy="4269740"/>
                          </a:xfrm>
                          <a:prstGeom prst="rect">
                            <a:avLst/>
                          </a:prstGeom>
                        </pic:spPr>
                      </pic:pic>
                    </a:graphicData>
                  </a:graphic>
                </wp:inline>
              </w:drawing>
            </w:r>
          </w:p>
          <w:p w14:paraId="0FFE1E33">
            <w:pPr>
              <w:bidi w:val="0"/>
              <w:ind w:left="0" w:leftChars="0" w:firstLine="0" w:firstLineChars="0"/>
              <w:jc w:val="center"/>
              <w:rPr>
                <w:rFonts w:hint="eastAsia"/>
                <w:b/>
                <w:bCs/>
                <w:u w:val="single"/>
                <w:lang w:eastAsia="zh-CN"/>
              </w:rPr>
            </w:pPr>
            <w:r>
              <w:rPr>
                <w:rFonts w:hint="eastAsia"/>
                <w:b/>
                <w:bCs/>
                <w:u w:val="single"/>
                <w:lang w:eastAsia="zh-CN"/>
              </w:rPr>
              <w:t>图</w:t>
            </w:r>
            <w:r>
              <w:rPr>
                <w:rFonts w:hint="eastAsia"/>
                <w:b/>
                <w:bCs/>
                <w:u w:val="single"/>
                <w:lang w:val="en-US" w:eastAsia="zh-CN"/>
              </w:rPr>
              <w:t xml:space="preserve">2-3  </w:t>
            </w:r>
            <w:r>
              <w:rPr>
                <w:rFonts w:hint="eastAsia"/>
                <w:b/>
                <w:bCs/>
                <w:u w:val="single"/>
                <w:lang w:eastAsia="zh-CN"/>
              </w:rPr>
              <w:t>物料平衡图（</w:t>
            </w:r>
            <w:r>
              <w:rPr>
                <w:rFonts w:hint="eastAsia"/>
                <w:b/>
                <w:bCs/>
                <w:u w:val="single"/>
                <w:lang w:val="en-US" w:eastAsia="zh-CN"/>
              </w:rPr>
              <w:t>t/a</w:t>
            </w:r>
            <w:r>
              <w:rPr>
                <w:rFonts w:hint="eastAsia"/>
                <w:b/>
                <w:bCs/>
                <w:u w:val="single"/>
                <w:lang w:eastAsia="zh-CN"/>
              </w:rPr>
              <w:t>）</w:t>
            </w:r>
          </w:p>
          <w:p w14:paraId="0256FB66">
            <w:pPr>
              <w:bidi w:val="0"/>
              <w:rPr>
                <w:rFonts w:hint="eastAsia"/>
                <w:lang w:eastAsia="zh-CN"/>
              </w:rPr>
            </w:pPr>
          </w:p>
          <w:p w14:paraId="4C7888E0">
            <w:pPr>
              <w:bidi w:val="0"/>
              <w:rPr>
                <w:rFonts w:hint="eastAsia"/>
                <w:lang w:eastAsia="zh-CN"/>
              </w:rPr>
            </w:pPr>
          </w:p>
          <w:p w14:paraId="2F27E3DC">
            <w:pPr>
              <w:bidi w:val="0"/>
              <w:rPr>
                <w:rFonts w:hint="eastAsia"/>
                <w:lang w:eastAsia="zh-CN"/>
              </w:rPr>
            </w:pPr>
          </w:p>
        </w:tc>
      </w:tr>
      <w:tr w14:paraId="6FD901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823" w:type="dxa"/>
            <w:noWrap w:val="0"/>
            <w:vAlign w:val="center"/>
          </w:tcPr>
          <w:p w14:paraId="3C30BAE5">
            <w:pPr>
              <w:pStyle w:val="25"/>
              <w:adjustRightInd w:val="0"/>
              <w:snapToGrid w:val="0"/>
              <w:spacing w:before="0" w:beforeAutospacing="0" w:after="0" w:afterAutospacing="0"/>
              <w:ind w:left="0" w:leftChars="0" w:firstLine="0" w:firstLineChars="0"/>
              <w:jc w:val="center"/>
              <w:rPr>
                <w:rFonts w:ascii="Times New Roman" w:hAnsi="Times New Roman"/>
                <w:color w:val="auto"/>
                <w:sz w:val="21"/>
                <w:szCs w:val="21"/>
              </w:rPr>
            </w:pPr>
            <w:r>
              <w:rPr>
                <w:rFonts w:ascii="Times New Roman" w:hAnsi="Times New Roman"/>
                <w:bCs/>
                <w:color w:val="auto"/>
                <w:kern w:val="2"/>
                <w:sz w:val="21"/>
                <w:szCs w:val="21"/>
              </w:rPr>
              <w:t>与项目有关的原有环境污染问题</w:t>
            </w:r>
          </w:p>
        </w:tc>
        <w:tc>
          <w:tcPr>
            <w:tcW w:w="8161" w:type="dxa"/>
            <w:noWrap w:val="0"/>
            <w:vAlign w:val="center"/>
          </w:tcPr>
          <w:p w14:paraId="2B055910">
            <w:pPr>
              <w:ind w:firstLine="480"/>
            </w:pPr>
            <w:r>
              <w:rPr>
                <w:rFonts w:hint="eastAsia"/>
              </w:rPr>
              <w:t>项目属于新建，本次完善环评手续，目前暂未申领排污许可证，未进行竣工环保验收；项目运行以来未发生环境污染事件，不存在与本项目有关的原有污染情况。</w:t>
            </w:r>
          </w:p>
          <w:p w14:paraId="65795BC4">
            <w:pPr>
              <w:pStyle w:val="2"/>
              <w:ind w:firstLine="480"/>
            </w:pPr>
            <w:r>
              <w:rPr>
                <w:rFonts w:hint="eastAsia"/>
              </w:rPr>
              <w:t>本项目存在的主要环境问题是：</w:t>
            </w:r>
            <w:r>
              <w:rPr>
                <w:rFonts w:hint="eastAsia"/>
                <w:lang w:eastAsia="zh-CN"/>
              </w:rPr>
              <w:t>废气收集及处理措施未落实，</w:t>
            </w:r>
            <w:r>
              <w:rPr>
                <w:rFonts w:hint="eastAsia"/>
              </w:rPr>
              <w:t>危险暂存间及相关环保设施的标识标牌不完善。评价要求项目</w:t>
            </w:r>
            <w:r>
              <w:rPr>
                <w:rFonts w:hint="eastAsia"/>
                <w:lang w:eastAsia="zh-CN"/>
              </w:rPr>
              <w:t>落实废气的收集及处理措施，</w:t>
            </w:r>
            <w:r>
              <w:rPr>
                <w:rFonts w:hint="eastAsia"/>
              </w:rPr>
              <w:t>完善危险暂存间及相关环保设施的标识标牌，并尽快完成竣工环保验收。</w:t>
            </w:r>
          </w:p>
          <w:p w14:paraId="52F03DE2">
            <w:pPr>
              <w:adjustRightInd w:val="0"/>
              <w:snapToGrid w:val="0"/>
              <w:spacing w:line="360" w:lineRule="auto"/>
              <w:ind w:firstLine="480" w:firstLineChars="200"/>
              <w:rPr>
                <w:bCs/>
                <w:color w:val="auto"/>
                <w:sz w:val="24"/>
              </w:rPr>
            </w:pPr>
          </w:p>
          <w:p w14:paraId="139C13DD">
            <w:pPr>
              <w:adjustRightInd w:val="0"/>
              <w:snapToGrid w:val="0"/>
              <w:spacing w:line="360" w:lineRule="auto"/>
              <w:ind w:firstLine="480" w:firstLineChars="200"/>
              <w:rPr>
                <w:bCs/>
                <w:color w:val="auto"/>
                <w:sz w:val="24"/>
              </w:rPr>
            </w:pPr>
          </w:p>
        </w:tc>
      </w:tr>
    </w:tbl>
    <w:p w14:paraId="36646F3A">
      <w:pPr>
        <w:pStyle w:val="25"/>
        <w:jc w:val="center"/>
        <w:rPr>
          <w:rFonts w:ascii="Times New Roman" w:hAnsi="Times New Roman" w:eastAsia="黑体"/>
          <w:snapToGrid w:val="0"/>
          <w:color w:val="auto"/>
          <w:sz w:val="36"/>
          <w:szCs w:val="36"/>
        </w:rPr>
        <w:sectPr>
          <w:pgSz w:w="11906" w:h="16838"/>
          <w:pgMar w:top="1701" w:right="1531" w:bottom="1701"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600C955B">
      <w:pPr>
        <w:pStyle w:val="25"/>
        <w:jc w:val="center"/>
        <w:outlineLvl w:val="0"/>
        <w:rPr>
          <w:rFonts w:ascii="Times New Roman" w:hAnsi="Times New Roman" w:eastAsia="黑体"/>
          <w:snapToGrid w:val="0"/>
          <w:color w:val="auto"/>
          <w:sz w:val="30"/>
          <w:szCs w:val="30"/>
        </w:rPr>
      </w:pPr>
      <w:bookmarkStart w:id="22" w:name="_Toc110847885"/>
      <w:bookmarkStart w:id="23" w:name="_Toc25267"/>
      <w:r>
        <w:rPr>
          <w:rFonts w:ascii="Times New Roman" w:hAnsi="Times New Roman" w:eastAsia="黑体"/>
          <w:snapToGrid w:val="0"/>
          <w:color w:val="auto"/>
          <w:sz w:val="30"/>
          <w:szCs w:val="30"/>
        </w:rPr>
        <w:t>三、区域环境质量现状、环境保护目标及评价标准</w:t>
      </w:r>
      <w:bookmarkEnd w:id="22"/>
      <w:bookmarkEnd w:id="23"/>
    </w:p>
    <w:tbl>
      <w:tblPr>
        <w:tblStyle w:val="29"/>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77"/>
        <w:gridCol w:w="8037"/>
      </w:tblGrid>
      <w:tr w14:paraId="3D2669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777" w:type="dxa"/>
            <w:noWrap w:val="0"/>
            <w:vAlign w:val="center"/>
          </w:tcPr>
          <w:p w14:paraId="2D850F9A">
            <w:pPr>
              <w:adjustRightInd w:val="0"/>
              <w:snapToGrid w:val="0"/>
              <w:ind w:left="0" w:leftChars="0" w:firstLine="0" w:firstLineChars="0"/>
              <w:jc w:val="center"/>
              <w:rPr>
                <w:color w:val="auto"/>
                <w:kern w:val="0"/>
                <w:szCs w:val="21"/>
                <w:highlight w:val="none"/>
              </w:rPr>
            </w:pPr>
            <w:r>
              <w:rPr>
                <w:color w:val="auto"/>
                <w:kern w:val="0"/>
                <w:szCs w:val="21"/>
                <w:highlight w:val="none"/>
              </w:rPr>
              <w:t>区域</w:t>
            </w:r>
          </w:p>
          <w:p w14:paraId="7E04F256">
            <w:pPr>
              <w:adjustRightInd w:val="0"/>
              <w:snapToGrid w:val="0"/>
              <w:ind w:left="0" w:leftChars="0" w:firstLine="0" w:firstLineChars="0"/>
              <w:jc w:val="center"/>
              <w:rPr>
                <w:color w:val="auto"/>
                <w:kern w:val="0"/>
                <w:szCs w:val="21"/>
                <w:highlight w:val="none"/>
              </w:rPr>
            </w:pPr>
            <w:r>
              <w:rPr>
                <w:color w:val="auto"/>
                <w:kern w:val="0"/>
                <w:szCs w:val="21"/>
                <w:highlight w:val="none"/>
              </w:rPr>
              <w:t>环境</w:t>
            </w:r>
          </w:p>
          <w:p w14:paraId="067BA85B">
            <w:pPr>
              <w:adjustRightInd w:val="0"/>
              <w:snapToGrid w:val="0"/>
              <w:ind w:left="0" w:leftChars="0" w:firstLine="0" w:firstLineChars="0"/>
              <w:jc w:val="center"/>
              <w:rPr>
                <w:color w:val="auto"/>
                <w:kern w:val="0"/>
                <w:szCs w:val="21"/>
                <w:highlight w:val="none"/>
              </w:rPr>
            </w:pPr>
            <w:r>
              <w:rPr>
                <w:color w:val="auto"/>
                <w:kern w:val="0"/>
                <w:szCs w:val="21"/>
                <w:highlight w:val="none"/>
              </w:rPr>
              <w:t>质量</w:t>
            </w:r>
          </w:p>
          <w:p w14:paraId="6B63E6A6">
            <w:pPr>
              <w:adjustRightInd w:val="0"/>
              <w:snapToGrid w:val="0"/>
              <w:ind w:left="0" w:leftChars="0" w:firstLine="0" w:firstLineChars="0"/>
              <w:jc w:val="center"/>
              <w:rPr>
                <w:color w:val="auto"/>
                <w:kern w:val="0"/>
                <w:szCs w:val="21"/>
                <w:highlight w:val="none"/>
              </w:rPr>
            </w:pPr>
            <w:r>
              <w:rPr>
                <w:color w:val="auto"/>
                <w:kern w:val="0"/>
                <w:szCs w:val="21"/>
                <w:highlight w:val="none"/>
              </w:rPr>
              <w:t>现状</w:t>
            </w:r>
          </w:p>
        </w:tc>
        <w:tc>
          <w:tcPr>
            <w:tcW w:w="8037" w:type="dxa"/>
            <w:noWrap w:val="0"/>
            <w:vAlign w:val="center"/>
          </w:tcPr>
          <w:p w14:paraId="2A8FE908">
            <w:pPr>
              <w:bidi w:val="0"/>
              <w:rPr>
                <w:color w:val="auto"/>
                <w:u w:val="single" w:color="auto"/>
              </w:rPr>
            </w:pPr>
            <w:r>
              <w:rPr>
                <w:rFonts w:hint="eastAsia"/>
                <w:color w:val="auto"/>
                <w:u w:val="single" w:color="auto"/>
              </w:rPr>
              <w:t>1、环境空气质量现状</w:t>
            </w:r>
          </w:p>
          <w:p w14:paraId="50B3BF2E">
            <w:pPr>
              <w:bidi w:val="0"/>
              <w:rPr>
                <w:rFonts w:hint="eastAsia"/>
                <w:color w:val="auto"/>
                <w:u w:val="single" w:color="auto"/>
                <w:lang w:eastAsia="zh-CN"/>
              </w:rPr>
            </w:pPr>
            <w:r>
              <w:rPr>
                <w:rFonts w:hint="eastAsia"/>
                <w:color w:val="auto"/>
                <w:u w:val="single" w:color="auto"/>
                <w:lang w:eastAsia="zh-CN"/>
              </w:rPr>
              <w:t>（1）常规监测数据</w:t>
            </w:r>
          </w:p>
          <w:p w14:paraId="472261C7">
            <w:pPr>
              <w:bidi w:val="0"/>
              <w:rPr>
                <w:rFonts w:hint="default"/>
                <w:color w:val="auto"/>
                <w:u w:val="single" w:color="auto"/>
              </w:rPr>
            </w:pPr>
            <w:r>
              <w:rPr>
                <w:rFonts w:hint="default" w:ascii="Times New Roman" w:hAnsi="Times New Roman" w:cs="Times New Roman"/>
                <w:color w:val="auto"/>
                <w:u w:val="single" w:color="auto"/>
              </w:rPr>
              <w:t>根据《建设项目环境影响报告表编制技术指南（污染影响类）（试行）》常规污染物引用与建设项目距离近的有效数据，包括近3年的规划环境影响评价的监测数据，国家、地方环境空气质量监测网数据或生态环境主管部门公开发布的质量数据等</w:t>
            </w:r>
            <w:r>
              <w:rPr>
                <w:rFonts w:hint="default"/>
                <w:color w:val="auto"/>
                <w:u w:val="single" w:color="auto"/>
              </w:rPr>
              <w:t>。</w:t>
            </w:r>
          </w:p>
          <w:p w14:paraId="12F006EE">
            <w:pPr>
              <w:bidi w:val="0"/>
              <w:rPr>
                <w:rFonts w:hint="default"/>
                <w:color w:val="auto"/>
                <w:u w:val="single" w:color="auto"/>
              </w:rPr>
            </w:pPr>
            <w:r>
              <w:rPr>
                <w:rFonts w:hint="default"/>
                <w:color w:val="auto"/>
                <w:u w:val="single" w:color="auto"/>
              </w:rPr>
              <w:t>本次环评</w:t>
            </w:r>
            <w:r>
              <w:rPr>
                <w:rFonts w:hint="eastAsia"/>
                <w:color w:val="auto"/>
                <w:u w:val="single" w:color="auto"/>
                <w:lang w:eastAsia="zh-CN"/>
              </w:rPr>
              <w:t>收集到</w:t>
            </w:r>
            <w:r>
              <w:rPr>
                <w:rFonts w:hint="eastAsia"/>
                <w:color w:val="auto"/>
                <w:u w:val="single" w:color="auto"/>
              </w:rPr>
              <w:t>永州市生态环境局公布的202</w:t>
            </w:r>
            <w:r>
              <w:rPr>
                <w:rFonts w:hint="eastAsia"/>
                <w:color w:val="auto"/>
                <w:u w:val="single" w:color="auto"/>
                <w:lang w:val="en-US" w:eastAsia="zh-CN"/>
              </w:rPr>
              <w:t>4</w:t>
            </w:r>
            <w:r>
              <w:rPr>
                <w:rFonts w:hint="eastAsia"/>
                <w:color w:val="auto"/>
                <w:u w:val="single" w:color="auto"/>
              </w:rPr>
              <w:t>年1月~202</w:t>
            </w:r>
            <w:r>
              <w:rPr>
                <w:rFonts w:hint="eastAsia"/>
                <w:color w:val="auto"/>
                <w:u w:val="single" w:color="auto"/>
                <w:lang w:val="en-US" w:eastAsia="zh-CN"/>
              </w:rPr>
              <w:t>4</w:t>
            </w:r>
            <w:r>
              <w:rPr>
                <w:rFonts w:hint="eastAsia"/>
                <w:color w:val="auto"/>
                <w:u w:val="single" w:color="auto"/>
              </w:rPr>
              <w:t>年12月</w:t>
            </w:r>
            <w:r>
              <w:rPr>
                <w:rFonts w:hint="eastAsia"/>
                <w:color w:val="auto"/>
                <w:u w:val="single" w:color="auto"/>
                <w:lang w:eastAsia="zh-CN"/>
              </w:rPr>
              <w:t>江永县</w:t>
            </w:r>
            <w:r>
              <w:rPr>
                <w:rFonts w:hint="default"/>
                <w:color w:val="auto"/>
                <w:u w:val="single" w:color="auto"/>
              </w:rPr>
              <w:t>的基本因子的</w:t>
            </w:r>
            <w:r>
              <w:rPr>
                <w:rFonts w:hint="eastAsia"/>
                <w:color w:val="auto"/>
                <w:u w:val="single" w:color="auto"/>
                <w:lang w:eastAsia="zh-CN"/>
              </w:rPr>
              <w:t>监测</w:t>
            </w:r>
            <w:r>
              <w:rPr>
                <w:rFonts w:hint="default"/>
                <w:color w:val="auto"/>
                <w:u w:val="single" w:color="auto"/>
              </w:rPr>
              <w:t>数据</w:t>
            </w:r>
            <w:r>
              <w:rPr>
                <w:rFonts w:hint="default"/>
                <w:color w:val="auto"/>
                <w:u w:val="single" w:color="auto"/>
                <w:lang w:eastAsia="zh-CN"/>
              </w:rPr>
              <w:t>，</w:t>
            </w:r>
            <w:r>
              <w:rPr>
                <w:rFonts w:hint="default"/>
                <w:color w:val="auto"/>
                <w:u w:val="single" w:color="auto"/>
              </w:rPr>
              <w:t>区域环境空气质量现状评价见下表：</w:t>
            </w:r>
          </w:p>
          <w:p w14:paraId="6D76A1B9">
            <w:pPr>
              <w:spacing w:line="240" w:lineRule="auto"/>
              <w:jc w:val="center"/>
              <w:rPr>
                <w:rFonts w:hint="eastAsia" w:eastAsia="宋体"/>
                <w:b/>
                <w:bCs/>
                <w:color w:val="auto"/>
                <w:highlight w:val="none"/>
                <w:u w:val="single" w:color="auto"/>
                <w:lang w:eastAsia="zh-CN"/>
              </w:rPr>
            </w:pPr>
            <w:r>
              <w:rPr>
                <w:rFonts w:hint="eastAsia" w:ascii="Times New Roman" w:hAnsi="Times New Roman" w:eastAsia="宋体" w:cs="Times New Roman"/>
                <w:b/>
                <w:color w:val="auto"/>
                <w:sz w:val="21"/>
                <w:szCs w:val="21"/>
                <w:u w:val="single" w:color="auto"/>
              </w:rPr>
              <w:t>表3-1  202</w:t>
            </w:r>
            <w:r>
              <w:rPr>
                <w:rFonts w:hint="eastAsia" w:ascii="Times New Roman" w:hAnsi="Times New Roman" w:eastAsia="宋体" w:cs="Times New Roman"/>
                <w:b/>
                <w:color w:val="auto"/>
                <w:sz w:val="21"/>
                <w:szCs w:val="21"/>
                <w:u w:val="single" w:color="auto"/>
                <w:lang w:val="en-US" w:eastAsia="zh-CN"/>
              </w:rPr>
              <w:t>4</w:t>
            </w:r>
            <w:r>
              <w:rPr>
                <w:rFonts w:hint="eastAsia" w:ascii="Times New Roman" w:hAnsi="Times New Roman" w:eastAsia="宋体" w:cs="Times New Roman"/>
                <w:b/>
                <w:color w:val="auto"/>
                <w:sz w:val="21"/>
                <w:szCs w:val="21"/>
                <w:u w:val="single" w:color="auto"/>
              </w:rPr>
              <w:t>年</w:t>
            </w:r>
            <w:r>
              <w:rPr>
                <w:rFonts w:hint="eastAsia" w:ascii="Times New Roman" w:hAnsi="Times New Roman" w:eastAsia="宋体" w:cs="Times New Roman"/>
                <w:b/>
                <w:color w:val="auto"/>
                <w:sz w:val="21"/>
                <w:szCs w:val="21"/>
                <w:u w:val="single" w:color="auto"/>
                <w:lang w:val="en-US" w:eastAsia="zh-CN"/>
              </w:rPr>
              <w:t>江永县</w:t>
            </w:r>
            <w:r>
              <w:rPr>
                <w:rFonts w:hint="eastAsia" w:ascii="Times New Roman" w:hAnsi="Times New Roman" w:eastAsia="宋体" w:cs="Times New Roman"/>
                <w:b/>
                <w:color w:val="auto"/>
                <w:sz w:val="21"/>
                <w:szCs w:val="21"/>
                <w:u w:val="single" w:color="auto"/>
              </w:rPr>
              <w:t>环境空气质量状况  (单位：μg/m</w:t>
            </w:r>
            <w:r>
              <w:rPr>
                <w:rFonts w:hint="eastAsia" w:ascii="Times New Roman" w:hAnsi="Times New Roman" w:eastAsia="宋体" w:cs="Times New Roman"/>
                <w:b/>
                <w:color w:val="auto"/>
                <w:sz w:val="21"/>
                <w:szCs w:val="21"/>
                <w:u w:val="single" w:color="auto"/>
                <w:vertAlign w:val="superscript"/>
              </w:rPr>
              <w:t>3</w:t>
            </w:r>
            <w:r>
              <w:rPr>
                <w:rFonts w:hint="eastAsia" w:ascii="Times New Roman" w:hAnsi="Times New Roman" w:eastAsia="宋体" w:cs="Times New Roman"/>
                <w:b/>
                <w:color w:val="auto"/>
                <w:sz w:val="21"/>
                <w:szCs w:val="21"/>
                <w:u w:val="single" w:color="auto"/>
                <w:lang w:eastAsia="zh-CN"/>
              </w:rPr>
              <w:t>)</w:t>
            </w:r>
          </w:p>
          <w:tbl>
            <w:tblPr>
              <w:tblStyle w:val="29"/>
              <w:tblW w:w="782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637"/>
              <w:gridCol w:w="1242"/>
              <w:gridCol w:w="1475"/>
              <w:gridCol w:w="1116"/>
              <w:gridCol w:w="1118"/>
              <w:gridCol w:w="1118"/>
              <w:gridCol w:w="1118"/>
            </w:tblGrid>
            <w:tr w14:paraId="367EE44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37" w:type="dxa"/>
                  <w:noWrap w:val="0"/>
                  <w:vAlign w:val="center"/>
                </w:tcPr>
                <w:p w14:paraId="5FE2614C">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点位</w:t>
                  </w:r>
                </w:p>
              </w:tc>
              <w:tc>
                <w:tcPr>
                  <w:tcW w:w="1242" w:type="dxa"/>
                  <w:noWrap w:val="0"/>
                  <w:vAlign w:val="center"/>
                </w:tcPr>
                <w:p w14:paraId="51262A2D">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监测因子</w:t>
                  </w:r>
                </w:p>
              </w:tc>
              <w:tc>
                <w:tcPr>
                  <w:tcW w:w="1475" w:type="dxa"/>
                  <w:noWrap w:val="0"/>
                  <w:vAlign w:val="center"/>
                </w:tcPr>
                <w:p w14:paraId="07A3C887">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年评价指标</w:t>
                  </w:r>
                </w:p>
              </w:tc>
              <w:tc>
                <w:tcPr>
                  <w:tcW w:w="1116" w:type="dxa"/>
                  <w:noWrap w:val="0"/>
                  <w:vAlign w:val="center"/>
                </w:tcPr>
                <w:p w14:paraId="342E6E4C">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ascii="Times New Roman" w:hAnsi="Times New Roman" w:eastAsia="宋体" w:cs="Times New Roman"/>
                      <w:color w:val="auto"/>
                      <w:sz w:val="21"/>
                      <w:szCs w:val="21"/>
                      <w:highlight w:val="none"/>
                      <w:u w:val="single" w:color="auto"/>
                    </w:rPr>
                    <w:t>监测浓度</w:t>
                  </w:r>
                  <w:r>
                    <w:rPr>
                      <w:rFonts w:hint="eastAsia" w:ascii="Times New Roman" w:hAnsi="Times New Roman" w:eastAsia="宋体" w:cs="Times New Roman"/>
                      <w:color w:val="auto"/>
                      <w:sz w:val="21"/>
                      <w:szCs w:val="21"/>
                      <w:highlight w:val="none"/>
                      <w:u w:val="single" w:color="auto"/>
                      <w:lang w:eastAsia="zh-CN"/>
                    </w:rPr>
                    <w:t>(</w:t>
                  </w:r>
                  <w:r>
                    <w:rPr>
                      <w:rFonts w:ascii="Times New Roman" w:hAnsi="Times New Roman" w:eastAsia="宋体" w:cs="Times New Roman"/>
                      <w:color w:val="auto"/>
                      <w:sz w:val="21"/>
                      <w:szCs w:val="21"/>
                      <w:highlight w:val="none"/>
                      <w:u w:val="single" w:color="auto"/>
                    </w:rPr>
                    <w:t>年平均值</w:t>
                  </w:r>
                  <w:r>
                    <w:rPr>
                      <w:rFonts w:hint="eastAsia" w:ascii="Times New Roman" w:hAnsi="Times New Roman" w:eastAsia="宋体" w:cs="Times New Roman"/>
                      <w:color w:val="auto"/>
                      <w:sz w:val="21"/>
                      <w:szCs w:val="21"/>
                      <w:highlight w:val="none"/>
                      <w:u w:val="single" w:color="auto"/>
                      <w:lang w:eastAsia="zh-CN"/>
                    </w:rPr>
                    <w:t>)</w:t>
                  </w:r>
                </w:p>
              </w:tc>
              <w:tc>
                <w:tcPr>
                  <w:tcW w:w="1118" w:type="dxa"/>
                  <w:noWrap w:val="0"/>
                  <w:vAlign w:val="center"/>
                </w:tcPr>
                <w:p w14:paraId="09781CAE">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ascii="Times New Roman" w:hAnsi="Times New Roman" w:eastAsia="宋体" w:cs="Times New Roman"/>
                      <w:color w:val="auto"/>
                      <w:sz w:val="21"/>
                      <w:szCs w:val="21"/>
                      <w:highlight w:val="none"/>
                      <w:u w:val="single" w:color="auto"/>
                    </w:rPr>
                    <w:t>标准值</w:t>
                  </w:r>
                  <w:r>
                    <w:rPr>
                      <w:rFonts w:hint="eastAsia" w:ascii="Times New Roman" w:hAnsi="Times New Roman" w:eastAsia="宋体" w:cs="Times New Roman"/>
                      <w:color w:val="auto"/>
                      <w:sz w:val="21"/>
                      <w:szCs w:val="21"/>
                      <w:highlight w:val="none"/>
                      <w:u w:val="single" w:color="auto"/>
                      <w:lang w:eastAsia="zh-CN"/>
                    </w:rPr>
                    <w:t>(</w:t>
                  </w:r>
                  <w:r>
                    <w:rPr>
                      <w:rFonts w:ascii="Times New Roman" w:hAnsi="Times New Roman" w:eastAsia="宋体" w:cs="Times New Roman"/>
                      <w:color w:val="auto"/>
                      <w:sz w:val="21"/>
                      <w:szCs w:val="21"/>
                      <w:highlight w:val="none"/>
                      <w:u w:val="single" w:color="auto"/>
                    </w:rPr>
                    <w:t>年平均值</w:t>
                  </w:r>
                  <w:r>
                    <w:rPr>
                      <w:rFonts w:hint="eastAsia" w:ascii="Times New Roman" w:hAnsi="Times New Roman" w:eastAsia="宋体" w:cs="Times New Roman"/>
                      <w:color w:val="auto"/>
                      <w:sz w:val="21"/>
                      <w:szCs w:val="21"/>
                      <w:highlight w:val="none"/>
                      <w:u w:val="single" w:color="auto"/>
                      <w:lang w:eastAsia="zh-CN"/>
                    </w:rPr>
                    <w:t>)</w:t>
                  </w:r>
                </w:p>
              </w:tc>
              <w:tc>
                <w:tcPr>
                  <w:tcW w:w="1118" w:type="dxa"/>
                  <w:noWrap w:val="0"/>
                  <w:vAlign w:val="center"/>
                </w:tcPr>
                <w:p w14:paraId="1F18EE15">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ascii="Times New Roman" w:hAnsi="Times New Roman" w:eastAsia="宋体" w:cs="Times New Roman"/>
                      <w:color w:val="auto"/>
                      <w:sz w:val="21"/>
                      <w:szCs w:val="21"/>
                      <w:highlight w:val="none"/>
                      <w:u w:val="single" w:color="auto"/>
                    </w:rPr>
                    <w:t>占标率</w:t>
                  </w:r>
                  <w:r>
                    <w:rPr>
                      <w:rFonts w:hint="eastAsia" w:ascii="Times New Roman" w:hAnsi="Times New Roman" w:eastAsia="宋体" w:cs="Times New Roman"/>
                      <w:color w:val="auto"/>
                      <w:sz w:val="21"/>
                      <w:szCs w:val="21"/>
                      <w:highlight w:val="none"/>
                      <w:u w:val="single" w:color="auto"/>
                      <w:lang w:eastAsia="zh-CN"/>
                    </w:rPr>
                    <w:t>(</w:t>
                  </w:r>
                  <w:r>
                    <w:rPr>
                      <w:rFonts w:ascii="Times New Roman" w:hAnsi="Times New Roman" w:eastAsia="宋体" w:cs="Times New Roman"/>
                      <w:color w:val="auto"/>
                      <w:sz w:val="21"/>
                      <w:szCs w:val="21"/>
                      <w:highlight w:val="none"/>
                      <w:u w:val="single" w:color="auto"/>
                    </w:rPr>
                    <w:t>%</w:t>
                  </w:r>
                  <w:r>
                    <w:rPr>
                      <w:rFonts w:hint="eastAsia" w:ascii="Times New Roman" w:hAnsi="Times New Roman" w:eastAsia="宋体" w:cs="Times New Roman"/>
                      <w:color w:val="auto"/>
                      <w:sz w:val="21"/>
                      <w:szCs w:val="21"/>
                      <w:highlight w:val="none"/>
                      <w:u w:val="single" w:color="auto"/>
                      <w:lang w:eastAsia="zh-CN"/>
                    </w:rPr>
                    <w:t>)</w:t>
                  </w:r>
                </w:p>
              </w:tc>
              <w:tc>
                <w:tcPr>
                  <w:tcW w:w="1118" w:type="dxa"/>
                  <w:noWrap w:val="0"/>
                  <w:vAlign w:val="center"/>
                </w:tcPr>
                <w:p w14:paraId="76298C12">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达标情况</w:t>
                  </w:r>
                </w:p>
              </w:tc>
            </w:tr>
            <w:tr w14:paraId="30BE071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37" w:type="dxa"/>
                  <w:vMerge w:val="restart"/>
                  <w:noWrap w:val="0"/>
                  <w:vAlign w:val="center"/>
                </w:tcPr>
                <w:p w14:paraId="46CF752C">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江永县政府大楼</w:t>
                  </w:r>
                </w:p>
              </w:tc>
              <w:tc>
                <w:tcPr>
                  <w:tcW w:w="1242" w:type="dxa"/>
                  <w:noWrap w:val="0"/>
                  <w:vAlign w:val="center"/>
                </w:tcPr>
                <w:p w14:paraId="7AF19F0A">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PM</w:t>
                  </w:r>
                  <w:r>
                    <w:rPr>
                      <w:rFonts w:ascii="Times New Roman" w:hAnsi="Times New Roman" w:eastAsia="宋体" w:cs="Times New Roman"/>
                      <w:color w:val="auto"/>
                      <w:sz w:val="21"/>
                      <w:szCs w:val="21"/>
                      <w:highlight w:val="none"/>
                      <w:u w:val="single" w:color="auto"/>
                      <w:vertAlign w:val="subscript"/>
                    </w:rPr>
                    <w:t>10</w:t>
                  </w:r>
                </w:p>
              </w:tc>
              <w:tc>
                <w:tcPr>
                  <w:tcW w:w="1475" w:type="dxa"/>
                  <w:vMerge w:val="restart"/>
                  <w:noWrap w:val="0"/>
                  <w:vAlign w:val="center"/>
                </w:tcPr>
                <w:p w14:paraId="1462ADE0">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年平均质量浓度</w:t>
                  </w:r>
                </w:p>
              </w:tc>
              <w:tc>
                <w:tcPr>
                  <w:tcW w:w="1116" w:type="dxa"/>
                  <w:noWrap w:val="0"/>
                  <w:vAlign w:val="center"/>
                </w:tcPr>
                <w:p w14:paraId="514D86DE">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33</w:t>
                  </w:r>
                </w:p>
              </w:tc>
              <w:tc>
                <w:tcPr>
                  <w:tcW w:w="1118" w:type="dxa"/>
                  <w:noWrap w:val="0"/>
                  <w:vAlign w:val="center"/>
                </w:tcPr>
                <w:p w14:paraId="4C450053">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70</w:t>
                  </w:r>
                </w:p>
              </w:tc>
              <w:tc>
                <w:tcPr>
                  <w:tcW w:w="1118" w:type="dxa"/>
                  <w:noWrap w:val="0"/>
                  <w:vAlign w:val="center"/>
                </w:tcPr>
                <w:p w14:paraId="6B3F5858">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47.1</w:t>
                  </w:r>
                </w:p>
              </w:tc>
              <w:tc>
                <w:tcPr>
                  <w:tcW w:w="1118" w:type="dxa"/>
                  <w:noWrap w:val="0"/>
                  <w:vAlign w:val="center"/>
                </w:tcPr>
                <w:p w14:paraId="10E6043C">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达标</w:t>
                  </w:r>
                </w:p>
              </w:tc>
            </w:tr>
            <w:tr w14:paraId="0A4F724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37" w:type="dxa"/>
                  <w:vMerge w:val="continue"/>
                  <w:noWrap w:val="0"/>
                  <w:vAlign w:val="center"/>
                </w:tcPr>
                <w:p w14:paraId="5AFBBDFE">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p>
              </w:tc>
              <w:tc>
                <w:tcPr>
                  <w:tcW w:w="1242" w:type="dxa"/>
                  <w:noWrap w:val="0"/>
                  <w:vAlign w:val="center"/>
                </w:tcPr>
                <w:p w14:paraId="67C2FB58">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PM</w:t>
                  </w:r>
                  <w:r>
                    <w:rPr>
                      <w:rFonts w:ascii="Times New Roman" w:hAnsi="Times New Roman" w:eastAsia="宋体" w:cs="Times New Roman"/>
                      <w:color w:val="auto"/>
                      <w:sz w:val="21"/>
                      <w:szCs w:val="21"/>
                      <w:highlight w:val="none"/>
                      <w:u w:val="single" w:color="auto"/>
                      <w:vertAlign w:val="subscript"/>
                    </w:rPr>
                    <w:t>2.5</w:t>
                  </w:r>
                </w:p>
              </w:tc>
              <w:tc>
                <w:tcPr>
                  <w:tcW w:w="1475" w:type="dxa"/>
                  <w:vMerge w:val="continue"/>
                  <w:noWrap w:val="0"/>
                  <w:vAlign w:val="center"/>
                </w:tcPr>
                <w:p w14:paraId="392A693D">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p>
              </w:tc>
              <w:tc>
                <w:tcPr>
                  <w:tcW w:w="1116" w:type="dxa"/>
                  <w:noWrap w:val="0"/>
                  <w:vAlign w:val="center"/>
                </w:tcPr>
                <w:p w14:paraId="7CE65FDB">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rPr>
                  </w:pPr>
                  <w:r>
                    <w:rPr>
                      <w:rFonts w:hint="eastAsia" w:ascii="Times New Roman" w:hAnsi="Times New Roman" w:eastAsia="宋体" w:cs="Times New Roman"/>
                      <w:color w:val="auto"/>
                      <w:sz w:val="21"/>
                      <w:szCs w:val="21"/>
                      <w:highlight w:val="none"/>
                      <w:u w:val="single" w:color="auto"/>
                      <w:lang w:val="en-US" w:eastAsia="zh-CN"/>
                    </w:rPr>
                    <w:t>18</w:t>
                  </w:r>
                </w:p>
              </w:tc>
              <w:tc>
                <w:tcPr>
                  <w:tcW w:w="1118" w:type="dxa"/>
                  <w:noWrap w:val="0"/>
                  <w:vAlign w:val="center"/>
                </w:tcPr>
                <w:p w14:paraId="38B036EE">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35</w:t>
                  </w:r>
                </w:p>
              </w:tc>
              <w:tc>
                <w:tcPr>
                  <w:tcW w:w="1118" w:type="dxa"/>
                  <w:noWrap w:val="0"/>
                  <w:vAlign w:val="center"/>
                </w:tcPr>
                <w:p w14:paraId="7043C21E">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51.4</w:t>
                  </w:r>
                </w:p>
              </w:tc>
              <w:tc>
                <w:tcPr>
                  <w:tcW w:w="1118" w:type="dxa"/>
                  <w:noWrap w:val="0"/>
                  <w:vAlign w:val="center"/>
                </w:tcPr>
                <w:p w14:paraId="66C12232">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达标</w:t>
                  </w:r>
                </w:p>
              </w:tc>
            </w:tr>
            <w:tr w14:paraId="569B94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37" w:type="dxa"/>
                  <w:vMerge w:val="continue"/>
                  <w:noWrap w:val="0"/>
                  <w:vAlign w:val="center"/>
                </w:tcPr>
                <w:p w14:paraId="466C8203">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p>
              </w:tc>
              <w:tc>
                <w:tcPr>
                  <w:tcW w:w="1242" w:type="dxa"/>
                  <w:noWrap w:val="0"/>
                  <w:vAlign w:val="center"/>
                </w:tcPr>
                <w:p w14:paraId="12E5F07D">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二氧化硫</w:t>
                  </w:r>
                </w:p>
              </w:tc>
              <w:tc>
                <w:tcPr>
                  <w:tcW w:w="1475" w:type="dxa"/>
                  <w:vMerge w:val="continue"/>
                  <w:noWrap w:val="0"/>
                  <w:vAlign w:val="center"/>
                </w:tcPr>
                <w:p w14:paraId="57D6F3B5">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p>
              </w:tc>
              <w:tc>
                <w:tcPr>
                  <w:tcW w:w="1116" w:type="dxa"/>
                  <w:noWrap w:val="0"/>
                  <w:vAlign w:val="center"/>
                </w:tcPr>
                <w:p w14:paraId="7693430E">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5</w:t>
                  </w:r>
                </w:p>
              </w:tc>
              <w:tc>
                <w:tcPr>
                  <w:tcW w:w="1118" w:type="dxa"/>
                  <w:noWrap w:val="0"/>
                  <w:vAlign w:val="center"/>
                </w:tcPr>
                <w:p w14:paraId="6ABFDE97">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60</w:t>
                  </w:r>
                </w:p>
              </w:tc>
              <w:tc>
                <w:tcPr>
                  <w:tcW w:w="1118" w:type="dxa"/>
                  <w:noWrap w:val="0"/>
                  <w:vAlign w:val="center"/>
                </w:tcPr>
                <w:p w14:paraId="61BD751E">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8.3</w:t>
                  </w:r>
                </w:p>
              </w:tc>
              <w:tc>
                <w:tcPr>
                  <w:tcW w:w="1118" w:type="dxa"/>
                  <w:noWrap w:val="0"/>
                  <w:vAlign w:val="center"/>
                </w:tcPr>
                <w:p w14:paraId="1B4EFE5B">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达标</w:t>
                  </w:r>
                </w:p>
              </w:tc>
            </w:tr>
            <w:tr w14:paraId="5964362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37" w:type="dxa"/>
                  <w:vMerge w:val="continue"/>
                  <w:noWrap w:val="0"/>
                  <w:vAlign w:val="center"/>
                </w:tcPr>
                <w:p w14:paraId="4543D127">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p>
              </w:tc>
              <w:tc>
                <w:tcPr>
                  <w:tcW w:w="1242" w:type="dxa"/>
                  <w:noWrap w:val="0"/>
                  <w:vAlign w:val="center"/>
                </w:tcPr>
                <w:p w14:paraId="7B85C77B">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二氧化氮</w:t>
                  </w:r>
                </w:p>
              </w:tc>
              <w:tc>
                <w:tcPr>
                  <w:tcW w:w="1475" w:type="dxa"/>
                  <w:vMerge w:val="continue"/>
                  <w:noWrap w:val="0"/>
                  <w:vAlign w:val="center"/>
                </w:tcPr>
                <w:p w14:paraId="3EE15E89">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p>
              </w:tc>
              <w:tc>
                <w:tcPr>
                  <w:tcW w:w="1116" w:type="dxa"/>
                  <w:noWrap w:val="0"/>
                  <w:vAlign w:val="center"/>
                </w:tcPr>
                <w:p w14:paraId="1D01B759">
                  <w:pPr>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6</w:t>
                  </w:r>
                </w:p>
              </w:tc>
              <w:tc>
                <w:tcPr>
                  <w:tcW w:w="1118" w:type="dxa"/>
                  <w:noWrap w:val="0"/>
                  <w:vAlign w:val="center"/>
                </w:tcPr>
                <w:p w14:paraId="39C81313">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40</w:t>
                  </w:r>
                </w:p>
              </w:tc>
              <w:tc>
                <w:tcPr>
                  <w:tcW w:w="1118" w:type="dxa"/>
                  <w:noWrap w:val="0"/>
                  <w:vAlign w:val="center"/>
                </w:tcPr>
                <w:p w14:paraId="60C16F8A">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15</w:t>
                  </w:r>
                </w:p>
              </w:tc>
              <w:tc>
                <w:tcPr>
                  <w:tcW w:w="1118" w:type="dxa"/>
                  <w:noWrap w:val="0"/>
                  <w:vAlign w:val="center"/>
                </w:tcPr>
                <w:p w14:paraId="7DC4A042">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达标</w:t>
                  </w:r>
                </w:p>
              </w:tc>
            </w:tr>
            <w:tr w14:paraId="0C1FD23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37" w:type="dxa"/>
                  <w:vMerge w:val="continue"/>
                  <w:noWrap w:val="0"/>
                  <w:vAlign w:val="center"/>
                </w:tcPr>
                <w:p w14:paraId="767B96B8">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p>
              </w:tc>
              <w:tc>
                <w:tcPr>
                  <w:tcW w:w="1242" w:type="dxa"/>
                  <w:noWrap w:val="0"/>
                  <w:vAlign w:val="center"/>
                </w:tcPr>
                <w:p w14:paraId="36E40A2D">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臭氧</w:t>
                  </w:r>
                </w:p>
              </w:tc>
              <w:tc>
                <w:tcPr>
                  <w:tcW w:w="1475" w:type="dxa"/>
                  <w:noWrap w:val="0"/>
                  <w:vAlign w:val="center"/>
                </w:tcPr>
                <w:p w14:paraId="44EBECE0">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CO第95百分值</w:t>
                  </w:r>
                </w:p>
              </w:tc>
              <w:tc>
                <w:tcPr>
                  <w:tcW w:w="1116" w:type="dxa"/>
                  <w:noWrap w:val="0"/>
                  <w:vAlign w:val="center"/>
                </w:tcPr>
                <w:p w14:paraId="64ECCFDA">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123</w:t>
                  </w:r>
                </w:p>
              </w:tc>
              <w:tc>
                <w:tcPr>
                  <w:tcW w:w="1118" w:type="dxa"/>
                  <w:noWrap w:val="0"/>
                  <w:vAlign w:val="center"/>
                </w:tcPr>
                <w:p w14:paraId="4024CA81">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160</w:t>
                  </w:r>
                </w:p>
              </w:tc>
              <w:tc>
                <w:tcPr>
                  <w:tcW w:w="1118" w:type="dxa"/>
                  <w:noWrap w:val="0"/>
                  <w:vAlign w:val="center"/>
                </w:tcPr>
                <w:p w14:paraId="6A43EB89">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76.9</w:t>
                  </w:r>
                </w:p>
              </w:tc>
              <w:tc>
                <w:tcPr>
                  <w:tcW w:w="1118" w:type="dxa"/>
                  <w:noWrap w:val="0"/>
                  <w:vAlign w:val="center"/>
                </w:tcPr>
                <w:p w14:paraId="3A46CD88">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达标</w:t>
                  </w:r>
                </w:p>
              </w:tc>
            </w:tr>
            <w:tr w14:paraId="41AD2C4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37" w:type="dxa"/>
                  <w:vMerge w:val="continue"/>
                  <w:noWrap w:val="0"/>
                  <w:vAlign w:val="center"/>
                </w:tcPr>
                <w:p w14:paraId="3C43F354">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p>
              </w:tc>
              <w:tc>
                <w:tcPr>
                  <w:tcW w:w="1242" w:type="dxa"/>
                  <w:noWrap w:val="0"/>
                  <w:vAlign w:val="center"/>
                </w:tcPr>
                <w:p w14:paraId="441C2580">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CO(m</w:t>
                  </w:r>
                  <w:r>
                    <w:rPr>
                      <w:rFonts w:ascii="Times New Roman" w:hAnsi="Times New Roman" w:eastAsia="宋体" w:cs="Times New Roman"/>
                      <w:color w:val="auto"/>
                      <w:sz w:val="21"/>
                      <w:szCs w:val="21"/>
                      <w:highlight w:val="none"/>
                      <w:u w:val="single" w:color="auto"/>
                    </w:rPr>
                    <w:t>g/m</w:t>
                  </w:r>
                  <w:r>
                    <w:rPr>
                      <w:rFonts w:ascii="Times New Roman" w:hAnsi="Times New Roman" w:eastAsia="宋体" w:cs="Times New Roman"/>
                      <w:color w:val="auto"/>
                      <w:sz w:val="21"/>
                      <w:szCs w:val="21"/>
                      <w:highlight w:val="none"/>
                      <w:u w:val="single" w:color="auto"/>
                      <w:vertAlign w:val="superscript"/>
                    </w:rPr>
                    <w:t>3</w:t>
                  </w:r>
                  <w:r>
                    <w:rPr>
                      <w:rFonts w:hint="eastAsia" w:ascii="Times New Roman" w:hAnsi="Times New Roman" w:eastAsia="宋体" w:cs="Times New Roman"/>
                      <w:color w:val="auto"/>
                      <w:sz w:val="21"/>
                      <w:szCs w:val="21"/>
                      <w:highlight w:val="none"/>
                      <w:u w:val="single" w:color="auto"/>
                      <w:lang w:val="en-US" w:eastAsia="zh-CN"/>
                    </w:rPr>
                    <w:t>)</w:t>
                  </w:r>
                </w:p>
              </w:tc>
              <w:tc>
                <w:tcPr>
                  <w:tcW w:w="1475" w:type="dxa"/>
                  <w:noWrap w:val="0"/>
                  <w:vAlign w:val="center"/>
                </w:tcPr>
                <w:p w14:paraId="6F663558">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日最大8h第90百分位</w:t>
                  </w:r>
                </w:p>
              </w:tc>
              <w:tc>
                <w:tcPr>
                  <w:tcW w:w="1116" w:type="dxa"/>
                  <w:noWrap w:val="0"/>
                  <w:vAlign w:val="center"/>
                </w:tcPr>
                <w:p w14:paraId="1D965F3F">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0.9</w:t>
                  </w:r>
                </w:p>
              </w:tc>
              <w:tc>
                <w:tcPr>
                  <w:tcW w:w="1118" w:type="dxa"/>
                  <w:noWrap w:val="0"/>
                  <w:vAlign w:val="center"/>
                </w:tcPr>
                <w:p w14:paraId="3B9A8745">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4</w:t>
                  </w:r>
                </w:p>
              </w:tc>
              <w:tc>
                <w:tcPr>
                  <w:tcW w:w="1118" w:type="dxa"/>
                  <w:noWrap w:val="0"/>
                  <w:vAlign w:val="center"/>
                </w:tcPr>
                <w:p w14:paraId="2905FA77">
                  <w:pPr>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22.5</w:t>
                  </w:r>
                </w:p>
              </w:tc>
              <w:tc>
                <w:tcPr>
                  <w:tcW w:w="1118" w:type="dxa"/>
                  <w:noWrap w:val="0"/>
                  <w:vAlign w:val="center"/>
                </w:tcPr>
                <w:p w14:paraId="31DFDD1E">
                  <w:pPr>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达标</w:t>
                  </w:r>
                </w:p>
              </w:tc>
            </w:tr>
          </w:tbl>
          <w:p w14:paraId="21BB2D3B">
            <w:pPr>
              <w:bidi w:val="0"/>
              <w:rPr>
                <w:color w:val="auto"/>
                <w:u w:val="single" w:color="auto"/>
              </w:rPr>
            </w:pPr>
            <w:r>
              <w:rPr>
                <w:color w:val="auto"/>
                <w:szCs w:val="24"/>
                <w:highlight w:val="none"/>
                <w:u w:val="single" w:color="auto"/>
              </w:rPr>
              <w:t>由表3-1</w:t>
            </w:r>
            <w:r>
              <w:rPr>
                <w:rFonts w:hint="eastAsia"/>
                <w:color w:val="auto"/>
                <w:szCs w:val="24"/>
                <w:highlight w:val="none"/>
                <w:u w:val="single" w:color="auto"/>
                <w:lang w:val="en-US" w:eastAsia="zh-CN"/>
              </w:rPr>
              <w:t>监测结果表明</w:t>
            </w:r>
            <w:r>
              <w:rPr>
                <w:color w:val="auto"/>
                <w:szCs w:val="24"/>
                <w:highlight w:val="none"/>
                <w:u w:val="single" w:color="auto"/>
              </w:rPr>
              <w:t>，</w:t>
            </w:r>
            <w:r>
              <w:rPr>
                <w:rFonts w:hint="eastAsia"/>
                <w:color w:val="auto"/>
                <w:szCs w:val="24"/>
                <w:highlight w:val="none"/>
                <w:u w:val="single" w:color="auto"/>
                <w:lang w:val="en-US" w:eastAsia="zh-CN"/>
              </w:rPr>
              <w:t>江永县</w:t>
            </w:r>
            <w:r>
              <w:rPr>
                <w:color w:val="auto"/>
                <w:szCs w:val="24"/>
                <w:highlight w:val="none"/>
                <w:u w:val="single" w:color="auto"/>
              </w:rPr>
              <w:t>城区近一年常规大气污染物PM</w:t>
            </w:r>
            <w:r>
              <w:rPr>
                <w:color w:val="auto"/>
                <w:szCs w:val="24"/>
                <w:highlight w:val="none"/>
                <w:u w:val="single" w:color="auto"/>
                <w:vertAlign w:val="subscript"/>
              </w:rPr>
              <w:t>10</w:t>
            </w:r>
            <w:r>
              <w:rPr>
                <w:color w:val="auto"/>
                <w:szCs w:val="24"/>
                <w:highlight w:val="none"/>
                <w:u w:val="single" w:color="auto"/>
              </w:rPr>
              <w:t>、PM</w:t>
            </w:r>
            <w:r>
              <w:rPr>
                <w:color w:val="auto"/>
                <w:szCs w:val="24"/>
                <w:highlight w:val="none"/>
                <w:u w:val="single" w:color="auto"/>
                <w:vertAlign w:val="subscript"/>
              </w:rPr>
              <w:t>2.5</w:t>
            </w:r>
            <w:r>
              <w:rPr>
                <w:color w:val="auto"/>
                <w:szCs w:val="24"/>
                <w:highlight w:val="none"/>
                <w:u w:val="single" w:color="auto"/>
              </w:rPr>
              <w:t>、SO</w:t>
            </w:r>
            <w:r>
              <w:rPr>
                <w:color w:val="auto"/>
                <w:szCs w:val="24"/>
                <w:highlight w:val="none"/>
                <w:u w:val="single" w:color="auto"/>
                <w:vertAlign w:val="subscript"/>
              </w:rPr>
              <w:t>2</w:t>
            </w:r>
            <w:r>
              <w:rPr>
                <w:color w:val="auto"/>
                <w:szCs w:val="24"/>
                <w:highlight w:val="none"/>
                <w:u w:val="single" w:color="auto"/>
              </w:rPr>
              <w:t>、NO</w:t>
            </w:r>
            <w:r>
              <w:rPr>
                <w:color w:val="auto"/>
                <w:szCs w:val="24"/>
                <w:highlight w:val="none"/>
                <w:u w:val="single" w:color="auto"/>
                <w:vertAlign w:val="subscript"/>
              </w:rPr>
              <w:t>2</w:t>
            </w:r>
            <w:r>
              <w:rPr>
                <w:color w:val="auto"/>
                <w:szCs w:val="24"/>
                <w:highlight w:val="none"/>
                <w:u w:val="single" w:color="auto"/>
              </w:rPr>
              <w:t>、臭氧日最大8h第90百分位、一氧化碳第95百分值的年均值浓度满足《环境空气质量标准》</w:t>
            </w:r>
            <w:r>
              <w:rPr>
                <w:rFonts w:hint="eastAsia"/>
                <w:color w:val="auto"/>
                <w:szCs w:val="24"/>
                <w:highlight w:val="none"/>
                <w:u w:val="single" w:color="auto"/>
                <w:lang w:eastAsia="zh-CN"/>
              </w:rPr>
              <w:t>(</w:t>
            </w:r>
            <w:r>
              <w:rPr>
                <w:color w:val="auto"/>
                <w:szCs w:val="24"/>
                <w:highlight w:val="none"/>
                <w:u w:val="single" w:color="auto"/>
              </w:rPr>
              <w:t>GB3095-2012</w:t>
            </w:r>
            <w:r>
              <w:rPr>
                <w:rFonts w:hint="eastAsia"/>
                <w:color w:val="auto"/>
                <w:szCs w:val="24"/>
                <w:highlight w:val="none"/>
                <w:u w:val="single" w:color="auto"/>
                <w:lang w:eastAsia="zh-CN"/>
              </w:rPr>
              <w:t>)</w:t>
            </w:r>
            <w:r>
              <w:rPr>
                <w:color w:val="auto"/>
                <w:szCs w:val="24"/>
                <w:highlight w:val="none"/>
                <w:u w:val="single" w:color="auto"/>
              </w:rPr>
              <w:t>二级标准年均值要求，因此</w:t>
            </w:r>
            <w:r>
              <w:rPr>
                <w:rFonts w:hint="eastAsia"/>
                <w:color w:val="auto"/>
                <w:szCs w:val="24"/>
                <w:highlight w:val="none"/>
                <w:u w:val="single" w:color="auto"/>
                <w:lang w:val="en-US" w:eastAsia="zh-CN"/>
              </w:rPr>
              <w:t>江永县</w:t>
            </w:r>
            <w:r>
              <w:rPr>
                <w:color w:val="auto"/>
                <w:u w:val="single" w:color="auto"/>
              </w:rPr>
              <w:t>城属于达标区。</w:t>
            </w:r>
          </w:p>
          <w:p w14:paraId="0F6315EC">
            <w:pPr>
              <w:bidi w:val="0"/>
              <w:rPr>
                <w:color w:val="auto"/>
                <w:u w:val="single" w:color="auto"/>
              </w:rPr>
            </w:pPr>
            <w:r>
              <w:rPr>
                <w:rFonts w:hint="eastAsia"/>
                <w:color w:val="auto"/>
                <w:u w:val="single" w:color="auto"/>
                <w:lang w:eastAsia="zh-CN"/>
              </w:rPr>
              <w:t>（2）</w:t>
            </w:r>
            <w:r>
              <w:rPr>
                <w:rFonts w:hint="default"/>
                <w:color w:val="auto"/>
                <w:u w:val="single" w:color="auto"/>
              </w:rPr>
              <w:t>其他污染物环境质量现状补充监测数据</w:t>
            </w:r>
          </w:p>
          <w:p w14:paraId="2BA3AD0E">
            <w:pPr>
              <w:bidi w:val="0"/>
              <w:rPr>
                <w:color w:val="auto"/>
                <w:u w:val="single" w:color="auto"/>
              </w:rPr>
            </w:pPr>
            <w:r>
              <w:rPr>
                <w:rFonts w:hint="default"/>
                <w:color w:val="auto"/>
                <w:u w:val="single" w:color="auto"/>
              </w:rPr>
              <w:t>根据《建设项目环境影响报告表编制技术指南（污染影响类）（试行）》</w:t>
            </w:r>
            <w:r>
              <w:rPr>
                <w:rFonts w:hint="eastAsia"/>
                <w:color w:val="auto"/>
                <w:u w:val="single" w:color="auto"/>
                <w:lang w:eastAsia="zh-CN"/>
              </w:rPr>
              <w:t>，</w:t>
            </w:r>
            <w:r>
              <w:rPr>
                <w:color w:val="auto"/>
                <w:u w:val="single" w:color="auto"/>
                <w:lang w:val="en-US" w:eastAsia="zh-CN"/>
              </w:rPr>
              <w:t>排放</w:t>
            </w:r>
            <w:r>
              <w:rPr>
                <w:rFonts w:hint="eastAsia"/>
                <w:color w:val="auto"/>
                <w:u w:val="single" w:color="auto"/>
                <w:lang w:val="en-US" w:eastAsia="zh-CN"/>
              </w:rPr>
              <w:t>国家、地方环境空气质量标准中有标准限值要求的特征污染物时，引用建设项目周边5千米范围内近3年的现有监测数据，</w:t>
            </w:r>
            <w:r>
              <w:rPr>
                <w:color w:val="auto"/>
                <w:u w:val="single" w:color="auto"/>
                <w:lang w:val="en-US" w:eastAsia="zh-CN"/>
              </w:rPr>
              <w:t>无相关数</w:t>
            </w:r>
            <w:r>
              <w:rPr>
                <w:rFonts w:hint="eastAsia"/>
                <w:color w:val="auto"/>
                <w:u w:val="single" w:color="auto"/>
                <w:lang w:val="en-US" w:eastAsia="zh-CN"/>
              </w:rPr>
              <w:t>据的选择当季主导风向下风向 1 个点位补充不少于3天的监测数据。</w:t>
            </w:r>
          </w:p>
          <w:p w14:paraId="6A35D60A">
            <w:pPr>
              <w:bidi w:val="0"/>
              <w:rPr>
                <w:rFonts w:hint="eastAsia"/>
                <w:color w:val="auto"/>
                <w:u w:val="single" w:color="auto"/>
                <w:lang w:val="en-US" w:eastAsia="zh-CN"/>
              </w:rPr>
            </w:pPr>
            <w:r>
              <w:rPr>
                <w:rFonts w:hint="eastAsia"/>
                <w:color w:val="auto"/>
                <w:u w:val="single" w:color="auto"/>
                <w:lang w:eastAsia="zh-CN"/>
              </w:rPr>
              <w:t>项目排放的</w:t>
            </w:r>
            <w:r>
              <w:rPr>
                <w:rFonts w:hint="eastAsia"/>
                <w:color w:val="auto"/>
                <w:u w:val="single" w:color="auto"/>
                <w:lang w:val="en-US" w:eastAsia="zh-CN"/>
              </w:rPr>
              <w:t>TSP属于国家、地方环境空气质量标准中有标准限值要求的特征污染物；本次</w:t>
            </w:r>
            <w:r>
              <w:rPr>
                <w:rFonts w:hint="eastAsia"/>
                <w:color w:val="auto"/>
                <w:u w:val="single" w:color="auto"/>
                <w:lang w:eastAsia="zh-CN"/>
              </w:rPr>
              <w:t>环评收集到</w:t>
            </w:r>
            <w:r>
              <w:rPr>
                <w:color w:val="auto"/>
                <w:u w:val="single" w:color="auto"/>
              </w:rPr>
              <w:t>《江永产业开发区2024年度环境质量监测》中对周边环境空气质量的</w:t>
            </w:r>
            <w:r>
              <w:rPr>
                <w:rFonts w:hint="eastAsia"/>
                <w:color w:val="auto"/>
                <w:u w:val="single" w:color="auto"/>
                <w:lang w:val="en-US" w:eastAsia="zh-CN"/>
              </w:rPr>
              <w:t>TSP</w:t>
            </w:r>
            <w:r>
              <w:rPr>
                <w:color w:val="auto"/>
                <w:u w:val="single" w:color="auto"/>
              </w:rPr>
              <w:t>监测数据，江永工业集中区2024年度环境质量监测点位为利田片区上风向（东经111 °22 ′26 ″,北 纬 25 ° 15 ′ 10 ″），位于本项目</w:t>
            </w:r>
            <w:r>
              <w:rPr>
                <w:rFonts w:hint="eastAsia"/>
                <w:color w:val="auto"/>
                <w:u w:val="single" w:color="auto"/>
                <w:lang w:eastAsia="zh-CN"/>
              </w:rPr>
              <w:t>北</w:t>
            </w:r>
            <w:r>
              <w:rPr>
                <w:color w:val="auto"/>
                <w:u w:val="single" w:color="auto"/>
              </w:rPr>
              <w:t>侧</w:t>
            </w:r>
            <w:r>
              <w:rPr>
                <w:rFonts w:hint="eastAsia"/>
                <w:color w:val="auto"/>
                <w:u w:val="single" w:color="auto"/>
                <w:lang w:eastAsia="zh-CN"/>
              </w:rPr>
              <w:t>约</w:t>
            </w:r>
            <w:r>
              <w:rPr>
                <w:rFonts w:hint="eastAsia"/>
                <w:color w:val="auto"/>
                <w:u w:val="single" w:color="auto"/>
                <w:lang w:val="en-US" w:eastAsia="zh-CN"/>
              </w:rPr>
              <w:t>2</w:t>
            </w:r>
            <w:r>
              <w:rPr>
                <w:color w:val="auto"/>
                <w:u w:val="single" w:color="auto"/>
              </w:rPr>
              <w:t>km处，</w:t>
            </w:r>
            <w:r>
              <w:rPr>
                <w:rFonts w:hint="eastAsia"/>
                <w:color w:val="auto"/>
                <w:u w:val="single" w:color="auto"/>
                <w:lang w:eastAsia="zh-CN"/>
              </w:rPr>
              <w:t>属于有效范围内的监测数据，</w:t>
            </w:r>
            <w:r>
              <w:rPr>
                <w:color w:val="auto"/>
                <w:u w:val="single" w:color="auto"/>
              </w:rPr>
              <w:t>其监测时间为2024年12月24日~ 12月26日，监测时间未超过3年，因此引用其监测数据进行评价可行。</w:t>
            </w:r>
          </w:p>
          <w:p w14:paraId="361533B9">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cs="Times New Roman"/>
                <w:color w:val="auto"/>
                <w:sz w:val="24"/>
                <w:szCs w:val="24"/>
                <w:highlight w:val="none"/>
                <w:u w:val="single" w:color="auto"/>
                <w:lang w:val="en-US" w:eastAsia="zh-CN"/>
              </w:rPr>
            </w:pPr>
            <w:r>
              <w:rPr>
                <w:rFonts w:hint="eastAsia" w:ascii="Times New Roman" w:hAnsi="Times New Roman" w:cs="Times New Roman"/>
                <w:color w:val="auto"/>
                <w:sz w:val="24"/>
                <w:szCs w:val="24"/>
                <w:highlight w:val="none"/>
                <w:u w:val="single" w:color="auto"/>
                <w:lang w:val="en-US" w:eastAsia="zh-CN"/>
              </w:rPr>
              <w:t>引用监测情况如下：</w:t>
            </w:r>
          </w:p>
          <w:p w14:paraId="388D2256">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color w:val="auto"/>
                <w:sz w:val="24"/>
                <w:szCs w:val="24"/>
                <w:highlight w:val="none"/>
                <w:u w:val="single" w:color="auto"/>
              </w:rPr>
            </w:pPr>
            <w:r>
              <w:rPr>
                <w:rFonts w:hint="eastAsia"/>
                <w:color w:val="auto"/>
                <w:sz w:val="24"/>
                <w:szCs w:val="24"/>
                <w:highlight w:val="none"/>
                <w:u w:val="single" w:color="auto"/>
                <w:lang w:eastAsia="zh-CN"/>
              </w:rPr>
              <w:t>①</w:t>
            </w:r>
            <w:r>
              <w:rPr>
                <w:color w:val="auto"/>
                <w:sz w:val="24"/>
                <w:szCs w:val="24"/>
                <w:highlight w:val="none"/>
                <w:u w:val="single" w:color="auto"/>
              </w:rPr>
              <w:t>监测布点：</w:t>
            </w:r>
          </w:p>
          <w:p w14:paraId="79E5E37E">
            <w:pPr>
              <w:pStyle w:val="101"/>
              <w:rPr>
                <w:rFonts w:hAnsi="Times New Roman"/>
                <w:color w:val="auto"/>
                <w:highlight w:val="none"/>
                <w:u w:val="single" w:color="auto"/>
              </w:rPr>
            </w:pPr>
            <w:r>
              <w:rPr>
                <w:rFonts w:hAnsi="Times New Roman"/>
                <w:color w:val="auto"/>
                <w:highlight w:val="none"/>
                <w:u w:val="single" w:color="auto"/>
              </w:rPr>
              <w:t>环境空气质量现状监测点具体见表</w:t>
            </w:r>
            <w:r>
              <w:rPr>
                <w:rFonts w:hint="eastAsia" w:hAnsi="Times New Roman"/>
                <w:color w:val="auto"/>
                <w:highlight w:val="none"/>
                <w:u w:val="single" w:color="auto"/>
              </w:rPr>
              <w:t>3-</w:t>
            </w:r>
            <w:r>
              <w:rPr>
                <w:rFonts w:hAnsi="Times New Roman"/>
                <w:color w:val="auto"/>
                <w:highlight w:val="none"/>
                <w:u w:val="single" w:color="auto"/>
              </w:rPr>
              <w:t>2。</w:t>
            </w:r>
          </w:p>
          <w:p w14:paraId="42DB7339">
            <w:pPr>
              <w:pStyle w:val="6"/>
              <w:spacing w:line="240" w:lineRule="auto"/>
              <w:jc w:val="center"/>
              <w:rPr>
                <w:rFonts w:eastAsia="宋体"/>
                <w:b/>
                <w:bCs/>
                <w:color w:val="auto"/>
                <w:sz w:val="21"/>
                <w:szCs w:val="21"/>
                <w:highlight w:val="none"/>
                <w:u w:val="single" w:color="auto"/>
              </w:rPr>
            </w:pPr>
            <w:r>
              <w:rPr>
                <w:rFonts w:eastAsia="宋体"/>
                <w:b/>
                <w:bCs/>
                <w:color w:val="auto"/>
                <w:sz w:val="21"/>
                <w:szCs w:val="21"/>
                <w:highlight w:val="none"/>
                <w:u w:val="single" w:color="auto"/>
              </w:rPr>
              <w:t>表</w:t>
            </w:r>
            <w:r>
              <w:rPr>
                <w:rFonts w:hint="eastAsia" w:eastAsia="宋体"/>
                <w:b/>
                <w:bCs/>
                <w:color w:val="auto"/>
                <w:sz w:val="21"/>
                <w:szCs w:val="21"/>
                <w:highlight w:val="none"/>
                <w:u w:val="single" w:color="auto"/>
              </w:rPr>
              <w:t>3-2</w:t>
            </w:r>
            <w:r>
              <w:rPr>
                <w:rFonts w:eastAsia="宋体"/>
                <w:b/>
                <w:bCs/>
                <w:color w:val="auto"/>
                <w:sz w:val="21"/>
                <w:szCs w:val="21"/>
                <w:highlight w:val="none"/>
                <w:u w:val="single" w:color="auto"/>
              </w:rPr>
              <w:t xml:space="preserve"> </w:t>
            </w:r>
            <w:r>
              <w:rPr>
                <w:rFonts w:hint="eastAsia" w:eastAsia="宋体"/>
                <w:b/>
                <w:bCs/>
                <w:color w:val="auto"/>
                <w:sz w:val="21"/>
                <w:szCs w:val="21"/>
                <w:highlight w:val="none"/>
                <w:u w:val="single" w:color="auto"/>
                <w:lang w:val="en-US" w:eastAsia="zh-CN"/>
              </w:rPr>
              <w:t xml:space="preserve">  项目</w:t>
            </w:r>
            <w:r>
              <w:rPr>
                <w:rFonts w:eastAsia="宋体"/>
                <w:b/>
                <w:bCs/>
                <w:color w:val="auto"/>
                <w:sz w:val="21"/>
                <w:szCs w:val="21"/>
                <w:highlight w:val="none"/>
                <w:u w:val="single" w:color="auto"/>
              </w:rPr>
              <w:t>区域环境空气现状监测布点</w:t>
            </w:r>
          </w:p>
          <w:tbl>
            <w:tblPr>
              <w:tblStyle w:val="29"/>
              <w:tblW w:w="4998" w:type="pct"/>
              <w:jc w:val="center"/>
              <w:tblBorders>
                <w:top w:val="single" w:color="000000" w:sz="4" w:space="0"/>
                <w:left w:val="single" w:color="000000" w:sz="4" w:space="0"/>
                <w:bottom w:val="single" w:color="000000" w:sz="4" w:space="0"/>
                <w:right w:val="single" w:color="000000" w:sz="4" w:space="0"/>
                <w:insideH w:val="single" w:color="000000" w:sz="8" w:space="0"/>
                <w:insideV w:val="single" w:color="000000" w:sz="4" w:space="0"/>
              </w:tblBorders>
              <w:tblLayout w:type="fixed"/>
              <w:tblCellMar>
                <w:top w:w="0" w:type="dxa"/>
                <w:left w:w="108" w:type="dxa"/>
                <w:bottom w:w="0" w:type="dxa"/>
                <w:right w:w="108" w:type="dxa"/>
              </w:tblCellMar>
            </w:tblPr>
            <w:tblGrid>
              <w:gridCol w:w="1504"/>
              <w:gridCol w:w="3096"/>
              <w:gridCol w:w="3208"/>
            </w:tblGrid>
            <w:tr w14:paraId="273FB7E9">
              <w:tblPrEx>
                <w:tblBorders>
                  <w:top w:val="single" w:color="000000" w:sz="4" w:space="0"/>
                  <w:left w:val="single" w:color="000000" w:sz="4" w:space="0"/>
                  <w:bottom w:val="single" w:color="000000" w:sz="4" w:space="0"/>
                  <w:right w:val="single" w:color="000000" w:sz="4" w:space="0"/>
                  <w:insideH w:val="single" w:color="000000" w:sz="8" w:space="0"/>
                  <w:insideV w:val="single" w:color="000000" w:sz="4" w:space="0"/>
                </w:tblBorders>
                <w:tblCellMar>
                  <w:top w:w="0" w:type="dxa"/>
                  <w:left w:w="108" w:type="dxa"/>
                  <w:bottom w:w="0" w:type="dxa"/>
                  <w:right w:w="108" w:type="dxa"/>
                </w:tblCellMar>
              </w:tblPrEx>
              <w:trPr>
                <w:trHeight w:val="428" w:hRule="atLeast"/>
                <w:jc w:val="center"/>
              </w:trPr>
              <w:tc>
                <w:tcPr>
                  <w:tcW w:w="963" w:type="pct"/>
                  <w:tcBorders>
                    <w:tl2br w:val="nil"/>
                    <w:tr2bl w:val="nil"/>
                  </w:tcBorders>
                  <w:noWrap w:val="0"/>
                  <w:vAlign w:val="center"/>
                </w:tcPr>
                <w:p w14:paraId="63387970">
                  <w:pPr>
                    <w:pStyle w:val="102"/>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编号</w:t>
                  </w:r>
                </w:p>
              </w:tc>
              <w:tc>
                <w:tcPr>
                  <w:tcW w:w="1982" w:type="pct"/>
                  <w:tcBorders>
                    <w:tl2br w:val="nil"/>
                    <w:tr2bl w:val="nil"/>
                  </w:tcBorders>
                  <w:noWrap w:val="0"/>
                  <w:vAlign w:val="center"/>
                </w:tcPr>
                <w:p w14:paraId="7DFDE97D">
                  <w:pPr>
                    <w:pStyle w:val="102"/>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点位</w:t>
                  </w:r>
                </w:p>
              </w:tc>
              <w:tc>
                <w:tcPr>
                  <w:tcW w:w="2053" w:type="pct"/>
                  <w:tcBorders>
                    <w:tl2br w:val="nil"/>
                    <w:tr2bl w:val="nil"/>
                  </w:tcBorders>
                  <w:noWrap w:val="0"/>
                  <w:vAlign w:val="center"/>
                </w:tcPr>
                <w:p w14:paraId="6CC159EE">
                  <w:pPr>
                    <w:pStyle w:val="102"/>
                    <w:spacing w:line="240" w:lineRule="auto"/>
                    <w:ind w:left="0" w:leftChars="0" w:firstLine="0" w:firstLineChars="0"/>
                    <w:jc w:val="center"/>
                    <w:rPr>
                      <w:rFonts w:ascii="Times New Roman" w:hAnsi="Times New Roman" w:eastAsia="宋体" w:cs="Times New Roman"/>
                      <w:color w:val="auto"/>
                      <w:sz w:val="21"/>
                      <w:szCs w:val="21"/>
                      <w:highlight w:val="none"/>
                      <w:u w:val="single" w:color="auto"/>
                    </w:rPr>
                  </w:pPr>
                  <w:r>
                    <w:rPr>
                      <w:rFonts w:ascii="Times New Roman" w:hAnsi="Times New Roman" w:eastAsia="宋体" w:cs="Times New Roman"/>
                      <w:color w:val="auto"/>
                      <w:sz w:val="21"/>
                      <w:szCs w:val="21"/>
                      <w:highlight w:val="none"/>
                      <w:u w:val="single" w:color="auto"/>
                    </w:rPr>
                    <w:t>相对位置</w:t>
                  </w:r>
                </w:p>
              </w:tc>
            </w:tr>
            <w:tr w14:paraId="047387FB">
              <w:tblPrEx>
                <w:tblBorders>
                  <w:top w:val="single" w:color="000000" w:sz="4" w:space="0"/>
                  <w:left w:val="single" w:color="000000" w:sz="4" w:space="0"/>
                  <w:bottom w:val="single" w:color="000000" w:sz="4" w:space="0"/>
                  <w:right w:val="single" w:color="000000" w:sz="4" w:space="0"/>
                  <w:insideH w:val="single" w:color="000000" w:sz="8" w:space="0"/>
                  <w:insideV w:val="single" w:color="000000" w:sz="4" w:space="0"/>
                </w:tblBorders>
                <w:tblCellMar>
                  <w:top w:w="0" w:type="dxa"/>
                  <w:left w:w="108" w:type="dxa"/>
                  <w:bottom w:w="0" w:type="dxa"/>
                  <w:right w:w="108" w:type="dxa"/>
                </w:tblCellMar>
              </w:tblPrEx>
              <w:trPr>
                <w:trHeight w:val="453" w:hRule="atLeast"/>
                <w:jc w:val="center"/>
              </w:trPr>
              <w:tc>
                <w:tcPr>
                  <w:tcW w:w="963" w:type="pct"/>
                  <w:tcBorders>
                    <w:tl2br w:val="nil"/>
                    <w:tr2bl w:val="nil"/>
                  </w:tcBorders>
                  <w:noWrap w:val="0"/>
                  <w:vAlign w:val="center"/>
                </w:tcPr>
                <w:p w14:paraId="5382D97C">
                  <w:pPr>
                    <w:pStyle w:val="102"/>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ascii="Times New Roman" w:hAnsi="Times New Roman" w:eastAsia="宋体" w:cs="Times New Roman"/>
                      <w:color w:val="auto"/>
                      <w:sz w:val="21"/>
                      <w:szCs w:val="21"/>
                      <w:highlight w:val="none"/>
                      <w:u w:val="single" w:color="auto"/>
                    </w:rPr>
                    <w:t>G</w:t>
                  </w:r>
                  <w:r>
                    <w:rPr>
                      <w:rFonts w:hint="eastAsia" w:ascii="Times New Roman" w:hAnsi="Times New Roman" w:eastAsia="宋体" w:cs="Times New Roman"/>
                      <w:color w:val="auto"/>
                      <w:sz w:val="21"/>
                      <w:szCs w:val="21"/>
                      <w:highlight w:val="none"/>
                      <w:u w:val="single" w:color="auto"/>
                      <w:lang w:val="en-US" w:eastAsia="zh-CN"/>
                    </w:rPr>
                    <w:t>1</w:t>
                  </w:r>
                </w:p>
              </w:tc>
              <w:tc>
                <w:tcPr>
                  <w:tcW w:w="1982" w:type="pct"/>
                  <w:tcBorders>
                    <w:tl2br w:val="nil"/>
                    <w:tr2bl w:val="nil"/>
                  </w:tcBorders>
                  <w:noWrap w:val="0"/>
                  <w:vAlign w:val="center"/>
                </w:tcPr>
                <w:p w14:paraId="0FBF01E5">
                  <w:pPr>
                    <w:pStyle w:val="102"/>
                    <w:spacing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ascii="Times New Roman" w:hAnsi="Times New Roman" w:eastAsia="宋体" w:cs="Times New Roman"/>
                      <w:color w:val="auto"/>
                      <w:sz w:val="21"/>
                      <w:szCs w:val="21"/>
                      <w:highlight w:val="none"/>
                      <w:u w:val="single" w:color="auto"/>
                    </w:rPr>
                    <w:t>利田片区上风向</w:t>
                  </w:r>
                </w:p>
              </w:tc>
              <w:tc>
                <w:tcPr>
                  <w:tcW w:w="2053" w:type="pct"/>
                  <w:tcBorders>
                    <w:tl2br w:val="nil"/>
                    <w:tr2bl w:val="nil"/>
                  </w:tcBorders>
                  <w:noWrap w:val="0"/>
                  <w:vAlign w:val="center"/>
                </w:tcPr>
                <w:p w14:paraId="7A30D782">
                  <w:pPr>
                    <w:pStyle w:val="102"/>
                    <w:spacing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 xml:space="preserve">本项目北侧2000m </w:t>
                  </w:r>
                </w:p>
              </w:tc>
            </w:tr>
          </w:tbl>
          <w:p w14:paraId="4B16A4F6">
            <w:pPr>
              <w:adjustRightInd w:val="0"/>
              <w:snapToGrid w:val="0"/>
              <w:spacing w:line="360" w:lineRule="auto"/>
              <w:ind w:firstLine="480" w:firstLineChars="200"/>
              <w:rPr>
                <w:color w:val="auto"/>
                <w:sz w:val="24"/>
                <w:szCs w:val="24"/>
                <w:highlight w:val="none"/>
                <w:u w:val="single" w:color="auto"/>
              </w:rPr>
            </w:pPr>
            <w:r>
              <w:rPr>
                <w:rFonts w:hint="eastAsia"/>
                <w:color w:val="auto"/>
                <w:sz w:val="24"/>
                <w:szCs w:val="24"/>
                <w:highlight w:val="none"/>
                <w:u w:val="single" w:color="auto"/>
                <w:lang w:eastAsia="zh-CN"/>
              </w:rPr>
              <w:t>②</w:t>
            </w:r>
            <w:r>
              <w:rPr>
                <w:color w:val="auto"/>
                <w:sz w:val="24"/>
                <w:szCs w:val="24"/>
                <w:highlight w:val="none"/>
                <w:u w:val="single" w:color="auto"/>
              </w:rPr>
              <w:t>监测因子：</w:t>
            </w:r>
            <w:r>
              <w:rPr>
                <w:rFonts w:hint="eastAsia"/>
                <w:color w:val="auto"/>
                <w:sz w:val="24"/>
                <w:szCs w:val="24"/>
                <w:highlight w:val="none"/>
                <w:u w:val="single" w:color="auto"/>
                <w:lang w:val="en-US" w:eastAsia="zh-CN"/>
              </w:rPr>
              <w:t>TSP</w:t>
            </w:r>
            <w:r>
              <w:rPr>
                <w:color w:val="auto"/>
                <w:sz w:val="24"/>
                <w:szCs w:val="24"/>
                <w:highlight w:val="none"/>
                <w:u w:val="single" w:color="auto"/>
              </w:rPr>
              <w:t>。</w:t>
            </w:r>
          </w:p>
          <w:p w14:paraId="0685FAAE">
            <w:pPr>
              <w:numPr>
                <w:ilvl w:val="0"/>
                <w:numId w:val="0"/>
              </w:numPr>
              <w:adjustRightInd w:val="0"/>
              <w:snapToGrid w:val="0"/>
              <w:spacing w:line="360" w:lineRule="auto"/>
              <w:ind w:firstLine="480" w:firstLineChars="200"/>
              <w:rPr>
                <w:color w:val="auto"/>
                <w:sz w:val="24"/>
                <w:szCs w:val="24"/>
                <w:highlight w:val="none"/>
                <w:u w:val="single" w:color="auto"/>
              </w:rPr>
            </w:pPr>
            <w:r>
              <w:rPr>
                <w:rFonts w:hint="eastAsia"/>
                <w:color w:val="auto"/>
                <w:sz w:val="24"/>
                <w:szCs w:val="24"/>
                <w:highlight w:val="none"/>
                <w:u w:val="single" w:color="auto"/>
                <w:lang w:eastAsia="zh-CN"/>
              </w:rPr>
              <w:t>③</w:t>
            </w:r>
            <w:r>
              <w:rPr>
                <w:color w:val="auto"/>
                <w:sz w:val="24"/>
                <w:szCs w:val="24"/>
                <w:highlight w:val="none"/>
                <w:u w:val="single" w:color="auto"/>
              </w:rPr>
              <w:t>监测结果：监测结果统计见表</w:t>
            </w:r>
            <w:r>
              <w:rPr>
                <w:rFonts w:hint="eastAsia"/>
                <w:color w:val="auto"/>
                <w:sz w:val="24"/>
                <w:szCs w:val="24"/>
                <w:highlight w:val="none"/>
                <w:u w:val="single" w:color="auto"/>
              </w:rPr>
              <w:t>3-3</w:t>
            </w:r>
            <w:r>
              <w:rPr>
                <w:color w:val="auto"/>
                <w:sz w:val="24"/>
                <w:szCs w:val="24"/>
                <w:highlight w:val="none"/>
                <w:u w:val="single" w:color="auto"/>
              </w:rPr>
              <w:t>。</w:t>
            </w:r>
          </w:p>
          <w:p w14:paraId="3CEEBCC8">
            <w:pPr>
              <w:adjustRightInd w:val="0"/>
              <w:snapToGrid w:val="0"/>
              <w:ind w:firstLine="480" w:firstLineChars="200"/>
              <w:rPr>
                <w:iCs/>
                <w:color w:val="auto"/>
                <w:sz w:val="24"/>
                <w:szCs w:val="24"/>
                <w:highlight w:val="none"/>
                <w:u w:val="single" w:color="auto"/>
              </w:rPr>
            </w:pPr>
            <w:r>
              <w:rPr>
                <w:rFonts w:hint="eastAsia"/>
                <w:color w:val="auto"/>
                <w:sz w:val="24"/>
                <w:szCs w:val="24"/>
                <w:highlight w:val="none"/>
                <w:u w:val="single" w:color="auto"/>
                <w:lang w:eastAsia="zh-CN"/>
              </w:rPr>
              <w:t>④</w:t>
            </w:r>
            <w:r>
              <w:rPr>
                <w:color w:val="auto"/>
                <w:sz w:val="24"/>
                <w:szCs w:val="24"/>
                <w:highlight w:val="none"/>
                <w:u w:val="single" w:color="auto"/>
              </w:rPr>
              <w:t>评价方法：超标率、最大超标倍数。</w:t>
            </w:r>
          </w:p>
          <w:p w14:paraId="62BD7760">
            <w:pPr>
              <w:pStyle w:val="6"/>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b/>
                <w:bCs/>
                <w:color w:val="auto"/>
                <w:sz w:val="21"/>
                <w:szCs w:val="21"/>
                <w:highlight w:val="none"/>
                <w:u w:val="single" w:color="auto"/>
                <w:lang w:eastAsia="zh-CN"/>
              </w:rPr>
            </w:pPr>
            <w:r>
              <w:rPr>
                <w:rFonts w:eastAsia="宋体"/>
                <w:b/>
                <w:bCs/>
                <w:color w:val="auto"/>
                <w:sz w:val="21"/>
                <w:szCs w:val="21"/>
                <w:highlight w:val="none"/>
                <w:u w:val="single" w:color="auto"/>
              </w:rPr>
              <w:t>表</w:t>
            </w:r>
            <w:r>
              <w:rPr>
                <w:rFonts w:hint="eastAsia" w:eastAsia="宋体"/>
                <w:b/>
                <w:bCs/>
                <w:color w:val="auto"/>
                <w:sz w:val="21"/>
                <w:szCs w:val="21"/>
                <w:highlight w:val="none"/>
                <w:u w:val="single" w:color="auto"/>
              </w:rPr>
              <w:t>3</w:t>
            </w:r>
            <w:r>
              <w:rPr>
                <w:rFonts w:eastAsia="宋体"/>
                <w:b/>
                <w:bCs/>
                <w:color w:val="auto"/>
                <w:sz w:val="21"/>
                <w:szCs w:val="21"/>
                <w:highlight w:val="none"/>
                <w:u w:val="single" w:color="auto"/>
              </w:rPr>
              <w:t>-3  空气环境监测结果统计表</w:t>
            </w:r>
            <w:r>
              <w:rPr>
                <w:rFonts w:hint="eastAsia" w:eastAsia="宋体"/>
                <w:b/>
                <w:bCs/>
                <w:color w:val="auto"/>
                <w:sz w:val="21"/>
                <w:szCs w:val="21"/>
                <w:highlight w:val="none"/>
                <w:u w:val="single" w:color="auto"/>
                <w:lang w:eastAsia="zh-CN"/>
              </w:rPr>
              <w:t>(</w:t>
            </w:r>
            <w:r>
              <w:rPr>
                <w:rFonts w:eastAsia="宋体"/>
                <w:b/>
                <w:bCs/>
                <w:color w:val="auto"/>
                <w:sz w:val="21"/>
                <w:szCs w:val="21"/>
                <w:highlight w:val="none"/>
                <w:u w:val="single" w:color="auto"/>
              </w:rPr>
              <w:t>浓度单位：mg/m</w:t>
            </w:r>
            <w:r>
              <w:rPr>
                <w:rFonts w:eastAsia="宋体"/>
                <w:b/>
                <w:bCs/>
                <w:color w:val="auto"/>
                <w:sz w:val="21"/>
                <w:szCs w:val="21"/>
                <w:highlight w:val="none"/>
                <w:u w:val="single" w:color="auto"/>
                <w:vertAlign w:val="superscript"/>
              </w:rPr>
              <w:t>3</w:t>
            </w:r>
            <w:r>
              <w:rPr>
                <w:rFonts w:hint="eastAsia" w:eastAsia="宋体"/>
                <w:b/>
                <w:bCs/>
                <w:color w:val="auto"/>
                <w:sz w:val="21"/>
                <w:szCs w:val="21"/>
                <w:highlight w:val="none"/>
                <w:u w:val="single" w:color="auto"/>
                <w:lang w:eastAsia="zh-CN"/>
              </w:rPr>
              <w:t>)</w:t>
            </w:r>
          </w:p>
          <w:tbl>
            <w:tblPr>
              <w:tblStyle w:val="3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5"/>
              <w:gridCol w:w="1800"/>
              <w:gridCol w:w="865"/>
              <w:gridCol w:w="1279"/>
              <w:gridCol w:w="1182"/>
              <w:gridCol w:w="1184"/>
            </w:tblGrid>
            <w:tr w14:paraId="137D6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957" w:type="pct"/>
                  <w:tcBorders>
                    <w:tl2br w:val="nil"/>
                    <w:tr2bl w:val="nil"/>
                  </w:tcBorders>
                  <w:noWrap w:val="0"/>
                  <w:vAlign w:val="center"/>
                </w:tcPr>
                <w:p w14:paraId="700A3C9E">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监测点位</w:t>
                  </w:r>
                </w:p>
              </w:tc>
              <w:tc>
                <w:tcPr>
                  <w:tcW w:w="1153" w:type="pct"/>
                  <w:tcBorders>
                    <w:tl2br w:val="nil"/>
                    <w:tr2bl w:val="nil"/>
                  </w:tcBorders>
                  <w:noWrap w:val="0"/>
                  <w:vAlign w:val="center"/>
                </w:tcPr>
                <w:p w14:paraId="4E03415E">
                  <w:pPr>
                    <w:spacing w:line="240" w:lineRule="auto"/>
                    <w:ind w:firstLine="0" w:firstLineChars="0"/>
                    <w:jc w:val="center"/>
                    <w:rPr>
                      <w:color w:val="auto"/>
                      <w:sz w:val="21"/>
                      <w:szCs w:val="21"/>
                      <w:highlight w:val="none"/>
                      <w:u w:val="single" w:color="auto"/>
                    </w:rPr>
                  </w:pPr>
                  <w:r>
                    <w:rPr>
                      <w:rFonts w:hint="eastAsia"/>
                      <w:color w:val="auto"/>
                      <w:sz w:val="21"/>
                      <w:szCs w:val="21"/>
                      <w:highlight w:val="none"/>
                      <w:u w:val="single" w:color="auto"/>
                    </w:rPr>
                    <w:t>监测时间</w:t>
                  </w:r>
                </w:p>
              </w:tc>
              <w:tc>
                <w:tcPr>
                  <w:tcW w:w="554" w:type="pct"/>
                  <w:tcBorders>
                    <w:tl2br w:val="nil"/>
                    <w:tr2bl w:val="nil"/>
                  </w:tcBorders>
                  <w:noWrap w:val="0"/>
                  <w:vAlign w:val="center"/>
                </w:tcPr>
                <w:p w14:paraId="7A2C83EC">
                  <w:pPr>
                    <w:spacing w:line="240" w:lineRule="auto"/>
                    <w:ind w:firstLine="0" w:firstLineChars="0"/>
                    <w:jc w:val="center"/>
                    <w:rPr>
                      <w:color w:val="auto"/>
                      <w:sz w:val="21"/>
                      <w:szCs w:val="21"/>
                      <w:highlight w:val="none"/>
                      <w:u w:val="single" w:color="auto"/>
                    </w:rPr>
                  </w:pPr>
                  <w:r>
                    <w:rPr>
                      <w:rFonts w:hint="eastAsia"/>
                      <w:color w:val="auto"/>
                      <w:sz w:val="21"/>
                      <w:szCs w:val="21"/>
                      <w:highlight w:val="none"/>
                      <w:u w:val="single" w:color="auto"/>
                    </w:rPr>
                    <w:t>监测因子</w:t>
                  </w:r>
                </w:p>
              </w:tc>
              <w:tc>
                <w:tcPr>
                  <w:tcW w:w="819" w:type="pct"/>
                  <w:tcBorders>
                    <w:tl2br w:val="nil"/>
                    <w:tr2bl w:val="nil"/>
                  </w:tcBorders>
                  <w:noWrap w:val="0"/>
                  <w:vAlign w:val="center"/>
                </w:tcPr>
                <w:p w14:paraId="063A23C7">
                  <w:pPr>
                    <w:spacing w:line="240" w:lineRule="auto"/>
                    <w:ind w:firstLine="0" w:firstLineChars="0"/>
                    <w:jc w:val="center"/>
                    <w:rPr>
                      <w:color w:val="auto"/>
                      <w:sz w:val="21"/>
                      <w:szCs w:val="21"/>
                      <w:highlight w:val="none"/>
                      <w:u w:val="single" w:color="auto"/>
                    </w:rPr>
                  </w:pPr>
                  <w:r>
                    <w:rPr>
                      <w:rFonts w:hint="eastAsia"/>
                      <w:color w:val="auto"/>
                      <w:sz w:val="21"/>
                      <w:szCs w:val="21"/>
                      <w:highlight w:val="none"/>
                      <w:u w:val="single" w:color="auto"/>
                    </w:rPr>
                    <w:t>监测结果</w:t>
                  </w:r>
                </w:p>
                <w:p w14:paraId="0C22C989">
                  <w:pPr>
                    <w:spacing w:line="240" w:lineRule="auto"/>
                    <w:ind w:firstLine="0" w:firstLineChars="0"/>
                    <w:jc w:val="center"/>
                    <w:rPr>
                      <w:color w:val="auto"/>
                      <w:sz w:val="21"/>
                      <w:szCs w:val="21"/>
                      <w:highlight w:val="none"/>
                      <w:u w:val="single" w:color="auto"/>
                    </w:rPr>
                  </w:pPr>
                  <w:r>
                    <w:rPr>
                      <w:rFonts w:hint="eastAsia"/>
                      <w:color w:val="auto"/>
                      <w:sz w:val="21"/>
                      <w:szCs w:val="21"/>
                      <w:highlight w:val="none"/>
                      <w:u w:val="single" w:color="auto"/>
                      <w:lang w:val="en-US" w:eastAsia="zh-CN"/>
                    </w:rPr>
                    <w:t>m</w:t>
                  </w:r>
                  <w:r>
                    <w:rPr>
                      <w:color w:val="auto"/>
                      <w:sz w:val="21"/>
                      <w:szCs w:val="21"/>
                      <w:highlight w:val="none"/>
                      <w:u w:val="single" w:color="auto"/>
                    </w:rPr>
                    <w:t>g/m</w:t>
                  </w:r>
                  <w:r>
                    <w:rPr>
                      <w:color w:val="auto"/>
                      <w:sz w:val="21"/>
                      <w:szCs w:val="21"/>
                      <w:highlight w:val="none"/>
                      <w:u w:val="single" w:color="auto"/>
                      <w:vertAlign w:val="superscript"/>
                    </w:rPr>
                    <w:t>3</w:t>
                  </w:r>
                </w:p>
              </w:tc>
              <w:tc>
                <w:tcPr>
                  <w:tcW w:w="757" w:type="pct"/>
                  <w:tcBorders>
                    <w:tl2br w:val="nil"/>
                    <w:tr2bl w:val="nil"/>
                  </w:tcBorders>
                  <w:noWrap w:val="0"/>
                  <w:vAlign w:val="center"/>
                </w:tcPr>
                <w:p w14:paraId="7119BD1C">
                  <w:pPr>
                    <w:spacing w:line="240" w:lineRule="auto"/>
                    <w:ind w:firstLine="0" w:firstLineChars="0"/>
                    <w:jc w:val="center"/>
                    <w:rPr>
                      <w:color w:val="auto"/>
                      <w:sz w:val="21"/>
                      <w:szCs w:val="21"/>
                      <w:highlight w:val="none"/>
                      <w:u w:val="single" w:color="auto"/>
                    </w:rPr>
                  </w:pPr>
                  <w:r>
                    <w:rPr>
                      <w:rFonts w:hint="eastAsia"/>
                      <w:color w:val="auto"/>
                      <w:sz w:val="21"/>
                      <w:szCs w:val="21"/>
                      <w:highlight w:val="none"/>
                      <w:u w:val="single" w:color="auto"/>
                    </w:rPr>
                    <w:t>标准限值</w:t>
                  </w:r>
                  <w:r>
                    <w:rPr>
                      <w:rFonts w:hint="eastAsia"/>
                      <w:color w:val="auto"/>
                      <w:sz w:val="21"/>
                      <w:szCs w:val="21"/>
                      <w:highlight w:val="none"/>
                      <w:u w:val="single" w:color="auto"/>
                      <w:lang w:val="en-US" w:eastAsia="zh-CN"/>
                    </w:rPr>
                    <w:t>m</w:t>
                  </w:r>
                  <w:r>
                    <w:rPr>
                      <w:rFonts w:hint="eastAsia"/>
                      <w:color w:val="auto"/>
                      <w:sz w:val="21"/>
                      <w:szCs w:val="21"/>
                      <w:highlight w:val="none"/>
                      <w:u w:val="single" w:color="auto"/>
                    </w:rPr>
                    <w:t>g</w:t>
                  </w:r>
                  <w:r>
                    <w:rPr>
                      <w:color w:val="auto"/>
                      <w:sz w:val="21"/>
                      <w:szCs w:val="21"/>
                      <w:highlight w:val="none"/>
                      <w:u w:val="single" w:color="auto"/>
                    </w:rPr>
                    <w:t>/m</w:t>
                  </w:r>
                  <w:r>
                    <w:rPr>
                      <w:color w:val="auto"/>
                      <w:sz w:val="21"/>
                      <w:szCs w:val="21"/>
                      <w:highlight w:val="none"/>
                      <w:u w:val="single" w:color="auto"/>
                      <w:vertAlign w:val="superscript"/>
                    </w:rPr>
                    <w:t>3</w:t>
                  </w:r>
                </w:p>
              </w:tc>
              <w:tc>
                <w:tcPr>
                  <w:tcW w:w="758" w:type="pct"/>
                  <w:tcBorders>
                    <w:tl2br w:val="nil"/>
                    <w:tr2bl w:val="nil"/>
                  </w:tcBorders>
                  <w:noWrap w:val="0"/>
                  <w:vAlign w:val="center"/>
                </w:tcPr>
                <w:p w14:paraId="54CBE79E">
                  <w:pPr>
                    <w:spacing w:line="240" w:lineRule="auto"/>
                    <w:ind w:firstLine="0" w:firstLineChars="0"/>
                    <w:jc w:val="center"/>
                    <w:rPr>
                      <w:color w:val="auto"/>
                      <w:sz w:val="21"/>
                      <w:szCs w:val="21"/>
                      <w:highlight w:val="none"/>
                      <w:u w:val="single" w:color="auto"/>
                    </w:rPr>
                  </w:pPr>
                  <w:r>
                    <w:rPr>
                      <w:rFonts w:hint="eastAsia"/>
                      <w:color w:val="auto"/>
                      <w:sz w:val="21"/>
                      <w:szCs w:val="21"/>
                      <w:highlight w:val="none"/>
                      <w:u w:val="single" w:color="auto"/>
                    </w:rPr>
                    <w:t>评价结果</w:t>
                  </w:r>
                </w:p>
              </w:tc>
            </w:tr>
            <w:tr w14:paraId="6EE79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957" w:type="pct"/>
                  <w:tcBorders>
                    <w:tl2br w:val="nil"/>
                    <w:tr2bl w:val="nil"/>
                  </w:tcBorders>
                  <w:noWrap w:val="0"/>
                  <w:vAlign w:val="center"/>
                </w:tcPr>
                <w:p w14:paraId="424FFE5E">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G1利田片区上风向</w:t>
                  </w:r>
                </w:p>
              </w:tc>
              <w:tc>
                <w:tcPr>
                  <w:tcW w:w="1153" w:type="pct"/>
                  <w:tcBorders>
                    <w:tl2br w:val="nil"/>
                    <w:tr2bl w:val="nil"/>
                  </w:tcBorders>
                  <w:noWrap w:val="0"/>
                  <w:vAlign w:val="center"/>
                </w:tcPr>
                <w:p w14:paraId="7B3CA484">
                  <w:pPr>
                    <w:spacing w:line="240" w:lineRule="auto"/>
                    <w:ind w:firstLine="0" w:firstLineChars="0"/>
                    <w:jc w:val="center"/>
                    <w:rPr>
                      <w:rFonts w:hint="default" w:eastAsia="宋体"/>
                      <w:color w:val="auto"/>
                      <w:sz w:val="21"/>
                      <w:szCs w:val="21"/>
                      <w:highlight w:val="none"/>
                      <w:u w:val="single" w:color="auto"/>
                      <w:lang w:val="en-US" w:eastAsia="zh-CN"/>
                    </w:rPr>
                  </w:pPr>
                  <w:r>
                    <w:rPr>
                      <w:rFonts w:hint="eastAsia" w:eastAsia="宋体"/>
                      <w:color w:val="auto"/>
                      <w:sz w:val="21"/>
                      <w:szCs w:val="21"/>
                      <w:highlight w:val="none"/>
                      <w:u w:val="single" w:color="auto"/>
                      <w:lang w:val="en-US" w:eastAsia="zh-CN"/>
                    </w:rPr>
                    <w:t>2024.12.24-12.26</w:t>
                  </w:r>
                </w:p>
              </w:tc>
              <w:tc>
                <w:tcPr>
                  <w:tcW w:w="554" w:type="pct"/>
                  <w:tcBorders>
                    <w:tl2br w:val="nil"/>
                    <w:tr2bl w:val="nil"/>
                  </w:tcBorders>
                  <w:noWrap w:val="0"/>
                  <w:vAlign w:val="center"/>
                </w:tcPr>
                <w:p w14:paraId="57C649B0">
                  <w:pPr>
                    <w:spacing w:line="240" w:lineRule="auto"/>
                    <w:ind w:firstLine="0" w:firstLineChars="0"/>
                    <w:jc w:val="center"/>
                    <w:rPr>
                      <w:rFonts w:hint="default" w:eastAsia="宋体"/>
                      <w:color w:val="auto"/>
                      <w:sz w:val="21"/>
                      <w:szCs w:val="21"/>
                      <w:highlight w:val="none"/>
                      <w:u w:val="single" w:color="auto"/>
                      <w:lang w:val="en-US" w:eastAsia="zh-CN"/>
                    </w:rPr>
                  </w:pPr>
                  <w:r>
                    <w:rPr>
                      <w:rFonts w:hint="eastAsia" w:eastAsia="宋体"/>
                      <w:color w:val="auto"/>
                      <w:sz w:val="21"/>
                      <w:szCs w:val="21"/>
                      <w:highlight w:val="none"/>
                      <w:u w:val="single" w:color="auto"/>
                      <w:lang w:val="en-US" w:eastAsia="zh-CN"/>
                    </w:rPr>
                    <w:t>TSP</w:t>
                  </w:r>
                </w:p>
              </w:tc>
              <w:tc>
                <w:tcPr>
                  <w:tcW w:w="819" w:type="pct"/>
                  <w:tcBorders>
                    <w:tl2br w:val="nil"/>
                    <w:tr2bl w:val="nil"/>
                  </w:tcBorders>
                  <w:noWrap w:val="0"/>
                  <w:vAlign w:val="center"/>
                </w:tcPr>
                <w:p w14:paraId="59B4839A">
                  <w:pPr>
                    <w:spacing w:line="240" w:lineRule="auto"/>
                    <w:ind w:firstLine="0" w:firstLineChars="0"/>
                    <w:jc w:val="center"/>
                    <w:rPr>
                      <w:rFonts w:hint="default" w:eastAsia="宋体"/>
                      <w:color w:val="auto"/>
                      <w:sz w:val="21"/>
                      <w:szCs w:val="21"/>
                      <w:highlight w:val="none"/>
                      <w:u w:val="single" w:color="auto"/>
                      <w:lang w:val="en-US" w:eastAsia="zh-CN"/>
                    </w:rPr>
                  </w:pPr>
                  <w:r>
                    <w:rPr>
                      <w:rFonts w:hint="eastAsia"/>
                      <w:color w:val="auto"/>
                      <w:sz w:val="21"/>
                      <w:szCs w:val="21"/>
                      <w:highlight w:val="none"/>
                      <w:u w:val="single" w:color="auto"/>
                      <w:lang w:val="en-US" w:eastAsia="zh-CN"/>
                    </w:rPr>
                    <w:t>0.084-</w:t>
                  </w:r>
                  <w:r>
                    <w:rPr>
                      <w:rFonts w:hint="eastAsia" w:eastAsia="宋体"/>
                      <w:color w:val="auto"/>
                      <w:sz w:val="21"/>
                      <w:szCs w:val="21"/>
                      <w:highlight w:val="none"/>
                      <w:u w:val="single" w:color="auto"/>
                      <w:lang w:val="en-US" w:eastAsia="zh-CN"/>
                    </w:rPr>
                    <w:t>0.087</w:t>
                  </w:r>
                </w:p>
              </w:tc>
              <w:tc>
                <w:tcPr>
                  <w:tcW w:w="757" w:type="pct"/>
                  <w:tcBorders>
                    <w:tl2br w:val="nil"/>
                    <w:tr2bl w:val="nil"/>
                  </w:tcBorders>
                  <w:noWrap w:val="0"/>
                  <w:vAlign w:val="center"/>
                </w:tcPr>
                <w:p w14:paraId="3BBC55F9">
                  <w:pPr>
                    <w:spacing w:line="240" w:lineRule="auto"/>
                    <w:ind w:firstLine="0" w:firstLineChars="0"/>
                    <w:jc w:val="center"/>
                    <w:rPr>
                      <w:rFonts w:hint="default" w:eastAsia="宋体"/>
                      <w:color w:val="auto"/>
                      <w:sz w:val="21"/>
                      <w:szCs w:val="21"/>
                      <w:highlight w:val="none"/>
                      <w:u w:val="single" w:color="auto"/>
                      <w:lang w:val="en-US" w:eastAsia="zh-CN"/>
                    </w:rPr>
                  </w:pPr>
                  <w:r>
                    <w:rPr>
                      <w:rFonts w:hint="eastAsia" w:eastAsia="宋体"/>
                      <w:color w:val="auto"/>
                      <w:sz w:val="21"/>
                      <w:szCs w:val="21"/>
                      <w:highlight w:val="none"/>
                      <w:u w:val="single" w:color="auto"/>
                      <w:lang w:val="en-US" w:eastAsia="zh-CN"/>
                    </w:rPr>
                    <w:t>0.3</w:t>
                  </w:r>
                </w:p>
              </w:tc>
              <w:tc>
                <w:tcPr>
                  <w:tcW w:w="758" w:type="pct"/>
                  <w:tcBorders>
                    <w:tl2br w:val="nil"/>
                    <w:tr2bl w:val="nil"/>
                  </w:tcBorders>
                  <w:noWrap w:val="0"/>
                  <w:vAlign w:val="center"/>
                </w:tcPr>
                <w:p w14:paraId="568997B5">
                  <w:pPr>
                    <w:spacing w:line="240" w:lineRule="auto"/>
                    <w:ind w:firstLine="0" w:firstLineChars="0"/>
                    <w:jc w:val="center"/>
                    <w:rPr>
                      <w:color w:val="auto"/>
                      <w:sz w:val="21"/>
                      <w:szCs w:val="21"/>
                      <w:highlight w:val="none"/>
                      <w:u w:val="single" w:color="auto"/>
                    </w:rPr>
                  </w:pPr>
                  <w:r>
                    <w:rPr>
                      <w:rFonts w:hint="eastAsia"/>
                      <w:color w:val="auto"/>
                      <w:sz w:val="21"/>
                      <w:szCs w:val="21"/>
                      <w:highlight w:val="none"/>
                      <w:u w:val="single" w:color="auto"/>
                    </w:rPr>
                    <w:t>达标</w:t>
                  </w:r>
                </w:p>
              </w:tc>
            </w:tr>
          </w:tbl>
          <w:p w14:paraId="21A0104E">
            <w:pPr>
              <w:bidi w:val="0"/>
              <w:rPr>
                <w:color w:val="auto"/>
                <w:u w:val="single" w:color="auto"/>
              </w:rPr>
            </w:pPr>
            <w:r>
              <w:rPr>
                <w:rFonts w:hint="eastAsia"/>
                <w:color w:val="auto"/>
                <w:u w:val="single" w:color="auto"/>
                <w:lang w:val="en-US" w:eastAsia="zh-CN"/>
              </w:rPr>
              <w:t>由上表</w:t>
            </w:r>
            <w:r>
              <w:rPr>
                <w:color w:val="auto"/>
                <w:u w:val="single" w:color="auto"/>
              </w:rPr>
              <w:t>监测结果分析：</w:t>
            </w:r>
            <w:r>
              <w:rPr>
                <w:rFonts w:hint="eastAsia"/>
                <w:color w:val="auto"/>
                <w:u w:val="single" w:color="auto"/>
                <w:lang w:val="en-US" w:eastAsia="zh-CN"/>
              </w:rPr>
              <w:t>项目区TSP日均值</w:t>
            </w:r>
            <w:r>
              <w:rPr>
                <w:rFonts w:hint="eastAsia"/>
                <w:color w:val="auto"/>
                <w:u w:val="single" w:color="auto"/>
              </w:rPr>
              <w:t>满足《环境空气质量标准》</w:t>
            </w:r>
            <w:r>
              <w:rPr>
                <w:rFonts w:hint="eastAsia"/>
                <w:color w:val="auto"/>
                <w:u w:val="single" w:color="auto"/>
                <w:lang w:eastAsia="zh-CN"/>
              </w:rPr>
              <w:t>(</w:t>
            </w:r>
            <w:r>
              <w:rPr>
                <w:rFonts w:hint="eastAsia"/>
                <w:color w:val="auto"/>
                <w:u w:val="single" w:color="auto"/>
              </w:rPr>
              <w:t>GB</w:t>
            </w:r>
            <w:r>
              <w:rPr>
                <w:color w:val="auto"/>
                <w:u w:val="single" w:color="auto"/>
              </w:rPr>
              <w:t>3095-2012</w:t>
            </w:r>
            <w:r>
              <w:rPr>
                <w:rFonts w:hint="eastAsia"/>
                <w:color w:val="auto"/>
                <w:u w:val="single" w:color="auto"/>
                <w:lang w:eastAsia="zh-CN"/>
              </w:rPr>
              <w:t>)</w:t>
            </w:r>
            <w:r>
              <w:rPr>
                <w:rFonts w:hint="eastAsia"/>
                <w:color w:val="auto"/>
                <w:u w:val="single" w:color="auto"/>
              </w:rPr>
              <w:t>中</w:t>
            </w:r>
            <w:r>
              <w:rPr>
                <w:rFonts w:hint="eastAsia"/>
                <w:color w:val="auto"/>
                <w:u w:val="single" w:color="auto"/>
                <w:lang w:val="en-US" w:eastAsia="zh-CN"/>
              </w:rPr>
              <w:t>二级标准及2018年修改单。</w:t>
            </w:r>
          </w:p>
          <w:p w14:paraId="761AC685">
            <w:pPr>
              <w:bidi w:val="0"/>
              <w:rPr>
                <w:rFonts w:hint="eastAsia" w:ascii="Times New Roman" w:hAnsi="Times New Roman" w:eastAsia="宋体" w:cs="Times New Roman"/>
                <w:color w:val="auto"/>
              </w:rPr>
            </w:pPr>
            <w:r>
              <w:rPr>
                <w:rFonts w:hint="eastAsia" w:ascii="Times New Roman" w:hAnsi="Times New Roman" w:eastAsia="宋体" w:cs="Times New Roman"/>
                <w:color w:val="auto"/>
              </w:rPr>
              <w:t>2、地表水环境质量现状</w:t>
            </w:r>
          </w:p>
          <w:p w14:paraId="6679C2E5">
            <w:pPr>
              <w:bidi w:val="0"/>
              <w:rPr>
                <w:rFonts w:hint="default"/>
                <w:color w:val="auto"/>
                <w:lang w:eastAsia="zh-CN"/>
              </w:rPr>
            </w:pPr>
            <w:bookmarkStart w:id="24" w:name="_Toc7792"/>
            <w:r>
              <w:rPr>
                <w:rFonts w:hint="default"/>
                <w:color w:val="auto"/>
              </w:rPr>
              <w:t>根据《建设项目环境影响报告表编制技术指南</w:t>
            </w:r>
            <w:r>
              <w:rPr>
                <w:rFonts w:hint="eastAsia"/>
                <w:color w:val="auto"/>
                <w:lang w:eastAsia="zh-CN"/>
              </w:rPr>
              <w:t>(</w:t>
            </w:r>
            <w:r>
              <w:rPr>
                <w:rFonts w:hint="default"/>
                <w:color w:val="auto"/>
              </w:rPr>
              <w:t>污染影响类</w:t>
            </w:r>
            <w:r>
              <w:rPr>
                <w:rFonts w:hint="eastAsia"/>
                <w:color w:val="auto"/>
                <w:lang w:eastAsia="zh-CN"/>
              </w:rPr>
              <w:t>)</w:t>
            </w:r>
            <w:r>
              <w:rPr>
                <w:rFonts w:hint="default"/>
                <w:color w:val="auto"/>
              </w:rPr>
              <w:t>》，地表水环境质量现状引用与建设项目距离近的有效数据，包括近3年的规划环境影响评价的监测数据，所在流域控制单元内国家、地方控制断面监测数据，生态环境主管部门发布的水环境质量数据或地表水达标情况的结论</w:t>
            </w:r>
            <w:r>
              <w:rPr>
                <w:rFonts w:hint="default"/>
                <w:color w:val="auto"/>
                <w:lang w:eastAsia="zh-CN"/>
              </w:rPr>
              <w:t>。</w:t>
            </w:r>
          </w:p>
          <w:bookmarkEnd w:id="24"/>
          <w:p w14:paraId="16FA8C8F">
            <w:pPr>
              <w:bidi w:val="0"/>
              <w:rPr>
                <w:color w:val="auto"/>
              </w:rPr>
            </w:pPr>
            <w:r>
              <w:rPr>
                <w:color w:val="auto"/>
              </w:rPr>
              <w:t>江永县设国控地表水监测断面2个：祥霖铺镇桐溪尾村断面和黄沙湾断面（出境断面）；设省控地表水监测断面1个：大坪坳水库。地表水水质评价指标为：《地表水环境质量标准》（GB3838-2002）表1中除化学需氧量、水温、总氮、粪大肠菌群以外的20项基本指标，202</w:t>
            </w:r>
            <w:r>
              <w:rPr>
                <w:rFonts w:hint="eastAsia"/>
                <w:color w:val="auto"/>
                <w:lang w:val="en-US" w:eastAsia="zh-CN"/>
              </w:rPr>
              <w:t>5</w:t>
            </w:r>
            <w:r>
              <w:rPr>
                <w:color w:val="auto"/>
              </w:rPr>
              <w:t>年</w:t>
            </w:r>
            <w:r>
              <w:rPr>
                <w:rFonts w:hint="eastAsia"/>
                <w:color w:val="auto"/>
                <w:lang w:val="en-US" w:eastAsia="zh-CN"/>
              </w:rPr>
              <w:t>5</w:t>
            </w:r>
            <w:r>
              <w:rPr>
                <w:color w:val="auto"/>
              </w:rPr>
              <w:t>月水质检测结果显示：祥霖铺镇桐溪尾村、黄沙湾、江永县大坪坳水库3个断面水质均达到《地表水环境质量标准》 （GB3838-2002）Ⅱ类标准，江永县断面水质达标率为100%。</w:t>
            </w:r>
          </w:p>
          <w:p w14:paraId="436E460D">
            <w:pPr>
              <w:bidi w:val="0"/>
              <w:rPr>
                <w:rFonts w:hint="eastAsia" w:ascii="Times New Roman" w:hAnsi="Times New Roman" w:eastAsia="宋体" w:cs="Times New Roman"/>
                <w:color w:val="auto"/>
              </w:rPr>
            </w:pPr>
            <w:r>
              <w:rPr>
                <w:rFonts w:hint="eastAsia" w:ascii="Times New Roman" w:hAnsi="Times New Roman" w:eastAsia="宋体" w:cs="Times New Roman"/>
                <w:color w:val="auto"/>
              </w:rPr>
              <w:t>3、声环境质量现状</w:t>
            </w:r>
          </w:p>
          <w:p w14:paraId="26D00B37">
            <w:pPr>
              <w:bidi w:val="0"/>
              <w:rPr>
                <w:rFonts w:hint="eastAsia"/>
                <w:color w:val="auto"/>
                <w:lang w:val="en-US" w:eastAsia="zh-CN"/>
              </w:rPr>
            </w:pPr>
            <w:r>
              <w:rPr>
                <w:rFonts w:hint="eastAsia"/>
                <w:color w:val="auto"/>
              </w:rPr>
              <w:t>根据《建设项目环境影响报告表编制技术指南</w:t>
            </w:r>
            <w:r>
              <w:rPr>
                <w:rFonts w:hint="eastAsia"/>
                <w:color w:val="auto"/>
                <w:lang w:eastAsia="zh-CN"/>
              </w:rPr>
              <w:t>(</w:t>
            </w:r>
            <w:r>
              <w:rPr>
                <w:rFonts w:hint="eastAsia"/>
                <w:color w:val="auto"/>
              </w:rPr>
              <w:t>污染影响类</w:t>
            </w:r>
            <w:r>
              <w:rPr>
                <w:rFonts w:hint="eastAsia"/>
                <w:color w:val="auto"/>
                <w:lang w:eastAsia="zh-CN"/>
              </w:rPr>
              <w:t>)</w:t>
            </w:r>
            <w:r>
              <w:rPr>
                <w:rFonts w:hint="eastAsia"/>
                <w:color w:val="auto"/>
              </w:rPr>
              <w:t>》，厂界外周边50米范围内存在声环境保护目标的建设项目，应监测保护目标声环境质量现状并评价达标情况。根据现场踏勘并结合卫星影像分析结果，</w:t>
            </w:r>
            <w:r>
              <w:rPr>
                <w:rFonts w:hint="eastAsia"/>
                <w:color w:val="auto"/>
                <w:lang w:val="en-US" w:eastAsia="zh-CN"/>
              </w:rPr>
              <w:t>本项目周边50m范围内无居民点，因此不进行监测。</w:t>
            </w:r>
          </w:p>
          <w:p w14:paraId="436F8C5E">
            <w:pPr>
              <w:bidi w:val="0"/>
              <w:rPr>
                <w:rFonts w:hint="eastAsia" w:ascii="Times New Roman" w:hAnsi="Times New Roman" w:eastAsia="宋体" w:cs="Times New Roman"/>
                <w:color w:val="auto"/>
              </w:rPr>
            </w:pPr>
            <w:r>
              <w:rPr>
                <w:rFonts w:hint="eastAsia" w:ascii="Times New Roman" w:hAnsi="Times New Roman" w:eastAsia="宋体" w:cs="Times New Roman"/>
                <w:color w:val="auto"/>
              </w:rPr>
              <w:t>4、生态环境</w:t>
            </w:r>
          </w:p>
          <w:p w14:paraId="0E0DEDA2">
            <w:pPr>
              <w:bidi w:val="0"/>
              <w:rPr>
                <w:color w:val="auto"/>
              </w:rPr>
            </w:pPr>
            <w:r>
              <w:rPr>
                <w:color w:val="auto"/>
              </w:rPr>
              <w:t>本项目位于</w:t>
            </w:r>
            <w:r>
              <w:rPr>
                <w:rFonts w:hint="eastAsia"/>
                <w:color w:val="auto"/>
                <w:lang w:eastAsia="zh-CN"/>
              </w:rPr>
              <w:t>江永县工业集中区</w:t>
            </w:r>
            <w:r>
              <w:rPr>
                <w:color w:val="auto"/>
              </w:rPr>
              <w:t>，</w:t>
            </w:r>
            <w:r>
              <w:rPr>
                <w:rFonts w:hint="eastAsia"/>
                <w:color w:val="auto"/>
                <w:lang w:val="en-US" w:eastAsia="zh-CN"/>
              </w:rPr>
              <w:t>受人为影响大，</w:t>
            </w:r>
            <w:r>
              <w:rPr>
                <w:rFonts w:hint="eastAsia"/>
                <w:color w:val="auto"/>
              </w:rPr>
              <w:t>区域生态环境质量一般，占地范围内无生态保护目标。</w:t>
            </w:r>
          </w:p>
          <w:p w14:paraId="72F04F2A">
            <w:pPr>
              <w:bidi w:val="0"/>
              <w:rPr>
                <w:rFonts w:hint="eastAsia" w:ascii="Times New Roman" w:hAnsi="Times New Roman" w:eastAsia="宋体" w:cs="Times New Roman"/>
                <w:color w:val="auto"/>
              </w:rPr>
            </w:pPr>
            <w:r>
              <w:rPr>
                <w:rFonts w:hint="eastAsia" w:ascii="Times New Roman" w:hAnsi="Times New Roman" w:eastAsia="宋体" w:cs="Times New Roman"/>
                <w:color w:val="auto"/>
                <w:lang w:val="en-US" w:eastAsia="zh-CN"/>
              </w:rPr>
              <w:t>5</w:t>
            </w:r>
            <w:r>
              <w:rPr>
                <w:rFonts w:hint="eastAsia" w:ascii="Times New Roman" w:hAnsi="Times New Roman" w:eastAsia="宋体" w:cs="Times New Roman"/>
                <w:color w:val="auto"/>
              </w:rPr>
              <w:t>、地下水、土壤现状调查</w:t>
            </w:r>
          </w:p>
          <w:p w14:paraId="10D919BE">
            <w:pPr>
              <w:bidi w:val="0"/>
              <w:rPr>
                <w:color w:val="auto"/>
                <w:kern w:val="0"/>
                <w:szCs w:val="21"/>
                <w:highlight w:val="none"/>
              </w:rPr>
            </w:pPr>
            <w:r>
              <w:rPr>
                <w:rFonts w:hint="eastAsia"/>
                <w:color w:val="auto"/>
              </w:rPr>
              <w:t>根据《建设项目环境影响报告表编制技术指南（污染影响类）》，原则上不开展地下水环境质量现状调查，建设项目存在土壤、地下水环境污染途径的，应结合污染源、保护目标分布情况开展现状调查以留作背景值。本项目厂</w:t>
            </w:r>
            <w:r>
              <w:rPr>
                <w:rFonts w:hint="eastAsia"/>
                <w:color w:val="auto"/>
                <w:lang w:eastAsia="zh-CN"/>
              </w:rPr>
              <w:t>房位于</w:t>
            </w:r>
            <w:r>
              <w:rPr>
                <w:rFonts w:hint="eastAsia"/>
                <w:color w:val="auto"/>
                <w:lang w:val="en-US" w:eastAsia="zh-CN"/>
              </w:rPr>
              <w:t>工业园区</w:t>
            </w:r>
            <w:r>
              <w:rPr>
                <w:rFonts w:hint="eastAsia"/>
                <w:color w:val="auto"/>
                <w:lang w:eastAsia="zh-CN"/>
              </w:rPr>
              <w:t>，车间</w:t>
            </w:r>
            <w:r>
              <w:rPr>
                <w:rFonts w:hint="eastAsia"/>
                <w:color w:val="auto"/>
              </w:rPr>
              <w:t>地面全部进行硬化，本项目运营期主要的废气为</w:t>
            </w:r>
            <w:r>
              <w:rPr>
                <w:rFonts w:hint="eastAsia"/>
                <w:color w:val="auto"/>
                <w:lang w:eastAsia="zh-CN"/>
              </w:rPr>
              <w:t>铝合金锭熔化产生的烟气，</w:t>
            </w:r>
            <w:r>
              <w:rPr>
                <w:rFonts w:hint="eastAsia"/>
                <w:color w:val="auto"/>
                <w:lang w:val="en-US" w:eastAsia="zh-CN"/>
              </w:rPr>
              <w:t>主要成分为颗粒物经收集处理达标后有组织排放</w:t>
            </w:r>
            <w:r>
              <w:rPr>
                <w:rFonts w:hint="eastAsia"/>
                <w:color w:val="auto"/>
              </w:rPr>
              <w:t>，废水</w:t>
            </w:r>
            <w:r>
              <w:rPr>
                <w:rFonts w:hint="eastAsia"/>
                <w:color w:val="auto"/>
                <w:lang w:val="en-US" w:eastAsia="zh-CN"/>
              </w:rPr>
              <w:t>预处理后</w:t>
            </w:r>
            <w:r>
              <w:rPr>
                <w:rFonts w:hint="eastAsia"/>
                <w:color w:val="auto"/>
              </w:rPr>
              <w:t>排入</w:t>
            </w:r>
            <w:r>
              <w:rPr>
                <w:rFonts w:hint="eastAsia"/>
                <w:color w:val="auto"/>
                <w:lang w:eastAsia="zh-CN"/>
              </w:rPr>
              <w:t>工业园污水处理厂</w:t>
            </w:r>
            <w:r>
              <w:rPr>
                <w:rFonts w:hint="eastAsia"/>
                <w:color w:val="auto"/>
              </w:rPr>
              <w:t>，根据《建设项目环境影响报告表编制技术指南（污染影响类）（试行）》，本项目不存在相关土壤、地下水污染途径。故可不开展土壤、地下水环境现状调查。</w:t>
            </w:r>
          </w:p>
        </w:tc>
      </w:tr>
      <w:tr w14:paraId="6987F8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937" w:hRule="atLeast"/>
          <w:jc w:val="center"/>
        </w:trPr>
        <w:tc>
          <w:tcPr>
            <w:tcW w:w="777" w:type="dxa"/>
            <w:noWrap w:val="0"/>
            <w:vAlign w:val="center"/>
          </w:tcPr>
          <w:p w14:paraId="1C04F7DB">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环境</w:t>
            </w:r>
          </w:p>
          <w:p w14:paraId="6CC0E650">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保护</w:t>
            </w:r>
          </w:p>
          <w:p w14:paraId="25B21DD5">
            <w:pPr>
              <w:adjustRightInd w:val="0"/>
              <w:snapToGrid w:val="0"/>
              <w:ind w:left="0" w:leftChars="0" w:firstLine="0" w:firstLineChars="0"/>
              <w:jc w:val="center"/>
              <w:rPr>
                <w:color w:val="auto"/>
                <w:kern w:val="0"/>
                <w:szCs w:val="21"/>
                <w:highlight w:val="none"/>
              </w:rPr>
            </w:pPr>
            <w:r>
              <w:rPr>
                <w:rFonts w:ascii="Times New Roman" w:hAnsi="Times New Roman" w:eastAsia="宋体" w:cs="Times New Roman"/>
                <w:color w:val="auto"/>
                <w:kern w:val="0"/>
                <w:szCs w:val="21"/>
                <w:highlight w:val="none"/>
              </w:rPr>
              <w:t>目标</w:t>
            </w:r>
          </w:p>
        </w:tc>
        <w:tc>
          <w:tcPr>
            <w:tcW w:w="8037" w:type="dxa"/>
            <w:noWrap w:val="0"/>
            <w:vAlign w:val="center"/>
          </w:tcPr>
          <w:p w14:paraId="5D84FA03">
            <w:pPr>
              <w:bidi w:val="0"/>
              <w:rPr>
                <w:color w:val="auto"/>
                <w:u w:val="single" w:color="auto"/>
              </w:rPr>
            </w:pPr>
            <w:r>
              <w:rPr>
                <w:rFonts w:hint="eastAsia"/>
                <w:color w:val="auto"/>
                <w:u w:val="single" w:color="auto"/>
              </w:rPr>
              <w:t>本项目位于</w:t>
            </w:r>
            <w:r>
              <w:rPr>
                <w:rFonts w:hint="eastAsia"/>
                <w:color w:val="auto"/>
                <w:sz w:val="24"/>
                <w:highlight w:val="none"/>
                <w:u w:val="single" w:color="auto"/>
                <w:lang w:eastAsia="zh-CN"/>
              </w:rPr>
              <w:t>江永县工业集中区</w:t>
            </w:r>
            <w:r>
              <w:rPr>
                <w:rFonts w:hint="eastAsia"/>
                <w:color w:val="auto"/>
                <w:sz w:val="24"/>
                <w:highlight w:val="none"/>
                <w:u w:val="single" w:color="auto"/>
                <w:lang w:val="en-US" w:eastAsia="zh-CN"/>
              </w:rPr>
              <w:t>利田片区</w:t>
            </w:r>
            <w:r>
              <w:rPr>
                <w:rFonts w:hint="eastAsia"/>
                <w:color w:val="auto"/>
                <w:u w:val="single" w:color="auto"/>
              </w:rPr>
              <w:t>，据调查，项目厂界外500m范围内无自然保护区、风景名胜区、文化区，</w:t>
            </w:r>
            <w:r>
              <w:rPr>
                <w:rFonts w:hint="eastAsia"/>
                <w:color w:val="auto"/>
                <w:u w:val="single" w:color="auto"/>
                <w:lang w:val="zh-CN"/>
              </w:rPr>
              <w:t>无地下水集中式饮用水水源和热水、矿泉水、温泉等特殊地下水资源</w:t>
            </w:r>
            <w:r>
              <w:rPr>
                <w:rFonts w:hint="eastAsia"/>
                <w:color w:val="auto"/>
                <w:u w:val="single" w:color="auto"/>
              </w:rPr>
              <w:t>等；本次大气环境保护目标调查列出厂界外500m范围内居住区和农村地区中人群较集中的区域等保护目标的名称及与建设项目厂界位置关系，调查厂界外50m范围内声环境保护目标；确定需纳入保护的</w:t>
            </w:r>
            <w:r>
              <w:rPr>
                <w:color w:val="auto"/>
                <w:u w:val="single" w:color="auto"/>
              </w:rPr>
              <w:t>环境保护目标</w:t>
            </w:r>
            <w:r>
              <w:rPr>
                <w:rFonts w:hint="eastAsia"/>
                <w:color w:val="auto"/>
                <w:u w:val="single" w:color="auto"/>
              </w:rPr>
              <w:t>详</w:t>
            </w:r>
            <w:r>
              <w:rPr>
                <w:color w:val="auto"/>
                <w:u w:val="single" w:color="auto"/>
              </w:rPr>
              <w:t>见表</w:t>
            </w:r>
            <w:r>
              <w:rPr>
                <w:rFonts w:hint="eastAsia"/>
                <w:color w:val="auto"/>
                <w:u w:val="single" w:color="auto"/>
              </w:rPr>
              <w:t>3</w:t>
            </w:r>
            <w:r>
              <w:rPr>
                <w:color w:val="auto"/>
                <w:u w:val="single" w:color="auto"/>
              </w:rPr>
              <w:t>-</w:t>
            </w:r>
            <w:r>
              <w:rPr>
                <w:rFonts w:hint="eastAsia"/>
                <w:color w:val="auto"/>
                <w:u w:val="single" w:color="auto"/>
                <w:lang w:val="en-US" w:eastAsia="zh-CN"/>
              </w:rPr>
              <w:t>4</w:t>
            </w:r>
            <w:r>
              <w:rPr>
                <w:rFonts w:hint="eastAsia"/>
                <w:color w:val="auto"/>
                <w:u w:val="single" w:color="auto"/>
              </w:rPr>
              <w:t>。</w:t>
            </w:r>
          </w:p>
          <w:p w14:paraId="7B9A97AD">
            <w:pPr>
              <w:pStyle w:val="6"/>
              <w:spacing w:line="240" w:lineRule="auto"/>
              <w:ind w:firstLine="720"/>
              <w:jc w:val="center"/>
              <w:rPr>
                <w:rFonts w:hint="eastAsia" w:ascii="Times New Roman" w:hAnsi="Times New Roman" w:eastAsia="宋体" w:cs="Times New Roman"/>
                <w:b/>
                <w:bCs/>
                <w:color w:val="auto"/>
                <w:sz w:val="21"/>
                <w:szCs w:val="21"/>
                <w:highlight w:val="none"/>
                <w:u w:val="single" w:color="auto"/>
                <w:lang w:val="en-US" w:eastAsia="zh-CN"/>
              </w:rPr>
            </w:pPr>
            <w:r>
              <w:rPr>
                <w:rFonts w:ascii="Times New Roman" w:hAnsi="Times New Roman" w:eastAsia="宋体" w:cs="Times New Roman"/>
                <w:b/>
                <w:bCs/>
                <w:color w:val="auto"/>
                <w:sz w:val="21"/>
                <w:szCs w:val="21"/>
                <w:highlight w:val="none"/>
                <w:u w:val="single" w:color="auto"/>
              </w:rPr>
              <w:t>表3-</w:t>
            </w:r>
            <w:r>
              <w:rPr>
                <w:rFonts w:hint="eastAsia" w:ascii="Times New Roman" w:hAnsi="Times New Roman" w:eastAsia="宋体" w:cs="Times New Roman"/>
                <w:b/>
                <w:bCs/>
                <w:color w:val="auto"/>
                <w:sz w:val="21"/>
                <w:szCs w:val="21"/>
                <w:highlight w:val="none"/>
                <w:u w:val="single" w:color="auto"/>
                <w:lang w:val="en-US" w:eastAsia="zh-CN"/>
              </w:rPr>
              <w:t>4</w:t>
            </w:r>
            <w:r>
              <w:rPr>
                <w:rFonts w:hint="eastAsia" w:ascii="Times New Roman" w:hAnsi="Times New Roman" w:eastAsia="宋体" w:cs="Times New Roman"/>
                <w:b/>
                <w:bCs/>
                <w:color w:val="auto"/>
                <w:sz w:val="21"/>
                <w:szCs w:val="21"/>
                <w:highlight w:val="none"/>
                <w:u w:val="single" w:color="auto"/>
              </w:rPr>
              <w:t xml:space="preserve">  </w:t>
            </w:r>
            <w:r>
              <w:rPr>
                <w:rFonts w:ascii="Times New Roman" w:hAnsi="Times New Roman" w:eastAsia="宋体" w:cs="Times New Roman"/>
                <w:b/>
                <w:bCs/>
                <w:color w:val="auto"/>
                <w:sz w:val="21"/>
                <w:szCs w:val="21"/>
                <w:highlight w:val="none"/>
                <w:u w:val="single" w:color="auto"/>
              </w:rPr>
              <w:t xml:space="preserve"> </w:t>
            </w:r>
            <w:r>
              <w:rPr>
                <w:rFonts w:hint="eastAsia" w:ascii="Times New Roman" w:hAnsi="Times New Roman" w:eastAsia="宋体" w:cs="Times New Roman"/>
                <w:b/>
                <w:bCs/>
                <w:color w:val="auto"/>
                <w:sz w:val="21"/>
                <w:szCs w:val="21"/>
                <w:highlight w:val="none"/>
                <w:u w:val="single" w:color="auto"/>
              </w:rPr>
              <w:t>本项目主要环境保护目标</w:t>
            </w:r>
            <w:r>
              <w:rPr>
                <w:rFonts w:hint="eastAsia" w:ascii="Times New Roman" w:hAnsi="Times New Roman" w:eastAsia="宋体" w:cs="Times New Roman"/>
                <w:b/>
                <w:bCs/>
                <w:color w:val="auto"/>
                <w:sz w:val="21"/>
                <w:szCs w:val="21"/>
                <w:highlight w:val="none"/>
                <w:u w:val="single" w:color="auto"/>
                <w:lang w:val="en-US" w:eastAsia="zh-CN"/>
              </w:rPr>
              <w:t>一览表</w:t>
            </w:r>
          </w:p>
          <w:tbl>
            <w:tblPr>
              <w:tblStyle w:val="29"/>
              <w:tblW w:w="7979" w:type="dxa"/>
              <w:jc w:val="center"/>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Layout w:type="fixed"/>
              <w:tblCellMar>
                <w:top w:w="0" w:type="dxa"/>
                <w:left w:w="0" w:type="dxa"/>
                <w:bottom w:w="0" w:type="dxa"/>
                <w:right w:w="0" w:type="dxa"/>
              </w:tblCellMar>
            </w:tblPr>
            <w:tblGrid>
              <w:gridCol w:w="1220"/>
              <w:gridCol w:w="1125"/>
              <w:gridCol w:w="1036"/>
              <w:gridCol w:w="1525"/>
              <w:gridCol w:w="855"/>
              <w:gridCol w:w="919"/>
              <w:gridCol w:w="1299"/>
            </w:tblGrid>
            <w:tr w14:paraId="3B3855E4">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1220" w:type="dxa"/>
                  <w:vMerge w:val="restart"/>
                  <w:tcBorders>
                    <w:tl2br w:val="nil"/>
                    <w:tr2bl w:val="nil"/>
                  </w:tcBorders>
                  <w:noWrap w:val="0"/>
                  <w:tcMar>
                    <w:top w:w="15" w:type="dxa"/>
                    <w:left w:w="15" w:type="dxa"/>
                    <w:right w:w="15" w:type="dxa"/>
                  </w:tcMar>
                  <w:vAlign w:val="center"/>
                </w:tcPr>
                <w:p w14:paraId="370FE4C2">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环境要素</w:t>
                  </w:r>
                </w:p>
              </w:tc>
              <w:tc>
                <w:tcPr>
                  <w:tcW w:w="2161" w:type="dxa"/>
                  <w:gridSpan w:val="2"/>
                  <w:tcBorders>
                    <w:tl2br w:val="nil"/>
                    <w:tr2bl w:val="nil"/>
                  </w:tcBorders>
                  <w:noWrap w:val="0"/>
                  <w:tcMar>
                    <w:top w:w="15" w:type="dxa"/>
                    <w:left w:w="15" w:type="dxa"/>
                    <w:right w:w="15" w:type="dxa"/>
                  </w:tcMar>
                  <w:vAlign w:val="center"/>
                </w:tcPr>
                <w:p w14:paraId="2E00A66F">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坐标</w:t>
                  </w:r>
                </w:p>
              </w:tc>
              <w:tc>
                <w:tcPr>
                  <w:tcW w:w="1525" w:type="dxa"/>
                  <w:vMerge w:val="restart"/>
                  <w:tcBorders>
                    <w:tl2br w:val="nil"/>
                    <w:tr2bl w:val="nil"/>
                  </w:tcBorders>
                  <w:noWrap w:val="0"/>
                  <w:tcMar>
                    <w:top w:w="15" w:type="dxa"/>
                    <w:left w:w="15" w:type="dxa"/>
                    <w:right w:w="15" w:type="dxa"/>
                  </w:tcMar>
                  <w:vAlign w:val="center"/>
                </w:tcPr>
                <w:p w14:paraId="0FDE94E1">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保护对象</w:t>
                  </w:r>
                </w:p>
              </w:tc>
              <w:tc>
                <w:tcPr>
                  <w:tcW w:w="855" w:type="dxa"/>
                  <w:vMerge w:val="restart"/>
                  <w:tcBorders>
                    <w:tl2br w:val="nil"/>
                    <w:tr2bl w:val="nil"/>
                  </w:tcBorders>
                  <w:noWrap w:val="0"/>
                  <w:tcMar>
                    <w:top w:w="15" w:type="dxa"/>
                    <w:left w:w="15" w:type="dxa"/>
                    <w:right w:w="15" w:type="dxa"/>
                  </w:tcMar>
                  <w:vAlign w:val="center"/>
                </w:tcPr>
                <w:p w14:paraId="52FCEA60">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保护内容</w:t>
                  </w:r>
                </w:p>
              </w:tc>
              <w:tc>
                <w:tcPr>
                  <w:tcW w:w="919" w:type="dxa"/>
                  <w:vMerge w:val="restart"/>
                  <w:tcBorders>
                    <w:tl2br w:val="nil"/>
                    <w:tr2bl w:val="nil"/>
                  </w:tcBorders>
                  <w:noWrap w:val="0"/>
                  <w:tcMar>
                    <w:top w:w="15" w:type="dxa"/>
                    <w:left w:w="15" w:type="dxa"/>
                    <w:right w:w="15" w:type="dxa"/>
                  </w:tcMar>
                  <w:vAlign w:val="center"/>
                </w:tcPr>
                <w:p w14:paraId="70C22C57">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环境功能区</w:t>
                  </w:r>
                </w:p>
              </w:tc>
              <w:tc>
                <w:tcPr>
                  <w:tcW w:w="1299" w:type="dxa"/>
                  <w:vMerge w:val="restart"/>
                  <w:tcBorders>
                    <w:tl2br w:val="nil"/>
                    <w:tr2bl w:val="nil"/>
                  </w:tcBorders>
                  <w:noWrap w:val="0"/>
                  <w:tcMar>
                    <w:top w:w="15" w:type="dxa"/>
                    <w:left w:w="15" w:type="dxa"/>
                    <w:right w:w="15" w:type="dxa"/>
                  </w:tcMar>
                  <w:vAlign w:val="center"/>
                </w:tcPr>
                <w:p w14:paraId="59700C5E">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color w:val="auto"/>
                      <w:kern w:val="0"/>
                      <w:sz w:val="21"/>
                      <w:szCs w:val="21"/>
                      <w:u w:val="single" w:color="auto"/>
                    </w:rPr>
                    <w:t>方位及距离</w:t>
                  </w:r>
                </w:p>
              </w:tc>
            </w:tr>
            <w:tr w14:paraId="3AB78B35">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1220" w:type="dxa"/>
                  <w:vMerge w:val="continue"/>
                  <w:tcBorders>
                    <w:tl2br w:val="nil"/>
                    <w:tr2bl w:val="nil"/>
                  </w:tcBorders>
                  <w:noWrap w:val="0"/>
                  <w:tcMar>
                    <w:top w:w="15" w:type="dxa"/>
                    <w:left w:w="15" w:type="dxa"/>
                    <w:right w:w="15" w:type="dxa"/>
                  </w:tcMar>
                  <w:vAlign w:val="center"/>
                </w:tcPr>
                <w:p w14:paraId="63BEFCE3">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p>
              </w:tc>
              <w:tc>
                <w:tcPr>
                  <w:tcW w:w="1125" w:type="dxa"/>
                  <w:tcBorders>
                    <w:tl2br w:val="nil"/>
                    <w:tr2bl w:val="nil"/>
                  </w:tcBorders>
                  <w:noWrap w:val="0"/>
                  <w:tcMar>
                    <w:top w:w="15" w:type="dxa"/>
                    <w:left w:w="15" w:type="dxa"/>
                    <w:right w:w="15" w:type="dxa"/>
                  </w:tcMar>
                  <w:vAlign w:val="center"/>
                </w:tcPr>
                <w:p w14:paraId="5670B9EB">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经度</w:t>
                  </w:r>
                </w:p>
              </w:tc>
              <w:tc>
                <w:tcPr>
                  <w:tcW w:w="1036" w:type="dxa"/>
                  <w:tcBorders>
                    <w:tl2br w:val="nil"/>
                    <w:tr2bl w:val="nil"/>
                  </w:tcBorders>
                  <w:noWrap w:val="0"/>
                  <w:tcMar>
                    <w:top w:w="15" w:type="dxa"/>
                    <w:left w:w="15" w:type="dxa"/>
                    <w:right w:w="15" w:type="dxa"/>
                  </w:tcMar>
                  <w:vAlign w:val="center"/>
                </w:tcPr>
                <w:p w14:paraId="681BF683">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纬度</w:t>
                  </w:r>
                </w:p>
              </w:tc>
              <w:tc>
                <w:tcPr>
                  <w:tcW w:w="1525" w:type="dxa"/>
                  <w:vMerge w:val="continue"/>
                  <w:tcBorders>
                    <w:tl2br w:val="nil"/>
                    <w:tr2bl w:val="nil"/>
                  </w:tcBorders>
                  <w:noWrap w:val="0"/>
                  <w:tcMar>
                    <w:top w:w="15" w:type="dxa"/>
                    <w:left w:w="15" w:type="dxa"/>
                    <w:right w:w="15" w:type="dxa"/>
                  </w:tcMar>
                  <w:vAlign w:val="center"/>
                </w:tcPr>
                <w:p w14:paraId="098A17C8">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p>
              </w:tc>
              <w:tc>
                <w:tcPr>
                  <w:tcW w:w="855" w:type="dxa"/>
                  <w:vMerge w:val="continue"/>
                  <w:tcBorders>
                    <w:tl2br w:val="nil"/>
                    <w:tr2bl w:val="nil"/>
                  </w:tcBorders>
                  <w:noWrap w:val="0"/>
                  <w:tcMar>
                    <w:top w:w="15" w:type="dxa"/>
                    <w:left w:w="15" w:type="dxa"/>
                    <w:right w:w="15" w:type="dxa"/>
                  </w:tcMar>
                  <w:vAlign w:val="center"/>
                </w:tcPr>
                <w:p w14:paraId="2D4800CD">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p>
              </w:tc>
              <w:tc>
                <w:tcPr>
                  <w:tcW w:w="919" w:type="dxa"/>
                  <w:vMerge w:val="continue"/>
                  <w:tcBorders>
                    <w:tl2br w:val="nil"/>
                    <w:tr2bl w:val="nil"/>
                  </w:tcBorders>
                  <w:noWrap w:val="0"/>
                  <w:tcMar>
                    <w:top w:w="15" w:type="dxa"/>
                    <w:left w:w="15" w:type="dxa"/>
                    <w:right w:w="15" w:type="dxa"/>
                  </w:tcMar>
                  <w:vAlign w:val="center"/>
                </w:tcPr>
                <w:p w14:paraId="1AC11752">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p>
              </w:tc>
              <w:tc>
                <w:tcPr>
                  <w:tcW w:w="1299" w:type="dxa"/>
                  <w:vMerge w:val="continue"/>
                  <w:tcBorders>
                    <w:tl2br w:val="nil"/>
                    <w:tr2bl w:val="nil"/>
                  </w:tcBorders>
                  <w:noWrap w:val="0"/>
                  <w:tcMar>
                    <w:top w:w="15" w:type="dxa"/>
                    <w:left w:w="15" w:type="dxa"/>
                    <w:right w:w="15" w:type="dxa"/>
                  </w:tcMar>
                  <w:vAlign w:val="center"/>
                </w:tcPr>
                <w:p w14:paraId="30DA5868">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p>
              </w:tc>
            </w:tr>
            <w:tr w14:paraId="0CB9B220">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314" w:hRule="atLeast"/>
                <w:jc w:val="center"/>
              </w:trPr>
              <w:tc>
                <w:tcPr>
                  <w:tcW w:w="1220" w:type="dxa"/>
                  <w:vMerge w:val="restart"/>
                  <w:tcBorders>
                    <w:tl2br w:val="nil"/>
                    <w:tr2bl w:val="nil"/>
                  </w:tcBorders>
                  <w:noWrap w:val="0"/>
                  <w:tcMar>
                    <w:top w:w="15" w:type="dxa"/>
                    <w:left w:w="15" w:type="dxa"/>
                    <w:right w:w="15" w:type="dxa"/>
                  </w:tcMar>
                  <w:vAlign w:val="center"/>
                </w:tcPr>
                <w:p w14:paraId="171E0B4F">
                  <w:pPr>
                    <w:spacing w:line="240" w:lineRule="auto"/>
                    <w:ind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rPr>
                    <w:t>大气环境</w:t>
                  </w:r>
                </w:p>
              </w:tc>
              <w:tc>
                <w:tcPr>
                  <w:tcW w:w="1125" w:type="dxa"/>
                  <w:tcBorders>
                    <w:bottom w:val="single" w:color="000000" w:sz="6" w:space="0"/>
                    <w:tl2br w:val="nil"/>
                    <w:tr2bl w:val="nil"/>
                  </w:tcBorders>
                  <w:noWrap w:val="0"/>
                  <w:tcMar>
                    <w:top w:w="15" w:type="dxa"/>
                    <w:left w:w="15" w:type="dxa"/>
                    <w:right w:w="15" w:type="dxa"/>
                  </w:tcMar>
                  <w:vAlign w:val="center"/>
                </w:tcPr>
                <w:p w14:paraId="4B629C01">
                  <w:pPr>
                    <w:spacing w:line="240" w:lineRule="auto"/>
                    <w:ind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rPr>
                    <w:t>111.</w:t>
                  </w:r>
                  <w:r>
                    <w:rPr>
                      <w:rFonts w:hint="eastAsia" w:ascii="Times New Roman" w:hAnsi="Times New Roman" w:eastAsia="宋体" w:cs="Times New Roman"/>
                      <w:color w:val="auto"/>
                      <w:sz w:val="21"/>
                      <w:szCs w:val="21"/>
                      <w:highlight w:val="none"/>
                      <w:u w:val="single" w:color="auto"/>
                      <w:lang w:val="en-US" w:eastAsia="zh-CN"/>
                    </w:rPr>
                    <w:t>3</w:t>
                  </w:r>
                  <w:r>
                    <w:rPr>
                      <w:rFonts w:hint="eastAsia" w:cs="Times New Roman"/>
                      <w:color w:val="auto"/>
                      <w:sz w:val="21"/>
                      <w:szCs w:val="21"/>
                      <w:highlight w:val="none"/>
                      <w:u w:val="single" w:color="auto"/>
                      <w:lang w:val="en-US" w:eastAsia="zh-CN"/>
                    </w:rPr>
                    <w:t>66225</w:t>
                  </w:r>
                </w:p>
              </w:tc>
              <w:tc>
                <w:tcPr>
                  <w:tcW w:w="1036" w:type="dxa"/>
                  <w:tcBorders>
                    <w:bottom w:val="single" w:color="000000" w:sz="6" w:space="0"/>
                    <w:tl2br w:val="nil"/>
                    <w:tr2bl w:val="nil"/>
                  </w:tcBorders>
                  <w:noWrap w:val="0"/>
                  <w:tcMar>
                    <w:top w:w="15" w:type="dxa"/>
                    <w:left w:w="15" w:type="dxa"/>
                    <w:right w:w="15" w:type="dxa"/>
                  </w:tcMar>
                  <w:vAlign w:val="center"/>
                </w:tcPr>
                <w:p w14:paraId="1625DAE1">
                  <w:pPr>
                    <w:spacing w:line="240" w:lineRule="auto"/>
                    <w:ind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rPr>
                    <w:t>25.</w:t>
                  </w:r>
                  <w:r>
                    <w:rPr>
                      <w:rFonts w:hint="eastAsia" w:ascii="Times New Roman" w:hAnsi="Times New Roman" w:eastAsia="宋体" w:cs="Times New Roman"/>
                      <w:color w:val="auto"/>
                      <w:sz w:val="21"/>
                      <w:szCs w:val="21"/>
                      <w:highlight w:val="none"/>
                      <w:u w:val="single" w:color="auto"/>
                      <w:lang w:val="en-US" w:eastAsia="zh-CN"/>
                    </w:rPr>
                    <w:t>2</w:t>
                  </w:r>
                  <w:r>
                    <w:rPr>
                      <w:rFonts w:hint="eastAsia" w:cs="Times New Roman"/>
                      <w:color w:val="auto"/>
                      <w:sz w:val="21"/>
                      <w:szCs w:val="21"/>
                      <w:highlight w:val="none"/>
                      <w:u w:val="single" w:color="auto"/>
                      <w:lang w:val="en-US" w:eastAsia="zh-CN"/>
                    </w:rPr>
                    <w:t>29689</w:t>
                  </w:r>
                </w:p>
              </w:tc>
              <w:tc>
                <w:tcPr>
                  <w:tcW w:w="1525" w:type="dxa"/>
                  <w:tcBorders>
                    <w:bottom w:val="single" w:color="000000" w:sz="6" w:space="0"/>
                    <w:tl2br w:val="nil"/>
                    <w:tr2bl w:val="nil"/>
                  </w:tcBorders>
                  <w:noWrap/>
                  <w:tcMar>
                    <w:top w:w="15" w:type="dxa"/>
                    <w:left w:w="15" w:type="dxa"/>
                    <w:right w:w="15" w:type="dxa"/>
                  </w:tcMar>
                  <w:vAlign w:val="center"/>
                </w:tcPr>
                <w:p w14:paraId="21EA452F">
                  <w:pPr>
                    <w:spacing w:line="240" w:lineRule="auto"/>
                    <w:ind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工业园集中区扶贫安置区</w:t>
                  </w:r>
                  <w:r>
                    <w:rPr>
                      <w:rFonts w:hint="eastAsia" w:ascii="Times New Roman" w:hAnsi="Times New Roman" w:eastAsia="宋体" w:cs="Times New Roman"/>
                      <w:color w:val="auto"/>
                      <w:sz w:val="21"/>
                      <w:szCs w:val="21"/>
                      <w:highlight w:val="none"/>
                      <w:u w:val="single" w:color="auto"/>
                      <w:lang w:val="en-US" w:eastAsia="zh-CN"/>
                    </w:rPr>
                    <w:t>居民，约</w:t>
                  </w:r>
                  <w:r>
                    <w:rPr>
                      <w:rFonts w:hint="eastAsia" w:cs="Times New Roman"/>
                      <w:color w:val="auto"/>
                      <w:sz w:val="21"/>
                      <w:szCs w:val="21"/>
                      <w:highlight w:val="none"/>
                      <w:u w:val="single" w:color="auto"/>
                      <w:lang w:val="en-US" w:eastAsia="zh-CN"/>
                    </w:rPr>
                    <w:t>60</w:t>
                  </w:r>
                  <w:r>
                    <w:rPr>
                      <w:rFonts w:hint="eastAsia" w:ascii="Times New Roman" w:hAnsi="Times New Roman" w:eastAsia="宋体" w:cs="Times New Roman"/>
                      <w:color w:val="auto"/>
                      <w:sz w:val="21"/>
                      <w:szCs w:val="21"/>
                      <w:highlight w:val="none"/>
                      <w:u w:val="single" w:color="auto"/>
                      <w:lang w:val="en-US" w:eastAsia="zh-CN"/>
                    </w:rPr>
                    <w:t>0人</w:t>
                  </w:r>
                </w:p>
              </w:tc>
              <w:tc>
                <w:tcPr>
                  <w:tcW w:w="855" w:type="dxa"/>
                  <w:tcBorders>
                    <w:bottom w:val="single" w:color="000000" w:sz="6" w:space="0"/>
                    <w:tl2br w:val="nil"/>
                    <w:tr2bl w:val="nil"/>
                  </w:tcBorders>
                  <w:noWrap w:val="0"/>
                  <w:tcMar>
                    <w:top w:w="15" w:type="dxa"/>
                    <w:left w:w="15" w:type="dxa"/>
                    <w:right w:w="15" w:type="dxa"/>
                  </w:tcMar>
                  <w:vAlign w:val="center"/>
                </w:tcPr>
                <w:p w14:paraId="2A6CC9BD">
                  <w:pPr>
                    <w:spacing w:line="240" w:lineRule="auto"/>
                    <w:ind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val="en-US" w:eastAsia="zh-CN"/>
                    </w:rPr>
                    <w:t>人群</w:t>
                  </w:r>
                </w:p>
              </w:tc>
              <w:tc>
                <w:tcPr>
                  <w:tcW w:w="919" w:type="dxa"/>
                  <w:tcBorders>
                    <w:bottom w:val="single" w:color="000000" w:sz="6" w:space="0"/>
                    <w:tl2br w:val="nil"/>
                    <w:tr2bl w:val="nil"/>
                  </w:tcBorders>
                  <w:noWrap w:val="0"/>
                  <w:tcMar>
                    <w:top w:w="15" w:type="dxa"/>
                    <w:left w:w="15" w:type="dxa"/>
                    <w:right w:w="15" w:type="dxa"/>
                  </w:tcMar>
                  <w:vAlign w:val="center"/>
                </w:tcPr>
                <w:p w14:paraId="1A01AFE6">
                  <w:pPr>
                    <w:spacing w:line="240" w:lineRule="auto"/>
                    <w:ind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rPr>
                    <w:t>二类</w:t>
                  </w:r>
                  <w:r>
                    <w:rPr>
                      <w:rFonts w:hint="eastAsia" w:ascii="Times New Roman" w:hAnsi="Times New Roman" w:eastAsia="宋体" w:cs="Times New Roman"/>
                      <w:color w:val="auto"/>
                      <w:sz w:val="21"/>
                      <w:szCs w:val="21"/>
                      <w:highlight w:val="none"/>
                      <w:u w:val="single" w:color="auto"/>
                      <w:lang w:val="en-US" w:eastAsia="zh-CN"/>
                    </w:rPr>
                    <w:t>区</w:t>
                  </w:r>
                </w:p>
              </w:tc>
              <w:tc>
                <w:tcPr>
                  <w:tcW w:w="1299" w:type="dxa"/>
                  <w:tcBorders>
                    <w:bottom w:val="single" w:color="000000" w:sz="6" w:space="0"/>
                    <w:tl2br w:val="nil"/>
                    <w:tr2bl w:val="nil"/>
                  </w:tcBorders>
                  <w:noWrap w:val="0"/>
                  <w:tcMar>
                    <w:top w:w="15" w:type="dxa"/>
                    <w:left w:w="15" w:type="dxa"/>
                    <w:right w:w="15" w:type="dxa"/>
                  </w:tcMar>
                  <w:vAlign w:val="center"/>
                </w:tcPr>
                <w:p w14:paraId="162911E6">
                  <w:pPr>
                    <w:spacing w:line="240" w:lineRule="auto"/>
                    <w:ind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东北侧，3</w:t>
                  </w:r>
                  <w:r>
                    <w:rPr>
                      <w:rFonts w:hint="eastAsia" w:cs="Times New Roman"/>
                      <w:color w:val="auto"/>
                      <w:sz w:val="21"/>
                      <w:szCs w:val="21"/>
                      <w:highlight w:val="none"/>
                      <w:u w:val="single" w:color="auto"/>
                      <w:lang w:val="en-US" w:eastAsia="zh-CN"/>
                    </w:rPr>
                    <w:t>8</w:t>
                  </w:r>
                  <w:r>
                    <w:rPr>
                      <w:rFonts w:hint="eastAsia" w:ascii="Times New Roman" w:hAnsi="Times New Roman" w:eastAsia="宋体" w:cs="Times New Roman"/>
                      <w:color w:val="auto"/>
                      <w:sz w:val="21"/>
                      <w:szCs w:val="21"/>
                      <w:highlight w:val="none"/>
                      <w:u w:val="single" w:color="auto"/>
                      <w:lang w:val="en-US" w:eastAsia="zh-CN"/>
                    </w:rPr>
                    <w:t>0-5</w:t>
                  </w:r>
                  <w:r>
                    <w:rPr>
                      <w:rFonts w:hint="eastAsia" w:cs="Times New Roman"/>
                      <w:color w:val="auto"/>
                      <w:sz w:val="21"/>
                      <w:szCs w:val="21"/>
                      <w:highlight w:val="none"/>
                      <w:u w:val="single" w:color="auto"/>
                      <w:lang w:val="en-US" w:eastAsia="zh-CN"/>
                    </w:rPr>
                    <w:t>5</w:t>
                  </w:r>
                  <w:r>
                    <w:rPr>
                      <w:rFonts w:hint="eastAsia" w:ascii="Times New Roman" w:hAnsi="Times New Roman" w:eastAsia="宋体" w:cs="Times New Roman"/>
                      <w:color w:val="auto"/>
                      <w:sz w:val="21"/>
                      <w:szCs w:val="21"/>
                      <w:highlight w:val="none"/>
                      <w:u w:val="single" w:color="auto"/>
                      <w:lang w:val="en-US" w:eastAsia="zh-CN"/>
                    </w:rPr>
                    <w:t>0m</w:t>
                  </w:r>
                </w:p>
              </w:tc>
            </w:tr>
            <w:tr w14:paraId="6995ED54">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224" w:hRule="atLeast"/>
                <w:jc w:val="center"/>
              </w:trPr>
              <w:tc>
                <w:tcPr>
                  <w:tcW w:w="1220" w:type="dxa"/>
                  <w:vMerge w:val="continue"/>
                  <w:tcBorders>
                    <w:tl2br w:val="nil"/>
                    <w:tr2bl w:val="nil"/>
                  </w:tcBorders>
                  <w:noWrap w:val="0"/>
                  <w:tcMar>
                    <w:top w:w="15" w:type="dxa"/>
                    <w:left w:w="15" w:type="dxa"/>
                    <w:right w:w="15" w:type="dxa"/>
                  </w:tcMar>
                  <w:vAlign w:val="center"/>
                </w:tcPr>
                <w:p w14:paraId="280F8443">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p>
              </w:tc>
              <w:tc>
                <w:tcPr>
                  <w:tcW w:w="1125" w:type="dxa"/>
                  <w:tcBorders>
                    <w:top w:val="single" w:color="000000" w:sz="6" w:space="0"/>
                    <w:tl2br w:val="nil"/>
                    <w:tr2bl w:val="nil"/>
                  </w:tcBorders>
                  <w:noWrap w:val="0"/>
                  <w:tcMar>
                    <w:top w:w="15" w:type="dxa"/>
                    <w:left w:w="15" w:type="dxa"/>
                    <w:right w:w="15" w:type="dxa"/>
                  </w:tcMar>
                  <w:vAlign w:val="center"/>
                </w:tcPr>
                <w:p w14:paraId="6DF624BA">
                  <w:pPr>
                    <w:spacing w:line="240" w:lineRule="auto"/>
                    <w:ind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111.3</w:t>
                  </w:r>
                  <w:r>
                    <w:rPr>
                      <w:rFonts w:hint="eastAsia" w:cs="Times New Roman"/>
                      <w:color w:val="auto"/>
                      <w:sz w:val="21"/>
                      <w:szCs w:val="21"/>
                      <w:highlight w:val="none"/>
                      <w:u w:val="single" w:color="auto"/>
                      <w:lang w:val="en-US" w:eastAsia="zh-CN"/>
                    </w:rPr>
                    <w:t>68306</w:t>
                  </w:r>
                </w:p>
              </w:tc>
              <w:tc>
                <w:tcPr>
                  <w:tcW w:w="1036" w:type="dxa"/>
                  <w:tcBorders>
                    <w:top w:val="single" w:color="000000" w:sz="6" w:space="0"/>
                    <w:tl2br w:val="nil"/>
                    <w:tr2bl w:val="nil"/>
                  </w:tcBorders>
                  <w:noWrap w:val="0"/>
                  <w:tcMar>
                    <w:top w:w="15" w:type="dxa"/>
                    <w:left w:w="15" w:type="dxa"/>
                    <w:right w:w="15" w:type="dxa"/>
                  </w:tcMar>
                  <w:vAlign w:val="center"/>
                </w:tcPr>
                <w:p w14:paraId="03743A68">
                  <w:pPr>
                    <w:spacing w:line="240" w:lineRule="auto"/>
                    <w:ind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25.2</w:t>
                  </w:r>
                  <w:r>
                    <w:rPr>
                      <w:rFonts w:hint="eastAsia" w:cs="Times New Roman"/>
                      <w:color w:val="auto"/>
                      <w:sz w:val="21"/>
                      <w:szCs w:val="21"/>
                      <w:highlight w:val="none"/>
                      <w:u w:val="single" w:color="auto"/>
                      <w:lang w:val="en-US" w:eastAsia="zh-CN"/>
                    </w:rPr>
                    <w:t>29126</w:t>
                  </w:r>
                </w:p>
              </w:tc>
              <w:tc>
                <w:tcPr>
                  <w:tcW w:w="1525" w:type="dxa"/>
                  <w:tcBorders>
                    <w:top w:val="single" w:color="000000" w:sz="6" w:space="0"/>
                    <w:tl2br w:val="nil"/>
                    <w:tr2bl w:val="nil"/>
                  </w:tcBorders>
                  <w:noWrap/>
                  <w:tcMar>
                    <w:top w:w="15" w:type="dxa"/>
                    <w:left w:w="15" w:type="dxa"/>
                    <w:right w:w="15" w:type="dxa"/>
                  </w:tcMar>
                  <w:vAlign w:val="center"/>
                </w:tcPr>
                <w:p w14:paraId="535FA0B0">
                  <w:pPr>
                    <w:spacing w:line="240" w:lineRule="auto"/>
                    <w:ind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工业园集中区幼儿园</w:t>
                  </w:r>
                  <w:r>
                    <w:rPr>
                      <w:rFonts w:hint="eastAsia" w:ascii="Times New Roman" w:hAnsi="Times New Roman" w:eastAsia="宋体" w:cs="Times New Roman"/>
                      <w:color w:val="auto"/>
                      <w:sz w:val="21"/>
                      <w:szCs w:val="21"/>
                      <w:highlight w:val="none"/>
                      <w:u w:val="single" w:color="auto"/>
                      <w:lang w:val="en-US" w:eastAsia="zh-CN"/>
                    </w:rPr>
                    <w:t>，约</w:t>
                  </w:r>
                  <w:r>
                    <w:rPr>
                      <w:rFonts w:hint="eastAsia" w:cs="Times New Roman"/>
                      <w:color w:val="auto"/>
                      <w:sz w:val="21"/>
                      <w:szCs w:val="21"/>
                      <w:highlight w:val="none"/>
                      <w:u w:val="single" w:color="auto"/>
                      <w:lang w:val="en-US" w:eastAsia="zh-CN"/>
                    </w:rPr>
                    <w:t>2</w:t>
                  </w:r>
                  <w:r>
                    <w:rPr>
                      <w:rFonts w:hint="eastAsia" w:ascii="Times New Roman" w:hAnsi="Times New Roman" w:eastAsia="宋体" w:cs="Times New Roman"/>
                      <w:color w:val="auto"/>
                      <w:sz w:val="21"/>
                      <w:szCs w:val="21"/>
                      <w:highlight w:val="none"/>
                      <w:u w:val="single" w:color="auto"/>
                      <w:lang w:val="en-US" w:eastAsia="zh-CN"/>
                    </w:rPr>
                    <w:t>00人</w:t>
                  </w:r>
                </w:p>
              </w:tc>
              <w:tc>
                <w:tcPr>
                  <w:tcW w:w="855" w:type="dxa"/>
                  <w:tcBorders>
                    <w:top w:val="single" w:color="000000" w:sz="6" w:space="0"/>
                    <w:tl2br w:val="nil"/>
                    <w:tr2bl w:val="nil"/>
                  </w:tcBorders>
                  <w:noWrap w:val="0"/>
                  <w:tcMar>
                    <w:top w:w="15" w:type="dxa"/>
                    <w:left w:w="15" w:type="dxa"/>
                    <w:right w:w="15" w:type="dxa"/>
                  </w:tcMar>
                  <w:vAlign w:val="center"/>
                </w:tcPr>
                <w:p w14:paraId="5049D662">
                  <w:pPr>
                    <w:spacing w:line="240" w:lineRule="auto"/>
                    <w:ind w:firstLine="0" w:firstLineChars="0"/>
                    <w:jc w:val="center"/>
                    <w:rPr>
                      <w:rFonts w:hint="eastAsia" w:ascii="Times New Roman" w:hAnsi="Times New Roman" w:eastAsia="宋体" w:cs="Times New Roman"/>
                      <w:color w:val="auto"/>
                      <w:kern w:val="2"/>
                      <w:sz w:val="21"/>
                      <w:szCs w:val="21"/>
                      <w:highlight w:val="none"/>
                      <w:u w:val="single" w:color="auto"/>
                      <w:lang w:val="en-US" w:eastAsia="zh-CN" w:bidi="ar-SA"/>
                    </w:rPr>
                  </w:pPr>
                  <w:r>
                    <w:rPr>
                      <w:rFonts w:hint="eastAsia" w:ascii="Times New Roman" w:hAnsi="Times New Roman" w:eastAsia="宋体" w:cs="Times New Roman"/>
                      <w:color w:val="auto"/>
                      <w:sz w:val="21"/>
                      <w:szCs w:val="21"/>
                      <w:highlight w:val="none"/>
                      <w:u w:val="single" w:color="auto"/>
                      <w:lang w:val="en-US" w:eastAsia="zh-CN"/>
                    </w:rPr>
                    <w:t>人群</w:t>
                  </w:r>
                </w:p>
              </w:tc>
              <w:tc>
                <w:tcPr>
                  <w:tcW w:w="919" w:type="dxa"/>
                  <w:tcBorders>
                    <w:top w:val="single" w:color="000000" w:sz="6" w:space="0"/>
                    <w:tl2br w:val="nil"/>
                    <w:tr2bl w:val="nil"/>
                  </w:tcBorders>
                  <w:noWrap w:val="0"/>
                  <w:tcMar>
                    <w:top w:w="15" w:type="dxa"/>
                    <w:left w:w="15" w:type="dxa"/>
                    <w:right w:w="15" w:type="dxa"/>
                  </w:tcMar>
                  <w:vAlign w:val="center"/>
                </w:tcPr>
                <w:p w14:paraId="2D176691">
                  <w:pPr>
                    <w:spacing w:line="240" w:lineRule="auto"/>
                    <w:ind w:firstLine="0" w:firstLineChars="0"/>
                    <w:jc w:val="center"/>
                    <w:rPr>
                      <w:rFonts w:hint="eastAsia" w:ascii="Times New Roman" w:hAnsi="Times New Roman" w:eastAsia="宋体" w:cs="Times New Roman"/>
                      <w:color w:val="auto"/>
                      <w:kern w:val="2"/>
                      <w:sz w:val="21"/>
                      <w:szCs w:val="21"/>
                      <w:highlight w:val="none"/>
                      <w:u w:val="single" w:color="auto"/>
                      <w:lang w:val="en-US" w:eastAsia="zh-CN" w:bidi="ar-SA"/>
                    </w:rPr>
                  </w:pPr>
                  <w:r>
                    <w:rPr>
                      <w:rFonts w:hint="eastAsia" w:ascii="Times New Roman" w:hAnsi="Times New Roman" w:eastAsia="宋体" w:cs="Times New Roman"/>
                      <w:color w:val="auto"/>
                      <w:sz w:val="21"/>
                      <w:szCs w:val="21"/>
                      <w:highlight w:val="none"/>
                      <w:u w:val="single" w:color="auto"/>
                    </w:rPr>
                    <w:t>二类</w:t>
                  </w:r>
                  <w:r>
                    <w:rPr>
                      <w:rFonts w:hint="eastAsia" w:ascii="Times New Roman" w:hAnsi="Times New Roman" w:eastAsia="宋体" w:cs="Times New Roman"/>
                      <w:color w:val="auto"/>
                      <w:sz w:val="21"/>
                      <w:szCs w:val="21"/>
                      <w:highlight w:val="none"/>
                      <w:u w:val="single" w:color="auto"/>
                      <w:lang w:val="en-US" w:eastAsia="zh-CN"/>
                    </w:rPr>
                    <w:t>区</w:t>
                  </w:r>
                </w:p>
              </w:tc>
              <w:tc>
                <w:tcPr>
                  <w:tcW w:w="1299" w:type="dxa"/>
                  <w:tcBorders>
                    <w:top w:val="single" w:color="000000" w:sz="6" w:space="0"/>
                    <w:tl2br w:val="nil"/>
                    <w:tr2bl w:val="nil"/>
                  </w:tcBorders>
                  <w:noWrap w:val="0"/>
                  <w:tcMar>
                    <w:top w:w="15" w:type="dxa"/>
                    <w:left w:w="15" w:type="dxa"/>
                    <w:right w:w="15" w:type="dxa"/>
                  </w:tcMar>
                  <w:vAlign w:val="center"/>
                </w:tcPr>
                <w:p w14:paraId="79F59570">
                  <w:pPr>
                    <w:spacing w:line="240" w:lineRule="auto"/>
                    <w:ind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西侧，</w:t>
                  </w:r>
                  <w:r>
                    <w:rPr>
                      <w:rFonts w:hint="eastAsia" w:cs="Times New Roman"/>
                      <w:color w:val="auto"/>
                      <w:sz w:val="21"/>
                      <w:szCs w:val="21"/>
                      <w:highlight w:val="none"/>
                      <w:u w:val="single" w:color="auto"/>
                      <w:lang w:val="en-US" w:eastAsia="zh-CN"/>
                    </w:rPr>
                    <w:t>53</w:t>
                  </w:r>
                  <w:r>
                    <w:rPr>
                      <w:rFonts w:hint="eastAsia" w:ascii="Times New Roman" w:hAnsi="Times New Roman" w:eastAsia="宋体" w:cs="Times New Roman"/>
                      <w:color w:val="auto"/>
                      <w:sz w:val="21"/>
                      <w:szCs w:val="21"/>
                      <w:highlight w:val="none"/>
                      <w:u w:val="single" w:color="auto"/>
                      <w:lang w:val="en-US" w:eastAsia="zh-CN"/>
                    </w:rPr>
                    <w:t>0-</w:t>
                  </w:r>
                  <w:r>
                    <w:rPr>
                      <w:rFonts w:hint="eastAsia" w:cs="Times New Roman"/>
                      <w:color w:val="auto"/>
                      <w:sz w:val="21"/>
                      <w:szCs w:val="21"/>
                      <w:highlight w:val="none"/>
                      <w:u w:val="single" w:color="auto"/>
                      <w:lang w:val="en-US" w:eastAsia="zh-CN"/>
                    </w:rPr>
                    <w:t>61</w:t>
                  </w:r>
                  <w:r>
                    <w:rPr>
                      <w:rFonts w:hint="eastAsia" w:ascii="Times New Roman" w:hAnsi="Times New Roman" w:eastAsia="宋体" w:cs="Times New Roman"/>
                      <w:color w:val="auto"/>
                      <w:sz w:val="21"/>
                      <w:szCs w:val="21"/>
                      <w:highlight w:val="none"/>
                      <w:u w:val="single" w:color="auto"/>
                      <w:lang w:val="en-US" w:eastAsia="zh-CN"/>
                    </w:rPr>
                    <w:t>5m</w:t>
                  </w:r>
                </w:p>
              </w:tc>
            </w:tr>
            <w:tr w14:paraId="0D52B835">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1220" w:type="dxa"/>
                  <w:tcBorders>
                    <w:tl2br w:val="nil"/>
                    <w:tr2bl w:val="nil"/>
                  </w:tcBorders>
                  <w:noWrap w:val="0"/>
                  <w:tcMar>
                    <w:top w:w="15" w:type="dxa"/>
                    <w:left w:w="15" w:type="dxa"/>
                    <w:right w:w="15" w:type="dxa"/>
                  </w:tcMar>
                  <w:vAlign w:val="center"/>
                </w:tcPr>
                <w:p w14:paraId="310C8AA7">
                  <w:pPr>
                    <w:spacing w:line="240" w:lineRule="auto"/>
                    <w:ind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rPr>
                    <w:t>声环境</w:t>
                  </w:r>
                </w:p>
              </w:tc>
              <w:tc>
                <w:tcPr>
                  <w:tcW w:w="6759" w:type="dxa"/>
                  <w:gridSpan w:val="6"/>
                  <w:tcBorders>
                    <w:tl2br w:val="nil"/>
                    <w:tr2bl w:val="nil"/>
                  </w:tcBorders>
                  <w:noWrap w:val="0"/>
                  <w:tcMar>
                    <w:top w:w="15" w:type="dxa"/>
                    <w:left w:w="15" w:type="dxa"/>
                    <w:right w:w="15" w:type="dxa"/>
                  </w:tcMar>
                  <w:vAlign w:val="center"/>
                </w:tcPr>
                <w:p w14:paraId="3664266A">
                  <w:pPr>
                    <w:spacing w:line="240" w:lineRule="auto"/>
                    <w:ind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rPr>
                    <w:t>项目厂界50m范围内无噪声敏感目标</w:t>
                  </w:r>
                </w:p>
              </w:tc>
            </w:tr>
            <w:tr w14:paraId="23FDFCB7">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1220" w:type="dxa"/>
                  <w:tcBorders>
                    <w:tl2br w:val="nil"/>
                    <w:tr2bl w:val="nil"/>
                  </w:tcBorders>
                  <w:noWrap w:val="0"/>
                  <w:tcMar>
                    <w:top w:w="15" w:type="dxa"/>
                    <w:left w:w="15" w:type="dxa"/>
                    <w:right w:w="15" w:type="dxa"/>
                  </w:tcMar>
                  <w:vAlign w:val="center"/>
                </w:tcPr>
                <w:p w14:paraId="62F2D362">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地下水环境</w:t>
                  </w:r>
                </w:p>
              </w:tc>
              <w:tc>
                <w:tcPr>
                  <w:tcW w:w="6759" w:type="dxa"/>
                  <w:gridSpan w:val="6"/>
                  <w:tcBorders>
                    <w:tl2br w:val="nil"/>
                    <w:tr2bl w:val="nil"/>
                  </w:tcBorders>
                  <w:noWrap w:val="0"/>
                  <w:tcMar>
                    <w:top w:w="15" w:type="dxa"/>
                    <w:left w:w="15" w:type="dxa"/>
                    <w:right w:w="15" w:type="dxa"/>
                  </w:tcMar>
                  <w:vAlign w:val="center"/>
                </w:tcPr>
                <w:p w14:paraId="27FD7C23">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厂界外500m范围内无地下水集中式饮用水水源和热水、矿泉水、温泉等特殊地下水资源</w:t>
                  </w:r>
                </w:p>
              </w:tc>
            </w:tr>
            <w:tr w14:paraId="695856C3">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1220" w:type="dxa"/>
                  <w:tcBorders>
                    <w:tl2br w:val="nil"/>
                    <w:tr2bl w:val="nil"/>
                  </w:tcBorders>
                  <w:noWrap w:val="0"/>
                  <w:tcMar>
                    <w:top w:w="15" w:type="dxa"/>
                    <w:left w:w="15" w:type="dxa"/>
                    <w:right w:w="15" w:type="dxa"/>
                  </w:tcMar>
                  <w:vAlign w:val="center"/>
                </w:tcPr>
                <w:p w14:paraId="128FF293">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生态环境</w:t>
                  </w:r>
                </w:p>
              </w:tc>
              <w:tc>
                <w:tcPr>
                  <w:tcW w:w="6759" w:type="dxa"/>
                  <w:gridSpan w:val="6"/>
                  <w:tcBorders>
                    <w:tl2br w:val="nil"/>
                    <w:tr2bl w:val="nil"/>
                  </w:tcBorders>
                  <w:noWrap w:val="0"/>
                  <w:tcMar>
                    <w:top w:w="15" w:type="dxa"/>
                    <w:left w:w="15" w:type="dxa"/>
                    <w:right w:w="15" w:type="dxa"/>
                  </w:tcMar>
                  <w:vAlign w:val="center"/>
                </w:tcPr>
                <w:p w14:paraId="5CF8711F">
                  <w:pPr>
                    <w:spacing w:line="240" w:lineRule="auto"/>
                    <w:ind w:firstLine="0" w:firstLineChars="0"/>
                    <w:jc w:val="center"/>
                    <w:rPr>
                      <w:rFonts w:hint="eastAsia"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rPr>
                    <w:t>用地范围内无生态环境保护目标</w:t>
                  </w:r>
                </w:p>
              </w:tc>
            </w:tr>
          </w:tbl>
          <w:p w14:paraId="0514A1A6">
            <w:pPr>
              <w:spacing w:line="360" w:lineRule="auto"/>
              <w:ind w:firstLine="480" w:firstLineChars="200"/>
              <w:rPr>
                <w:color w:val="auto"/>
                <w:kern w:val="0"/>
                <w:szCs w:val="21"/>
                <w:highlight w:val="none"/>
              </w:rPr>
            </w:pPr>
          </w:p>
        </w:tc>
      </w:tr>
      <w:tr w14:paraId="7A2F36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94" w:hRule="atLeast"/>
          <w:jc w:val="center"/>
        </w:trPr>
        <w:tc>
          <w:tcPr>
            <w:tcW w:w="777" w:type="dxa"/>
            <w:noWrap w:val="0"/>
            <w:tcMar>
              <w:left w:w="28" w:type="dxa"/>
              <w:right w:w="28" w:type="dxa"/>
            </w:tcMar>
            <w:vAlign w:val="center"/>
          </w:tcPr>
          <w:p w14:paraId="51F519E5">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污染</w:t>
            </w:r>
          </w:p>
          <w:p w14:paraId="5CEEF8D3">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物排</w:t>
            </w:r>
          </w:p>
          <w:p w14:paraId="0D4D2EA4">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放控</w:t>
            </w:r>
          </w:p>
          <w:p w14:paraId="56108009">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制标</w:t>
            </w:r>
          </w:p>
          <w:p w14:paraId="6898BF7D">
            <w:pPr>
              <w:adjustRightInd w:val="0"/>
              <w:snapToGrid w:val="0"/>
              <w:ind w:left="0" w:leftChars="0" w:firstLine="0" w:firstLineChars="0"/>
              <w:jc w:val="center"/>
              <w:rPr>
                <w:color w:val="auto"/>
                <w:kern w:val="0"/>
                <w:szCs w:val="21"/>
                <w:highlight w:val="none"/>
              </w:rPr>
            </w:pPr>
            <w:r>
              <w:rPr>
                <w:rFonts w:ascii="Times New Roman" w:hAnsi="Times New Roman" w:eastAsia="宋体" w:cs="Times New Roman"/>
                <w:color w:val="auto"/>
                <w:kern w:val="0"/>
                <w:szCs w:val="21"/>
                <w:highlight w:val="none"/>
              </w:rPr>
              <w:t>准</w:t>
            </w:r>
          </w:p>
        </w:tc>
        <w:tc>
          <w:tcPr>
            <w:tcW w:w="8037" w:type="dxa"/>
            <w:noWrap w:val="0"/>
            <w:vAlign w:val="center"/>
          </w:tcPr>
          <w:p w14:paraId="2F1379B9">
            <w:pPr>
              <w:bidi w:val="0"/>
              <w:rPr>
                <w:rFonts w:hint="eastAsia"/>
                <w:color w:val="auto"/>
                <w:lang w:val="en-US" w:eastAsia="zh-CN"/>
              </w:rPr>
            </w:pPr>
            <w:r>
              <w:rPr>
                <w:rFonts w:hint="eastAsia"/>
                <w:color w:val="auto"/>
              </w:rPr>
              <w:t>1、</w:t>
            </w:r>
            <w:r>
              <w:rPr>
                <w:rFonts w:hint="eastAsia"/>
                <w:color w:val="auto"/>
                <w:lang w:val="en-US" w:eastAsia="zh-CN"/>
              </w:rPr>
              <w:t>废水</w:t>
            </w:r>
          </w:p>
          <w:p w14:paraId="272368D5">
            <w:pPr>
              <w:bidi w:val="0"/>
              <w:rPr>
                <w:color w:val="auto"/>
              </w:rPr>
            </w:pPr>
            <w:r>
              <w:rPr>
                <w:rFonts w:hint="eastAsia"/>
                <w:color w:val="auto"/>
              </w:rPr>
              <w:t>本项目生活污水</w:t>
            </w:r>
            <w:r>
              <w:rPr>
                <w:rFonts w:hint="eastAsia"/>
                <w:color w:val="auto"/>
                <w:lang w:val="en-US" w:eastAsia="zh-CN"/>
              </w:rPr>
              <w:t>依托园区</w:t>
            </w:r>
            <w:r>
              <w:rPr>
                <w:rFonts w:hint="eastAsia"/>
                <w:color w:val="auto"/>
              </w:rPr>
              <w:t>化粪池预处理达到</w:t>
            </w:r>
            <w:r>
              <w:rPr>
                <w:rFonts w:hint="eastAsia"/>
                <w:color w:val="auto"/>
                <w:lang w:eastAsia="zh-CN"/>
              </w:rPr>
              <w:t>江永工业园污水处理厂</w:t>
            </w:r>
            <w:r>
              <w:rPr>
                <w:rFonts w:hint="eastAsia"/>
                <w:color w:val="auto"/>
              </w:rPr>
              <w:t>接管标准及《污水综合排放标准》</w:t>
            </w:r>
            <w:r>
              <w:rPr>
                <w:rFonts w:hint="eastAsia"/>
                <w:color w:val="auto"/>
                <w:lang w:eastAsia="zh-CN"/>
              </w:rPr>
              <w:t>(</w:t>
            </w:r>
            <w:r>
              <w:rPr>
                <w:rFonts w:hint="eastAsia"/>
                <w:color w:val="auto"/>
              </w:rPr>
              <w:t>GB8978-1996</w:t>
            </w:r>
            <w:r>
              <w:rPr>
                <w:rFonts w:hint="eastAsia"/>
                <w:color w:val="auto"/>
                <w:lang w:eastAsia="zh-CN"/>
              </w:rPr>
              <w:t>)</w:t>
            </w:r>
            <w:r>
              <w:rPr>
                <w:rFonts w:hint="eastAsia"/>
                <w:color w:val="auto"/>
              </w:rPr>
              <w:t>表4中三级标准要求后，经市政污水管网排入工业园污水处理厂进一步处理，污水处理厂尾水</w:t>
            </w:r>
            <w:r>
              <w:rPr>
                <w:rFonts w:hint="eastAsia"/>
                <w:color w:val="auto"/>
                <w:lang w:eastAsia="zh-CN"/>
              </w:rPr>
              <w:t>排入马河</w:t>
            </w:r>
            <w:r>
              <w:rPr>
                <w:rFonts w:hint="eastAsia"/>
                <w:color w:val="auto"/>
              </w:rPr>
              <w:t>。</w:t>
            </w:r>
          </w:p>
          <w:p w14:paraId="45093931">
            <w:pPr>
              <w:spacing w:line="240" w:lineRule="auto"/>
              <w:ind w:firstLine="422"/>
              <w:jc w:val="center"/>
              <w:rPr>
                <w:rFonts w:hint="eastAsia" w:ascii="Times New Roman" w:hAnsi="Times New Roman" w:eastAsia="宋体" w:cs="Times New Roman"/>
                <w:b/>
                <w:bCs/>
                <w:color w:val="auto"/>
                <w:sz w:val="21"/>
                <w:szCs w:val="21"/>
                <w:highlight w:val="none"/>
                <w:u w:val="none" w:color="auto"/>
                <w:lang w:eastAsia="zh-CN"/>
              </w:rPr>
            </w:pPr>
            <w:r>
              <w:rPr>
                <w:rFonts w:ascii="Times New Roman" w:hAnsi="Times New Roman" w:eastAsia="宋体" w:cs="Times New Roman"/>
                <w:b/>
                <w:bCs/>
                <w:color w:val="auto"/>
                <w:sz w:val="21"/>
                <w:szCs w:val="21"/>
                <w:highlight w:val="none"/>
                <w:u w:val="none" w:color="auto"/>
              </w:rPr>
              <w:t>表</w:t>
            </w:r>
            <w:r>
              <w:rPr>
                <w:rFonts w:hint="eastAsia" w:ascii="Times New Roman" w:hAnsi="Times New Roman" w:eastAsia="宋体" w:cs="Times New Roman"/>
                <w:b/>
                <w:bCs/>
                <w:color w:val="auto"/>
                <w:sz w:val="21"/>
                <w:szCs w:val="21"/>
                <w:highlight w:val="none"/>
                <w:u w:val="none" w:color="auto"/>
              </w:rPr>
              <w:t>3-</w:t>
            </w:r>
            <w:r>
              <w:rPr>
                <w:rFonts w:hint="eastAsia" w:ascii="Times New Roman" w:hAnsi="Times New Roman" w:eastAsia="宋体" w:cs="Times New Roman"/>
                <w:b/>
                <w:bCs/>
                <w:color w:val="auto"/>
                <w:sz w:val="21"/>
                <w:szCs w:val="21"/>
                <w:highlight w:val="none"/>
                <w:u w:val="none" w:color="auto"/>
                <w:lang w:val="en-US" w:eastAsia="zh-CN"/>
              </w:rPr>
              <w:t>5</w:t>
            </w:r>
            <w:r>
              <w:rPr>
                <w:rFonts w:ascii="Times New Roman" w:hAnsi="Times New Roman" w:eastAsia="宋体" w:cs="Times New Roman"/>
                <w:b/>
                <w:bCs/>
                <w:color w:val="auto"/>
                <w:sz w:val="21"/>
                <w:szCs w:val="21"/>
                <w:highlight w:val="none"/>
                <w:u w:val="none" w:color="auto"/>
              </w:rPr>
              <w:t xml:space="preserve"> </w:t>
            </w:r>
            <w:r>
              <w:rPr>
                <w:rFonts w:hint="eastAsia"/>
                <w:b/>
                <w:bCs/>
                <w:color w:val="auto"/>
                <w:sz w:val="21"/>
                <w:szCs w:val="21"/>
              </w:rPr>
              <w:t>废水污染物排放标准（节选）</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3"/>
              <w:gridCol w:w="2327"/>
              <w:gridCol w:w="2982"/>
              <w:gridCol w:w="1326"/>
            </w:tblGrid>
            <w:tr w14:paraId="0FC49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7BA533B2">
                  <w:pPr>
                    <w:widowControl/>
                    <w:spacing w:line="240" w:lineRule="auto"/>
                    <w:ind w:firstLine="0" w:firstLineChars="0"/>
                    <w:jc w:val="center"/>
                    <w:rPr>
                      <w:color w:val="auto"/>
                      <w:kern w:val="0"/>
                      <w:sz w:val="21"/>
                      <w:szCs w:val="21"/>
                    </w:rPr>
                  </w:pPr>
                  <w:r>
                    <w:rPr>
                      <w:rFonts w:hint="eastAsia"/>
                      <w:color w:val="auto"/>
                      <w:kern w:val="0"/>
                      <w:sz w:val="21"/>
                      <w:szCs w:val="21"/>
                    </w:rPr>
                    <w:t>污染物</w:t>
                  </w:r>
                </w:p>
              </w:tc>
              <w:tc>
                <w:tcPr>
                  <w:tcW w:w="1490" w:type="pct"/>
                  <w:noWrap w:val="0"/>
                  <w:vAlign w:val="center"/>
                </w:tcPr>
                <w:p w14:paraId="63351E1E">
                  <w:pPr>
                    <w:widowControl/>
                    <w:spacing w:line="240" w:lineRule="auto"/>
                    <w:ind w:firstLine="0" w:firstLineChars="0"/>
                    <w:jc w:val="center"/>
                    <w:rPr>
                      <w:color w:val="auto"/>
                      <w:kern w:val="0"/>
                      <w:sz w:val="21"/>
                      <w:szCs w:val="21"/>
                    </w:rPr>
                  </w:pPr>
                  <w:r>
                    <w:rPr>
                      <w:rFonts w:hint="eastAsia"/>
                      <w:color w:val="auto"/>
                      <w:sz w:val="21"/>
                      <w:szCs w:val="21"/>
                    </w:rPr>
                    <w:t>GB8978-1996</w:t>
                  </w:r>
                  <w:r>
                    <w:rPr>
                      <w:rFonts w:hint="eastAsia"/>
                      <w:color w:val="auto"/>
                      <w:kern w:val="0"/>
                      <w:sz w:val="21"/>
                      <w:szCs w:val="21"/>
                    </w:rPr>
                    <w:t>三级标准</w:t>
                  </w:r>
                </w:p>
              </w:tc>
              <w:tc>
                <w:tcPr>
                  <w:tcW w:w="1909" w:type="pct"/>
                  <w:noWrap w:val="0"/>
                  <w:vAlign w:val="center"/>
                </w:tcPr>
                <w:p w14:paraId="4CF76E57">
                  <w:pPr>
                    <w:widowControl/>
                    <w:spacing w:line="240" w:lineRule="auto"/>
                    <w:ind w:firstLine="0" w:firstLineChars="0"/>
                    <w:jc w:val="center"/>
                    <w:rPr>
                      <w:rFonts w:hint="eastAsia"/>
                      <w:color w:val="auto"/>
                      <w:sz w:val="21"/>
                      <w:szCs w:val="21"/>
                    </w:rPr>
                  </w:pPr>
                  <w:r>
                    <w:rPr>
                      <w:rFonts w:hint="eastAsia"/>
                      <w:color w:val="auto"/>
                      <w:sz w:val="21"/>
                      <w:szCs w:val="21"/>
                    </w:rPr>
                    <w:t>污水处理厂设计进水水质标准</w:t>
                  </w:r>
                </w:p>
              </w:tc>
              <w:tc>
                <w:tcPr>
                  <w:tcW w:w="849" w:type="pct"/>
                  <w:noWrap w:val="0"/>
                  <w:vAlign w:val="center"/>
                </w:tcPr>
                <w:p w14:paraId="4A4F12D6">
                  <w:pPr>
                    <w:widowControl/>
                    <w:spacing w:line="240" w:lineRule="auto"/>
                    <w:ind w:firstLine="0" w:firstLineChars="0"/>
                    <w:jc w:val="center"/>
                    <w:rPr>
                      <w:color w:val="auto"/>
                      <w:kern w:val="0"/>
                      <w:sz w:val="21"/>
                      <w:szCs w:val="21"/>
                    </w:rPr>
                  </w:pPr>
                  <w:r>
                    <w:rPr>
                      <w:rFonts w:hint="eastAsia"/>
                      <w:color w:val="auto"/>
                      <w:sz w:val="21"/>
                      <w:szCs w:val="21"/>
                    </w:rPr>
                    <w:t>一级A标准</w:t>
                  </w:r>
                </w:p>
              </w:tc>
            </w:tr>
            <w:tr w14:paraId="03462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06F96097">
                  <w:pPr>
                    <w:widowControl/>
                    <w:spacing w:line="240" w:lineRule="auto"/>
                    <w:ind w:firstLine="0" w:firstLineChars="0"/>
                    <w:jc w:val="center"/>
                    <w:rPr>
                      <w:color w:val="auto"/>
                      <w:kern w:val="0"/>
                      <w:sz w:val="21"/>
                      <w:szCs w:val="21"/>
                    </w:rPr>
                  </w:pPr>
                  <w:r>
                    <w:rPr>
                      <w:rFonts w:hint="eastAsia"/>
                      <w:color w:val="auto"/>
                      <w:kern w:val="0"/>
                      <w:sz w:val="21"/>
                      <w:szCs w:val="21"/>
                      <w:lang w:val="en-US" w:eastAsia="zh-CN"/>
                    </w:rPr>
                    <w:t>p</w:t>
                  </w:r>
                  <w:r>
                    <w:rPr>
                      <w:rFonts w:hint="eastAsia"/>
                      <w:color w:val="auto"/>
                      <w:kern w:val="0"/>
                      <w:sz w:val="21"/>
                      <w:szCs w:val="21"/>
                    </w:rPr>
                    <w:t>H</w:t>
                  </w:r>
                </w:p>
              </w:tc>
              <w:tc>
                <w:tcPr>
                  <w:tcW w:w="1490" w:type="pct"/>
                  <w:noWrap w:val="0"/>
                  <w:vAlign w:val="center"/>
                </w:tcPr>
                <w:p w14:paraId="612960AF">
                  <w:pPr>
                    <w:widowControl/>
                    <w:spacing w:line="240" w:lineRule="auto"/>
                    <w:ind w:firstLine="0" w:firstLineChars="0"/>
                    <w:jc w:val="center"/>
                    <w:rPr>
                      <w:color w:val="auto"/>
                      <w:kern w:val="0"/>
                      <w:sz w:val="21"/>
                      <w:szCs w:val="21"/>
                    </w:rPr>
                  </w:pPr>
                  <w:r>
                    <w:rPr>
                      <w:rFonts w:hint="eastAsia"/>
                      <w:color w:val="auto"/>
                      <w:kern w:val="0"/>
                      <w:sz w:val="21"/>
                      <w:szCs w:val="21"/>
                    </w:rPr>
                    <w:t>6~9</w:t>
                  </w:r>
                </w:p>
              </w:tc>
              <w:tc>
                <w:tcPr>
                  <w:tcW w:w="1909" w:type="pct"/>
                  <w:noWrap w:val="0"/>
                  <w:vAlign w:val="center"/>
                </w:tcPr>
                <w:p w14:paraId="4B552632">
                  <w:pPr>
                    <w:widowControl/>
                    <w:spacing w:line="240" w:lineRule="auto"/>
                    <w:ind w:firstLine="0" w:firstLineChars="0"/>
                    <w:jc w:val="center"/>
                    <w:rPr>
                      <w:rFonts w:hint="eastAsia"/>
                      <w:color w:val="auto"/>
                      <w:sz w:val="21"/>
                      <w:szCs w:val="21"/>
                    </w:rPr>
                  </w:pPr>
                  <w:r>
                    <w:rPr>
                      <w:rFonts w:hint="eastAsia"/>
                      <w:color w:val="auto"/>
                      <w:sz w:val="21"/>
                      <w:szCs w:val="21"/>
                    </w:rPr>
                    <w:t>/</w:t>
                  </w:r>
                </w:p>
              </w:tc>
              <w:tc>
                <w:tcPr>
                  <w:tcW w:w="849" w:type="pct"/>
                  <w:noWrap w:val="0"/>
                  <w:vAlign w:val="center"/>
                </w:tcPr>
                <w:p w14:paraId="02B646B0">
                  <w:pPr>
                    <w:widowControl/>
                    <w:spacing w:line="240" w:lineRule="auto"/>
                    <w:ind w:firstLine="0" w:firstLineChars="0"/>
                    <w:jc w:val="center"/>
                    <w:rPr>
                      <w:color w:val="auto"/>
                      <w:kern w:val="0"/>
                      <w:sz w:val="21"/>
                      <w:szCs w:val="21"/>
                    </w:rPr>
                  </w:pPr>
                  <w:r>
                    <w:rPr>
                      <w:rFonts w:hint="eastAsia"/>
                      <w:color w:val="auto"/>
                      <w:kern w:val="0"/>
                      <w:sz w:val="21"/>
                      <w:szCs w:val="21"/>
                    </w:rPr>
                    <w:t>6~9</w:t>
                  </w:r>
                </w:p>
              </w:tc>
            </w:tr>
            <w:tr w14:paraId="5FEEA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6C15D0AE">
                  <w:pPr>
                    <w:widowControl/>
                    <w:spacing w:line="240" w:lineRule="auto"/>
                    <w:ind w:firstLine="0" w:firstLineChars="0"/>
                    <w:jc w:val="center"/>
                    <w:rPr>
                      <w:color w:val="auto"/>
                      <w:kern w:val="0"/>
                      <w:sz w:val="21"/>
                      <w:szCs w:val="21"/>
                    </w:rPr>
                  </w:pPr>
                  <w:r>
                    <w:rPr>
                      <w:rFonts w:hint="eastAsia"/>
                      <w:color w:val="auto"/>
                      <w:kern w:val="0"/>
                      <w:sz w:val="21"/>
                      <w:szCs w:val="21"/>
                    </w:rPr>
                    <w:t>COD</w:t>
                  </w:r>
                </w:p>
              </w:tc>
              <w:tc>
                <w:tcPr>
                  <w:tcW w:w="1490" w:type="pct"/>
                  <w:noWrap w:val="0"/>
                  <w:vAlign w:val="center"/>
                </w:tcPr>
                <w:p w14:paraId="71ED8389">
                  <w:pPr>
                    <w:widowControl/>
                    <w:spacing w:line="240" w:lineRule="auto"/>
                    <w:ind w:firstLine="0" w:firstLineChars="0"/>
                    <w:jc w:val="center"/>
                    <w:rPr>
                      <w:color w:val="auto"/>
                      <w:kern w:val="0"/>
                      <w:sz w:val="21"/>
                      <w:szCs w:val="21"/>
                    </w:rPr>
                  </w:pPr>
                  <w:r>
                    <w:rPr>
                      <w:rFonts w:hint="eastAsia"/>
                      <w:color w:val="auto"/>
                      <w:kern w:val="0"/>
                      <w:sz w:val="21"/>
                      <w:szCs w:val="21"/>
                    </w:rPr>
                    <w:t>≤500mg/L</w:t>
                  </w:r>
                </w:p>
              </w:tc>
              <w:tc>
                <w:tcPr>
                  <w:tcW w:w="1909" w:type="pct"/>
                  <w:noWrap w:val="0"/>
                  <w:vAlign w:val="center"/>
                </w:tcPr>
                <w:p w14:paraId="716D31EC">
                  <w:pPr>
                    <w:widowControl/>
                    <w:spacing w:line="240" w:lineRule="auto"/>
                    <w:ind w:firstLine="0" w:firstLineChars="0"/>
                    <w:jc w:val="center"/>
                    <w:rPr>
                      <w:color w:val="auto"/>
                      <w:kern w:val="0"/>
                      <w:sz w:val="21"/>
                      <w:szCs w:val="21"/>
                    </w:rPr>
                  </w:pPr>
                  <w:r>
                    <w:rPr>
                      <w:rFonts w:hint="eastAsia"/>
                      <w:color w:val="auto"/>
                      <w:kern w:val="0"/>
                      <w:sz w:val="21"/>
                      <w:szCs w:val="21"/>
                    </w:rPr>
                    <w:t>450</w:t>
                  </w:r>
                </w:p>
              </w:tc>
              <w:tc>
                <w:tcPr>
                  <w:tcW w:w="849" w:type="pct"/>
                  <w:noWrap w:val="0"/>
                  <w:vAlign w:val="center"/>
                </w:tcPr>
                <w:p w14:paraId="503661B0">
                  <w:pPr>
                    <w:widowControl/>
                    <w:spacing w:line="240" w:lineRule="auto"/>
                    <w:ind w:firstLine="0" w:firstLineChars="0"/>
                    <w:jc w:val="center"/>
                    <w:rPr>
                      <w:color w:val="auto"/>
                      <w:kern w:val="0"/>
                      <w:sz w:val="21"/>
                      <w:szCs w:val="21"/>
                    </w:rPr>
                  </w:pPr>
                  <w:r>
                    <w:rPr>
                      <w:rFonts w:hint="eastAsia"/>
                      <w:color w:val="auto"/>
                      <w:kern w:val="0"/>
                      <w:sz w:val="21"/>
                      <w:szCs w:val="21"/>
                    </w:rPr>
                    <w:t>50</w:t>
                  </w:r>
                </w:p>
              </w:tc>
            </w:tr>
            <w:tr w14:paraId="3FE75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26FBD373">
                  <w:pPr>
                    <w:widowControl/>
                    <w:spacing w:line="240" w:lineRule="auto"/>
                    <w:ind w:firstLine="0" w:firstLineChars="0"/>
                    <w:jc w:val="center"/>
                    <w:rPr>
                      <w:color w:val="auto"/>
                      <w:kern w:val="0"/>
                      <w:sz w:val="21"/>
                      <w:szCs w:val="21"/>
                    </w:rPr>
                  </w:pPr>
                  <w:r>
                    <w:rPr>
                      <w:rFonts w:hint="eastAsia"/>
                      <w:color w:val="auto"/>
                      <w:kern w:val="0"/>
                      <w:sz w:val="21"/>
                      <w:szCs w:val="21"/>
                    </w:rPr>
                    <w:t>BOD</w:t>
                  </w:r>
                  <w:r>
                    <w:rPr>
                      <w:rFonts w:hint="eastAsia"/>
                      <w:color w:val="auto"/>
                      <w:kern w:val="0"/>
                      <w:sz w:val="21"/>
                      <w:szCs w:val="21"/>
                      <w:vertAlign w:val="subscript"/>
                    </w:rPr>
                    <w:t>5</w:t>
                  </w:r>
                </w:p>
              </w:tc>
              <w:tc>
                <w:tcPr>
                  <w:tcW w:w="1490" w:type="pct"/>
                  <w:noWrap w:val="0"/>
                  <w:vAlign w:val="center"/>
                </w:tcPr>
                <w:p w14:paraId="789E85DB">
                  <w:pPr>
                    <w:widowControl/>
                    <w:spacing w:line="240" w:lineRule="auto"/>
                    <w:ind w:firstLine="0" w:firstLineChars="0"/>
                    <w:jc w:val="center"/>
                    <w:rPr>
                      <w:color w:val="auto"/>
                      <w:kern w:val="0"/>
                      <w:sz w:val="21"/>
                      <w:szCs w:val="21"/>
                    </w:rPr>
                  </w:pPr>
                  <w:r>
                    <w:rPr>
                      <w:rFonts w:hint="eastAsia"/>
                      <w:color w:val="auto"/>
                      <w:kern w:val="0"/>
                      <w:sz w:val="21"/>
                      <w:szCs w:val="21"/>
                    </w:rPr>
                    <w:t>≤</w:t>
                  </w:r>
                  <w:r>
                    <w:rPr>
                      <w:rFonts w:hint="eastAsia"/>
                      <w:color w:val="auto"/>
                      <w:kern w:val="0"/>
                      <w:sz w:val="21"/>
                      <w:szCs w:val="21"/>
                      <w:lang w:val="en-US" w:eastAsia="zh-CN"/>
                    </w:rPr>
                    <w:t>3</w:t>
                  </w:r>
                  <w:r>
                    <w:rPr>
                      <w:rFonts w:hint="eastAsia"/>
                      <w:color w:val="auto"/>
                      <w:kern w:val="0"/>
                      <w:sz w:val="21"/>
                      <w:szCs w:val="21"/>
                    </w:rPr>
                    <w:t>00mg/L</w:t>
                  </w:r>
                </w:p>
              </w:tc>
              <w:tc>
                <w:tcPr>
                  <w:tcW w:w="1909" w:type="pct"/>
                  <w:noWrap w:val="0"/>
                  <w:vAlign w:val="center"/>
                </w:tcPr>
                <w:p w14:paraId="4B9D3985">
                  <w:pPr>
                    <w:widowControl/>
                    <w:spacing w:line="240" w:lineRule="auto"/>
                    <w:ind w:firstLine="0" w:firstLineChars="0"/>
                    <w:jc w:val="center"/>
                    <w:rPr>
                      <w:color w:val="auto"/>
                      <w:kern w:val="0"/>
                      <w:sz w:val="21"/>
                      <w:szCs w:val="21"/>
                    </w:rPr>
                  </w:pPr>
                  <w:r>
                    <w:rPr>
                      <w:rFonts w:hint="eastAsia"/>
                      <w:color w:val="auto"/>
                      <w:kern w:val="0"/>
                      <w:sz w:val="21"/>
                      <w:szCs w:val="21"/>
                    </w:rPr>
                    <w:t>140</w:t>
                  </w:r>
                </w:p>
              </w:tc>
              <w:tc>
                <w:tcPr>
                  <w:tcW w:w="849" w:type="pct"/>
                  <w:noWrap w:val="0"/>
                  <w:vAlign w:val="center"/>
                </w:tcPr>
                <w:p w14:paraId="4CF31FB4">
                  <w:pPr>
                    <w:widowControl/>
                    <w:spacing w:line="240" w:lineRule="auto"/>
                    <w:ind w:firstLine="0" w:firstLineChars="0"/>
                    <w:jc w:val="center"/>
                    <w:rPr>
                      <w:color w:val="auto"/>
                      <w:kern w:val="0"/>
                      <w:sz w:val="21"/>
                      <w:szCs w:val="21"/>
                    </w:rPr>
                  </w:pPr>
                  <w:r>
                    <w:rPr>
                      <w:rFonts w:hint="eastAsia"/>
                      <w:color w:val="auto"/>
                      <w:kern w:val="0"/>
                      <w:sz w:val="21"/>
                      <w:szCs w:val="21"/>
                    </w:rPr>
                    <w:t>10</w:t>
                  </w:r>
                </w:p>
              </w:tc>
            </w:tr>
            <w:tr w14:paraId="26085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0BF05D41">
                  <w:pPr>
                    <w:widowControl/>
                    <w:spacing w:line="240" w:lineRule="auto"/>
                    <w:ind w:firstLine="0" w:firstLineChars="0"/>
                    <w:jc w:val="center"/>
                    <w:rPr>
                      <w:color w:val="auto"/>
                      <w:kern w:val="0"/>
                      <w:sz w:val="21"/>
                      <w:szCs w:val="21"/>
                    </w:rPr>
                  </w:pPr>
                  <w:r>
                    <w:rPr>
                      <w:rFonts w:hint="eastAsia"/>
                      <w:color w:val="auto"/>
                      <w:kern w:val="0"/>
                      <w:sz w:val="21"/>
                      <w:szCs w:val="21"/>
                    </w:rPr>
                    <w:t>NH</w:t>
                  </w:r>
                  <w:r>
                    <w:rPr>
                      <w:rFonts w:hint="eastAsia"/>
                      <w:color w:val="auto"/>
                      <w:kern w:val="0"/>
                      <w:sz w:val="21"/>
                      <w:szCs w:val="21"/>
                      <w:vertAlign w:val="subscript"/>
                    </w:rPr>
                    <w:t>3</w:t>
                  </w:r>
                  <w:r>
                    <w:rPr>
                      <w:rFonts w:hint="eastAsia"/>
                      <w:color w:val="auto"/>
                      <w:kern w:val="0"/>
                      <w:sz w:val="21"/>
                      <w:szCs w:val="21"/>
                    </w:rPr>
                    <w:t>-N</w:t>
                  </w:r>
                </w:p>
              </w:tc>
              <w:tc>
                <w:tcPr>
                  <w:tcW w:w="1490" w:type="pct"/>
                  <w:noWrap w:val="0"/>
                  <w:vAlign w:val="center"/>
                </w:tcPr>
                <w:p w14:paraId="6F5EAFB8">
                  <w:pPr>
                    <w:widowControl/>
                    <w:spacing w:line="240" w:lineRule="auto"/>
                    <w:ind w:firstLine="0" w:firstLineChars="0"/>
                    <w:jc w:val="center"/>
                    <w:rPr>
                      <w:rFonts w:hint="eastAsia" w:eastAsia="宋体"/>
                      <w:color w:val="auto"/>
                      <w:kern w:val="0"/>
                      <w:sz w:val="21"/>
                      <w:szCs w:val="21"/>
                      <w:lang w:eastAsia="zh-CN"/>
                    </w:rPr>
                  </w:pPr>
                  <w:r>
                    <w:rPr>
                      <w:rFonts w:hint="eastAsia"/>
                      <w:color w:val="auto"/>
                      <w:kern w:val="0"/>
                      <w:sz w:val="21"/>
                      <w:szCs w:val="21"/>
                      <w:lang w:val="en-US" w:eastAsia="zh-CN"/>
                    </w:rPr>
                    <w:t>/</w:t>
                  </w:r>
                </w:p>
              </w:tc>
              <w:tc>
                <w:tcPr>
                  <w:tcW w:w="1909" w:type="pct"/>
                  <w:noWrap w:val="0"/>
                  <w:vAlign w:val="center"/>
                </w:tcPr>
                <w:p w14:paraId="3D2843D2">
                  <w:pPr>
                    <w:widowControl/>
                    <w:spacing w:line="240" w:lineRule="auto"/>
                    <w:ind w:firstLine="0" w:firstLineChars="0"/>
                    <w:jc w:val="center"/>
                    <w:rPr>
                      <w:color w:val="auto"/>
                      <w:kern w:val="0"/>
                      <w:sz w:val="21"/>
                      <w:szCs w:val="21"/>
                    </w:rPr>
                  </w:pPr>
                  <w:r>
                    <w:rPr>
                      <w:rFonts w:hint="eastAsia"/>
                      <w:color w:val="auto"/>
                      <w:kern w:val="0"/>
                      <w:sz w:val="21"/>
                      <w:szCs w:val="21"/>
                    </w:rPr>
                    <w:t>40</w:t>
                  </w:r>
                </w:p>
              </w:tc>
              <w:tc>
                <w:tcPr>
                  <w:tcW w:w="849" w:type="pct"/>
                  <w:noWrap w:val="0"/>
                  <w:vAlign w:val="center"/>
                </w:tcPr>
                <w:p w14:paraId="6F6219E1">
                  <w:pPr>
                    <w:widowControl/>
                    <w:spacing w:line="240" w:lineRule="auto"/>
                    <w:ind w:firstLine="0" w:firstLineChars="0"/>
                    <w:jc w:val="center"/>
                    <w:rPr>
                      <w:color w:val="auto"/>
                      <w:kern w:val="0"/>
                      <w:sz w:val="21"/>
                      <w:szCs w:val="21"/>
                    </w:rPr>
                  </w:pPr>
                  <w:r>
                    <w:rPr>
                      <w:rFonts w:hint="eastAsia"/>
                      <w:color w:val="auto"/>
                      <w:kern w:val="0"/>
                      <w:sz w:val="21"/>
                      <w:szCs w:val="21"/>
                    </w:rPr>
                    <w:t>5</w:t>
                  </w:r>
                  <w:r>
                    <w:rPr>
                      <w:rFonts w:hint="eastAsia"/>
                      <w:color w:val="auto"/>
                      <w:kern w:val="0"/>
                      <w:sz w:val="21"/>
                      <w:szCs w:val="21"/>
                      <w:lang w:eastAsia="zh-CN"/>
                    </w:rPr>
                    <w:t>(</w:t>
                  </w:r>
                  <w:r>
                    <w:rPr>
                      <w:rFonts w:hint="eastAsia"/>
                      <w:color w:val="auto"/>
                      <w:kern w:val="0"/>
                      <w:sz w:val="21"/>
                      <w:szCs w:val="21"/>
                    </w:rPr>
                    <w:t>8</w:t>
                  </w:r>
                  <w:r>
                    <w:rPr>
                      <w:rFonts w:hint="eastAsia"/>
                      <w:color w:val="auto"/>
                      <w:kern w:val="0"/>
                      <w:sz w:val="21"/>
                      <w:szCs w:val="21"/>
                      <w:lang w:eastAsia="zh-CN"/>
                    </w:rPr>
                    <w:t>)</w:t>
                  </w:r>
                </w:p>
              </w:tc>
            </w:tr>
            <w:tr w14:paraId="3DDC2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0DB022D7">
                  <w:pPr>
                    <w:widowControl/>
                    <w:spacing w:line="240" w:lineRule="auto"/>
                    <w:ind w:firstLine="0" w:firstLineChars="0"/>
                    <w:jc w:val="center"/>
                    <w:rPr>
                      <w:color w:val="auto"/>
                      <w:kern w:val="0"/>
                      <w:sz w:val="21"/>
                      <w:szCs w:val="21"/>
                    </w:rPr>
                  </w:pPr>
                  <w:r>
                    <w:rPr>
                      <w:rFonts w:hint="eastAsia"/>
                      <w:color w:val="auto"/>
                      <w:kern w:val="0"/>
                      <w:sz w:val="21"/>
                      <w:szCs w:val="21"/>
                    </w:rPr>
                    <w:t>SS</w:t>
                  </w:r>
                </w:p>
              </w:tc>
              <w:tc>
                <w:tcPr>
                  <w:tcW w:w="1490" w:type="pct"/>
                  <w:noWrap w:val="0"/>
                  <w:vAlign w:val="center"/>
                </w:tcPr>
                <w:p w14:paraId="32BF59B1">
                  <w:pPr>
                    <w:widowControl/>
                    <w:spacing w:line="240" w:lineRule="auto"/>
                    <w:ind w:firstLine="0" w:firstLineChars="0"/>
                    <w:jc w:val="center"/>
                    <w:rPr>
                      <w:color w:val="auto"/>
                      <w:kern w:val="0"/>
                      <w:sz w:val="21"/>
                      <w:szCs w:val="21"/>
                    </w:rPr>
                  </w:pPr>
                  <w:r>
                    <w:rPr>
                      <w:rFonts w:hint="eastAsia"/>
                      <w:color w:val="auto"/>
                      <w:kern w:val="0"/>
                      <w:sz w:val="21"/>
                      <w:szCs w:val="21"/>
                    </w:rPr>
                    <w:t>≤</w:t>
                  </w:r>
                  <w:r>
                    <w:rPr>
                      <w:rFonts w:hint="eastAsia"/>
                      <w:color w:val="auto"/>
                      <w:kern w:val="0"/>
                      <w:sz w:val="21"/>
                      <w:szCs w:val="21"/>
                      <w:lang w:val="en-US" w:eastAsia="zh-CN"/>
                    </w:rPr>
                    <w:t>40</w:t>
                  </w:r>
                  <w:r>
                    <w:rPr>
                      <w:rFonts w:hint="eastAsia"/>
                      <w:color w:val="auto"/>
                      <w:kern w:val="0"/>
                      <w:sz w:val="21"/>
                      <w:szCs w:val="21"/>
                    </w:rPr>
                    <w:t>0mg/L</w:t>
                  </w:r>
                </w:p>
              </w:tc>
              <w:tc>
                <w:tcPr>
                  <w:tcW w:w="1909" w:type="pct"/>
                  <w:noWrap w:val="0"/>
                  <w:vAlign w:val="center"/>
                </w:tcPr>
                <w:p w14:paraId="5C374698">
                  <w:pPr>
                    <w:widowControl/>
                    <w:spacing w:line="240" w:lineRule="auto"/>
                    <w:ind w:firstLine="0" w:firstLineChars="0"/>
                    <w:jc w:val="center"/>
                    <w:rPr>
                      <w:color w:val="auto"/>
                      <w:kern w:val="0"/>
                      <w:sz w:val="21"/>
                      <w:szCs w:val="21"/>
                    </w:rPr>
                  </w:pPr>
                  <w:r>
                    <w:rPr>
                      <w:rFonts w:hint="eastAsia"/>
                      <w:color w:val="auto"/>
                      <w:kern w:val="0"/>
                      <w:sz w:val="21"/>
                      <w:szCs w:val="21"/>
                    </w:rPr>
                    <w:t>250mg/L</w:t>
                  </w:r>
                </w:p>
              </w:tc>
              <w:tc>
                <w:tcPr>
                  <w:tcW w:w="849" w:type="pct"/>
                  <w:noWrap w:val="0"/>
                  <w:vAlign w:val="center"/>
                </w:tcPr>
                <w:p w14:paraId="7FE0A253">
                  <w:pPr>
                    <w:widowControl/>
                    <w:spacing w:line="240" w:lineRule="auto"/>
                    <w:ind w:firstLine="0" w:firstLineChars="0"/>
                    <w:jc w:val="center"/>
                    <w:rPr>
                      <w:color w:val="auto"/>
                      <w:kern w:val="0"/>
                      <w:sz w:val="21"/>
                      <w:szCs w:val="21"/>
                    </w:rPr>
                  </w:pPr>
                  <w:r>
                    <w:rPr>
                      <w:rFonts w:hint="eastAsia"/>
                      <w:color w:val="auto"/>
                      <w:kern w:val="0"/>
                      <w:sz w:val="21"/>
                      <w:szCs w:val="21"/>
                    </w:rPr>
                    <w:t>10</w:t>
                  </w:r>
                </w:p>
              </w:tc>
            </w:tr>
            <w:tr w14:paraId="36F60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2A0D32BE">
                  <w:pPr>
                    <w:widowControl/>
                    <w:spacing w:line="240" w:lineRule="auto"/>
                    <w:ind w:firstLine="0" w:firstLineChars="0"/>
                    <w:jc w:val="center"/>
                    <w:rPr>
                      <w:color w:val="auto"/>
                      <w:kern w:val="0"/>
                      <w:sz w:val="21"/>
                      <w:szCs w:val="21"/>
                    </w:rPr>
                  </w:pPr>
                  <w:r>
                    <w:rPr>
                      <w:rFonts w:hint="eastAsia"/>
                      <w:color w:val="auto"/>
                      <w:kern w:val="0"/>
                      <w:sz w:val="21"/>
                      <w:szCs w:val="21"/>
                    </w:rPr>
                    <w:t>TP</w:t>
                  </w:r>
                </w:p>
              </w:tc>
              <w:tc>
                <w:tcPr>
                  <w:tcW w:w="1490" w:type="pct"/>
                  <w:noWrap w:val="0"/>
                  <w:vAlign w:val="center"/>
                </w:tcPr>
                <w:p w14:paraId="45737921">
                  <w:pPr>
                    <w:widowControl/>
                    <w:spacing w:line="240" w:lineRule="auto"/>
                    <w:ind w:firstLine="0" w:firstLineChars="0"/>
                    <w:jc w:val="center"/>
                    <w:rPr>
                      <w:color w:val="auto"/>
                      <w:kern w:val="0"/>
                      <w:sz w:val="21"/>
                      <w:szCs w:val="21"/>
                    </w:rPr>
                  </w:pPr>
                  <w:r>
                    <w:rPr>
                      <w:rFonts w:hint="eastAsia"/>
                      <w:color w:val="auto"/>
                      <w:kern w:val="0"/>
                      <w:sz w:val="21"/>
                      <w:szCs w:val="21"/>
                    </w:rPr>
                    <w:t>/</w:t>
                  </w:r>
                </w:p>
              </w:tc>
              <w:tc>
                <w:tcPr>
                  <w:tcW w:w="1909" w:type="pct"/>
                  <w:noWrap w:val="0"/>
                  <w:vAlign w:val="center"/>
                </w:tcPr>
                <w:p w14:paraId="2F752585">
                  <w:pPr>
                    <w:widowControl/>
                    <w:spacing w:line="240" w:lineRule="auto"/>
                    <w:ind w:firstLine="0" w:firstLineChars="0"/>
                    <w:jc w:val="center"/>
                    <w:rPr>
                      <w:color w:val="auto"/>
                      <w:kern w:val="0"/>
                      <w:sz w:val="21"/>
                      <w:szCs w:val="21"/>
                    </w:rPr>
                  </w:pPr>
                  <w:r>
                    <w:rPr>
                      <w:rFonts w:hint="eastAsia"/>
                      <w:color w:val="auto"/>
                      <w:kern w:val="0"/>
                      <w:sz w:val="21"/>
                      <w:szCs w:val="21"/>
                    </w:rPr>
                    <w:t>5.0mg/L</w:t>
                  </w:r>
                </w:p>
              </w:tc>
              <w:tc>
                <w:tcPr>
                  <w:tcW w:w="849" w:type="pct"/>
                  <w:noWrap w:val="0"/>
                  <w:vAlign w:val="center"/>
                </w:tcPr>
                <w:p w14:paraId="71FF3192">
                  <w:pPr>
                    <w:widowControl/>
                    <w:spacing w:line="240" w:lineRule="auto"/>
                    <w:ind w:firstLine="0" w:firstLineChars="0"/>
                    <w:jc w:val="center"/>
                    <w:rPr>
                      <w:color w:val="auto"/>
                      <w:kern w:val="0"/>
                      <w:sz w:val="21"/>
                      <w:szCs w:val="21"/>
                    </w:rPr>
                  </w:pPr>
                  <w:r>
                    <w:rPr>
                      <w:rFonts w:hint="eastAsia"/>
                      <w:color w:val="auto"/>
                      <w:kern w:val="0"/>
                      <w:sz w:val="21"/>
                      <w:szCs w:val="21"/>
                    </w:rPr>
                    <w:t>0.5</w:t>
                  </w:r>
                </w:p>
              </w:tc>
            </w:tr>
            <w:tr w14:paraId="02C78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047B07CF">
                  <w:pPr>
                    <w:widowControl/>
                    <w:spacing w:line="240" w:lineRule="auto"/>
                    <w:ind w:firstLine="0" w:firstLineChars="0"/>
                    <w:jc w:val="center"/>
                    <w:rPr>
                      <w:color w:val="auto"/>
                      <w:kern w:val="0"/>
                      <w:sz w:val="21"/>
                      <w:szCs w:val="21"/>
                    </w:rPr>
                  </w:pPr>
                  <w:r>
                    <w:rPr>
                      <w:rFonts w:hint="eastAsia"/>
                      <w:color w:val="auto"/>
                      <w:kern w:val="0"/>
                      <w:sz w:val="21"/>
                      <w:szCs w:val="21"/>
                    </w:rPr>
                    <w:t>TN</w:t>
                  </w:r>
                </w:p>
              </w:tc>
              <w:tc>
                <w:tcPr>
                  <w:tcW w:w="1490" w:type="pct"/>
                  <w:noWrap w:val="0"/>
                  <w:vAlign w:val="center"/>
                </w:tcPr>
                <w:p w14:paraId="4134651D">
                  <w:pPr>
                    <w:widowControl/>
                    <w:spacing w:line="240" w:lineRule="auto"/>
                    <w:ind w:firstLine="0" w:firstLineChars="0"/>
                    <w:jc w:val="center"/>
                    <w:rPr>
                      <w:color w:val="auto"/>
                      <w:kern w:val="0"/>
                      <w:sz w:val="21"/>
                      <w:szCs w:val="21"/>
                    </w:rPr>
                  </w:pPr>
                  <w:r>
                    <w:rPr>
                      <w:rFonts w:hint="eastAsia"/>
                      <w:color w:val="auto"/>
                      <w:kern w:val="0"/>
                      <w:sz w:val="21"/>
                      <w:szCs w:val="21"/>
                    </w:rPr>
                    <w:t>/</w:t>
                  </w:r>
                </w:p>
              </w:tc>
              <w:tc>
                <w:tcPr>
                  <w:tcW w:w="1909" w:type="pct"/>
                  <w:noWrap w:val="0"/>
                  <w:vAlign w:val="center"/>
                </w:tcPr>
                <w:p w14:paraId="5303788A">
                  <w:pPr>
                    <w:widowControl/>
                    <w:spacing w:line="240" w:lineRule="auto"/>
                    <w:ind w:firstLine="0" w:firstLineChars="0"/>
                    <w:jc w:val="center"/>
                    <w:rPr>
                      <w:color w:val="auto"/>
                      <w:kern w:val="0"/>
                      <w:sz w:val="21"/>
                      <w:szCs w:val="21"/>
                    </w:rPr>
                  </w:pPr>
                  <w:r>
                    <w:rPr>
                      <w:rFonts w:hint="eastAsia"/>
                      <w:color w:val="auto"/>
                      <w:kern w:val="0"/>
                      <w:sz w:val="21"/>
                      <w:szCs w:val="21"/>
                    </w:rPr>
                    <w:t>50mg/L</w:t>
                  </w:r>
                </w:p>
              </w:tc>
              <w:tc>
                <w:tcPr>
                  <w:tcW w:w="849" w:type="pct"/>
                  <w:noWrap w:val="0"/>
                  <w:vAlign w:val="center"/>
                </w:tcPr>
                <w:p w14:paraId="05E91838">
                  <w:pPr>
                    <w:widowControl/>
                    <w:spacing w:line="240" w:lineRule="auto"/>
                    <w:ind w:firstLine="0" w:firstLineChars="0"/>
                    <w:jc w:val="center"/>
                    <w:rPr>
                      <w:color w:val="auto"/>
                      <w:kern w:val="0"/>
                      <w:sz w:val="21"/>
                      <w:szCs w:val="21"/>
                    </w:rPr>
                  </w:pPr>
                  <w:r>
                    <w:rPr>
                      <w:rFonts w:hint="eastAsia"/>
                      <w:color w:val="auto"/>
                      <w:kern w:val="0"/>
                      <w:sz w:val="21"/>
                      <w:szCs w:val="21"/>
                    </w:rPr>
                    <w:t>15</w:t>
                  </w:r>
                </w:p>
              </w:tc>
            </w:tr>
            <w:tr w14:paraId="29997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7CF67449">
                  <w:pPr>
                    <w:widowControl/>
                    <w:spacing w:line="240" w:lineRule="auto"/>
                    <w:ind w:firstLine="0" w:firstLineChars="0"/>
                    <w:jc w:val="center"/>
                    <w:rPr>
                      <w:rFonts w:hint="eastAsia" w:eastAsia="宋体"/>
                      <w:color w:val="auto"/>
                      <w:kern w:val="0"/>
                      <w:sz w:val="21"/>
                      <w:szCs w:val="21"/>
                      <w:lang w:eastAsia="zh-CN"/>
                    </w:rPr>
                  </w:pPr>
                  <w:r>
                    <w:rPr>
                      <w:rFonts w:hint="eastAsia"/>
                      <w:color w:val="auto"/>
                      <w:kern w:val="0"/>
                      <w:sz w:val="21"/>
                      <w:szCs w:val="21"/>
                      <w:lang w:eastAsia="zh-CN"/>
                    </w:rPr>
                    <w:t>色度</w:t>
                  </w:r>
                </w:p>
              </w:tc>
              <w:tc>
                <w:tcPr>
                  <w:tcW w:w="1490" w:type="pct"/>
                  <w:noWrap w:val="0"/>
                  <w:vAlign w:val="center"/>
                </w:tcPr>
                <w:p w14:paraId="4E7C7325">
                  <w:pPr>
                    <w:widowControl/>
                    <w:spacing w:line="240" w:lineRule="auto"/>
                    <w:ind w:firstLine="0" w:firstLineChars="0"/>
                    <w:jc w:val="center"/>
                    <w:rPr>
                      <w:rFonts w:hint="eastAsia"/>
                      <w:color w:val="auto"/>
                      <w:kern w:val="0"/>
                      <w:sz w:val="21"/>
                      <w:szCs w:val="21"/>
                    </w:rPr>
                  </w:pPr>
                  <w:r>
                    <w:rPr>
                      <w:rFonts w:hint="eastAsia"/>
                      <w:color w:val="auto"/>
                      <w:kern w:val="0"/>
                      <w:sz w:val="21"/>
                      <w:szCs w:val="21"/>
                    </w:rPr>
                    <w:t>/</w:t>
                  </w:r>
                </w:p>
              </w:tc>
              <w:tc>
                <w:tcPr>
                  <w:tcW w:w="1909" w:type="pct"/>
                  <w:noWrap w:val="0"/>
                  <w:vAlign w:val="center"/>
                </w:tcPr>
                <w:p w14:paraId="37D51789">
                  <w:pPr>
                    <w:widowControl/>
                    <w:spacing w:line="240" w:lineRule="auto"/>
                    <w:ind w:firstLine="0" w:firstLineChars="0"/>
                    <w:jc w:val="center"/>
                    <w:rPr>
                      <w:rFonts w:hint="eastAsia"/>
                      <w:color w:val="auto"/>
                      <w:kern w:val="0"/>
                      <w:sz w:val="21"/>
                      <w:szCs w:val="21"/>
                    </w:rPr>
                  </w:pPr>
                  <w:r>
                    <w:rPr>
                      <w:rFonts w:hint="eastAsia"/>
                      <w:color w:val="auto"/>
                      <w:kern w:val="0"/>
                      <w:sz w:val="21"/>
                      <w:szCs w:val="21"/>
                    </w:rPr>
                    <w:t>/</w:t>
                  </w:r>
                </w:p>
              </w:tc>
              <w:tc>
                <w:tcPr>
                  <w:tcW w:w="849" w:type="pct"/>
                  <w:noWrap w:val="0"/>
                  <w:vAlign w:val="center"/>
                </w:tcPr>
                <w:p w14:paraId="6F5763DF">
                  <w:pPr>
                    <w:widowControl/>
                    <w:spacing w:line="240" w:lineRule="auto"/>
                    <w:ind w:firstLine="0" w:firstLineChars="0"/>
                    <w:jc w:val="center"/>
                    <w:rPr>
                      <w:rFonts w:hint="default" w:eastAsia="宋体"/>
                      <w:color w:val="auto"/>
                      <w:kern w:val="0"/>
                      <w:sz w:val="21"/>
                      <w:szCs w:val="21"/>
                      <w:lang w:val="en-US" w:eastAsia="zh-CN"/>
                    </w:rPr>
                  </w:pPr>
                  <w:r>
                    <w:rPr>
                      <w:rFonts w:hint="eastAsia"/>
                      <w:color w:val="auto"/>
                      <w:kern w:val="0"/>
                      <w:sz w:val="21"/>
                      <w:szCs w:val="21"/>
                      <w:lang w:val="en-US" w:eastAsia="zh-CN"/>
                    </w:rPr>
                    <w:t>30（倍）</w:t>
                  </w:r>
                </w:p>
              </w:tc>
            </w:tr>
          </w:tbl>
          <w:p w14:paraId="25F77AC6">
            <w:pPr>
              <w:bidi w:val="0"/>
              <w:rPr>
                <w:rFonts w:hint="eastAsia"/>
                <w:color w:val="auto"/>
                <w:lang w:val="en-US" w:eastAsia="zh-CN"/>
              </w:rPr>
            </w:pPr>
            <w:r>
              <w:rPr>
                <w:rFonts w:hint="eastAsia"/>
                <w:color w:val="auto"/>
              </w:rPr>
              <w:t>2、</w:t>
            </w:r>
            <w:r>
              <w:rPr>
                <w:rFonts w:hint="eastAsia"/>
                <w:color w:val="auto"/>
                <w:lang w:val="en-US" w:eastAsia="zh-CN"/>
              </w:rPr>
              <w:t>废气</w:t>
            </w:r>
          </w:p>
          <w:p w14:paraId="22BA2F77">
            <w:pPr>
              <w:bidi w:val="0"/>
              <w:rPr>
                <w:rFonts w:hint="eastAsia"/>
                <w:color w:val="auto"/>
                <w:lang w:val="en-US" w:eastAsia="zh-CN"/>
              </w:rPr>
            </w:pPr>
            <w:r>
              <w:rPr>
                <w:rFonts w:hint="eastAsia"/>
                <w:color w:val="auto"/>
                <w:lang w:val="en-US" w:eastAsia="zh-CN"/>
              </w:rPr>
              <w:t>营运期颗粒物有组织排放、污染物厂房外执行《铸造工业大气污染物排放标准》(GB39726-2020)中大气污染物排放限值标准，甲醛、VOCs（以非甲烷总烃表征）有组织排放、无组织厂界排放标准执行《大气污染物综合排放标准》</w:t>
            </w:r>
            <w:r>
              <w:rPr>
                <w:rFonts w:hint="eastAsia"/>
                <w:color w:val="auto"/>
              </w:rPr>
              <w:t>（GB16297-1996）表2中</w:t>
            </w:r>
            <w:r>
              <w:rPr>
                <w:rFonts w:hint="eastAsia"/>
                <w:color w:val="auto"/>
                <w:lang w:eastAsia="zh-CN"/>
              </w:rPr>
              <w:t>标准限值</w:t>
            </w:r>
            <w:r>
              <w:rPr>
                <w:rFonts w:hint="eastAsia"/>
                <w:color w:val="auto"/>
                <w:lang w:val="en-US" w:eastAsia="zh-CN"/>
              </w:rPr>
              <w:t>。</w:t>
            </w:r>
          </w:p>
          <w:p w14:paraId="6D22FB5B">
            <w:pPr>
              <w:bidi w:val="0"/>
              <w:spacing w:line="240" w:lineRule="auto"/>
              <w:jc w:val="center"/>
              <w:rPr>
                <w:rFonts w:hint="default" w:ascii="Times New Roman" w:hAnsi="Times New Roman" w:eastAsia="宋体"/>
                <w:b/>
                <w:color w:val="auto"/>
                <w:kern w:val="2"/>
                <w:sz w:val="21"/>
                <w:szCs w:val="22"/>
                <w:lang w:val="en-US" w:eastAsia="zh-CN" w:bidi="ar-SA"/>
              </w:rPr>
            </w:pPr>
            <w:r>
              <w:rPr>
                <w:rFonts w:hint="eastAsia" w:ascii="Times New Roman" w:hAnsi="Times New Roman" w:eastAsia="宋体"/>
                <w:b/>
                <w:color w:val="auto"/>
                <w:kern w:val="2"/>
                <w:sz w:val="21"/>
                <w:szCs w:val="22"/>
                <w:lang w:val="en-US" w:eastAsia="zh-CN" w:bidi="ar-SA"/>
              </w:rPr>
              <w:t>表3-6  铸造工业大气污染物排放标准 单位mg/m</w:t>
            </w:r>
            <w:r>
              <w:rPr>
                <w:rFonts w:hint="eastAsia" w:ascii="Times New Roman" w:hAnsi="Times New Roman" w:eastAsia="宋体"/>
                <w:b/>
                <w:color w:val="auto"/>
                <w:kern w:val="2"/>
                <w:sz w:val="21"/>
                <w:szCs w:val="22"/>
                <w:vertAlign w:val="superscript"/>
                <w:lang w:val="en-US" w:eastAsia="zh-CN" w:bidi="ar-SA"/>
              </w:rPr>
              <w:t>3</w:t>
            </w:r>
          </w:p>
          <w:tbl>
            <w:tblPr>
              <w:tblStyle w:val="29"/>
              <w:tblW w:w="4998"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896"/>
              <w:gridCol w:w="1067"/>
              <w:gridCol w:w="786"/>
              <w:gridCol w:w="1532"/>
              <w:gridCol w:w="1954"/>
              <w:gridCol w:w="1573"/>
            </w:tblGrid>
            <w:tr w14:paraId="41AEB96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74" w:type="pct"/>
                  <w:vMerge w:val="restart"/>
                  <w:noWrap w:val="0"/>
                  <w:vAlign w:val="center"/>
                </w:tcPr>
                <w:p w14:paraId="6EA85E34">
                  <w:pPr>
                    <w:pStyle w:val="109"/>
                    <w:bidi w:val="0"/>
                    <w:rPr>
                      <w:rFonts w:hint="eastAsia" w:ascii="Times New Roman" w:hAnsi="Times New Roman" w:eastAsia="宋体"/>
                      <w:color w:val="auto"/>
                      <w:lang w:eastAsia="zh-CN"/>
                    </w:rPr>
                  </w:pPr>
                  <w:r>
                    <w:rPr>
                      <w:rFonts w:hint="eastAsia"/>
                      <w:color w:val="auto"/>
                      <w:lang w:eastAsia="zh-CN"/>
                    </w:rPr>
                    <w:t>生产过程</w:t>
                  </w:r>
                </w:p>
              </w:tc>
              <w:tc>
                <w:tcPr>
                  <w:tcW w:w="1186" w:type="pct"/>
                  <w:gridSpan w:val="2"/>
                  <w:tcBorders>
                    <w:right w:val="single" w:color="auto" w:sz="4" w:space="0"/>
                  </w:tcBorders>
                  <w:noWrap w:val="0"/>
                  <w:vAlign w:val="center"/>
                </w:tcPr>
                <w:p w14:paraId="1E867E94">
                  <w:pPr>
                    <w:pStyle w:val="109"/>
                    <w:bidi w:val="0"/>
                    <w:rPr>
                      <w:rFonts w:hint="eastAsia" w:ascii="Times New Roman" w:hAnsi="Times New Roman" w:eastAsia="宋体"/>
                      <w:color w:val="auto"/>
                      <w:lang w:eastAsia="zh-CN"/>
                    </w:rPr>
                  </w:pPr>
                  <w:r>
                    <w:rPr>
                      <w:rFonts w:hint="eastAsia"/>
                      <w:color w:val="auto"/>
                      <w:lang w:eastAsia="zh-CN"/>
                    </w:rPr>
                    <w:t>有组织</w:t>
                  </w:r>
                  <w:r>
                    <w:rPr>
                      <w:rFonts w:hint="eastAsia" w:ascii="Times New Roman" w:hAnsi="Times New Roman" w:eastAsia="宋体"/>
                      <w:color w:val="auto"/>
                      <w:lang w:eastAsia="zh-CN"/>
                    </w:rPr>
                    <w:t>排放限值</w:t>
                  </w:r>
                </w:p>
              </w:tc>
              <w:tc>
                <w:tcPr>
                  <w:tcW w:w="3239" w:type="pct"/>
                  <w:gridSpan w:val="3"/>
                  <w:tcBorders>
                    <w:left w:val="single" w:color="auto" w:sz="4" w:space="0"/>
                    <w:right w:val="single" w:color="auto" w:sz="4" w:space="0"/>
                  </w:tcBorders>
                  <w:noWrap w:val="0"/>
                  <w:vAlign w:val="center"/>
                </w:tcPr>
                <w:p w14:paraId="500C058D">
                  <w:pPr>
                    <w:pStyle w:val="109"/>
                    <w:bidi w:val="0"/>
                    <w:rPr>
                      <w:rFonts w:hint="eastAsia"/>
                      <w:color w:val="auto"/>
                      <w:lang w:eastAsia="zh-CN"/>
                    </w:rPr>
                  </w:pPr>
                  <w:r>
                    <w:rPr>
                      <w:rFonts w:hint="eastAsia"/>
                      <w:color w:val="auto"/>
                      <w:lang w:eastAsia="zh-CN"/>
                    </w:rPr>
                    <w:t>无组织</w:t>
                  </w:r>
                  <w:r>
                    <w:rPr>
                      <w:rFonts w:hint="eastAsia" w:ascii="Times New Roman" w:hAnsi="Times New Roman" w:eastAsia="宋体"/>
                      <w:color w:val="auto"/>
                      <w:lang w:eastAsia="zh-CN"/>
                    </w:rPr>
                    <w:t>排放限值</w:t>
                  </w:r>
                </w:p>
              </w:tc>
            </w:tr>
            <w:tr w14:paraId="23C0F62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74" w:type="pct"/>
                  <w:vMerge w:val="continue"/>
                  <w:noWrap w:val="0"/>
                  <w:vAlign w:val="center"/>
                </w:tcPr>
                <w:p w14:paraId="5DF50D18">
                  <w:pPr>
                    <w:pStyle w:val="109"/>
                    <w:bidi w:val="0"/>
                    <w:rPr>
                      <w:rFonts w:hint="eastAsia" w:ascii="Times New Roman" w:hAnsi="Times New Roman" w:eastAsia="宋体"/>
                      <w:color w:val="auto"/>
                      <w:lang w:eastAsia="zh-CN"/>
                    </w:rPr>
                  </w:pPr>
                </w:p>
              </w:tc>
              <w:tc>
                <w:tcPr>
                  <w:tcW w:w="683" w:type="pct"/>
                  <w:noWrap w:val="0"/>
                  <w:vAlign w:val="center"/>
                </w:tcPr>
                <w:p w14:paraId="3B84D572">
                  <w:pPr>
                    <w:pStyle w:val="109"/>
                    <w:bidi w:val="0"/>
                    <w:rPr>
                      <w:rFonts w:hint="eastAsia" w:ascii="Times New Roman" w:hAnsi="Times New Roman" w:eastAsia="宋体"/>
                      <w:color w:val="auto"/>
                      <w:lang w:eastAsia="zh-CN"/>
                    </w:rPr>
                  </w:pPr>
                  <w:r>
                    <w:rPr>
                      <w:rFonts w:hint="eastAsia"/>
                      <w:color w:val="auto"/>
                      <w:lang w:eastAsia="zh-CN"/>
                    </w:rPr>
                    <w:t>颗粒物</w:t>
                  </w:r>
                </w:p>
              </w:tc>
              <w:tc>
                <w:tcPr>
                  <w:tcW w:w="502" w:type="pct"/>
                  <w:tcBorders>
                    <w:right w:val="single" w:color="auto" w:sz="4" w:space="0"/>
                  </w:tcBorders>
                  <w:noWrap w:val="0"/>
                  <w:vAlign w:val="center"/>
                </w:tcPr>
                <w:p w14:paraId="3EB69FDE">
                  <w:pPr>
                    <w:pStyle w:val="109"/>
                    <w:bidi w:val="0"/>
                    <w:rPr>
                      <w:rFonts w:hint="default" w:ascii="Times New Roman" w:hAnsi="Times New Roman" w:eastAsia="宋体"/>
                      <w:color w:val="auto"/>
                      <w:lang w:val="en-US" w:eastAsia="zh-CN"/>
                    </w:rPr>
                  </w:pPr>
                  <w:r>
                    <w:rPr>
                      <w:rFonts w:hint="eastAsia"/>
                      <w:color w:val="auto"/>
                      <w:lang w:val="en-US" w:eastAsia="zh-CN"/>
                    </w:rPr>
                    <w:t>NMHC</w:t>
                  </w:r>
                </w:p>
              </w:tc>
              <w:tc>
                <w:tcPr>
                  <w:tcW w:w="981" w:type="pct"/>
                  <w:tcBorders>
                    <w:left w:val="single" w:color="auto" w:sz="4" w:space="0"/>
                    <w:right w:val="single" w:color="auto" w:sz="4" w:space="0"/>
                  </w:tcBorders>
                  <w:noWrap w:val="0"/>
                  <w:vAlign w:val="center"/>
                </w:tcPr>
                <w:p w14:paraId="35FC6618">
                  <w:pPr>
                    <w:pStyle w:val="109"/>
                    <w:bidi w:val="0"/>
                    <w:ind w:firstLine="0" w:firstLineChars="0"/>
                    <w:rPr>
                      <w:rFonts w:hint="eastAsia" w:ascii="Times New Roman" w:hAnsi="Times New Roman" w:eastAsia="宋体" w:cstheme="minorBidi"/>
                      <w:color w:val="auto"/>
                      <w:spacing w:val="2"/>
                      <w:kern w:val="2"/>
                      <w:sz w:val="21"/>
                      <w:szCs w:val="22"/>
                      <w:lang w:val="en-US" w:eastAsia="zh-CN" w:bidi="ar-SA"/>
                    </w:rPr>
                  </w:pPr>
                  <w:r>
                    <w:rPr>
                      <w:rFonts w:hint="eastAsia"/>
                      <w:color w:val="auto"/>
                      <w:lang w:eastAsia="zh-CN"/>
                    </w:rPr>
                    <w:t>颗粒物</w:t>
                  </w:r>
                </w:p>
              </w:tc>
              <w:tc>
                <w:tcPr>
                  <w:tcW w:w="1251" w:type="pct"/>
                  <w:tcBorders>
                    <w:left w:val="single" w:color="auto" w:sz="4" w:space="0"/>
                    <w:right w:val="single" w:color="auto" w:sz="4" w:space="0"/>
                  </w:tcBorders>
                  <w:noWrap w:val="0"/>
                  <w:vAlign w:val="center"/>
                </w:tcPr>
                <w:p w14:paraId="054B77E0">
                  <w:pPr>
                    <w:pStyle w:val="109"/>
                    <w:bidi w:val="0"/>
                    <w:ind w:firstLine="0" w:firstLineChars="0"/>
                    <w:rPr>
                      <w:rFonts w:hint="default" w:ascii="Times New Roman" w:hAnsi="Times New Roman" w:eastAsia="宋体" w:cstheme="minorBidi"/>
                      <w:color w:val="auto"/>
                      <w:spacing w:val="2"/>
                      <w:kern w:val="2"/>
                      <w:sz w:val="21"/>
                      <w:szCs w:val="22"/>
                      <w:lang w:val="en-US" w:eastAsia="zh-CN" w:bidi="ar-SA"/>
                    </w:rPr>
                  </w:pPr>
                  <w:r>
                    <w:rPr>
                      <w:rFonts w:hint="eastAsia"/>
                      <w:color w:val="auto"/>
                      <w:lang w:val="en-US" w:eastAsia="zh-CN"/>
                    </w:rPr>
                    <w:t>NMHC</w:t>
                  </w:r>
                </w:p>
              </w:tc>
              <w:tc>
                <w:tcPr>
                  <w:tcW w:w="1007" w:type="pct"/>
                  <w:tcBorders>
                    <w:left w:val="single" w:color="auto" w:sz="4" w:space="0"/>
                    <w:right w:val="single" w:color="auto" w:sz="4" w:space="0"/>
                  </w:tcBorders>
                  <w:noWrap w:val="0"/>
                  <w:vAlign w:val="center"/>
                </w:tcPr>
                <w:p w14:paraId="065B33CB">
                  <w:pPr>
                    <w:pStyle w:val="109"/>
                    <w:bidi w:val="0"/>
                    <w:ind w:firstLine="0" w:firstLineChars="0"/>
                    <w:rPr>
                      <w:rFonts w:hint="eastAsia"/>
                      <w:color w:val="auto"/>
                      <w:lang w:val="en-US" w:eastAsia="zh-CN"/>
                    </w:rPr>
                  </w:pPr>
                  <w:r>
                    <w:rPr>
                      <w:rFonts w:hint="eastAsia"/>
                      <w:color w:val="auto"/>
                      <w:lang w:val="en-US" w:eastAsia="zh-CN"/>
                    </w:rPr>
                    <w:t>无组织排放监控位置</w:t>
                  </w:r>
                </w:p>
              </w:tc>
            </w:tr>
            <w:tr w14:paraId="37FBBBC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340" w:hRule="atLeast"/>
                <w:jc w:val="center"/>
              </w:trPr>
              <w:tc>
                <w:tcPr>
                  <w:tcW w:w="574" w:type="pct"/>
                  <w:noWrap w:val="0"/>
                  <w:vAlign w:val="center"/>
                </w:tcPr>
                <w:p w14:paraId="40A83963">
                  <w:pPr>
                    <w:pStyle w:val="109"/>
                    <w:bidi w:val="0"/>
                    <w:rPr>
                      <w:rFonts w:hint="eastAsia" w:ascii="Times New Roman" w:hAnsi="Times New Roman" w:eastAsia="宋体"/>
                      <w:color w:val="auto"/>
                      <w:lang w:eastAsia="zh-CN"/>
                    </w:rPr>
                  </w:pPr>
                  <w:r>
                    <w:rPr>
                      <w:rFonts w:hint="eastAsia" w:ascii="Times New Roman" w:hAnsi="Times New Roman" w:eastAsia="宋体"/>
                      <w:color w:val="auto"/>
                      <w:lang w:eastAsia="zh-CN"/>
                    </w:rPr>
                    <w:t>金属熔化</w:t>
                  </w:r>
                  <w:r>
                    <w:rPr>
                      <w:rFonts w:hint="eastAsia"/>
                      <w:color w:val="auto"/>
                      <w:lang w:eastAsia="zh-CN"/>
                    </w:rPr>
                    <w:t>、浇注</w:t>
                  </w:r>
                </w:p>
              </w:tc>
              <w:tc>
                <w:tcPr>
                  <w:tcW w:w="683" w:type="pct"/>
                  <w:noWrap w:val="0"/>
                  <w:vAlign w:val="center"/>
                </w:tcPr>
                <w:p w14:paraId="06C0B7F5">
                  <w:pPr>
                    <w:pStyle w:val="109"/>
                    <w:bidi w:val="0"/>
                    <w:rPr>
                      <w:rFonts w:hint="eastAsia" w:ascii="Times New Roman" w:hAnsi="Times New Roman" w:eastAsia="宋体"/>
                      <w:color w:val="auto"/>
                      <w:lang w:eastAsia="zh-CN"/>
                    </w:rPr>
                  </w:pPr>
                  <w:r>
                    <w:rPr>
                      <w:rFonts w:hint="eastAsia"/>
                      <w:color w:val="auto"/>
                      <w:lang w:val="en-US" w:eastAsia="zh-CN"/>
                    </w:rPr>
                    <w:t>3</w:t>
                  </w:r>
                  <w:r>
                    <w:rPr>
                      <w:rFonts w:hint="eastAsia" w:ascii="Times New Roman" w:hAnsi="Times New Roman" w:eastAsia="宋体"/>
                      <w:color w:val="auto"/>
                      <w:lang w:eastAsia="zh-CN"/>
                    </w:rPr>
                    <w:t>0</w:t>
                  </w:r>
                </w:p>
              </w:tc>
              <w:tc>
                <w:tcPr>
                  <w:tcW w:w="502" w:type="pct"/>
                  <w:noWrap w:val="0"/>
                  <w:vAlign w:val="center"/>
                </w:tcPr>
                <w:p w14:paraId="070E7615">
                  <w:pPr>
                    <w:pStyle w:val="109"/>
                    <w:bidi w:val="0"/>
                    <w:rPr>
                      <w:rFonts w:hint="eastAsia" w:ascii="Times New Roman" w:hAnsi="Times New Roman" w:eastAsia="宋体"/>
                      <w:color w:val="auto"/>
                      <w:lang w:eastAsia="zh-CN"/>
                    </w:rPr>
                  </w:pPr>
                  <w:r>
                    <w:rPr>
                      <w:rFonts w:hint="eastAsia"/>
                      <w:color w:val="auto"/>
                      <w:lang w:val="en-US" w:eastAsia="zh-CN"/>
                    </w:rPr>
                    <w:t>/</w:t>
                  </w:r>
                </w:p>
              </w:tc>
              <w:tc>
                <w:tcPr>
                  <w:tcW w:w="981" w:type="pct"/>
                  <w:tcBorders>
                    <w:right w:val="single" w:color="auto" w:sz="4" w:space="0"/>
                  </w:tcBorders>
                  <w:noWrap w:val="0"/>
                  <w:vAlign w:val="center"/>
                </w:tcPr>
                <w:p w14:paraId="2B26A542">
                  <w:pPr>
                    <w:pStyle w:val="109"/>
                    <w:bidi w:val="0"/>
                    <w:ind w:firstLine="0" w:firstLineChars="0"/>
                    <w:rPr>
                      <w:rFonts w:hint="eastAsia" w:ascii="Times New Roman" w:hAnsi="Times New Roman" w:eastAsia="宋体" w:cstheme="minorBidi"/>
                      <w:color w:val="auto"/>
                      <w:spacing w:val="2"/>
                      <w:kern w:val="2"/>
                      <w:sz w:val="21"/>
                      <w:szCs w:val="22"/>
                      <w:lang w:val="en-US" w:eastAsia="zh-CN" w:bidi="ar-SA"/>
                    </w:rPr>
                  </w:pPr>
                  <w:r>
                    <w:rPr>
                      <w:rFonts w:hint="eastAsia"/>
                      <w:color w:val="auto"/>
                      <w:lang w:val="en-US" w:eastAsia="zh-CN"/>
                    </w:rPr>
                    <w:t>5（监控点处1 h平均浓度值）</w:t>
                  </w:r>
                </w:p>
              </w:tc>
              <w:tc>
                <w:tcPr>
                  <w:tcW w:w="1251" w:type="pct"/>
                  <w:tcBorders>
                    <w:left w:val="single" w:color="auto" w:sz="4" w:space="0"/>
                  </w:tcBorders>
                  <w:noWrap w:val="0"/>
                  <w:vAlign w:val="center"/>
                </w:tcPr>
                <w:p w14:paraId="165CC98E">
                  <w:pPr>
                    <w:pStyle w:val="109"/>
                    <w:bidi w:val="0"/>
                    <w:ind w:firstLine="0" w:firstLineChars="0"/>
                    <w:rPr>
                      <w:rFonts w:hint="default" w:ascii="Times New Roman" w:hAnsi="Times New Roman" w:eastAsia="宋体" w:cstheme="minorBidi"/>
                      <w:color w:val="auto"/>
                      <w:spacing w:val="2"/>
                      <w:kern w:val="2"/>
                      <w:sz w:val="21"/>
                      <w:szCs w:val="22"/>
                      <w:lang w:val="en-US" w:eastAsia="zh-CN" w:bidi="ar-SA"/>
                    </w:rPr>
                  </w:pPr>
                  <w:r>
                    <w:rPr>
                      <w:rFonts w:hint="eastAsia"/>
                      <w:color w:val="auto"/>
                      <w:lang w:val="en-US" w:eastAsia="zh-CN"/>
                    </w:rPr>
                    <w:t>10（监控点处1 h平均浓度值）；30（监控点处任意一次浓度值）</w:t>
                  </w:r>
                </w:p>
              </w:tc>
              <w:tc>
                <w:tcPr>
                  <w:tcW w:w="1007" w:type="pct"/>
                  <w:tcBorders>
                    <w:left w:val="single" w:color="auto" w:sz="4" w:space="0"/>
                  </w:tcBorders>
                  <w:noWrap w:val="0"/>
                  <w:vAlign w:val="center"/>
                </w:tcPr>
                <w:p w14:paraId="7DE08076">
                  <w:pPr>
                    <w:pStyle w:val="109"/>
                    <w:bidi w:val="0"/>
                    <w:ind w:firstLine="0" w:firstLineChars="0"/>
                    <w:rPr>
                      <w:rFonts w:hint="eastAsia"/>
                      <w:color w:val="auto"/>
                      <w:lang w:val="en-US" w:eastAsia="zh-CN"/>
                    </w:rPr>
                  </w:pPr>
                  <w:r>
                    <w:rPr>
                      <w:rFonts w:hint="eastAsia"/>
                      <w:color w:val="auto"/>
                      <w:lang w:val="en-US" w:eastAsia="zh-CN"/>
                    </w:rPr>
                    <w:t>在厂房外设置监控点</w:t>
                  </w:r>
                </w:p>
              </w:tc>
            </w:tr>
          </w:tbl>
          <w:p w14:paraId="3939E0B1">
            <w:pPr>
              <w:pStyle w:val="114"/>
              <w:spacing w:before="120" w:beforeLines="50"/>
              <w:rPr>
                <w:rFonts w:hint="eastAsia"/>
                <w:color w:val="auto"/>
              </w:rPr>
            </w:pPr>
            <w:r>
              <w:rPr>
                <w:rFonts w:hint="eastAsia"/>
                <w:color w:val="auto"/>
              </w:rPr>
              <w:t>表</w:t>
            </w:r>
            <w:r>
              <w:rPr>
                <w:rFonts w:hint="eastAsia"/>
                <w:color w:val="auto"/>
                <w:lang w:val="en-US" w:eastAsia="zh-CN"/>
              </w:rPr>
              <w:t>3</w:t>
            </w:r>
            <w:r>
              <w:rPr>
                <w:rFonts w:hint="eastAsia"/>
                <w:color w:val="auto"/>
              </w:rPr>
              <w:t>-</w:t>
            </w:r>
            <w:r>
              <w:rPr>
                <w:rFonts w:hint="eastAsia"/>
                <w:color w:val="auto"/>
                <w:lang w:val="en-US" w:eastAsia="zh-CN"/>
              </w:rPr>
              <w:t>7</w:t>
            </w:r>
            <w:r>
              <w:rPr>
                <w:rFonts w:hint="eastAsia"/>
                <w:color w:val="auto"/>
              </w:rPr>
              <w:t>大气污染物排放标准</w:t>
            </w:r>
          </w:p>
          <w:tbl>
            <w:tblPr>
              <w:tblStyle w:val="29"/>
              <w:tblW w:w="4996" w:type="pct"/>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728"/>
              <w:gridCol w:w="1135"/>
              <w:gridCol w:w="1082"/>
              <w:gridCol w:w="1285"/>
              <w:gridCol w:w="1094"/>
              <w:gridCol w:w="2486"/>
            </w:tblGrid>
            <w:tr w14:paraId="3179B6A2">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6" w:type="pct"/>
                  <w:vAlign w:val="center"/>
                </w:tcPr>
                <w:p w14:paraId="52DBB521">
                  <w:pPr>
                    <w:pStyle w:val="108"/>
                    <w:rPr>
                      <w:rFonts w:hint="eastAsia"/>
                      <w:color w:val="auto"/>
                      <w:szCs w:val="21"/>
                      <w:u w:val="none"/>
                      <w:lang w:val="en-US" w:eastAsia="zh-CN"/>
                    </w:rPr>
                  </w:pPr>
                  <w:r>
                    <w:rPr>
                      <w:rFonts w:hint="eastAsia"/>
                      <w:color w:val="auto"/>
                      <w:szCs w:val="21"/>
                      <w:u w:val="none"/>
                      <w:lang w:val="en-US" w:eastAsia="zh-CN"/>
                    </w:rPr>
                    <w:t>污染源</w:t>
                  </w:r>
                </w:p>
              </w:tc>
              <w:tc>
                <w:tcPr>
                  <w:tcW w:w="726" w:type="pct"/>
                  <w:vAlign w:val="center"/>
                </w:tcPr>
                <w:p w14:paraId="4F5268CC">
                  <w:pPr>
                    <w:pStyle w:val="108"/>
                    <w:rPr>
                      <w:rFonts w:hint="eastAsia"/>
                      <w:color w:val="auto"/>
                      <w:szCs w:val="21"/>
                      <w:u w:val="none"/>
                      <w:lang w:val="en-US" w:eastAsia="zh-CN"/>
                    </w:rPr>
                  </w:pPr>
                  <w:r>
                    <w:rPr>
                      <w:rFonts w:hint="eastAsia"/>
                      <w:color w:val="auto"/>
                      <w:szCs w:val="21"/>
                      <w:u w:val="none"/>
                      <w:lang w:val="en-US" w:eastAsia="zh-CN"/>
                    </w:rPr>
                    <w:t>污染物名称</w:t>
                  </w:r>
                </w:p>
              </w:tc>
              <w:tc>
                <w:tcPr>
                  <w:tcW w:w="692" w:type="pct"/>
                  <w:vAlign w:val="center"/>
                </w:tcPr>
                <w:p w14:paraId="3AE83AF8">
                  <w:pPr>
                    <w:pStyle w:val="108"/>
                    <w:rPr>
                      <w:rFonts w:hint="default"/>
                      <w:color w:val="auto"/>
                      <w:szCs w:val="21"/>
                      <w:u w:val="none"/>
                      <w:lang w:val="en-US" w:eastAsia="zh-CN"/>
                    </w:rPr>
                  </w:pPr>
                  <w:r>
                    <w:rPr>
                      <w:rFonts w:hint="eastAsia"/>
                      <w:color w:val="auto"/>
                      <w:szCs w:val="21"/>
                      <w:u w:val="none"/>
                      <w:lang w:val="en-US" w:eastAsia="zh-CN"/>
                    </w:rPr>
                    <w:t>排放浓度</w:t>
                  </w:r>
                </w:p>
              </w:tc>
              <w:tc>
                <w:tcPr>
                  <w:tcW w:w="822" w:type="pct"/>
                  <w:vAlign w:val="center"/>
                </w:tcPr>
                <w:p w14:paraId="0D8EFB4E">
                  <w:pPr>
                    <w:pStyle w:val="108"/>
                    <w:rPr>
                      <w:rFonts w:hint="eastAsia"/>
                      <w:color w:val="auto"/>
                      <w:szCs w:val="21"/>
                      <w:u w:val="none"/>
                      <w:lang w:val="en-US" w:eastAsia="zh-CN"/>
                    </w:rPr>
                  </w:pPr>
                  <w:r>
                    <w:rPr>
                      <w:rFonts w:hint="eastAsia"/>
                      <w:color w:val="auto"/>
                      <w:szCs w:val="21"/>
                      <w:u w:val="none"/>
                      <w:lang w:val="en-US" w:eastAsia="zh-CN"/>
                    </w:rPr>
                    <w:t>排放速率</w:t>
                  </w:r>
                </w:p>
              </w:tc>
              <w:tc>
                <w:tcPr>
                  <w:tcW w:w="700" w:type="pct"/>
                  <w:vAlign w:val="center"/>
                </w:tcPr>
                <w:p w14:paraId="12EED16A">
                  <w:pPr>
                    <w:pStyle w:val="108"/>
                    <w:rPr>
                      <w:rFonts w:hint="eastAsia"/>
                      <w:color w:val="auto"/>
                      <w:szCs w:val="21"/>
                      <w:u w:val="none"/>
                      <w:lang w:val="en-US" w:eastAsia="zh-CN"/>
                    </w:rPr>
                  </w:pPr>
                  <w:r>
                    <w:rPr>
                      <w:rFonts w:hint="default"/>
                      <w:color w:val="auto"/>
                      <w:szCs w:val="21"/>
                      <w:u w:val="none"/>
                      <w:lang w:val="en-US" w:eastAsia="zh-CN"/>
                    </w:rPr>
                    <w:t>企业边界无组织排放监控点浓度限值</w:t>
                  </w:r>
                </w:p>
              </w:tc>
              <w:tc>
                <w:tcPr>
                  <w:tcW w:w="1591" w:type="pct"/>
                  <w:vAlign w:val="center"/>
                </w:tcPr>
                <w:p w14:paraId="1A52969D">
                  <w:pPr>
                    <w:pStyle w:val="108"/>
                    <w:rPr>
                      <w:rFonts w:hint="eastAsia"/>
                      <w:color w:val="auto"/>
                      <w:szCs w:val="21"/>
                      <w:u w:val="none"/>
                      <w:lang w:val="en-US" w:eastAsia="zh-CN"/>
                    </w:rPr>
                  </w:pPr>
                  <w:r>
                    <w:rPr>
                      <w:rFonts w:hint="eastAsia"/>
                      <w:color w:val="auto"/>
                      <w:szCs w:val="21"/>
                      <w:u w:val="none"/>
                      <w:lang w:val="en-US" w:eastAsia="zh-CN"/>
                    </w:rPr>
                    <w:t>标准名称</w:t>
                  </w:r>
                </w:p>
              </w:tc>
            </w:tr>
            <w:tr w14:paraId="35595F88">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6" w:type="pct"/>
                  <w:vMerge w:val="restart"/>
                  <w:tcBorders>
                    <w:top w:val="single" w:color="auto" w:sz="4" w:space="0"/>
                  </w:tcBorders>
                  <w:vAlign w:val="center"/>
                </w:tcPr>
                <w:p w14:paraId="01D46178">
                  <w:pPr>
                    <w:pStyle w:val="108"/>
                    <w:rPr>
                      <w:rFonts w:hint="eastAsia"/>
                      <w:color w:val="auto"/>
                      <w:szCs w:val="21"/>
                      <w:u w:val="none"/>
                      <w:lang w:val="en-US" w:eastAsia="zh-CN"/>
                    </w:rPr>
                  </w:pPr>
                  <w:r>
                    <w:rPr>
                      <w:rFonts w:hint="eastAsia"/>
                      <w:color w:val="auto"/>
                      <w:szCs w:val="21"/>
                      <w:u w:val="none"/>
                      <w:lang w:val="en-US" w:eastAsia="zh-CN"/>
                    </w:rPr>
                    <w:t>制芯、浇注</w:t>
                  </w:r>
                </w:p>
              </w:tc>
              <w:tc>
                <w:tcPr>
                  <w:tcW w:w="726" w:type="pct"/>
                  <w:tcBorders>
                    <w:top w:val="single" w:color="auto" w:sz="4" w:space="0"/>
                    <w:bottom w:val="single" w:color="auto" w:sz="4" w:space="0"/>
                  </w:tcBorders>
                  <w:vAlign w:val="center"/>
                </w:tcPr>
                <w:p w14:paraId="2625A43F">
                  <w:pPr>
                    <w:pStyle w:val="108"/>
                    <w:rPr>
                      <w:rFonts w:hint="eastAsia"/>
                      <w:color w:val="auto"/>
                      <w:szCs w:val="21"/>
                      <w:u w:val="none"/>
                      <w:lang w:val="en-US" w:eastAsia="zh-CN"/>
                    </w:rPr>
                  </w:pPr>
                  <w:r>
                    <w:rPr>
                      <w:rFonts w:hint="eastAsia"/>
                      <w:color w:val="auto"/>
                      <w:szCs w:val="21"/>
                      <w:u w:val="none"/>
                      <w:lang w:val="en-US" w:eastAsia="zh-CN"/>
                    </w:rPr>
                    <w:t>甲醛</w:t>
                  </w:r>
                </w:p>
              </w:tc>
              <w:tc>
                <w:tcPr>
                  <w:tcW w:w="692" w:type="pct"/>
                  <w:tcBorders>
                    <w:top w:val="single" w:color="auto" w:sz="4" w:space="0"/>
                    <w:bottom w:val="single" w:color="auto" w:sz="4" w:space="0"/>
                  </w:tcBorders>
                  <w:vAlign w:val="center"/>
                </w:tcPr>
                <w:p w14:paraId="0C4F91B5">
                  <w:pPr>
                    <w:pStyle w:val="108"/>
                    <w:rPr>
                      <w:rFonts w:hint="default"/>
                      <w:color w:val="auto"/>
                      <w:szCs w:val="21"/>
                      <w:u w:val="none"/>
                      <w:lang w:val="en-US" w:eastAsia="zh-CN"/>
                    </w:rPr>
                  </w:pPr>
                  <w:r>
                    <w:rPr>
                      <w:rFonts w:hint="eastAsia"/>
                      <w:color w:val="auto"/>
                      <w:szCs w:val="21"/>
                      <w:u w:val="none"/>
                      <w:lang w:val="en-US" w:eastAsia="zh-CN"/>
                    </w:rPr>
                    <w:t>25</w:t>
                  </w:r>
                </w:p>
              </w:tc>
              <w:tc>
                <w:tcPr>
                  <w:tcW w:w="822" w:type="pct"/>
                  <w:tcBorders>
                    <w:top w:val="single" w:color="auto" w:sz="4" w:space="0"/>
                    <w:bottom w:val="single" w:color="auto" w:sz="4" w:space="0"/>
                  </w:tcBorders>
                  <w:vAlign w:val="center"/>
                </w:tcPr>
                <w:p w14:paraId="1F79CFAE">
                  <w:pPr>
                    <w:pStyle w:val="108"/>
                    <w:rPr>
                      <w:rFonts w:hint="default"/>
                      <w:color w:val="auto"/>
                      <w:szCs w:val="21"/>
                      <w:u w:val="none"/>
                      <w:lang w:val="en-US" w:eastAsia="zh-CN"/>
                    </w:rPr>
                  </w:pPr>
                  <w:r>
                    <w:rPr>
                      <w:rFonts w:hint="eastAsia"/>
                      <w:color w:val="auto"/>
                      <w:szCs w:val="21"/>
                      <w:u w:val="none"/>
                      <w:lang w:val="en-US" w:eastAsia="zh-CN"/>
                    </w:rPr>
                    <w:t>0.26kg/h(15m高排气筒)</w:t>
                  </w:r>
                </w:p>
              </w:tc>
              <w:tc>
                <w:tcPr>
                  <w:tcW w:w="700" w:type="pct"/>
                  <w:tcBorders>
                    <w:top w:val="single" w:color="auto" w:sz="4" w:space="0"/>
                    <w:bottom w:val="single" w:color="auto" w:sz="4" w:space="0"/>
                  </w:tcBorders>
                  <w:vAlign w:val="center"/>
                </w:tcPr>
                <w:p w14:paraId="52740ECB">
                  <w:pPr>
                    <w:pStyle w:val="108"/>
                    <w:rPr>
                      <w:rFonts w:hint="default"/>
                      <w:color w:val="auto"/>
                      <w:szCs w:val="21"/>
                      <w:u w:val="none"/>
                      <w:lang w:val="en-US" w:eastAsia="zh-CN"/>
                    </w:rPr>
                  </w:pPr>
                  <w:r>
                    <w:rPr>
                      <w:rFonts w:hint="eastAsia"/>
                      <w:color w:val="auto"/>
                      <w:szCs w:val="21"/>
                      <w:u w:val="none"/>
                      <w:lang w:val="en-US" w:eastAsia="zh-CN"/>
                    </w:rPr>
                    <w:t>0.2mg/m</w:t>
                  </w:r>
                  <w:r>
                    <w:rPr>
                      <w:rFonts w:hint="eastAsia"/>
                      <w:color w:val="auto"/>
                      <w:szCs w:val="21"/>
                      <w:u w:val="none"/>
                      <w:vertAlign w:val="superscript"/>
                      <w:lang w:val="en-US" w:eastAsia="zh-CN"/>
                    </w:rPr>
                    <w:t>3</w:t>
                  </w:r>
                </w:p>
              </w:tc>
              <w:tc>
                <w:tcPr>
                  <w:tcW w:w="1591" w:type="pct"/>
                  <w:vMerge w:val="restart"/>
                  <w:vAlign w:val="center"/>
                </w:tcPr>
                <w:p w14:paraId="282449E6">
                  <w:pPr>
                    <w:pStyle w:val="108"/>
                    <w:rPr>
                      <w:rFonts w:hint="eastAsia"/>
                      <w:color w:val="auto"/>
                      <w:szCs w:val="21"/>
                      <w:u w:val="none"/>
                      <w:lang w:val="en-US" w:eastAsia="zh-CN"/>
                    </w:rPr>
                  </w:pPr>
                  <w:r>
                    <w:rPr>
                      <w:rFonts w:hint="eastAsia"/>
                      <w:color w:val="auto"/>
                      <w:szCs w:val="21"/>
                      <w:u w:val="none"/>
                      <w:lang w:val="en-US" w:eastAsia="zh-CN"/>
                    </w:rPr>
                    <w:t>《大气污染物综合排放标准》（GB16297-1996）表2中二级标准限值</w:t>
                  </w:r>
                </w:p>
              </w:tc>
            </w:tr>
            <w:tr w14:paraId="5C250269">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6" w:type="pct"/>
                  <w:vMerge w:val="continue"/>
                  <w:vAlign w:val="center"/>
                </w:tcPr>
                <w:p w14:paraId="73DB8351">
                  <w:pPr>
                    <w:pStyle w:val="108"/>
                    <w:rPr>
                      <w:rFonts w:hint="eastAsia"/>
                      <w:color w:val="auto"/>
                      <w:szCs w:val="21"/>
                      <w:u w:val="none"/>
                      <w:lang w:val="en-US" w:eastAsia="zh-CN"/>
                    </w:rPr>
                  </w:pPr>
                </w:p>
              </w:tc>
              <w:tc>
                <w:tcPr>
                  <w:tcW w:w="726" w:type="pct"/>
                  <w:tcBorders>
                    <w:top w:val="single" w:color="auto" w:sz="4" w:space="0"/>
                    <w:bottom w:val="single" w:color="auto" w:sz="4" w:space="0"/>
                  </w:tcBorders>
                  <w:vAlign w:val="center"/>
                </w:tcPr>
                <w:p w14:paraId="255F6AC8">
                  <w:pPr>
                    <w:pStyle w:val="108"/>
                    <w:rPr>
                      <w:rFonts w:hint="eastAsia"/>
                      <w:color w:val="auto"/>
                      <w:szCs w:val="21"/>
                      <w:u w:val="none"/>
                      <w:lang w:val="en-US" w:eastAsia="zh-CN"/>
                    </w:rPr>
                  </w:pPr>
                  <w:r>
                    <w:rPr>
                      <w:rFonts w:hint="eastAsia"/>
                      <w:color w:val="auto"/>
                      <w:szCs w:val="21"/>
                      <w:u w:val="none"/>
                      <w:lang w:val="en-US" w:eastAsia="zh-CN"/>
                    </w:rPr>
                    <w:t>非甲烷总烃</w:t>
                  </w:r>
                </w:p>
              </w:tc>
              <w:tc>
                <w:tcPr>
                  <w:tcW w:w="692" w:type="pct"/>
                  <w:tcBorders>
                    <w:top w:val="single" w:color="auto" w:sz="4" w:space="0"/>
                    <w:bottom w:val="single" w:color="auto" w:sz="4" w:space="0"/>
                  </w:tcBorders>
                  <w:vAlign w:val="center"/>
                </w:tcPr>
                <w:p w14:paraId="176F8913">
                  <w:pPr>
                    <w:pStyle w:val="108"/>
                    <w:rPr>
                      <w:rFonts w:hint="default"/>
                      <w:color w:val="auto"/>
                      <w:szCs w:val="21"/>
                      <w:u w:val="none"/>
                      <w:lang w:val="en-US" w:eastAsia="zh-CN"/>
                    </w:rPr>
                  </w:pPr>
                  <w:r>
                    <w:rPr>
                      <w:rFonts w:hint="eastAsia"/>
                      <w:color w:val="auto"/>
                      <w:szCs w:val="21"/>
                      <w:u w:val="none"/>
                      <w:lang w:val="en-US" w:eastAsia="zh-CN"/>
                    </w:rPr>
                    <w:t>120</w:t>
                  </w:r>
                </w:p>
              </w:tc>
              <w:tc>
                <w:tcPr>
                  <w:tcW w:w="822" w:type="pct"/>
                  <w:tcBorders>
                    <w:top w:val="single" w:color="auto" w:sz="4" w:space="0"/>
                    <w:bottom w:val="single" w:color="auto" w:sz="4" w:space="0"/>
                  </w:tcBorders>
                  <w:vAlign w:val="center"/>
                </w:tcPr>
                <w:p w14:paraId="2FE1D787">
                  <w:pPr>
                    <w:pStyle w:val="108"/>
                    <w:rPr>
                      <w:rFonts w:hint="eastAsia"/>
                      <w:color w:val="auto"/>
                      <w:szCs w:val="21"/>
                      <w:u w:val="none"/>
                      <w:lang w:val="en-US" w:eastAsia="zh-CN"/>
                    </w:rPr>
                  </w:pPr>
                  <w:r>
                    <w:rPr>
                      <w:rFonts w:hint="eastAsia"/>
                      <w:color w:val="auto"/>
                      <w:szCs w:val="21"/>
                      <w:u w:val="none"/>
                      <w:lang w:val="en-US" w:eastAsia="zh-CN"/>
                    </w:rPr>
                    <w:t>10kg/h(15m高排气筒)</w:t>
                  </w:r>
                </w:p>
              </w:tc>
              <w:tc>
                <w:tcPr>
                  <w:tcW w:w="700" w:type="pct"/>
                  <w:tcBorders>
                    <w:top w:val="single" w:color="auto" w:sz="4" w:space="0"/>
                    <w:bottom w:val="single" w:color="auto" w:sz="4" w:space="0"/>
                  </w:tcBorders>
                  <w:vAlign w:val="center"/>
                </w:tcPr>
                <w:p w14:paraId="54892EA2">
                  <w:pPr>
                    <w:pStyle w:val="108"/>
                    <w:rPr>
                      <w:rFonts w:hint="default"/>
                      <w:color w:val="auto"/>
                      <w:szCs w:val="21"/>
                      <w:u w:val="none"/>
                      <w:lang w:val="en-US" w:eastAsia="zh-CN"/>
                    </w:rPr>
                  </w:pPr>
                  <w:r>
                    <w:rPr>
                      <w:rFonts w:hint="eastAsia"/>
                      <w:color w:val="auto"/>
                      <w:szCs w:val="21"/>
                      <w:u w:val="none"/>
                      <w:lang w:val="en-US" w:eastAsia="zh-CN"/>
                    </w:rPr>
                    <w:t>4.0mg/m</w:t>
                  </w:r>
                  <w:r>
                    <w:rPr>
                      <w:rFonts w:hint="eastAsia"/>
                      <w:color w:val="auto"/>
                      <w:szCs w:val="21"/>
                      <w:u w:val="none"/>
                      <w:vertAlign w:val="superscript"/>
                      <w:lang w:val="en-US" w:eastAsia="zh-CN"/>
                    </w:rPr>
                    <w:t>3</w:t>
                  </w:r>
                </w:p>
              </w:tc>
              <w:tc>
                <w:tcPr>
                  <w:tcW w:w="1591" w:type="pct"/>
                  <w:vMerge w:val="continue"/>
                  <w:vAlign w:val="center"/>
                </w:tcPr>
                <w:p w14:paraId="36060D4D">
                  <w:pPr>
                    <w:pStyle w:val="108"/>
                    <w:rPr>
                      <w:rFonts w:hint="eastAsia"/>
                      <w:color w:val="auto"/>
                      <w:szCs w:val="21"/>
                      <w:u w:val="none"/>
                      <w:lang w:val="en-US" w:eastAsia="zh-CN"/>
                    </w:rPr>
                  </w:pPr>
                </w:p>
              </w:tc>
            </w:tr>
            <w:tr w14:paraId="1DA1F645">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6" w:type="pct"/>
                  <w:vMerge w:val="continue"/>
                  <w:tcBorders>
                    <w:bottom w:val="single" w:color="auto" w:sz="4" w:space="0"/>
                  </w:tcBorders>
                  <w:vAlign w:val="center"/>
                </w:tcPr>
                <w:p w14:paraId="54071E83">
                  <w:pPr>
                    <w:pStyle w:val="108"/>
                    <w:rPr>
                      <w:rFonts w:hint="eastAsia"/>
                      <w:color w:val="auto"/>
                      <w:szCs w:val="21"/>
                      <w:u w:val="none"/>
                      <w:lang w:val="en-US" w:eastAsia="zh-CN"/>
                    </w:rPr>
                  </w:pPr>
                </w:p>
              </w:tc>
              <w:tc>
                <w:tcPr>
                  <w:tcW w:w="726" w:type="pct"/>
                  <w:tcBorders>
                    <w:top w:val="single" w:color="auto" w:sz="4" w:space="0"/>
                    <w:bottom w:val="single" w:color="auto" w:sz="4" w:space="0"/>
                  </w:tcBorders>
                  <w:vAlign w:val="center"/>
                </w:tcPr>
                <w:p w14:paraId="4FD47455">
                  <w:pPr>
                    <w:pStyle w:val="108"/>
                    <w:rPr>
                      <w:rFonts w:hint="eastAsia"/>
                      <w:color w:val="auto"/>
                      <w:szCs w:val="21"/>
                      <w:u w:val="none"/>
                      <w:lang w:val="en-US" w:eastAsia="zh-CN"/>
                    </w:rPr>
                  </w:pPr>
                  <w:r>
                    <w:rPr>
                      <w:rFonts w:hint="eastAsia"/>
                      <w:color w:val="auto"/>
                      <w:szCs w:val="21"/>
                      <w:u w:val="none"/>
                      <w:lang w:val="en-US" w:eastAsia="zh-CN"/>
                    </w:rPr>
                    <w:t>颗粒物</w:t>
                  </w:r>
                </w:p>
              </w:tc>
              <w:tc>
                <w:tcPr>
                  <w:tcW w:w="692" w:type="pct"/>
                  <w:tcBorders>
                    <w:top w:val="single" w:color="auto" w:sz="4" w:space="0"/>
                    <w:bottom w:val="single" w:color="auto" w:sz="4" w:space="0"/>
                  </w:tcBorders>
                  <w:vAlign w:val="center"/>
                </w:tcPr>
                <w:p w14:paraId="6E0F74B1">
                  <w:pPr>
                    <w:pStyle w:val="108"/>
                    <w:rPr>
                      <w:rFonts w:hint="default"/>
                      <w:color w:val="auto"/>
                      <w:szCs w:val="21"/>
                      <w:u w:val="none"/>
                      <w:lang w:val="en-US" w:eastAsia="zh-CN"/>
                    </w:rPr>
                  </w:pPr>
                  <w:r>
                    <w:rPr>
                      <w:rFonts w:hint="eastAsia"/>
                      <w:color w:val="auto"/>
                      <w:szCs w:val="21"/>
                      <w:u w:val="none"/>
                      <w:lang w:val="en-US" w:eastAsia="zh-CN"/>
                    </w:rPr>
                    <w:t>/</w:t>
                  </w:r>
                </w:p>
              </w:tc>
              <w:tc>
                <w:tcPr>
                  <w:tcW w:w="822" w:type="pct"/>
                  <w:tcBorders>
                    <w:top w:val="single" w:color="auto" w:sz="4" w:space="0"/>
                    <w:bottom w:val="single" w:color="auto" w:sz="4" w:space="0"/>
                  </w:tcBorders>
                  <w:vAlign w:val="center"/>
                </w:tcPr>
                <w:p w14:paraId="40890F0D">
                  <w:pPr>
                    <w:pStyle w:val="108"/>
                    <w:rPr>
                      <w:rFonts w:hint="default"/>
                      <w:color w:val="auto"/>
                      <w:szCs w:val="21"/>
                      <w:u w:val="none"/>
                      <w:lang w:val="en-US" w:eastAsia="zh-CN"/>
                    </w:rPr>
                  </w:pPr>
                  <w:r>
                    <w:rPr>
                      <w:rFonts w:hint="eastAsia"/>
                      <w:color w:val="auto"/>
                      <w:szCs w:val="21"/>
                      <w:u w:val="none"/>
                      <w:lang w:val="en-US" w:eastAsia="zh-CN"/>
                    </w:rPr>
                    <w:t>/</w:t>
                  </w:r>
                </w:p>
              </w:tc>
              <w:tc>
                <w:tcPr>
                  <w:tcW w:w="700" w:type="pct"/>
                  <w:tcBorders>
                    <w:top w:val="single" w:color="auto" w:sz="4" w:space="0"/>
                    <w:bottom w:val="single" w:color="auto" w:sz="4" w:space="0"/>
                  </w:tcBorders>
                  <w:vAlign w:val="center"/>
                </w:tcPr>
                <w:p w14:paraId="4D9C4781">
                  <w:pPr>
                    <w:pStyle w:val="108"/>
                    <w:rPr>
                      <w:rFonts w:hint="default"/>
                      <w:color w:val="auto"/>
                      <w:szCs w:val="21"/>
                      <w:u w:val="none"/>
                      <w:lang w:val="en-US" w:eastAsia="zh-CN"/>
                    </w:rPr>
                  </w:pPr>
                  <w:r>
                    <w:rPr>
                      <w:rFonts w:hint="eastAsia"/>
                      <w:color w:val="auto"/>
                      <w:szCs w:val="21"/>
                      <w:u w:val="none"/>
                      <w:lang w:val="en-US" w:eastAsia="zh-CN"/>
                    </w:rPr>
                    <w:t>1.0mg/m</w:t>
                  </w:r>
                  <w:r>
                    <w:rPr>
                      <w:rFonts w:hint="eastAsia"/>
                      <w:color w:val="auto"/>
                      <w:szCs w:val="21"/>
                      <w:u w:val="none"/>
                      <w:vertAlign w:val="superscript"/>
                      <w:lang w:val="en-US" w:eastAsia="zh-CN"/>
                    </w:rPr>
                    <w:t>3</w:t>
                  </w:r>
                </w:p>
              </w:tc>
              <w:tc>
                <w:tcPr>
                  <w:tcW w:w="1591" w:type="pct"/>
                  <w:vMerge w:val="continue"/>
                  <w:vAlign w:val="center"/>
                </w:tcPr>
                <w:p w14:paraId="06315A68">
                  <w:pPr>
                    <w:pStyle w:val="108"/>
                    <w:rPr>
                      <w:rFonts w:hint="eastAsia"/>
                      <w:color w:val="auto"/>
                      <w:szCs w:val="21"/>
                      <w:u w:val="none"/>
                      <w:lang w:val="en-US" w:eastAsia="zh-CN"/>
                    </w:rPr>
                  </w:pPr>
                </w:p>
              </w:tc>
            </w:tr>
          </w:tbl>
          <w:p w14:paraId="40896D3A">
            <w:pPr>
              <w:bidi w:val="0"/>
              <w:rPr>
                <w:rFonts w:hint="eastAsia"/>
                <w:color w:val="auto"/>
                <w:lang w:val="en-US" w:eastAsia="zh-CN"/>
              </w:rPr>
            </w:pPr>
            <w:r>
              <w:rPr>
                <w:rFonts w:hint="eastAsia"/>
                <w:color w:val="auto"/>
              </w:rPr>
              <w:t>3、</w:t>
            </w:r>
            <w:r>
              <w:rPr>
                <w:rFonts w:hint="eastAsia"/>
                <w:color w:val="auto"/>
                <w:lang w:val="en-US" w:eastAsia="zh-CN"/>
              </w:rPr>
              <w:t>噪声</w:t>
            </w:r>
          </w:p>
          <w:p w14:paraId="0B1C0DA3">
            <w:pPr>
              <w:bidi w:val="0"/>
              <w:rPr>
                <w:color w:val="auto"/>
              </w:rPr>
            </w:pPr>
            <w:r>
              <w:rPr>
                <w:rFonts w:hint="eastAsia"/>
                <w:color w:val="auto"/>
              </w:rPr>
              <w:t>项目位于工业园，噪声</w:t>
            </w:r>
            <w:r>
              <w:rPr>
                <w:color w:val="auto"/>
              </w:rPr>
              <w:t>执行《工业企业厂界环境噪声排放标准》（GB12348-2008）中</w:t>
            </w:r>
            <w:r>
              <w:rPr>
                <w:rFonts w:hint="eastAsia"/>
                <w:color w:val="auto"/>
              </w:rPr>
              <w:t>3</w:t>
            </w:r>
            <w:r>
              <w:rPr>
                <w:color w:val="auto"/>
              </w:rPr>
              <w:t>类标准。</w:t>
            </w:r>
          </w:p>
          <w:p w14:paraId="25267C08">
            <w:pPr>
              <w:pStyle w:val="14"/>
              <w:spacing w:line="400" w:lineRule="exact"/>
              <w:ind w:firstLine="422"/>
              <w:rPr>
                <w:rFonts w:hAnsi="Times New Roman"/>
                <w:b/>
                <w:color w:val="auto"/>
                <w:sz w:val="21"/>
                <w:szCs w:val="21"/>
              </w:rPr>
            </w:pPr>
            <w:r>
              <w:rPr>
                <w:rFonts w:hAnsi="Times New Roman"/>
                <w:b/>
                <w:color w:val="auto"/>
                <w:sz w:val="21"/>
                <w:szCs w:val="21"/>
              </w:rPr>
              <w:t>表</w:t>
            </w:r>
            <w:r>
              <w:rPr>
                <w:rFonts w:hint="eastAsia" w:hAnsi="Times New Roman"/>
                <w:b/>
                <w:color w:val="auto"/>
                <w:sz w:val="21"/>
                <w:szCs w:val="21"/>
                <w:lang w:val="en-US"/>
              </w:rPr>
              <w:t>3</w:t>
            </w:r>
            <w:r>
              <w:rPr>
                <w:rFonts w:hAnsi="Times New Roman"/>
                <w:b/>
                <w:color w:val="auto"/>
                <w:sz w:val="21"/>
                <w:szCs w:val="21"/>
              </w:rPr>
              <w:t>-</w:t>
            </w:r>
            <w:r>
              <w:rPr>
                <w:rFonts w:hint="eastAsia" w:hAnsi="Times New Roman"/>
                <w:b/>
                <w:color w:val="auto"/>
                <w:sz w:val="21"/>
                <w:szCs w:val="21"/>
                <w:lang w:val="en-US" w:eastAsia="zh-CN"/>
              </w:rPr>
              <w:t>8</w:t>
            </w:r>
            <w:r>
              <w:rPr>
                <w:rFonts w:hAnsi="Times New Roman"/>
                <w:b/>
                <w:color w:val="auto"/>
                <w:sz w:val="21"/>
                <w:szCs w:val="21"/>
              </w:rPr>
              <w:t xml:space="preserve">   噪声评价</w:t>
            </w:r>
            <w:r>
              <w:rPr>
                <w:rFonts w:hint="eastAsia" w:hAnsi="Times New Roman"/>
                <w:b/>
                <w:color w:val="auto"/>
                <w:sz w:val="21"/>
                <w:szCs w:val="21"/>
                <w:lang w:eastAsia="zh-CN"/>
              </w:rPr>
              <w:t>标准</w:t>
            </w:r>
          </w:p>
          <w:tbl>
            <w:tblPr>
              <w:tblStyle w:val="29"/>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26"/>
              <w:gridCol w:w="2590"/>
              <w:gridCol w:w="2593"/>
            </w:tblGrid>
            <w:tr w14:paraId="7EAFF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1681" w:type="pct"/>
                  <w:noWrap w:val="0"/>
                  <w:vAlign w:val="center"/>
                </w:tcPr>
                <w:p w14:paraId="11086E28">
                  <w:pPr>
                    <w:widowControl/>
                    <w:spacing w:line="240" w:lineRule="auto"/>
                    <w:ind w:firstLine="0" w:firstLineChars="0"/>
                    <w:jc w:val="center"/>
                    <w:rPr>
                      <w:color w:val="auto"/>
                      <w:kern w:val="0"/>
                      <w:sz w:val="21"/>
                      <w:szCs w:val="21"/>
                    </w:rPr>
                  </w:pPr>
                  <w:r>
                    <w:rPr>
                      <w:rFonts w:hint="eastAsia"/>
                      <w:color w:val="auto"/>
                      <w:kern w:val="0"/>
                      <w:sz w:val="21"/>
                      <w:szCs w:val="21"/>
                    </w:rPr>
                    <w:t>类别</w:t>
                  </w:r>
                </w:p>
              </w:tc>
              <w:tc>
                <w:tcPr>
                  <w:tcW w:w="1658" w:type="pct"/>
                  <w:noWrap w:val="0"/>
                  <w:vAlign w:val="center"/>
                </w:tcPr>
                <w:p w14:paraId="0A052EC6">
                  <w:pPr>
                    <w:widowControl/>
                    <w:spacing w:line="240" w:lineRule="auto"/>
                    <w:ind w:firstLine="0" w:firstLineChars="0"/>
                    <w:jc w:val="center"/>
                    <w:rPr>
                      <w:color w:val="auto"/>
                      <w:kern w:val="0"/>
                      <w:sz w:val="21"/>
                      <w:szCs w:val="21"/>
                    </w:rPr>
                  </w:pPr>
                  <w:r>
                    <w:rPr>
                      <w:rFonts w:hint="eastAsia"/>
                      <w:color w:val="auto"/>
                      <w:kern w:val="0"/>
                      <w:sz w:val="21"/>
                      <w:szCs w:val="21"/>
                    </w:rPr>
                    <w:t>昼间</w:t>
                  </w:r>
                </w:p>
              </w:tc>
              <w:tc>
                <w:tcPr>
                  <w:tcW w:w="1659" w:type="pct"/>
                  <w:noWrap w:val="0"/>
                  <w:vAlign w:val="center"/>
                </w:tcPr>
                <w:p w14:paraId="1009D9AF">
                  <w:pPr>
                    <w:widowControl/>
                    <w:spacing w:line="240" w:lineRule="auto"/>
                    <w:ind w:firstLine="0" w:firstLineChars="0"/>
                    <w:jc w:val="center"/>
                    <w:rPr>
                      <w:color w:val="auto"/>
                      <w:kern w:val="0"/>
                      <w:sz w:val="21"/>
                      <w:szCs w:val="21"/>
                    </w:rPr>
                  </w:pPr>
                  <w:r>
                    <w:rPr>
                      <w:rFonts w:hint="eastAsia"/>
                      <w:color w:val="auto"/>
                      <w:kern w:val="0"/>
                      <w:sz w:val="21"/>
                      <w:szCs w:val="21"/>
                    </w:rPr>
                    <w:t>夜间</w:t>
                  </w:r>
                </w:p>
              </w:tc>
            </w:tr>
            <w:tr w14:paraId="11BAD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81" w:type="pct"/>
                  <w:noWrap w:val="0"/>
                  <w:vAlign w:val="center"/>
                </w:tcPr>
                <w:p w14:paraId="2F83AC55">
                  <w:pPr>
                    <w:widowControl/>
                    <w:spacing w:line="240" w:lineRule="auto"/>
                    <w:ind w:firstLine="0" w:firstLineChars="0"/>
                    <w:jc w:val="center"/>
                    <w:rPr>
                      <w:color w:val="auto"/>
                      <w:kern w:val="0"/>
                      <w:sz w:val="21"/>
                      <w:szCs w:val="21"/>
                    </w:rPr>
                  </w:pPr>
                  <w:r>
                    <w:rPr>
                      <w:rFonts w:hint="eastAsia"/>
                      <w:color w:val="auto"/>
                      <w:kern w:val="0"/>
                      <w:sz w:val="21"/>
                      <w:szCs w:val="21"/>
                    </w:rPr>
                    <w:t>（GB12348-2008）3类</w:t>
                  </w:r>
                </w:p>
              </w:tc>
              <w:tc>
                <w:tcPr>
                  <w:tcW w:w="1658" w:type="pct"/>
                  <w:noWrap w:val="0"/>
                  <w:vAlign w:val="center"/>
                </w:tcPr>
                <w:p w14:paraId="251E8DF8">
                  <w:pPr>
                    <w:widowControl/>
                    <w:spacing w:line="240" w:lineRule="auto"/>
                    <w:ind w:firstLine="0" w:firstLineChars="0"/>
                    <w:jc w:val="center"/>
                    <w:rPr>
                      <w:color w:val="auto"/>
                      <w:kern w:val="0"/>
                      <w:sz w:val="21"/>
                      <w:szCs w:val="21"/>
                    </w:rPr>
                  </w:pPr>
                  <w:r>
                    <w:rPr>
                      <w:rFonts w:hint="eastAsia"/>
                      <w:color w:val="auto"/>
                      <w:kern w:val="0"/>
                      <w:sz w:val="21"/>
                      <w:szCs w:val="21"/>
                    </w:rPr>
                    <w:t>≤65</w:t>
                  </w:r>
                </w:p>
              </w:tc>
              <w:tc>
                <w:tcPr>
                  <w:tcW w:w="1659" w:type="pct"/>
                  <w:noWrap w:val="0"/>
                  <w:vAlign w:val="center"/>
                </w:tcPr>
                <w:p w14:paraId="6AC02959">
                  <w:pPr>
                    <w:widowControl/>
                    <w:spacing w:line="240" w:lineRule="auto"/>
                    <w:ind w:firstLine="0" w:firstLineChars="0"/>
                    <w:jc w:val="center"/>
                    <w:rPr>
                      <w:color w:val="auto"/>
                      <w:kern w:val="0"/>
                      <w:sz w:val="21"/>
                      <w:szCs w:val="21"/>
                    </w:rPr>
                  </w:pPr>
                  <w:r>
                    <w:rPr>
                      <w:rFonts w:hint="eastAsia"/>
                      <w:color w:val="auto"/>
                      <w:kern w:val="0"/>
                      <w:sz w:val="21"/>
                      <w:szCs w:val="21"/>
                    </w:rPr>
                    <w:t>≤55</w:t>
                  </w:r>
                </w:p>
              </w:tc>
            </w:tr>
          </w:tbl>
          <w:p w14:paraId="7F6CAF55">
            <w:pPr>
              <w:bidi w:val="0"/>
              <w:rPr>
                <w:rFonts w:hint="eastAsia"/>
                <w:color w:val="auto"/>
                <w:lang w:val="en-US" w:eastAsia="zh-CN"/>
              </w:rPr>
            </w:pPr>
            <w:r>
              <w:rPr>
                <w:rFonts w:hint="eastAsia"/>
                <w:color w:val="auto"/>
              </w:rPr>
              <w:t>4、</w:t>
            </w:r>
            <w:r>
              <w:rPr>
                <w:rFonts w:hint="eastAsia"/>
                <w:color w:val="auto"/>
                <w:lang w:val="en-US" w:eastAsia="zh-CN"/>
              </w:rPr>
              <w:t>固体废物</w:t>
            </w:r>
          </w:p>
          <w:p w14:paraId="685E3B58">
            <w:pPr>
              <w:bidi w:val="0"/>
              <w:rPr>
                <w:color w:val="auto"/>
                <w:kern w:val="0"/>
                <w:szCs w:val="21"/>
                <w:highlight w:val="none"/>
              </w:rPr>
            </w:pPr>
            <w:r>
              <w:rPr>
                <w:rFonts w:hint="eastAsia"/>
                <w:color w:val="auto"/>
                <w:lang w:val="en-US" w:eastAsia="zh-CN"/>
              </w:rPr>
              <w:t>生活垃圾委托环卫部门清运处置，</w:t>
            </w:r>
            <w:r>
              <w:rPr>
                <w:rFonts w:hint="eastAsia"/>
                <w:color w:val="auto"/>
              </w:rPr>
              <w:t>一般工业固体废物执行《一般工业固体废物贮存和填埋污染物控制标准》</w:t>
            </w:r>
            <w:r>
              <w:rPr>
                <w:rFonts w:hint="eastAsia"/>
                <w:color w:val="auto"/>
                <w:lang w:eastAsia="zh-CN"/>
              </w:rPr>
              <w:t>(</w:t>
            </w:r>
            <w:r>
              <w:rPr>
                <w:rFonts w:hint="eastAsia"/>
                <w:color w:val="auto"/>
              </w:rPr>
              <w:t>GB18599-2020</w:t>
            </w:r>
            <w:r>
              <w:rPr>
                <w:rFonts w:hint="eastAsia"/>
                <w:color w:val="auto"/>
                <w:lang w:eastAsia="zh-CN"/>
              </w:rPr>
              <w:t>)</w:t>
            </w:r>
            <w:r>
              <w:rPr>
                <w:rFonts w:hint="eastAsia"/>
                <w:color w:val="auto"/>
              </w:rPr>
              <w:t>要求；危险废物执行《危险废物贮存污染控制标准》</w:t>
            </w:r>
            <w:r>
              <w:rPr>
                <w:rFonts w:hint="eastAsia"/>
                <w:color w:val="auto"/>
                <w:lang w:eastAsia="zh-CN"/>
              </w:rPr>
              <w:t>(</w:t>
            </w:r>
            <w:r>
              <w:rPr>
                <w:rFonts w:hint="eastAsia"/>
                <w:color w:val="auto"/>
              </w:rPr>
              <w:t>GB18597-20</w:t>
            </w:r>
            <w:r>
              <w:rPr>
                <w:color w:val="auto"/>
              </w:rPr>
              <w:t>23</w:t>
            </w:r>
            <w:r>
              <w:rPr>
                <w:rFonts w:hint="eastAsia"/>
                <w:color w:val="auto"/>
                <w:lang w:eastAsia="zh-CN"/>
              </w:rPr>
              <w:t>)</w:t>
            </w:r>
            <w:r>
              <w:rPr>
                <w:rFonts w:hint="eastAsia"/>
                <w:color w:val="auto"/>
              </w:rPr>
              <w:t>要求。</w:t>
            </w:r>
          </w:p>
        </w:tc>
      </w:tr>
      <w:tr w14:paraId="733339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971" w:hRule="atLeast"/>
          <w:jc w:val="center"/>
        </w:trPr>
        <w:tc>
          <w:tcPr>
            <w:tcW w:w="777" w:type="dxa"/>
            <w:noWrap w:val="0"/>
            <w:vAlign w:val="center"/>
          </w:tcPr>
          <w:p w14:paraId="580ED665">
            <w:pPr>
              <w:adjustRightInd w:val="0"/>
              <w:snapToGrid w:val="0"/>
              <w:ind w:left="0" w:leftChars="0" w:firstLine="0" w:firstLineChars="0"/>
              <w:jc w:val="center"/>
              <w:rPr>
                <w:color w:val="auto"/>
                <w:kern w:val="0"/>
                <w:szCs w:val="21"/>
                <w:highlight w:val="none"/>
              </w:rPr>
            </w:pPr>
            <w:r>
              <w:rPr>
                <w:rFonts w:ascii="Times New Roman" w:hAnsi="Times New Roman" w:eastAsia="宋体" w:cs="Times New Roman"/>
                <w:color w:val="auto"/>
                <w:kern w:val="0"/>
                <w:szCs w:val="21"/>
                <w:highlight w:val="none"/>
              </w:rPr>
              <w:t>总量控制指标</w:t>
            </w:r>
          </w:p>
        </w:tc>
        <w:tc>
          <w:tcPr>
            <w:tcW w:w="8037" w:type="dxa"/>
            <w:noWrap w:val="0"/>
            <w:vAlign w:val="center"/>
          </w:tcPr>
          <w:p w14:paraId="7D8C6571">
            <w:pPr>
              <w:bidi w:val="0"/>
              <w:rPr>
                <w:rFonts w:hint="eastAsia"/>
                <w:color w:val="auto"/>
                <w:lang w:eastAsia="zh-CN"/>
              </w:rPr>
            </w:pPr>
            <w:r>
              <w:rPr>
                <w:rFonts w:hint="eastAsia"/>
                <w:color w:val="auto"/>
                <w:lang w:eastAsia="zh-CN"/>
              </w:rPr>
              <w:t>根据《湖南省主要污染物排污权有偿使用和交易管理办法》的通知（湘政办发〔2022〕23号），湖南省内主要污染物排污权有偿使用和交易管理的污染物主要为化学需氧量、氨氮、二氧化硫、氮氧化物、铅、镉、砷、汞、铬、挥发性有机物、总磷等十一类污染物；</w:t>
            </w:r>
          </w:p>
          <w:p w14:paraId="7084855C">
            <w:pPr>
              <w:bidi w:val="0"/>
              <w:rPr>
                <w:rFonts w:hint="eastAsia"/>
                <w:color w:val="auto"/>
                <w:lang w:eastAsia="zh-CN"/>
              </w:rPr>
            </w:pPr>
            <w:r>
              <w:rPr>
                <w:rFonts w:hint="eastAsia"/>
                <w:color w:val="auto"/>
                <w:lang w:eastAsia="zh-CN"/>
              </w:rPr>
              <w:t>①大气总量控制指标：根据废气源强分析，本项目不涉及二氧化硫、氮氧化物，有机废气排放量约为</w:t>
            </w:r>
            <w:r>
              <w:rPr>
                <w:rFonts w:hint="eastAsia"/>
                <w:color w:val="auto"/>
                <w:lang w:val="en-US" w:eastAsia="zh-CN"/>
              </w:rPr>
              <w:t>0.116</w:t>
            </w:r>
            <w:r>
              <w:rPr>
                <w:rFonts w:hint="eastAsia"/>
                <w:color w:val="auto"/>
                <w:lang w:eastAsia="zh-CN"/>
              </w:rPr>
              <w:t>t/a，目前湖南省有机废气总量控制指标未实行排污权交易，本次核定数量。</w:t>
            </w:r>
          </w:p>
          <w:p w14:paraId="7BBDF312">
            <w:pPr>
              <w:bidi w:val="0"/>
              <w:rPr>
                <w:rFonts w:hint="eastAsia"/>
                <w:color w:val="auto"/>
                <w:lang w:eastAsia="zh-CN"/>
              </w:rPr>
            </w:pPr>
            <w:r>
              <w:rPr>
                <w:rFonts w:hint="eastAsia"/>
                <w:color w:val="auto"/>
                <w:lang w:eastAsia="zh-CN"/>
              </w:rPr>
              <w:t>②水污染物控制指标：根据工程分析，本项目无生产废水排放，单独生活污水无需进行总量控制。</w:t>
            </w:r>
          </w:p>
          <w:p w14:paraId="64525AA5">
            <w:pPr>
              <w:bidi w:val="0"/>
              <w:rPr>
                <w:rFonts w:hint="eastAsia"/>
                <w:color w:val="auto"/>
              </w:rPr>
            </w:pPr>
          </w:p>
          <w:p w14:paraId="33B30A80">
            <w:pPr>
              <w:adjustRightInd w:val="0"/>
              <w:snapToGrid w:val="0"/>
              <w:spacing w:line="360" w:lineRule="auto"/>
              <w:ind w:firstLine="480" w:firstLineChars="200"/>
              <w:rPr>
                <w:color w:val="auto"/>
                <w:sz w:val="24"/>
                <w:highlight w:val="none"/>
              </w:rPr>
            </w:pPr>
          </w:p>
          <w:p w14:paraId="7BCDCD79">
            <w:pPr>
              <w:adjustRightInd w:val="0"/>
              <w:snapToGrid w:val="0"/>
              <w:spacing w:line="360" w:lineRule="auto"/>
              <w:ind w:firstLine="480" w:firstLineChars="200"/>
              <w:rPr>
                <w:color w:val="auto"/>
                <w:sz w:val="24"/>
                <w:highlight w:val="none"/>
              </w:rPr>
            </w:pPr>
          </w:p>
          <w:p w14:paraId="34F26D77">
            <w:pPr>
              <w:adjustRightInd w:val="0"/>
              <w:snapToGrid w:val="0"/>
              <w:spacing w:line="360" w:lineRule="auto"/>
              <w:ind w:firstLine="480" w:firstLineChars="200"/>
              <w:rPr>
                <w:color w:val="auto"/>
                <w:kern w:val="0"/>
                <w:szCs w:val="21"/>
                <w:highlight w:val="none"/>
              </w:rPr>
            </w:pPr>
          </w:p>
        </w:tc>
      </w:tr>
    </w:tbl>
    <w:p w14:paraId="0EDE75B3">
      <w:pPr>
        <w:pStyle w:val="25"/>
        <w:jc w:val="center"/>
        <w:outlineLvl w:val="0"/>
        <w:rPr>
          <w:rFonts w:ascii="Times New Roman" w:hAnsi="Times New Roman" w:eastAsia="黑体"/>
          <w:snapToGrid w:val="0"/>
          <w:color w:val="auto"/>
          <w:sz w:val="30"/>
          <w:szCs w:val="30"/>
        </w:rPr>
      </w:pPr>
      <w:r>
        <w:rPr>
          <w:rFonts w:ascii="Times New Roman" w:hAnsi="Times New Roman" w:eastAsia="黑体"/>
          <w:snapToGrid w:val="0"/>
          <w:color w:val="auto"/>
          <w:sz w:val="36"/>
          <w:szCs w:val="36"/>
        </w:rPr>
        <w:br w:type="page"/>
      </w:r>
      <w:bookmarkStart w:id="25" w:name="_Toc110847886"/>
      <w:bookmarkStart w:id="26" w:name="_Toc21939"/>
      <w:r>
        <w:rPr>
          <w:rFonts w:ascii="Times New Roman" w:hAnsi="Times New Roman" w:eastAsia="黑体"/>
          <w:snapToGrid w:val="0"/>
          <w:color w:val="auto"/>
          <w:sz w:val="30"/>
          <w:szCs w:val="30"/>
        </w:rPr>
        <w:t>四、主要环境影响和保护措施</w:t>
      </w:r>
      <w:bookmarkEnd w:id="25"/>
      <w:bookmarkEnd w:id="26"/>
    </w:p>
    <w:tbl>
      <w:tblPr>
        <w:tblStyle w:val="29"/>
        <w:tblW w:w="504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73"/>
        <w:gridCol w:w="8686"/>
      </w:tblGrid>
      <w:tr w14:paraId="5C2F67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206" w:type="pct"/>
            <w:noWrap w:val="0"/>
            <w:tcMar>
              <w:left w:w="28" w:type="dxa"/>
              <w:right w:w="28" w:type="dxa"/>
            </w:tcMar>
            <w:vAlign w:val="center"/>
          </w:tcPr>
          <w:p w14:paraId="1F7EFD50">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施工</w:t>
            </w:r>
          </w:p>
          <w:p w14:paraId="4BCC5A72">
            <w:pPr>
              <w:adjustRightInd w:val="0"/>
              <w:snapToGrid w:val="0"/>
              <w:ind w:left="0" w:leftChars="0" w:firstLine="0" w:firstLineChars="0"/>
              <w:jc w:val="center"/>
              <w:rPr>
                <w:bCs/>
                <w:color w:val="auto"/>
                <w:szCs w:val="21"/>
                <w:highlight w:val="none"/>
                <w:u w:val="none"/>
              </w:rPr>
            </w:pPr>
            <w:r>
              <w:rPr>
                <w:rFonts w:ascii="Times New Roman" w:hAnsi="Times New Roman" w:eastAsia="宋体" w:cs="Times New Roman"/>
                <w:color w:val="auto"/>
                <w:kern w:val="0"/>
                <w:szCs w:val="21"/>
                <w:highlight w:val="none"/>
              </w:rPr>
              <w:t>期环境保护措施</w:t>
            </w:r>
          </w:p>
        </w:tc>
        <w:tc>
          <w:tcPr>
            <w:tcW w:w="4793" w:type="pct"/>
            <w:noWrap w:val="0"/>
            <w:vAlign w:val="center"/>
          </w:tcPr>
          <w:p w14:paraId="1CDA71E0">
            <w:pPr>
              <w:bidi w:val="0"/>
              <w:rPr>
                <w:color w:val="auto"/>
              </w:rPr>
            </w:pPr>
            <w:r>
              <w:rPr>
                <w:rFonts w:hint="eastAsia"/>
                <w:color w:val="auto"/>
              </w:rPr>
              <w:t>本项目</w:t>
            </w:r>
            <w:r>
              <w:rPr>
                <w:rFonts w:hint="eastAsia"/>
                <w:color w:val="auto"/>
                <w:lang w:eastAsia="zh-CN"/>
              </w:rPr>
              <w:t>租赁</w:t>
            </w:r>
            <w:r>
              <w:rPr>
                <w:rFonts w:hint="eastAsia"/>
                <w:color w:val="auto"/>
              </w:rPr>
              <w:t>已建成的空置厂房，施工期仅为设备安装调试，由于施工时间较短，施工过程较为简单，基本在封闭的空间内施工，施工期对项目周边环境敏感目标没有产生明显影响</w:t>
            </w:r>
            <w:r>
              <w:rPr>
                <w:rFonts w:hint="eastAsia"/>
                <w:color w:val="auto"/>
                <w:lang w:eastAsia="zh-CN"/>
              </w:rPr>
              <w:t>；项目施工已结束，本次对</w:t>
            </w:r>
            <w:r>
              <w:rPr>
                <w:rFonts w:hint="eastAsia"/>
                <w:color w:val="auto"/>
              </w:rPr>
              <w:t>仅对施工期间产生的污染及其对环境的影响做简单</w:t>
            </w:r>
            <w:r>
              <w:rPr>
                <w:rFonts w:hint="eastAsia"/>
                <w:color w:val="auto"/>
                <w:lang w:eastAsia="zh-CN"/>
              </w:rPr>
              <w:t>回顾</w:t>
            </w:r>
            <w:r>
              <w:rPr>
                <w:rFonts w:hint="eastAsia"/>
                <w:color w:val="auto"/>
              </w:rPr>
              <w:t>分析。</w:t>
            </w:r>
          </w:p>
          <w:p w14:paraId="706DAEBF">
            <w:pPr>
              <w:bidi w:val="0"/>
              <w:rPr>
                <w:color w:val="auto"/>
              </w:rPr>
            </w:pPr>
            <w:r>
              <w:rPr>
                <w:rFonts w:hint="eastAsia"/>
                <w:color w:val="auto"/>
                <w:lang w:val="en-US" w:eastAsia="zh-CN"/>
              </w:rPr>
              <w:t>1、</w:t>
            </w:r>
            <w:r>
              <w:rPr>
                <w:color w:val="auto"/>
              </w:rPr>
              <w:t>施工期废气污染防治措施</w:t>
            </w:r>
          </w:p>
          <w:p w14:paraId="4D0A321C">
            <w:pPr>
              <w:bidi w:val="0"/>
              <w:rPr>
                <w:rFonts w:hint="eastAsia"/>
                <w:color w:val="auto"/>
                <w:lang w:val="en-US" w:eastAsia="zh-CN"/>
              </w:rPr>
            </w:pPr>
            <w:r>
              <w:rPr>
                <w:color w:val="auto"/>
              </w:rPr>
              <w:t>本项目施工期产生的大气污染物主要为装修过程中使用的涂料、油漆等装修材料含有挥发性有机物</w:t>
            </w:r>
            <w:r>
              <w:rPr>
                <w:rFonts w:hint="eastAsia"/>
                <w:color w:val="auto"/>
                <w:lang w:eastAsia="zh-CN"/>
              </w:rPr>
              <w:t>(</w:t>
            </w:r>
            <w:r>
              <w:rPr>
                <w:color w:val="auto"/>
              </w:rPr>
              <w:t>TVOC</w:t>
            </w:r>
            <w:r>
              <w:rPr>
                <w:rFonts w:hint="eastAsia"/>
                <w:color w:val="auto"/>
                <w:lang w:eastAsia="zh-CN"/>
              </w:rPr>
              <w:t>)</w:t>
            </w:r>
            <w:r>
              <w:rPr>
                <w:color w:val="auto"/>
              </w:rPr>
              <w:t>等，据资料表明，建筑内外装饰过程产生的有害物质主要为以各种形式逸出的甲醛和挥发性有机物VOC等，建设单位应合理选择建筑及装修材料，在建筑装修工程阶段，需加强现场管理，建筑装修采用环保型装饰材料和建筑涂料，以避免室内空气污染现象的发生，并使室内环境和公共场所环境满足《室内空气质量标准》</w:t>
            </w:r>
            <w:r>
              <w:rPr>
                <w:rFonts w:hint="eastAsia"/>
                <w:color w:val="auto"/>
                <w:lang w:eastAsia="zh-CN"/>
              </w:rPr>
              <w:t>(</w:t>
            </w:r>
            <w:r>
              <w:rPr>
                <w:color w:val="auto"/>
              </w:rPr>
              <w:t>GB/T1883-2002</w:t>
            </w:r>
            <w:r>
              <w:rPr>
                <w:rFonts w:hint="eastAsia"/>
                <w:color w:val="auto"/>
                <w:lang w:eastAsia="zh-CN"/>
              </w:rPr>
              <w:t>)</w:t>
            </w:r>
            <w:r>
              <w:rPr>
                <w:color w:val="auto"/>
              </w:rPr>
              <w:t>，以减少有害气体物质对旅</w:t>
            </w:r>
            <w:r>
              <w:rPr>
                <w:rFonts w:hint="eastAsia"/>
                <w:color w:val="auto"/>
                <w:lang w:val="en-US" w:eastAsia="zh-CN"/>
              </w:rPr>
              <w:t>客和工作人员身体的危害。</w:t>
            </w:r>
          </w:p>
          <w:p w14:paraId="53F05F1C">
            <w:pPr>
              <w:bidi w:val="0"/>
              <w:rPr>
                <w:rFonts w:hint="eastAsia"/>
                <w:color w:val="auto"/>
                <w:lang w:val="en-US" w:eastAsia="zh-CN"/>
              </w:rPr>
            </w:pPr>
            <w:r>
              <w:rPr>
                <w:rFonts w:hint="eastAsia"/>
                <w:color w:val="auto"/>
                <w:lang w:val="en-US" w:eastAsia="zh-CN"/>
              </w:rPr>
              <w:t>2、施工期废水污染防治措施</w:t>
            </w:r>
          </w:p>
          <w:p w14:paraId="3208E213">
            <w:pPr>
              <w:bidi w:val="0"/>
              <w:rPr>
                <w:rFonts w:hint="eastAsia"/>
                <w:color w:val="auto"/>
                <w:lang w:val="en-US" w:eastAsia="zh-CN"/>
              </w:rPr>
            </w:pPr>
            <w:r>
              <w:rPr>
                <w:color w:val="auto"/>
              </w:rPr>
              <w:t>本项目施工人员均为项目建设区域附近居民，食宿均不在施工场内，施工期产生的废水主要是施工人员粪便废水，主要污染物为COD、BOD</w:t>
            </w:r>
            <w:r>
              <w:rPr>
                <w:color w:val="auto"/>
                <w:vertAlign w:val="subscript"/>
              </w:rPr>
              <w:t>5</w:t>
            </w:r>
            <w:r>
              <w:rPr>
                <w:color w:val="auto"/>
              </w:rPr>
              <w:t>、SS、氨氮。目前，项目所在区域污水管网已建成，项目施工人员生活污水经化粪池处理后，排入附近市政污</w:t>
            </w:r>
            <w:r>
              <w:rPr>
                <w:rFonts w:hint="eastAsia"/>
                <w:color w:val="auto"/>
                <w:lang w:val="en-US" w:eastAsia="zh-CN"/>
              </w:rPr>
              <w:t>水管网，经污水处理厂处理后对外环境影响较小。</w:t>
            </w:r>
          </w:p>
          <w:p w14:paraId="2B6895D4">
            <w:pPr>
              <w:bidi w:val="0"/>
              <w:rPr>
                <w:rFonts w:hint="eastAsia"/>
                <w:color w:val="auto"/>
                <w:lang w:val="en-US" w:eastAsia="zh-CN"/>
              </w:rPr>
            </w:pPr>
            <w:r>
              <w:rPr>
                <w:rFonts w:hint="eastAsia"/>
                <w:color w:val="auto"/>
                <w:lang w:val="en-US" w:eastAsia="zh-CN"/>
              </w:rPr>
              <w:t>3、施工期噪声污染防治措施</w:t>
            </w:r>
          </w:p>
          <w:p w14:paraId="7E494196">
            <w:pPr>
              <w:bidi w:val="0"/>
              <w:rPr>
                <w:color w:val="auto"/>
              </w:rPr>
            </w:pPr>
            <w:r>
              <w:rPr>
                <w:color w:val="auto"/>
              </w:rPr>
              <w:t>施工期厂房及附属设施装修安装设备噪声污染源主要来源于电钻、电锯、电锤等施工设备噪声和物料运输的交通噪声，噪声源强值约在75-95dB</w:t>
            </w:r>
            <w:r>
              <w:rPr>
                <w:rFonts w:hint="eastAsia"/>
                <w:color w:val="auto"/>
                <w:lang w:eastAsia="zh-CN"/>
              </w:rPr>
              <w:t>(</w:t>
            </w:r>
            <w:r>
              <w:rPr>
                <w:color w:val="auto"/>
              </w:rPr>
              <w:t>A</w:t>
            </w:r>
            <w:r>
              <w:rPr>
                <w:rFonts w:hint="eastAsia"/>
                <w:color w:val="auto"/>
                <w:lang w:eastAsia="zh-CN"/>
              </w:rPr>
              <w:t>)</w:t>
            </w:r>
            <w:r>
              <w:rPr>
                <w:color w:val="auto"/>
              </w:rPr>
              <w:t>之间。项目通过墙体阻隔降噪后，噪声值可降低15-25 dB(A)。为进一步减少施工期噪声对区域环境的影响，</w:t>
            </w:r>
            <w:r>
              <w:rPr>
                <w:rFonts w:hint="eastAsia"/>
                <w:color w:val="auto"/>
                <w:lang w:eastAsia="zh-CN"/>
              </w:rPr>
              <w:t>并</w:t>
            </w:r>
            <w:r>
              <w:rPr>
                <w:color w:val="auto"/>
              </w:rPr>
              <w:t>采取以下防治措施：</w:t>
            </w:r>
          </w:p>
          <w:p w14:paraId="0AE0B46D">
            <w:pPr>
              <w:bidi w:val="0"/>
              <w:rPr>
                <w:color w:val="auto"/>
              </w:rPr>
            </w:pPr>
            <w:r>
              <w:rPr>
                <w:color w:val="auto"/>
              </w:rPr>
              <w:t>①合理安排施工时间，施工应安排在昼间6</w:t>
            </w:r>
            <w:r>
              <w:rPr>
                <w:rFonts w:hint="eastAsia"/>
                <w:color w:val="auto"/>
                <w:lang w:eastAsia="zh-CN"/>
              </w:rPr>
              <w:t>:</w:t>
            </w:r>
            <w:r>
              <w:rPr>
                <w:color w:val="auto"/>
              </w:rPr>
              <w:t>00~12</w:t>
            </w:r>
            <w:r>
              <w:rPr>
                <w:rFonts w:hint="eastAsia"/>
                <w:color w:val="auto"/>
                <w:lang w:eastAsia="zh-CN"/>
              </w:rPr>
              <w:t>:</w:t>
            </w:r>
            <w:r>
              <w:rPr>
                <w:color w:val="auto"/>
              </w:rPr>
              <w:t>00、14</w:t>
            </w:r>
            <w:r>
              <w:rPr>
                <w:rFonts w:hint="eastAsia"/>
                <w:color w:val="auto"/>
                <w:lang w:eastAsia="zh-CN"/>
              </w:rPr>
              <w:t>:</w:t>
            </w:r>
            <w:r>
              <w:rPr>
                <w:color w:val="auto"/>
              </w:rPr>
              <w:t>00~22</w:t>
            </w:r>
            <w:r>
              <w:rPr>
                <w:rFonts w:hint="eastAsia"/>
                <w:color w:val="auto"/>
                <w:lang w:eastAsia="zh-CN"/>
              </w:rPr>
              <w:t>:</w:t>
            </w:r>
            <w:r>
              <w:rPr>
                <w:color w:val="auto"/>
              </w:rPr>
              <w:t>00期间进行，中午及夜间休息时间禁止施工。</w:t>
            </w:r>
          </w:p>
          <w:p w14:paraId="50C251A6">
            <w:pPr>
              <w:bidi w:val="0"/>
              <w:rPr>
                <w:color w:val="auto"/>
              </w:rPr>
            </w:pPr>
            <w:r>
              <w:rPr>
                <w:color w:val="auto"/>
              </w:rPr>
              <w:t>②选用低噪声设备和工作方式，加强设备的维护与管理，把噪声污染减少到最低程度。</w:t>
            </w:r>
          </w:p>
          <w:p w14:paraId="638D252C">
            <w:pPr>
              <w:bidi w:val="0"/>
              <w:rPr>
                <w:color w:val="auto"/>
              </w:rPr>
            </w:pPr>
            <w:r>
              <w:rPr>
                <w:color w:val="auto"/>
              </w:rPr>
              <w:t>③合理布局高噪声设备，电锯、电锤等可移动的高噪声设备放置在远离环境敏感点一侧，避免在同一地点安排大量动力机械设备，以免局部声级过高。</w:t>
            </w:r>
          </w:p>
          <w:p w14:paraId="3B44A5EB">
            <w:pPr>
              <w:bidi w:val="0"/>
              <w:rPr>
                <w:color w:val="auto"/>
              </w:rPr>
            </w:pPr>
            <w:r>
              <w:rPr>
                <w:color w:val="auto"/>
              </w:rPr>
              <w:t>④加强运输车辆的管理，按规定组织车辆运输，合理规定运输通道。施工场地内道路应尽量保持平坦，减少由于道路不平而引起的车辆颠簸噪声。</w:t>
            </w:r>
          </w:p>
          <w:p w14:paraId="72496D28">
            <w:pPr>
              <w:bidi w:val="0"/>
              <w:rPr>
                <w:rFonts w:hint="eastAsia"/>
                <w:color w:val="auto"/>
                <w:lang w:val="en-US" w:eastAsia="zh-CN"/>
              </w:rPr>
            </w:pPr>
            <w:r>
              <w:rPr>
                <w:rFonts w:hint="eastAsia"/>
                <w:color w:val="auto"/>
                <w:lang w:val="en-US" w:eastAsia="zh-CN"/>
              </w:rPr>
              <w:t>4、施工期固体防治措施</w:t>
            </w:r>
          </w:p>
          <w:p w14:paraId="02CFBDD8">
            <w:pPr>
              <w:bidi w:val="0"/>
              <w:rPr>
                <w:color w:val="auto"/>
              </w:rPr>
            </w:pPr>
            <w:r>
              <w:rPr>
                <w:rFonts w:hint="eastAsia"/>
                <w:color w:val="auto"/>
                <w:lang w:val="en-US" w:eastAsia="zh-CN"/>
              </w:rPr>
              <w:t>本项目施工期产</w:t>
            </w:r>
            <w:r>
              <w:rPr>
                <w:color w:val="auto"/>
              </w:rPr>
              <w:t>生的固体废物主要为建筑</w:t>
            </w:r>
            <w:r>
              <w:rPr>
                <w:rFonts w:hint="eastAsia"/>
                <w:color w:val="auto"/>
                <w:lang w:val="en-US" w:eastAsia="zh-CN"/>
              </w:rPr>
              <w:t>垃圾</w:t>
            </w:r>
            <w:r>
              <w:rPr>
                <w:color w:val="auto"/>
              </w:rPr>
              <w:t>和生活垃圾。</w:t>
            </w:r>
          </w:p>
          <w:p w14:paraId="0802C547">
            <w:pPr>
              <w:bidi w:val="0"/>
              <w:rPr>
                <w:color w:val="auto"/>
              </w:rPr>
            </w:pPr>
            <w:r>
              <w:rPr>
                <w:rFonts w:hint="eastAsia"/>
                <w:color w:val="auto"/>
                <w:lang w:eastAsia="zh-CN"/>
              </w:rPr>
              <w:t>（1）</w:t>
            </w:r>
            <w:r>
              <w:rPr>
                <w:color w:val="auto"/>
              </w:rPr>
              <w:t>建筑垃圾</w:t>
            </w:r>
          </w:p>
          <w:p w14:paraId="2851600E">
            <w:pPr>
              <w:bidi w:val="0"/>
              <w:rPr>
                <w:color w:val="auto"/>
              </w:rPr>
            </w:pPr>
            <w:r>
              <w:rPr>
                <w:color w:val="auto"/>
              </w:rPr>
              <w:t>本项目施工过程产生</w:t>
            </w:r>
            <w:r>
              <w:rPr>
                <w:rFonts w:hint="eastAsia"/>
                <w:color w:val="auto"/>
                <w:lang w:eastAsia="zh-CN"/>
              </w:rPr>
              <w:t>的</w:t>
            </w:r>
            <w:r>
              <w:rPr>
                <w:color w:val="auto"/>
              </w:rPr>
              <w:t>建筑垃圾主要包括砂石、石灰、混凝土、木材、废砖等，集中收集由施工单位清运至城建部门指定的地点。</w:t>
            </w:r>
          </w:p>
          <w:p w14:paraId="4F2E1857">
            <w:pPr>
              <w:bidi w:val="0"/>
              <w:rPr>
                <w:color w:val="auto"/>
              </w:rPr>
            </w:pPr>
            <w:r>
              <w:rPr>
                <w:rFonts w:hint="eastAsia"/>
                <w:color w:val="auto"/>
                <w:lang w:eastAsia="zh-CN"/>
              </w:rPr>
              <w:t>（2）</w:t>
            </w:r>
            <w:r>
              <w:rPr>
                <w:color w:val="auto"/>
              </w:rPr>
              <w:t>生活垃圾</w:t>
            </w:r>
          </w:p>
          <w:p w14:paraId="48D87558">
            <w:pPr>
              <w:bidi w:val="0"/>
              <w:rPr>
                <w:rFonts w:hint="eastAsia"/>
                <w:color w:val="auto"/>
                <w:lang w:val="en-US" w:eastAsia="zh-CN"/>
              </w:rPr>
            </w:pPr>
            <w:r>
              <w:rPr>
                <w:rFonts w:hint="eastAsia"/>
                <w:color w:val="auto"/>
                <w:lang w:val="en-US" w:eastAsia="zh-CN"/>
              </w:rPr>
              <w:t>项目</w:t>
            </w:r>
            <w:r>
              <w:rPr>
                <w:color w:val="auto"/>
              </w:rPr>
              <w:t>施工过程中产生的生活垃圾</w:t>
            </w:r>
            <w:r>
              <w:rPr>
                <w:rFonts w:hint="eastAsia"/>
                <w:color w:val="auto"/>
                <w:lang w:val="en-US" w:eastAsia="zh-CN"/>
              </w:rPr>
              <w:t>定点存放、及时收集，回收可利用物质，将生活垃圾减量化、资源化后，委托环卫部门清运处理。</w:t>
            </w:r>
          </w:p>
          <w:p w14:paraId="36F59054">
            <w:pPr>
              <w:bidi w:val="0"/>
              <w:rPr>
                <w:rFonts w:hint="eastAsia"/>
                <w:color w:val="auto"/>
                <w:lang w:val="en-US" w:eastAsia="zh-CN"/>
              </w:rPr>
            </w:pPr>
            <w:r>
              <w:rPr>
                <w:rFonts w:hint="eastAsia"/>
                <w:color w:val="auto"/>
                <w:lang w:val="en-US" w:eastAsia="zh-CN"/>
              </w:rPr>
              <w:t>5、生态环境目标保护措施</w:t>
            </w:r>
          </w:p>
          <w:p w14:paraId="7F1D20D6">
            <w:pPr>
              <w:bidi w:val="0"/>
              <w:rPr>
                <w:bCs/>
                <w:color w:val="auto"/>
                <w:spacing w:val="-10"/>
                <w:highlight w:val="none"/>
                <w:u w:val="none"/>
              </w:rPr>
            </w:pPr>
            <w:r>
              <w:rPr>
                <w:rFonts w:hint="eastAsia"/>
                <w:color w:val="auto"/>
                <w:lang w:val="en-US" w:eastAsia="zh-CN"/>
              </w:rPr>
              <w:t>项目租用厂房位于工业园内</w:t>
            </w:r>
            <w:r>
              <w:rPr>
                <w:rFonts w:hint="eastAsia"/>
                <w:color w:val="auto"/>
              </w:rPr>
              <w:t>，根据《建设项目环境影响报告表编制技术指南</w:t>
            </w:r>
            <w:r>
              <w:rPr>
                <w:rFonts w:hint="eastAsia"/>
                <w:color w:val="auto"/>
                <w:lang w:eastAsia="zh-CN"/>
              </w:rPr>
              <w:t>(</w:t>
            </w:r>
            <w:r>
              <w:rPr>
                <w:rFonts w:hint="eastAsia"/>
                <w:color w:val="auto"/>
              </w:rPr>
              <w:t>污染影响类</w:t>
            </w:r>
            <w:r>
              <w:rPr>
                <w:rFonts w:hint="eastAsia"/>
                <w:color w:val="auto"/>
                <w:lang w:eastAsia="zh-CN"/>
              </w:rPr>
              <w:t>）（</w:t>
            </w:r>
            <w:r>
              <w:rPr>
                <w:rFonts w:hint="eastAsia"/>
                <w:color w:val="auto"/>
              </w:rPr>
              <w:t>试行</w:t>
            </w:r>
            <w:r>
              <w:rPr>
                <w:rFonts w:hint="eastAsia"/>
                <w:color w:val="auto"/>
                <w:lang w:eastAsia="zh-CN"/>
              </w:rPr>
              <w:t>)</w:t>
            </w:r>
            <w:r>
              <w:rPr>
                <w:rFonts w:hint="eastAsia"/>
                <w:color w:val="auto"/>
              </w:rPr>
              <w:t>》，本项目用地范围内没有生态环境保护目标，因此无需明确新增用地范围内生态环境保护目标的保护措施。</w:t>
            </w:r>
          </w:p>
        </w:tc>
      </w:tr>
      <w:tr w14:paraId="1C44F9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19" w:hRule="atLeast"/>
          <w:jc w:val="center"/>
        </w:trPr>
        <w:tc>
          <w:tcPr>
            <w:tcW w:w="206" w:type="pct"/>
            <w:noWrap w:val="0"/>
            <w:tcMar>
              <w:left w:w="28" w:type="dxa"/>
              <w:right w:w="28" w:type="dxa"/>
            </w:tcMar>
            <w:vAlign w:val="center"/>
          </w:tcPr>
          <w:p w14:paraId="33F7B8AE">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运营</w:t>
            </w:r>
          </w:p>
          <w:p w14:paraId="390EBB59">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期环</w:t>
            </w:r>
          </w:p>
          <w:p w14:paraId="687BB46C">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境影</w:t>
            </w:r>
          </w:p>
          <w:p w14:paraId="4DEFD0F4">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响和</w:t>
            </w:r>
          </w:p>
          <w:p w14:paraId="0AA24C97">
            <w:pPr>
              <w:adjustRightInd w:val="0"/>
              <w:snapToGrid w:val="0"/>
              <w:ind w:left="0" w:leftChars="0" w:firstLine="0" w:firstLineChars="0"/>
              <w:jc w:val="center"/>
              <w:rPr>
                <w:rFonts w:ascii="Times New Roman" w:hAnsi="Times New Roman" w:eastAsia="宋体" w:cs="Times New Roman"/>
                <w:color w:val="auto"/>
                <w:kern w:val="0"/>
                <w:szCs w:val="21"/>
                <w:highlight w:val="none"/>
              </w:rPr>
            </w:pPr>
            <w:r>
              <w:rPr>
                <w:rFonts w:ascii="Times New Roman" w:hAnsi="Times New Roman" w:eastAsia="宋体" w:cs="Times New Roman"/>
                <w:color w:val="auto"/>
                <w:kern w:val="0"/>
                <w:szCs w:val="21"/>
                <w:highlight w:val="none"/>
              </w:rPr>
              <w:t>保护</w:t>
            </w:r>
          </w:p>
          <w:p w14:paraId="277FDCDB">
            <w:pPr>
              <w:adjustRightInd w:val="0"/>
              <w:snapToGrid w:val="0"/>
              <w:ind w:left="0" w:leftChars="0" w:firstLine="0" w:firstLineChars="0"/>
              <w:jc w:val="center"/>
              <w:rPr>
                <w:bCs/>
                <w:color w:val="auto"/>
                <w:szCs w:val="21"/>
                <w:highlight w:val="none"/>
                <w:u w:val="none"/>
              </w:rPr>
            </w:pPr>
            <w:r>
              <w:rPr>
                <w:rFonts w:ascii="Times New Roman" w:hAnsi="Times New Roman" w:eastAsia="宋体" w:cs="Times New Roman"/>
                <w:color w:val="auto"/>
                <w:kern w:val="0"/>
                <w:szCs w:val="21"/>
                <w:highlight w:val="none"/>
              </w:rPr>
              <w:t>措施</w:t>
            </w:r>
          </w:p>
        </w:tc>
        <w:tc>
          <w:tcPr>
            <w:tcW w:w="4793" w:type="pct"/>
            <w:noWrap w:val="0"/>
            <w:vAlign w:val="center"/>
          </w:tcPr>
          <w:p w14:paraId="3386A25F">
            <w:pPr>
              <w:ind w:firstLine="482"/>
              <w:rPr>
                <w:rFonts w:hint="eastAsia"/>
                <w:b/>
                <w:bCs/>
                <w:color w:val="auto"/>
                <w:u w:val="single"/>
              </w:rPr>
            </w:pPr>
            <w:r>
              <w:rPr>
                <w:rFonts w:hint="eastAsia"/>
                <w:b/>
                <w:bCs/>
                <w:color w:val="auto"/>
                <w:u w:val="single"/>
              </w:rPr>
              <w:t>（一）运营期大气环境影响和保护措施</w:t>
            </w:r>
          </w:p>
          <w:p w14:paraId="44E5D68B">
            <w:pPr>
              <w:bidi w:val="0"/>
              <w:rPr>
                <w:rFonts w:hint="eastAsia"/>
                <w:color w:val="auto"/>
                <w:u w:val="single"/>
              </w:rPr>
            </w:pPr>
            <w:r>
              <w:rPr>
                <w:rFonts w:hint="eastAsia"/>
                <w:color w:val="auto"/>
                <w:u w:val="single"/>
              </w:rPr>
              <w:t>1、废气污染物排放源</w:t>
            </w:r>
          </w:p>
          <w:p w14:paraId="3AD83B7A">
            <w:pPr>
              <w:bidi w:val="0"/>
              <w:rPr>
                <w:color w:val="auto"/>
                <w:u w:val="single"/>
              </w:rPr>
            </w:pPr>
            <w:r>
              <w:rPr>
                <w:rFonts w:hint="eastAsia"/>
                <w:color w:val="auto"/>
                <w:u w:val="single"/>
              </w:rPr>
              <w:t>本项目营运期废气主要为：</w:t>
            </w:r>
            <w:r>
              <w:rPr>
                <w:rFonts w:hint="eastAsia"/>
                <w:color w:val="auto"/>
                <w:u w:val="single"/>
                <w:lang w:eastAsia="zh-CN"/>
              </w:rPr>
              <w:t>铝合金锭熔化废气、浇注废气、制芯废气、铝铸件抛丸废气</w:t>
            </w:r>
            <w:r>
              <w:rPr>
                <w:rFonts w:hint="eastAsia"/>
                <w:color w:val="auto"/>
                <w:u w:val="single"/>
                <w:lang w:val="en-US" w:eastAsia="zh-CN"/>
              </w:rPr>
              <w:t>，</w:t>
            </w:r>
            <w:r>
              <w:rPr>
                <w:color w:val="auto"/>
                <w:u w:val="single"/>
              </w:rPr>
              <w:t>废气产排情况见下表。</w:t>
            </w:r>
          </w:p>
          <w:p w14:paraId="6BFDC392">
            <w:pPr>
              <w:autoSpaceDE w:val="0"/>
              <w:autoSpaceDN w:val="0"/>
              <w:spacing w:line="240" w:lineRule="auto"/>
              <w:ind w:firstLine="422" w:firstLineChars="200"/>
              <w:jc w:val="center"/>
              <w:rPr>
                <w:b/>
                <w:bCs/>
                <w:color w:val="auto"/>
                <w:sz w:val="21"/>
                <w:szCs w:val="21"/>
                <w:highlight w:val="none"/>
                <w:u w:val="single"/>
              </w:rPr>
            </w:pPr>
            <w:r>
              <w:rPr>
                <w:b/>
                <w:bCs/>
                <w:color w:val="auto"/>
                <w:sz w:val="21"/>
                <w:szCs w:val="21"/>
                <w:highlight w:val="none"/>
                <w:u w:val="single"/>
              </w:rPr>
              <w:t>表4-1  项目营运期废气产、排污情况一览表</w:t>
            </w:r>
          </w:p>
          <w:tbl>
            <w:tblPr>
              <w:tblStyle w:val="29"/>
              <w:tblpPr w:leftFromText="180" w:rightFromText="180" w:vertAnchor="text" w:tblpXSpec="center" w:tblpY="1"/>
              <w:tblOverlap w:val="never"/>
              <w:tblW w:w="4994"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245"/>
              <w:gridCol w:w="619"/>
              <w:gridCol w:w="504"/>
              <w:gridCol w:w="442"/>
              <w:gridCol w:w="428"/>
              <w:gridCol w:w="426"/>
              <w:gridCol w:w="310"/>
              <w:gridCol w:w="310"/>
              <w:gridCol w:w="326"/>
              <w:gridCol w:w="350"/>
              <w:gridCol w:w="442"/>
              <w:gridCol w:w="262"/>
              <w:gridCol w:w="434"/>
              <w:gridCol w:w="376"/>
              <w:gridCol w:w="250"/>
              <w:gridCol w:w="281"/>
              <w:gridCol w:w="250"/>
              <w:gridCol w:w="345"/>
              <w:gridCol w:w="421"/>
              <w:gridCol w:w="440"/>
              <w:gridCol w:w="536"/>
              <w:gridCol w:w="449"/>
            </w:tblGrid>
            <w:tr w14:paraId="5050AD9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145" w:type="pct"/>
                  <w:vMerge w:val="restart"/>
                  <w:tcBorders>
                    <w:tl2br w:val="nil"/>
                    <w:tr2bl w:val="nil"/>
                  </w:tcBorders>
                  <w:noWrap/>
                  <w:vAlign w:val="center"/>
                </w:tcPr>
                <w:p w14:paraId="4E19BC6E">
                  <w:pPr>
                    <w:pStyle w:val="106"/>
                    <w:tabs>
                      <w:tab w:val="left" w:pos="2422"/>
                    </w:tabs>
                    <w:rPr>
                      <w:color w:val="auto"/>
                      <w:sz w:val="18"/>
                      <w:szCs w:val="18"/>
                      <w:highlight w:val="none"/>
                      <w:u w:val="single"/>
                    </w:rPr>
                  </w:pPr>
                  <w:r>
                    <w:rPr>
                      <w:rFonts w:hint="eastAsia"/>
                      <w:color w:val="auto"/>
                      <w:sz w:val="18"/>
                      <w:szCs w:val="18"/>
                      <w:highlight w:val="none"/>
                      <w:u w:val="single"/>
                    </w:rPr>
                    <w:t>序号</w:t>
                  </w:r>
                </w:p>
              </w:tc>
              <w:tc>
                <w:tcPr>
                  <w:tcW w:w="366" w:type="pct"/>
                  <w:vMerge w:val="restart"/>
                  <w:tcBorders>
                    <w:tl2br w:val="nil"/>
                    <w:tr2bl w:val="nil"/>
                  </w:tcBorders>
                  <w:noWrap/>
                  <w:vAlign w:val="center"/>
                </w:tcPr>
                <w:p w14:paraId="532DA9CA">
                  <w:pPr>
                    <w:pStyle w:val="106"/>
                    <w:tabs>
                      <w:tab w:val="left" w:pos="2422"/>
                    </w:tabs>
                    <w:rPr>
                      <w:color w:val="auto"/>
                      <w:sz w:val="18"/>
                      <w:szCs w:val="18"/>
                      <w:highlight w:val="none"/>
                      <w:u w:val="single"/>
                    </w:rPr>
                  </w:pPr>
                  <w:r>
                    <w:rPr>
                      <w:rFonts w:hint="eastAsia"/>
                      <w:color w:val="auto"/>
                      <w:sz w:val="18"/>
                      <w:szCs w:val="18"/>
                      <w:highlight w:val="none"/>
                      <w:u w:val="single"/>
                    </w:rPr>
                    <w:t>产排污环节</w:t>
                  </w:r>
                </w:p>
              </w:tc>
              <w:tc>
                <w:tcPr>
                  <w:tcW w:w="298" w:type="pct"/>
                  <w:vMerge w:val="restart"/>
                  <w:tcBorders>
                    <w:tl2br w:val="nil"/>
                    <w:tr2bl w:val="nil"/>
                  </w:tcBorders>
                  <w:noWrap/>
                  <w:vAlign w:val="center"/>
                </w:tcPr>
                <w:p w14:paraId="1C3E02FC">
                  <w:pPr>
                    <w:pStyle w:val="106"/>
                    <w:tabs>
                      <w:tab w:val="left" w:pos="2422"/>
                    </w:tabs>
                    <w:rPr>
                      <w:color w:val="auto"/>
                      <w:sz w:val="18"/>
                      <w:szCs w:val="18"/>
                      <w:highlight w:val="none"/>
                      <w:u w:val="single"/>
                    </w:rPr>
                  </w:pPr>
                  <w:r>
                    <w:rPr>
                      <w:rFonts w:hint="eastAsia"/>
                      <w:color w:val="auto"/>
                      <w:sz w:val="18"/>
                      <w:szCs w:val="18"/>
                      <w:highlight w:val="none"/>
                      <w:u w:val="single"/>
                    </w:rPr>
                    <w:t>污染物种类</w:t>
                  </w:r>
                </w:p>
              </w:tc>
              <w:tc>
                <w:tcPr>
                  <w:tcW w:w="515" w:type="pct"/>
                  <w:gridSpan w:val="2"/>
                  <w:tcBorders>
                    <w:tl2br w:val="nil"/>
                    <w:tr2bl w:val="nil"/>
                  </w:tcBorders>
                  <w:noWrap/>
                  <w:vAlign w:val="center"/>
                </w:tcPr>
                <w:p w14:paraId="15F9DA06">
                  <w:pPr>
                    <w:pStyle w:val="106"/>
                    <w:tabs>
                      <w:tab w:val="left" w:pos="2422"/>
                    </w:tabs>
                    <w:rPr>
                      <w:color w:val="auto"/>
                      <w:sz w:val="18"/>
                      <w:szCs w:val="18"/>
                      <w:highlight w:val="none"/>
                      <w:u w:val="single"/>
                    </w:rPr>
                  </w:pPr>
                  <w:r>
                    <w:rPr>
                      <w:rFonts w:hint="eastAsia"/>
                      <w:color w:val="auto"/>
                      <w:sz w:val="18"/>
                      <w:szCs w:val="18"/>
                      <w:highlight w:val="none"/>
                      <w:u w:val="single"/>
                    </w:rPr>
                    <w:t>污染物产生情况</w:t>
                  </w:r>
                </w:p>
              </w:tc>
              <w:tc>
                <w:tcPr>
                  <w:tcW w:w="252" w:type="pct"/>
                  <w:vMerge w:val="restart"/>
                  <w:tcBorders>
                    <w:tl2br w:val="nil"/>
                    <w:tr2bl w:val="nil"/>
                  </w:tcBorders>
                  <w:noWrap/>
                  <w:vAlign w:val="center"/>
                </w:tcPr>
                <w:p w14:paraId="02D72BB5">
                  <w:pPr>
                    <w:pStyle w:val="106"/>
                    <w:tabs>
                      <w:tab w:val="left" w:pos="2422"/>
                    </w:tabs>
                    <w:rPr>
                      <w:color w:val="auto"/>
                      <w:sz w:val="18"/>
                      <w:szCs w:val="18"/>
                      <w:highlight w:val="none"/>
                      <w:u w:val="single"/>
                    </w:rPr>
                  </w:pPr>
                  <w:r>
                    <w:rPr>
                      <w:rFonts w:hint="eastAsia"/>
                      <w:color w:val="auto"/>
                      <w:sz w:val="18"/>
                      <w:szCs w:val="18"/>
                      <w:highlight w:val="none"/>
                      <w:u w:val="single"/>
                    </w:rPr>
                    <w:t>排放形式</w:t>
                  </w:r>
                </w:p>
              </w:tc>
              <w:tc>
                <w:tcPr>
                  <w:tcW w:w="1028" w:type="pct"/>
                  <w:gridSpan w:val="5"/>
                  <w:tcBorders>
                    <w:tl2br w:val="nil"/>
                    <w:tr2bl w:val="nil"/>
                  </w:tcBorders>
                  <w:noWrap/>
                  <w:vAlign w:val="center"/>
                </w:tcPr>
                <w:p w14:paraId="71905BE0">
                  <w:pPr>
                    <w:pStyle w:val="106"/>
                    <w:tabs>
                      <w:tab w:val="left" w:pos="2422"/>
                    </w:tabs>
                    <w:rPr>
                      <w:color w:val="auto"/>
                      <w:sz w:val="18"/>
                      <w:szCs w:val="18"/>
                      <w:highlight w:val="none"/>
                      <w:u w:val="single"/>
                    </w:rPr>
                  </w:pPr>
                  <w:r>
                    <w:rPr>
                      <w:rFonts w:hint="eastAsia"/>
                      <w:color w:val="auto"/>
                      <w:sz w:val="18"/>
                      <w:szCs w:val="18"/>
                      <w:highlight w:val="none"/>
                      <w:u w:val="single"/>
                    </w:rPr>
                    <w:t>治理设施情况</w:t>
                  </w:r>
                </w:p>
              </w:tc>
              <w:tc>
                <w:tcPr>
                  <w:tcW w:w="634" w:type="pct"/>
                  <w:gridSpan w:val="3"/>
                  <w:tcBorders>
                    <w:tl2br w:val="nil"/>
                    <w:tr2bl w:val="nil"/>
                  </w:tcBorders>
                  <w:noWrap/>
                  <w:vAlign w:val="center"/>
                </w:tcPr>
                <w:p w14:paraId="055B49E1">
                  <w:pPr>
                    <w:pStyle w:val="106"/>
                    <w:tabs>
                      <w:tab w:val="left" w:pos="2422"/>
                    </w:tabs>
                    <w:rPr>
                      <w:color w:val="auto"/>
                      <w:sz w:val="18"/>
                      <w:szCs w:val="18"/>
                      <w:highlight w:val="none"/>
                      <w:u w:val="single"/>
                    </w:rPr>
                  </w:pPr>
                  <w:r>
                    <w:rPr>
                      <w:rFonts w:hint="eastAsia"/>
                      <w:color w:val="auto"/>
                      <w:sz w:val="18"/>
                      <w:szCs w:val="18"/>
                      <w:highlight w:val="none"/>
                      <w:u w:val="single"/>
                    </w:rPr>
                    <w:t>污染物排放情况</w:t>
                  </w:r>
                </w:p>
              </w:tc>
              <w:tc>
                <w:tcPr>
                  <w:tcW w:w="1493" w:type="pct"/>
                  <w:gridSpan w:val="7"/>
                  <w:tcBorders>
                    <w:tl2br w:val="nil"/>
                    <w:tr2bl w:val="nil"/>
                  </w:tcBorders>
                  <w:noWrap/>
                  <w:vAlign w:val="center"/>
                </w:tcPr>
                <w:p w14:paraId="6498D956">
                  <w:pPr>
                    <w:pStyle w:val="106"/>
                    <w:tabs>
                      <w:tab w:val="left" w:pos="2422"/>
                    </w:tabs>
                    <w:rPr>
                      <w:color w:val="auto"/>
                      <w:sz w:val="18"/>
                      <w:szCs w:val="18"/>
                      <w:highlight w:val="none"/>
                      <w:u w:val="single"/>
                    </w:rPr>
                  </w:pPr>
                  <w:r>
                    <w:rPr>
                      <w:rFonts w:hint="eastAsia"/>
                      <w:color w:val="auto"/>
                      <w:sz w:val="18"/>
                      <w:szCs w:val="18"/>
                      <w:highlight w:val="none"/>
                      <w:u w:val="single"/>
                    </w:rPr>
                    <w:t>排放口基本情况</w:t>
                  </w:r>
                </w:p>
              </w:tc>
              <w:tc>
                <w:tcPr>
                  <w:tcW w:w="265" w:type="pct"/>
                  <w:tcBorders>
                    <w:tl2br w:val="nil"/>
                    <w:tr2bl w:val="nil"/>
                  </w:tcBorders>
                  <w:noWrap/>
                  <w:vAlign w:val="center"/>
                </w:tcPr>
                <w:p w14:paraId="594DDE45">
                  <w:pPr>
                    <w:pStyle w:val="106"/>
                    <w:tabs>
                      <w:tab w:val="left" w:pos="2422"/>
                    </w:tabs>
                    <w:rPr>
                      <w:color w:val="auto"/>
                      <w:sz w:val="18"/>
                      <w:szCs w:val="18"/>
                      <w:highlight w:val="none"/>
                      <w:u w:val="single"/>
                    </w:rPr>
                  </w:pPr>
                  <w:r>
                    <w:rPr>
                      <w:rFonts w:hint="eastAsia"/>
                      <w:color w:val="auto"/>
                      <w:sz w:val="18"/>
                      <w:szCs w:val="18"/>
                      <w:highlight w:val="none"/>
                      <w:u w:val="single"/>
                    </w:rPr>
                    <w:t>排放标准</w:t>
                  </w:r>
                </w:p>
              </w:tc>
            </w:tr>
            <w:tr w14:paraId="607AD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01" w:hRule="atLeast"/>
                <w:jc w:val="center"/>
              </w:trPr>
              <w:tc>
                <w:tcPr>
                  <w:tcW w:w="145" w:type="pct"/>
                  <w:vMerge w:val="continue"/>
                  <w:tcBorders>
                    <w:tl2br w:val="nil"/>
                    <w:tr2bl w:val="nil"/>
                  </w:tcBorders>
                  <w:noWrap/>
                  <w:vAlign w:val="center"/>
                </w:tcPr>
                <w:p w14:paraId="3109A2E7">
                  <w:pPr>
                    <w:pStyle w:val="106"/>
                    <w:tabs>
                      <w:tab w:val="left" w:pos="2422"/>
                    </w:tabs>
                    <w:rPr>
                      <w:color w:val="auto"/>
                      <w:sz w:val="18"/>
                      <w:szCs w:val="18"/>
                      <w:highlight w:val="none"/>
                      <w:u w:val="single"/>
                    </w:rPr>
                  </w:pPr>
                </w:p>
              </w:tc>
              <w:tc>
                <w:tcPr>
                  <w:tcW w:w="366" w:type="pct"/>
                  <w:vMerge w:val="continue"/>
                  <w:tcBorders>
                    <w:tl2br w:val="nil"/>
                    <w:tr2bl w:val="nil"/>
                  </w:tcBorders>
                  <w:noWrap/>
                  <w:vAlign w:val="center"/>
                </w:tcPr>
                <w:p w14:paraId="4BA6DBA0">
                  <w:pPr>
                    <w:pStyle w:val="106"/>
                    <w:tabs>
                      <w:tab w:val="left" w:pos="2422"/>
                    </w:tabs>
                    <w:rPr>
                      <w:color w:val="auto"/>
                      <w:sz w:val="18"/>
                      <w:szCs w:val="18"/>
                      <w:highlight w:val="none"/>
                      <w:u w:val="single"/>
                    </w:rPr>
                  </w:pPr>
                </w:p>
              </w:tc>
              <w:tc>
                <w:tcPr>
                  <w:tcW w:w="298" w:type="pct"/>
                  <w:vMerge w:val="continue"/>
                  <w:tcBorders>
                    <w:tl2br w:val="nil"/>
                    <w:tr2bl w:val="nil"/>
                  </w:tcBorders>
                  <w:noWrap/>
                  <w:vAlign w:val="center"/>
                </w:tcPr>
                <w:p w14:paraId="3A5A69DD">
                  <w:pPr>
                    <w:pStyle w:val="106"/>
                    <w:tabs>
                      <w:tab w:val="left" w:pos="2422"/>
                    </w:tabs>
                    <w:rPr>
                      <w:color w:val="auto"/>
                      <w:sz w:val="18"/>
                      <w:szCs w:val="18"/>
                      <w:highlight w:val="none"/>
                      <w:u w:val="single"/>
                    </w:rPr>
                  </w:pPr>
                </w:p>
              </w:tc>
              <w:tc>
                <w:tcPr>
                  <w:tcW w:w="261" w:type="pct"/>
                  <w:vMerge w:val="restart"/>
                  <w:tcBorders>
                    <w:tl2br w:val="nil"/>
                    <w:tr2bl w:val="nil"/>
                  </w:tcBorders>
                  <w:noWrap/>
                  <w:vAlign w:val="center"/>
                </w:tcPr>
                <w:p w14:paraId="744E7088">
                  <w:pPr>
                    <w:pStyle w:val="106"/>
                    <w:tabs>
                      <w:tab w:val="left" w:pos="2422"/>
                    </w:tabs>
                    <w:rPr>
                      <w:color w:val="auto"/>
                      <w:sz w:val="18"/>
                      <w:szCs w:val="18"/>
                      <w:highlight w:val="none"/>
                      <w:u w:val="single"/>
                    </w:rPr>
                  </w:pPr>
                  <w:r>
                    <w:rPr>
                      <w:rFonts w:hint="eastAsia"/>
                      <w:color w:val="auto"/>
                      <w:sz w:val="18"/>
                      <w:szCs w:val="18"/>
                      <w:highlight w:val="none"/>
                      <w:u w:val="single"/>
                    </w:rPr>
                    <w:t>产生量t/a</w:t>
                  </w:r>
                </w:p>
              </w:tc>
              <w:tc>
                <w:tcPr>
                  <w:tcW w:w="253" w:type="pct"/>
                  <w:vMerge w:val="restart"/>
                  <w:tcBorders>
                    <w:tl2br w:val="nil"/>
                    <w:tr2bl w:val="nil"/>
                  </w:tcBorders>
                  <w:noWrap/>
                  <w:vAlign w:val="center"/>
                </w:tcPr>
                <w:p w14:paraId="1412AE5D">
                  <w:pPr>
                    <w:pStyle w:val="106"/>
                    <w:tabs>
                      <w:tab w:val="left" w:pos="2422"/>
                    </w:tabs>
                    <w:rPr>
                      <w:color w:val="auto"/>
                      <w:sz w:val="18"/>
                      <w:szCs w:val="18"/>
                      <w:highlight w:val="none"/>
                      <w:u w:val="single"/>
                    </w:rPr>
                  </w:pPr>
                  <w:r>
                    <w:rPr>
                      <w:rFonts w:hint="eastAsia"/>
                      <w:color w:val="auto"/>
                      <w:sz w:val="18"/>
                      <w:szCs w:val="18"/>
                      <w:highlight w:val="none"/>
                      <w:u w:val="single"/>
                    </w:rPr>
                    <w:t>产生浓度mg/m</w:t>
                  </w:r>
                  <w:r>
                    <w:rPr>
                      <w:rFonts w:hint="eastAsia"/>
                      <w:color w:val="auto"/>
                      <w:sz w:val="18"/>
                      <w:szCs w:val="18"/>
                      <w:highlight w:val="none"/>
                      <w:u w:val="single"/>
                      <w:vertAlign w:val="superscript"/>
                    </w:rPr>
                    <w:t>3</w:t>
                  </w:r>
                </w:p>
              </w:tc>
              <w:tc>
                <w:tcPr>
                  <w:tcW w:w="252" w:type="pct"/>
                  <w:vMerge w:val="continue"/>
                  <w:tcBorders>
                    <w:tl2br w:val="nil"/>
                    <w:tr2bl w:val="nil"/>
                  </w:tcBorders>
                  <w:noWrap w:val="0"/>
                  <w:vAlign w:val="center"/>
                </w:tcPr>
                <w:p w14:paraId="3E39489E">
                  <w:pPr>
                    <w:pStyle w:val="106"/>
                    <w:tabs>
                      <w:tab w:val="left" w:pos="2422"/>
                    </w:tabs>
                    <w:rPr>
                      <w:color w:val="auto"/>
                      <w:sz w:val="18"/>
                      <w:szCs w:val="18"/>
                      <w:highlight w:val="none"/>
                      <w:u w:val="single"/>
                    </w:rPr>
                  </w:pPr>
                </w:p>
              </w:tc>
              <w:tc>
                <w:tcPr>
                  <w:tcW w:w="183" w:type="pct"/>
                  <w:vMerge w:val="restart"/>
                  <w:tcBorders>
                    <w:tl2br w:val="nil"/>
                    <w:tr2bl w:val="nil"/>
                  </w:tcBorders>
                  <w:noWrap/>
                  <w:vAlign w:val="center"/>
                </w:tcPr>
                <w:p w14:paraId="6DD74406">
                  <w:pPr>
                    <w:pStyle w:val="106"/>
                    <w:tabs>
                      <w:tab w:val="left" w:pos="2422"/>
                    </w:tabs>
                    <w:rPr>
                      <w:color w:val="auto"/>
                      <w:sz w:val="18"/>
                      <w:szCs w:val="18"/>
                      <w:highlight w:val="none"/>
                      <w:u w:val="single"/>
                    </w:rPr>
                  </w:pPr>
                  <w:r>
                    <w:rPr>
                      <w:rFonts w:hint="eastAsia"/>
                      <w:color w:val="auto"/>
                      <w:sz w:val="18"/>
                      <w:szCs w:val="18"/>
                      <w:highlight w:val="none"/>
                      <w:u w:val="single"/>
                    </w:rPr>
                    <w:t>治理设施</w:t>
                  </w:r>
                </w:p>
              </w:tc>
              <w:tc>
                <w:tcPr>
                  <w:tcW w:w="183" w:type="pct"/>
                  <w:vMerge w:val="restart"/>
                  <w:tcBorders>
                    <w:tl2br w:val="nil"/>
                    <w:tr2bl w:val="nil"/>
                  </w:tcBorders>
                  <w:noWrap/>
                  <w:vAlign w:val="center"/>
                </w:tcPr>
                <w:p w14:paraId="0512E227">
                  <w:pPr>
                    <w:pStyle w:val="106"/>
                    <w:tabs>
                      <w:tab w:val="left" w:pos="2422"/>
                    </w:tabs>
                    <w:rPr>
                      <w:color w:val="auto"/>
                      <w:sz w:val="18"/>
                      <w:szCs w:val="18"/>
                      <w:highlight w:val="none"/>
                      <w:u w:val="single"/>
                    </w:rPr>
                  </w:pPr>
                  <w:r>
                    <w:rPr>
                      <w:rFonts w:hint="eastAsia"/>
                      <w:color w:val="auto"/>
                      <w:sz w:val="18"/>
                      <w:szCs w:val="18"/>
                      <w:highlight w:val="none"/>
                      <w:u w:val="single"/>
                    </w:rPr>
                    <w:t>处理能力</w:t>
                  </w:r>
                  <w:r>
                    <w:rPr>
                      <w:color w:val="auto"/>
                      <w:sz w:val="18"/>
                      <w:szCs w:val="18"/>
                      <w:highlight w:val="none"/>
                      <w:u w:val="single"/>
                    </w:rPr>
                    <w:t>m</w:t>
                  </w:r>
                  <w:r>
                    <w:rPr>
                      <w:color w:val="auto"/>
                      <w:sz w:val="18"/>
                      <w:szCs w:val="18"/>
                      <w:highlight w:val="none"/>
                      <w:u w:val="single"/>
                      <w:vertAlign w:val="superscript"/>
                    </w:rPr>
                    <w:t>3</w:t>
                  </w:r>
                  <w:r>
                    <w:rPr>
                      <w:color w:val="auto"/>
                      <w:sz w:val="18"/>
                      <w:szCs w:val="18"/>
                      <w:highlight w:val="none"/>
                      <w:u w:val="single"/>
                    </w:rPr>
                    <w:t>/h</w:t>
                  </w:r>
                </w:p>
              </w:tc>
              <w:tc>
                <w:tcPr>
                  <w:tcW w:w="192" w:type="pct"/>
                  <w:vMerge w:val="restart"/>
                  <w:tcBorders>
                    <w:tl2br w:val="nil"/>
                    <w:tr2bl w:val="nil"/>
                  </w:tcBorders>
                  <w:noWrap/>
                  <w:vAlign w:val="center"/>
                </w:tcPr>
                <w:p w14:paraId="24C2F8BE">
                  <w:pPr>
                    <w:pStyle w:val="106"/>
                    <w:tabs>
                      <w:tab w:val="left" w:pos="2422"/>
                    </w:tabs>
                    <w:rPr>
                      <w:color w:val="auto"/>
                      <w:sz w:val="18"/>
                      <w:szCs w:val="18"/>
                      <w:highlight w:val="none"/>
                      <w:u w:val="single"/>
                    </w:rPr>
                  </w:pPr>
                  <w:r>
                    <w:rPr>
                      <w:rFonts w:hint="eastAsia"/>
                      <w:color w:val="auto"/>
                      <w:sz w:val="18"/>
                      <w:szCs w:val="18"/>
                      <w:highlight w:val="none"/>
                      <w:u w:val="single"/>
                    </w:rPr>
                    <w:t>收集效率</w:t>
                  </w:r>
                </w:p>
              </w:tc>
              <w:tc>
                <w:tcPr>
                  <w:tcW w:w="207" w:type="pct"/>
                  <w:vMerge w:val="restart"/>
                  <w:tcBorders>
                    <w:tl2br w:val="nil"/>
                    <w:tr2bl w:val="nil"/>
                  </w:tcBorders>
                  <w:noWrap/>
                  <w:vAlign w:val="center"/>
                </w:tcPr>
                <w:p w14:paraId="3F92A919">
                  <w:pPr>
                    <w:pStyle w:val="106"/>
                    <w:tabs>
                      <w:tab w:val="left" w:pos="2422"/>
                    </w:tabs>
                    <w:rPr>
                      <w:color w:val="auto"/>
                      <w:sz w:val="18"/>
                      <w:szCs w:val="18"/>
                      <w:highlight w:val="none"/>
                      <w:u w:val="single"/>
                    </w:rPr>
                  </w:pPr>
                  <w:r>
                    <w:rPr>
                      <w:rFonts w:hint="eastAsia"/>
                      <w:color w:val="auto"/>
                      <w:sz w:val="18"/>
                      <w:szCs w:val="18"/>
                      <w:highlight w:val="none"/>
                      <w:u w:val="single"/>
                    </w:rPr>
                    <w:t>治理工艺去除率</w:t>
                  </w:r>
                </w:p>
              </w:tc>
              <w:tc>
                <w:tcPr>
                  <w:tcW w:w="261" w:type="pct"/>
                  <w:vMerge w:val="restart"/>
                  <w:tcBorders>
                    <w:tl2br w:val="nil"/>
                    <w:tr2bl w:val="nil"/>
                  </w:tcBorders>
                  <w:noWrap/>
                  <w:vAlign w:val="center"/>
                </w:tcPr>
                <w:p w14:paraId="243B42AF">
                  <w:pPr>
                    <w:pStyle w:val="106"/>
                    <w:tabs>
                      <w:tab w:val="left" w:pos="2422"/>
                    </w:tabs>
                    <w:rPr>
                      <w:color w:val="auto"/>
                      <w:sz w:val="18"/>
                      <w:szCs w:val="18"/>
                      <w:highlight w:val="none"/>
                      <w:u w:val="single"/>
                    </w:rPr>
                  </w:pPr>
                  <w:r>
                    <w:rPr>
                      <w:rFonts w:hint="eastAsia"/>
                      <w:color w:val="auto"/>
                      <w:sz w:val="18"/>
                      <w:szCs w:val="18"/>
                      <w:highlight w:val="none"/>
                      <w:u w:val="single"/>
                    </w:rPr>
                    <w:t>是否为可行技术</w:t>
                  </w:r>
                </w:p>
              </w:tc>
              <w:tc>
                <w:tcPr>
                  <w:tcW w:w="155" w:type="pct"/>
                  <w:vMerge w:val="restart"/>
                  <w:tcBorders>
                    <w:tl2br w:val="nil"/>
                    <w:tr2bl w:val="nil"/>
                  </w:tcBorders>
                  <w:noWrap/>
                  <w:vAlign w:val="center"/>
                </w:tcPr>
                <w:p w14:paraId="409B07FD">
                  <w:pPr>
                    <w:pStyle w:val="106"/>
                    <w:tabs>
                      <w:tab w:val="left" w:pos="2422"/>
                    </w:tabs>
                    <w:rPr>
                      <w:color w:val="auto"/>
                      <w:sz w:val="18"/>
                      <w:szCs w:val="18"/>
                      <w:highlight w:val="none"/>
                      <w:u w:val="single"/>
                    </w:rPr>
                  </w:pPr>
                  <w:r>
                    <w:rPr>
                      <w:rFonts w:hint="eastAsia"/>
                      <w:color w:val="auto"/>
                      <w:sz w:val="18"/>
                      <w:szCs w:val="18"/>
                      <w:highlight w:val="none"/>
                      <w:u w:val="single"/>
                    </w:rPr>
                    <w:t>排放量t/a</w:t>
                  </w:r>
                </w:p>
              </w:tc>
              <w:tc>
                <w:tcPr>
                  <w:tcW w:w="256" w:type="pct"/>
                  <w:vMerge w:val="restart"/>
                  <w:tcBorders>
                    <w:tl2br w:val="nil"/>
                    <w:tr2bl w:val="nil"/>
                  </w:tcBorders>
                  <w:noWrap/>
                  <w:vAlign w:val="center"/>
                </w:tcPr>
                <w:p w14:paraId="1143DC4D">
                  <w:pPr>
                    <w:pStyle w:val="106"/>
                    <w:tabs>
                      <w:tab w:val="left" w:pos="2422"/>
                    </w:tabs>
                    <w:rPr>
                      <w:color w:val="auto"/>
                      <w:sz w:val="18"/>
                      <w:szCs w:val="18"/>
                      <w:highlight w:val="none"/>
                      <w:u w:val="single"/>
                    </w:rPr>
                  </w:pPr>
                  <w:r>
                    <w:rPr>
                      <w:rFonts w:hint="eastAsia"/>
                      <w:color w:val="auto"/>
                      <w:sz w:val="18"/>
                      <w:szCs w:val="18"/>
                      <w:highlight w:val="none"/>
                      <w:u w:val="single"/>
                    </w:rPr>
                    <w:t>排放速率kg/h</w:t>
                  </w:r>
                </w:p>
              </w:tc>
              <w:tc>
                <w:tcPr>
                  <w:tcW w:w="222" w:type="pct"/>
                  <w:vMerge w:val="restart"/>
                  <w:tcBorders>
                    <w:tl2br w:val="nil"/>
                    <w:tr2bl w:val="nil"/>
                  </w:tcBorders>
                  <w:noWrap/>
                  <w:vAlign w:val="center"/>
                </w:tcPr>
                <w:p w14:paraId="547BEB04">
                  <w:pPr>
                    <w:pStyle w:val="106"/>
                    <w:tabs>
                      <w:tab w:val="left" w:pos="2422"/>
                    </w:tabs>
                    <w:rPr>
                      <w:color w:val="auto"/>
                      <w:sz w:val="18"/>
                      <w:szCs w:val="18"/>
                      <w:highlight w:val="none"/>
                      <w:u w:val="single"/>
                    </w:rPr>
                  </w:pPr>
                  <w:r>
                    <w:rPr>
                      <w:rFonts w:hint="eastAsia"/>
                      <w:color w:val="auto"/>
                      <w:sz w:val="18"/>
                      <w:szCs w:val="18"/>
                      <w:highlight w:val="none"/>
                      <w:u w:val="single"/>
                    </w:rPr>
                    <w:t>排放浓度mg/m</w:t>
                  </w:r>
                  <w:r>
                    <w:rPr>
                      <w:rFonts w:hint="eastAsia"/>
                      <w:color w:val="auto"/>
                      <w:sz w:val="18"/>
                      <w:szCs w:val="18"/>
                      <w:highlight w:val="none"/>
                      <w:u w:val="single"/>
                      <w:vertAlign w:val="superscript"/>
                    </w:rPr>
                    <w:t>3</w:t>
                  </w:r>
                </w:p>
              </w:tc>
              <w:tc>
                <w:tcPr>
                  <w:tcW w:w="147" w:type="pct"/>
                  <w:vMerge w:val="restart"/>
                  <w:tcBorders>
                    <w:tl2br w:val="nil"/>
                    <w:tr2bl w:val="nil"/>
                  </w:tcBorders>
                  <w:noWrap/>
                  <w:vAlign w:val="center"/>
                </w:tcPr>
                <w:p w14:paraId="624007A5">
                  <w:pPr>
                    <w:pStyle w:val="106"/>
                    <w:tabs>
                      <w:tab w:val="left" w:pos="2422"/>
                    </w:tabs>
                    <w:rPr>
                      <w:color w:val="auto"/>
                      <w:sz w:val="18"/>
                      <w:szCs w:val="18"/>
                      <w:highlight w:val="none"/>
                      <w:u w:val="single"/>
                    </w:rPr>
                  </w:pPr>
                  <w:r>
                    <w:rPr>
                      <w:rFonts w:hint="eastAsia"/>
                      <w:color w:val="auto"/>
                      <w:sz w:val="18"/>
                      <w:szCs w:val="18"/>
                      <w:highlight w:val="none"/>
                      <w:u w:val="single"/>
                    </w:rPr>
                    <w:t>高度m</w:t>
                  </w:r>
                </w:p>
              </w:tc>
              <w:tc>
                <w:tcPr>
                  <w:tcW w:w="166" w:type="pct"/>
                  <w:vMerge w:val="restart"/>
                  <w:tcBorders>
                    <w:tl2br w:val="nil"/>
                    <w:tr2bl w:val="nil"/>
                  </w:tcBorders>
                  <w:noWrap/>
                  <w:vAlign w:val="center"/>
                </w:tcPr>
                <w:p w14:paraId="08D89D30">
                  <w:pPr>
                    <w:pStyle w:val="106"/>
                    <w:tabs>
                      <w:tab w:val="left" w:pos="2422"/>
                    </w:tabs>
                    <w:rPr>
                      <w:color w:val="auto"/>
                      <w:sz w:val="18"/>
                      <w:szCs w:val="18"/>
                      <w:highlight w:val="none"/>
                      <w:u w:val="single"/>
                    </w:rPr>
                  </w:pPr>
                  <w:r>
                    <w:rPr>
                      <w:rFonts w:hint="eastAsia"/>
                      <w:color w:val="auto"/>
                      <w:sz w:val="18"/>
                      <w:szCs w:val="18"/>
                      <w:highlight w:val="none"/>
                      <w:u w:val="single"/>
                    </w:rPr>
                    <w:t>内径m</w:t>
                  </w:r>
                </w:p>
              </w:tc>
              <w:tc>
                <w:tcPr>
                  <w:tcW w:w="147" w:type="pct"/>
                  <w:vMerge w:val="restart"/>
                  <w:tcBorders>
                    <w:tl2br w:val="nil"/>
                    <w:tr2bl w:val="nil"/>
                  </w:tcBorders>
                  <w:noWrap/>
                  <w:vAlign w:val="center"/>
                </w:tcPr>
                <w:p w14:paraId="112CD4E2">
                  <w:pPr>
                    <w:pStyle w:val="106"/>
                    <w:tabs>
                      <w:tab w:val="left" w:pos="2422"/>
                    </w:tabs>
                    <w:rPr>
                      <w:color w:val="auto"/>
                      <w:sz w:val="18"/>
                      <w:szCs w:val="18"/>
                      <w:highlight w:val="none"/>
                      <w:u w:val="single"/>
                    </w:rPr>
                  </w:pPr>
                  <w:r>
                    <w:rPr>
                      <w:rFonts w:hint="eastAsia"/>
                      <w:color w:val="auto"/>
                      <w:sz w:val="18"/>
                      <w:szCs w:val="18"/>
                      <w:highlight w:val="none"/>
                      <w:u w:val="single"/>
                    </w:rPr>
                    <w:t>温度</w:t>
                  </w:r>
                </w:p>
              </w:tc>
              <w:tc>
                <w:tcPr>
                  <w:tcW w:w="204" w:type="pct"/>
                  <w:vMerge w:val="restart"/>
                  <w:tcBorders>
                    <w:tl2br w:val="nil"/>
                    <w:tr2bl w:val="nil"/>
                  </w:tcBorders>
                  <w:noWrap/>
                  <w:vAlign w:val="center"/>
                </w:tcPr>
                <w:p w14:paraId="0347D293">
                  <w:pPr>
                    <w:pStyle w:val="106"/>
                    <w:tabs>
                      <w:tab w:val="left" w:pos="2422"/>
                    </w:tabs>
                    <w:rPr>
                      <w:color w:val="auto"/>
                      <w:sz w:val="18"/>
                      <w:szCs w:val="18"/>
                      <w:highlight w:val="none"/>
                      <w:u w:val="single"/>
                    </w:rPr>
                  </w:pPr>
                  <w:r>
                    <w:rPr>
                      <w:rFonts w:hint="eastAsia"/>
                      <w:color w:val="auto"/>
                      <w:sz w:val="18"/>
                      <w:szCs w:val="18"/>
                      <w:highlight w:val="none"/>
                      <w:u w:val="single"/>
                    </w:rPr>
                    <w:t>排放口编号</w:t>
                  </w:r>
                </w:p>
              </w:tc>
              <w:tc>
                <w:tcPr>
                  <w:tcW w:w="249" w:type="pct"/>
                  <w:vMerge w:val="restart"/>
                  <w:tcBorders>
                    <w:tl2br w:val="nil"/>
                    <w:tr2bl w:val="nil"/>
                  </w:tcBorders>
                  <w:noWrap/>
                  <w:vAlign w:val="center"/>
                </w:tcPr>
                <w:p w14:paraId="6FAF2A3B">
                  <w:pPr>
                    <w:pStyle w:val="106"/>
                    <w:tabs>
                      <w:tab w:val="left" w:pos="2422"/>
                    </w:tabs>
                    <w:rPr>
                      <w:color w:val="auto"/>
                      <w:sz w:val="18"/>
                      <w:szCs w:val="18"/>
                      <w:highlight w:val="none"/>
                      <w:u w:val="single"/>
                    </w:rPr>
                  </w:pPr>
                  <w:r>
                    <w:rPr>
                      <w:rFonts w:hint="eastAsia"/>
                      <w:color w:val="auto"/>
                      <w:sz w:val="18"/>
                      <w:szCs w:val="18"/>
                      <w:highlight w:val="none"/>
                      <w:u w:val="single"/>
                    </w:rPr>
                    <w:t>类型</w:t>
                  </w:r>
                </w:p>
              </w:tc>
              <w:tc>
                <w:tcPr>
                  <w:tcW w:w="577" w:type="pct"/>
                  <w:gridSpan w:val="2"/>
                  <w:tcBorders>
                    <w:tl2br w:val="nil"/>
                    <w:tr2bl w:val="nil"/>
                  </w:tcBorders>
                  <w:noWrap/>
                  <w:vAlign w:val="center"/>
                </w:tcPr>
                <w:p w14:paraId="1A7DF9B5">
                  <w:pPr>
                    <w:pStyle w:val="106"/>
                    <w:tabs>
                      <w:tab w:val="left" w:pos="2422"/>
                    </w:tabs>
                    <w:rPr>
                      <w:color w:val="auto"/>
                      <w:sz w:val="18"/>
                      <w:szCs w:val="18"/>
                      <w:highlight w:val="none"/>
                      <w:u w:val="single"/>
                    </w:rPr>
                  </w:pPr>
                  <w:r>
                    <w:rPr>
                      <w:rFonts w:hint="eastAsia"/>
                      <w:color w:val="auto"/>
                      <w:sz w:val="18"/>
                      <w:szCs w:val="18"/>
                      <w:highlight w:val="none"/>
                      <w:u w:val="single"/>
                    </w:rPr>
                    <w:t>坐标</w:t>
                  </w:r>
                </w:p>
              </w:tc>
              <w:tc>
                <w:tcPr>
                  <w:tcW w:w="265" w:type="pct"/>
                  <w:vMerge w:val="restart"/>
                  <w:tcBorders>
                    <w:tl2br w:val="nil"/>
                    <w:tr2bl w:val="nil"/>
                  </w:tcBorders>
                  <w:noWrap/>
                  <w:vAlign w:val="center"/>
                </w:tcPr>
                <w:p w14:paraId="6B6011EF">
                  <w:pPr>
                    <w:pStyle w:val="106"/>
                    <w:tabs>
                      <w:tab w:val="left" w:pos="2422"/>
                    </w:tabs>
                    <w:rPr>
                      <w:color w:val="auto"/>
                      <w:sz w:val="18"/>
                      <w:szCs w:val="18"/>
                      <w:highlight w:val="none"/>
                      <w:u w:val="single"/>
                    </w:rPr>
                  </w:pPr>
                  <w:r>
                    <w:rPr>
                      <w:rFonts w:hint="eastAsia"/>
                      <w:color w:val="auto"/>
                      <w:sz w:val="18"/>
                      <w:szCs w:val="18"/>
                      <w:highlight w:val="none"/>
                      <w:u w:val="single"/>
                    </w:rPr>
                    <w:t>排放浓度mg/m</w:t>
                  </w:r>
                  <w:r>
                    <w:rPr>
                      <w:rFonts w:hint="eastAsia"/>
                      <w:color w:val="auto"/>
                      <w:sz w:val="18"/>
                      <w:szCs w:val="18"/>
                      <w:highlight w:val="none"/>
                      <w:u w:val="single"/>
                      <w:vertAlign w:val="superscript"/>
                    </w:rPr>
                    <w:t>3</w:t>
                  </w:r>
                </w:p>
              </w:tc>
            </w:tr>
            <w:tr w14:paraId="24E508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145" w:type="pct"/>
                  <w:vMerge w:val="continue"/>
                  <w:tcBorders>
                    <w:tl2br w:val="nil"/>
                    <w:tr2bl w:val="nil"/>
                  </w:tcBorders>
                  <w:noWrap/>
                  <w:vAlign w:val="center"/>
                </w:tcPr>
                <w:p w14:paraId="688EE992">
                  <w:pPr>
                    <w:pStyle w:val="106"/>
                    <w:tabs>
                      <w:tab w:val="left" w:pos="2422"/>
                    </w:tabs>
                    <w:rPr>
                      <w:color w:val="auto"/>
                      <w:sz w:val="18"/>
                      <w:szCs w:val="18"/>
                      <w:highlight w:val="none"/>
                      <w:u w:val="single"/>
                    </w:rPr>
                  </w:pPr>
                </w:p>
              </w:tc>
              <w:tc>
                <w:tcPr>
                  <w:tcW w:w="366" w:type="pct"/>
                  <w:vMerge w:val="continue"/>
                  <w:tcBorders>
                    <w:tl2br w:val="nil"/>
                    <w:tr2bl w:val="nil"/>
                  </w:tcBorders>
                  <w:noWrap/>
                  <w:vAlign w:val="center"/>
                </w:tcPr>
                <w:p w14:paraId="3088C817">
                  <w:pPr>
                    <w:pStyle w:val="106"/>
                    <w:tabs>
                      <w:tab w:val="left" w:pos="2422"/>
                    </w:tabs>
                    <w:rPr>
                      <w:color w:val="auto"/>
                      <w:sz w:val="18"/>
                      <w:szCs w:val="18"/>
                      <w:highlight w:val="none"/>
                      <w:u w:val="single"/>
                    </w:rPr>
                  </w:pPr>
                </w:p>
              </w:tc>
              <w:tc>
                <w:tcPr>
                  <w:tcW w:w="298" w:type="pct"/>
                  <w:vMerge w:val="continue"/>
                  <w:tcBorders>
                    <w:tl2br w:val="nil"/>
                    <w:tr2bl w:val="nil"/>
                  </w:tcBorders>
                  <w:noWrap/>
                  <w:vAlign w:val="center"/>
                </w:tcPr>
                <w:p w14:paraId="207C59BF">
                  <w:pPr>
                    <w:pStyle w:val="106"/>
                    <w:tabs>
                      <w:tab w:val="left" w:pos="2422"/>
                    </w:tabs>
                    <w:rPr>
                      <w:color w:val="auto"/>
                      <w:sz w:val="18"/>
                      <w:szCs w:val="18"/>
                      <w:highlight w:val="none"/>
                      <w:u w:val="single"/>
                    </w:rPr>
                  </w:pPr>
                </w:p>
              </w:tc>
              <w:tc>
                <w:tcPr>
                  <w:tcW w:w="261" w:type="pct"/>
                  <w:vMerge w:val="continue"/>
                  <w:tcBorders>
                    <w:tl2br w:val="nil"/>
                    <w:tr2bl w:val="nil"/>
                  </w:tcBorders>
                  <w:noWrap/>
                  <w:vAlign w:val="center"/>
                </w:tcPr>
                <w:p w14:paraId="784E60B3">
                  <w:pPr>
                    <w:pStyle w:val="106"/>
                    <w:tabs>
                      <w:tab w:val="left" w:pos="2422"/>
                    </w:tabs>
                    <w:rPr>
                      <w:color w:val="auto"/>
                      <w:sz w:val="18"/>
                      <w:szCs w:val="18"/>
                      <w:highlight w:val="none"/>
                      <w:u w:val="single"/>
                    </w:rPr>
                  </w:pPr>
                </w:p>
              </w:tc>
              <w:tc>
                <w:tcPr>
                  <w:tcW w:w="253" w:type="pct"/>
                  <w:vMerge w:val="continue"/>
                  <w:tcBorders>
                    <w:tl2br w:val="nil"/>
                    <w:tr2bl w:val="nil"/>
                  </w:tcBorders>
                  <w:noWrap w:val="0"/>
                  <w:vAlign w:val="center"/>
                </w:tcPr>
                <w:p w14:paraId="6715EB2A">
                  <w:pPr>
                    <w:pStyle w:val="106"/>
                    <w:tabs>
                      <w:tab w:val="left" w:pos="2422"/>
                    </w:tabs>
                    <w:rPr>
                      <w:color w:val="auto"/>
                      <w:sz w:val="18"/>
                      <w:szCs w:val="18"/>
                      <w:highlight w:val="none"/>
                      <w:u w:val="single"/>
                    </w:rPr>
                  </w:pPr>
                </w:p>
              </w:tc>
              <w:tc>
                <w:tcPr>
                  <w:tcW w:w="252" w:type="pct"/>
                  <w:vMerge w:val="continue"/>
                  <w:tcBorders>
                    <w:tl2br w:val="nil"/>
                    <w:tr2bl w:val="nil"/>
                  </w:tcBorders>
                  <w:noWrap w:val="0"/>
                  <w:vAlign w:val="center"/>
                </w:tcPr>
                <w:p w14:paraId="0E59D5F9">
                  <w:pPr>
                    <w:pStyle w:val="106"/>
                    <w:tabs>
                      <w:tab w:val="left" w:pos="2422"/>
                    </w:tabs>
                    <w:rPr>
                      <w:color w:val="auto"/>
                      <w:sz w:val="18"/>
                      <w:szCs w:val="18"/>
                      <w:highlight w:val="none"/>
                      <w:u w:val="single"/>
                    </w:rPr>
                  </w:pPr>
                </w:p>
              </w:tc>
              <w:tc>
                <w:tcPr>
                  <w:tcW w:w="183" w:type="pct"/>
                  <w:vMerge w:val="continue"/>
                  <w:tcBorders>
                    <w:tl2br w:val="nil"/>
                    <w:tr2bl w:val="nil"/>
                  </w:tcBorders>
                  <w:noWrap w:val="0"/>
                  <w:vAlign w:val="center"/>
                </w:tcPr>
                <w:p w14:paraId="5A021AE4">
                  <w:pPr>
                    <w:pStyle w:val="106"/>
                    <w:tabs>
                      <w:tab w:val="left" w:pos="2422"/>
                    </w:tabs>
                    <w:rPr>
                      <w:color w:val="auto"/>
                      <w:sz w:val="18"/>
                      <w:szCs w:val="18"/>
                      <w:highlight w:val="none"/>
                      <w:u w:val="single"/>
                    </w:rPr>
                  </w:pPr>
                </w:p>
              </w:tc>
              <w:tc>
                <w:tcPr>
                  <w:tcW w:w="183" w:type="pct"/>
                  <w:vMerge w:val="continue"/>
                  <w:tcBorders>
                    <w:tl2br w:val="nil"/>
                    <w:tr2bl w:val="nil"/>
                  </w:tcBorders>
                  <w:noWrap w:val="0"/>
                  <w:vAlign w:val="center"/>
                </w:tcPr>
                <w:p w14:paraId="30EEA89C">
                  <w:pPr>
                    <w:pStyle w:val="106"/>
                    <w:tabs>
                      <w:tab w:val="left" w:pos="2422"/>
                    </w:tabs>
                    <w:rPr>
                      <w:color w:val="auto"/>
                      <w:sz w:val="18"/>
                      <w:szCs w:val="18"/>
                      <w:highlight w:val="none"/>
                      <w:u w:val="single"/>
                    </w:rPr>
                  </w:pPr>
                </w:p>
              </w:tc>
              <w:tc>
                <w:tcPr>
                  <w:tcW w:w="192" w:type="pct"/>
                  <w:vMerge w:val="continue"/>
                  <w:tcBorders>
                    <w:tl2br w:val="nil"/>
                    <w:tr2bl w:val="nil"/>
                  </w:tcBorders>
                  <w:noWrap w:val="0"/>
                  <w:vAlign w:val="center"/>
                </w:tcPr>
                <w:p w14:paraId="7AED1B07">
                  <w:pPr>
                    <w:pStyle w:val="106"/>
                    <w:tabs>
                      <w:tab w:val="left" w:pos="2422"/>
                    </w:tabs>
                    <w:rPr>
                      <w:color w:val="auto"/>
                      <w:sz w:val="18"/>
                      <w:szCs w:val="18"/>
                      <w:highlight w:val="none"/>
                      <w:u w:val="single"/>
                    </w:rPr>
                  </w:pPr>
                </w:p>
              </w:tc>
              <w:tc>
                <w:tcPr>
                  <w:tcW w:w="207" w:type="pct"/>
                  <w:vMerge w:val="continue"/>
                  <w:tcBorders>
                    <w:tl2br w:val="nil"/>
                    <w:tr2bl w:val="nil"/>
                  </w:tcBorders>
                  <w:noWrap w:val="0"/>
                  <w:vAlign w:val="center"/>
                </w:tcPr>
                <w:p w14:paraId="4C9D24CB">
                  <w:pPr>
                    <w:pStyle w:val="106"/>
                    <w:tabs>
                      <w:tab w:val="left" w:pos="2422"/>
                    </w:tabs>
                    <w:rPr>
                      <w:color w:val="auto"/>
                      <w:sz w:val="18"/>
                      <w:szCs w:val="18"/>
                      <w:highlight w:val="none"/>
                      <w:u w:val="single"/>
                    </w:rPr>
                  </w:pPr>
                </w:p>
              </w:tc>
              <w:tc>
                <w:tcPr>
                  <w:tcW w:w="261" w:type="pct"/>
                  <w:vMerge w:val="continue"/>
                  <w:tcBorders>
                    <w:tl2br w:val="nil"/>
                    <w:tr2bl w:val="nil"/>
                  </w:tcBorders>
                  <w:noWrap w:val="0"/>
                  <w:vAlign w:val="center"/>
                </w:tcPr>
                <w:p w14:paraId="21C9F33F">
                  <w:pPr>
                    <w:pStyle w:val="106"/>
                    <w:tabs>
                      <w:tab w:val="left" w:pos="2422"/>
                    </w:tabs>
                    <w:rPr>
                      <w:color w:val="auto"/>
                      <w:sz w:val="18"/>
                      <w:szCs w:val="18"/>
                      <w:highlight w:val="none"/>
                      <w:u w:val="single"/>
                    </w:rPr>
                  </w:pPr>
                </w:p>
              </w:tc>
              <w:tc>
                <w:tcPr>
                  <w:tcW w:w="155" w:type="pct"/>
                  <w:vMerge w:val="continue"/>
                  <w:tcBorders>
                    <w:tl2br w:val="nil"/>
                    <w:tr2bl w:val="nil"/>
                  </w:tcBorders>
                  <w:noWrap w:val="0"/>
                  <w:vAlign w:val="center"/>
                </w:tcPr>
                <w:p w14:paraId="6401810D">
                  <w:pPr>
                    <w:pStyle w:val="106"/>
                    <w:tabs>
                      <w:tab w:val="left" w:pos="2422"/>
                    </w:tabs>
                    <w:rPr>
                      <w:color w:val="auto"/>
                      <w:sz w:val="18"/>
                      <w:szCs w:val="18"/>
                      <w:highlight w:val="none"/>
                      <w:u w:val="single"/>
                    </w:rPr>
                  </w:pPr>
                </w:p>
              </w:tc>
              <w:tc>
                <w:tcPr>
                  <w:tcW w:w="256" w:type="pct"/>
                  <w:vMerge w:val="continue"/>
                  <w:tcBorders>
                    <w:tl2br w:val="nil"/>
                    <w:tr2bl w:val="nil"/>
                  </w:tcBorders>
                  <w:noWrap w:val="0"/>
                  <w:vAlign w:val="center"/>
                </w:tcPr>
                <w:p w14:paraId="682B3D18">
                  <w:pPr>
                    <w:pStyle w:val="106"/>
                    <w:tabs>
                      <w:tab w:val="left" w:pos="2422"/>
                    </w:tabs>
                    <w:rPr>
                      <w:color w:val="auto"/>
                      <w:sz w:val="18"/>
                      <w:szCs w:val="18"/>
                      <w:highlight w:val="none"/>
                      <w:u w:val="single"/>
                    </w:rPr>
                  </w:pPr>
                </w:p>
              </w:tc>
              <w:tc>
                <w:tcPr>
                  <w:tcW w:w="222" w:type="pct"/>
                  <w:vMerge w:val="continue"/>
                  <w:tcBorders>
                    <w:tl2br w:val="nil"/>
                    <w:tr2bl w:val="nil"/>
                  </w:tcBorders>
                  <w:noWrap w:val="0"/>
                  <w:vAlign w:val="center"/>
                </w:tcPr>
                <w:p w14:paraId="77F75131">
                  <w:pPr>
                    <w:pStyle w:val="106"/>
                    <w:tabs>
                      <w:tab w:val="left" w:pos="2422"/>
                    </w:tabs>
                    <w:rPr>
                      <w:color w:val="auto"/>
                      <w:sz w:val="18"/>
                      <w:szCs w:val="18"/>
                      <w:highlight w:val="none"/>
                      <w:u w:val="single"/>
                    </w:rPr>
                  </w:pPr>
                </w:p>
              </w:tc>
              <w:tc>
                <w:tcPr>
                  <w:tcW w:w="147" w:type="pct"/>
                  <w:vMerge w:val="continue"/>
                  <w:tcBorders>
                    <w:tl2br w:val="nil"/>
                    <w:tr2bl w:val="nil"/>
                  </w:tcBorders>
                  <w:noWrap w:val="0"/>
                  <w:vAlign w:val="center"/>
                </w:tcPr>
                <w:p w14:paraId="6ADA8353">
                  <w:pPr>
                    <w:pStyle w:val="106"/>
                    <w:tabs>
                      <w:tab w:val="left" w:pos="2422"/>
                    </w:tabs>
                    <w:rPr>
                      <w:color w:val="auto"/>
                      <w:sz w:val="18"/>
                      <w:szCs w:val="18"/>
                      <w:highlight w:val="none"/>
                      <w:u w:val="single"/>
                    </w:rPr>
                  </w:pPr>
                </w:p>
              </w:tc>
              <w:tc>
                <w:tcPr>
                  <w:tcW w:w="166" w:type="pct"/>
                  <w:vMerge w:val="continue"/>
                  <w:tcBorders>
                    <w:tl2br w:val="nil"/>
                    <w:tr2bl w:val="nil"/>
                  </w:tcBorders>
                  <w:noWrap w:val="0"/>
                  <w:vAlign w:val="center"/>
                </w:tcPr>
                <w:p w14:paraId="457D67CD">
                  <w:pPr>
                    <w:pStyle w:val="106"/>
                    <w:tabs>
                      <w:tab w:val="left" w:pos="2422"/>
                    </w:tabs>
                    <w:rPr>
                      <w:color w:val="auto"/>
                      <w:sz w:val="18"/>
                      <w:szCs w:val="18"/>
                      <w:highlight w:val="none"/>
                      <w:u w:val="single"/>
                    </w:rPr>
                  </w:pPr>
                </w:p>
              </w:tc>
              <w:tc>
                <w:tcPr>
                  <w:tcW w:w="147" w:type="pct"/>
                  <w:vMerge w:val="continue"/>
                  <w:tcBorders>
                    <w:tl2br w:val="nil"/>
                    <w:tr2bl w:val="nil"/>
                  </w:tcBorders>
                  <w:noWrap w:val="0"/>
                  <w:vAlign w:val="center"/>
                </w:tcPr>
                <w:p w14:paraId="72784DE7">
                  <w:pPr>
                    <w:pStyle w:val="106"/>
                    <w:tabs>
                      <w:tab w:val="left" w:pos="2422"/>
                    </w:tabs>
                    <w:rPr>
                      <w:color w:val="auto"/>
                      <w:sz w:val="18"/>
                      <w:szCs w:val="18"/>
                      <w:highlight w:val="none"/>
                      <w:u w:val="single"/>
                    </w:rPr>
                  </w:pPr>
                </w:p>
              </w:tc>
              <w:tc>
                <w:tcPr>
                  <w:tcW w:w="204" w:type="pct"/>
                  <w:vMerge w:val="continue"/>
                  <w:tcBorders>
                    <w:tl2br w:val="nil"/>
                    <w:tr2bl w:val="nil"/>
                  </w:tcBorders>
                  <w:noWrap w:val="0"/>
                  <w:vAlign w:val="center"/>
                </w:tcPr>
                <w:p w14:paraId="0B23B2E4">
                  <w:pPr>
                    <w:pStyle w:val="106"/>
                    <w:tabs>
                      <w:tab w:val="left" w:pos="2422"/>
                    </w:tabs>
                    <w:rPr>
                      <w:color w:val="auto"/>
                      <w:sz w:val="18"/>
                      <w:szCs w:val="18"/>
                      <w:highlight w:val="none"/>
                      <w:u w:val="single"/>
                    </w:rPr>
                  </w:pPr>
                </w:p>
              </w:tc>
              <w:tc>
                <w:tcPr>
                  <w:tcW w:w="249" w:type="pct"/>
                  <w:vMerge w:val="continue"/>
                  <w:tcBorders>
                    <w:tl2br w:val="nil"/>
                    <w:tr2bl w:val="nil"/>
                  </w:tcBorders>
                  <w:noWrap w:val="0"/>
                  <w:vAlign w:val="center"/>
                </w:tcPr>
                <w:p w14:paraId="3D159E59">
                  <w:pPr>
                    <w:pStyle w:val="106"/>
                    <w:tabs>
                      <w:tab w:val="left" w:pos="2422"/>
                    </w:tabs>
                    <w:rPr>
                      <w:color w:val="auto"/>
                      <w:sz w:val="18"/>
                      <w:szCs w:val="18"/>
                      <w:highlight w:val="none"/>
                      <w:u w:val="single"/>
                    </w:rPr>
                  </w:pPr>
                </w:p>
              </w:tc>
              <w:tc>
                <w:tcPr>
                  <w:tcW w:w="260" w:type="pct"/>
                  <w:tcBorders>
                    <w:tl2br w:val="nil"/>
                    <w:tr2bl w:val="nil"/>
                  </w:tcBorders>
                  <w:noWrap/>
                  <w:vAlign w:val="center"/>
                </w:tcPr>
                <w:p w14:paraId="3CC808B1">
                  <w:pPr>
                    <w:pStyle w:val="106"/>
                    <w:tabs>
                      <w:tab w:val="left" w:pos="2422"/>
                    </w:tabs>
                    <w:rPr>
                      <w:color w:val="auto"/>
                      <w:sz w:val="18"/>
                      <w:szCs w:val="18"/>
                      <w:highlight w:val="none"/>
                      <w:u w:val="single"/>
                    </w:rPr>
                  </w:pPr>
                  <w:r>
                    <w:rPr>
                      <w:rFonts w:hint="eastAsia"/>
                      <w:color w:val="auto"/>
                      <w:sz w:val="18"/>
                      <w:szCs w:val="18"/>
                      <w:highlight w:val="none"/>
                      <w:u w:val="single"/>
                    </w:rPr>
                    <w:t>东经</w:t>
                  </w:r>
                </w:p>
              </w:tc>
              <w:tc>
                <w:tcPr>
                  <w:tcW w:w="317" w:type="pct"/>
                  <w:tcBorders>
                    <w:tl2br w:val="nil"/>
                    <w:tr2bl w:val="nil"/>
                  </w:tcBorders>
                  <w:noWrap/>
                  <w:vAlign w:val="center"/>
                </w:tcPr>
                <w:p w14:paraId="11001A1F">
                  <w:pPr>
                    <w:pStyle w:val="106"/>
                    <w:tabs>
                      <w:tab w:val="left" w:pos="2422"/>
                    </w:tabs>
                    <w:rPr>
                      <w:color w:val="auto"/>
                      <w:sz w:val="18"/>
                      <w:szCs w:val="18"/>
                      <w:highlight w:val="none"/>
                      <w:u w:val="single"/>
                    </w:rPr>
                  </w:pPr>
                  <w:r>
                    <w:rPr>
                      <w:rFonts w:hint="eastAsia"/>
                      <w:color w:val="auto"/>
                      <w:sz w:val="18"/>
                      <w:szCs w:val="18"/>
                      <w:highlight w:val="none"/>
                      <w:u w:val="single"/>
                    </w:rPr>
                    <w:t>北纬</w:t>
                  </w:r>
                </w:p>
              </w:tc>
              <w:tc>
                <w:tcPr>
                  <w:tcW w:w="265" w:type="pct"/>
                  <w:vMerge w:val="continue"/>
                  <w:tcBorders>
                    <w:tl2br w:val="nil"/>
                    <w:tr2bl w:val="nil"/>
                  </w:tcBorders>
                  <w:noWrap w:val="0"/>
                  <w:vAlign w:val="center"/>
                </w:tcPr>
                <w:p w14:paraId="2D795118">
                  <w:pPr>
                    <w:pStyle w:val="106"/>
                    <w:tabs>
                      <w:tab w:val="left" w:pos="2422"/>
                    </w:tabs>
                    <w:rPr>
                      <w:color w:val="auto"/>
                      <w:sz w:val="18"/>
                      <w:szCs w:val="18"/>
                      <w:highlight w:val="none"/>
                      <w:u w:val="single"/>
                    </w:rPr>
                  </w:pPr>
                </w:p>
              </w:tc>
            </w:tr>
            <w:tr w14:paraId="40D99A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613" w:hRule="atLeast"/>
                <w:jc w:val="center"/>
              </w:trPr>
              <w:tc>
                <w:tcPr>
                  <w:tcW w:w="145" w:type="pct"/>
                  <w:vMerge w:val="restart"/>
                  <w:tcBorders>
                    <w:tl2br w:val="nil"/>
                    <w:tr2bl w:val="nil"/>
                  </w:tcBorders>
                  <w:noWrap/>
                  <w:vAlign w:val="center"/>
                </w:tcPr>
                <w:p w14:paraId="1F38154F">
                  <w:pPr>
                    <w:pStyle w:val="106"/>
                    <w:tabs>
                      <w:tab w:val="left" w:pos="2422"/>
                    </w:tabs>
                    <w:rPr>
                      <w:color w:val="auto"/>
                      <w:sz w:val="18"/>
                      <w:szCs w:val="18"/>
                      <w:highlight w:val="none"/>
                      <w:u w:val="single"/>
                    </w:rPr>
                  </w:pPr>
                  <w:r>
                    <w:rPr>
                      <w:rFonts w:hint="eastAsia"/>
                      <w:color w:val="auto"/>
                      <w:sz w:val="18"/>
                      <w:szCs w:val="18"/>
                      <w:highlight w:val="none"/>
                      <w:u w:val="single"/>
                    </w:rPr>
                    <w:t>1</w:t>
                  </w:r>
                </w:p>
              </w:tc>
              <w:tc>
                <w:tcPr>
                  <w:tcW w:w="366" w:type="pct"/>
                  <w:vMerge w:val="restart"/>
                  <w:tcBorders>
                    <w:tl2br w:val="nil"/>
                    <w:tr2bl w:val="nil"/>
                  </w:tcBorders>
                  <w:noWrap/>
                  <w:vAlign w:val="center"/>
                </w:tcPr>
                <w:p w14:paraId="3983DECA">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熔化、制芯、浇注、抛丸</w:t>
                  </w:r>
                  <w:r>
                    <w:rPr>
                      <w:rFonts w:hint="eastAsia" w:ascii="Times New Roman" w:hAnsi="Times New Roman" w:eastAsia="宋体" w:cs="Times New Roman"/>
                      <w:color w:val="auto"/>
                      <w:sz w:val="18"/>
                      <w:szCs w:val="18"/>
                      <w:highlight w:val="none"/>
                      <w:u w:val="single"/>
                      <w:lang w:val="en-US" w:eastAsia="zh-CN"/>
                    </w:rPr>
                    <w:t>废气</w:t>
                  </w:r>
                </w:p>
              </w:tc>
              <w:tc>
                <w:tcPr>
                  <w:tcW w:w="298" w:type="pct"/>
                  <w:vMerge w:val="restart"/>
                  <w:tcBorders>
                    <w:tl2br w:val="nil"/>
                    <w:tr2bl w:val="nil"/>
                  </w:tcBorders>
                  <w:noWrap/>
                  <w:vAlign w:val="center"/>
                </w:tcPr>
                <w:p w14:paraId="7FCDDA27">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颗粒物</w:t>
                  </w:r>
                </w:p>
              </w:tc>
              <w:tc>
                <w:tcPr>
                  <w:tcW w:w="261" w:type="pct"/>
                  <w:tcBorders>
                    <w:bottom w:val="single" w:color="000000" w:sz="4" w:space="0"/>
                    <w:tl2br w:val="nil"/>
                    <w:tr2bl w:val="nil"/>
                  </w:tcBorders>
                  <w:noWrap w:val="0"/>
                  <w:vAlign w:val="center"/>
                </w:tcPr>
                <w:p w14:paraId="4E3F79D0">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3.75</w:t>
                  </w:r>
                </w:p>
              </w:tc>
              <w:tc>
                <w:tcPr>
                  <w:tcW w:w="253" w:type="pct"/>
                  <w:tcBorders>
                    <w:bottom w:val="single" w:color="000000" w:sz="4" w:space="0"/>
                    <w:tl2br w:val="nil"/>
                    <w:tr2bl w:val="nil"/>
                  </w:tcBorders>
                  <w:noWrap w:val="0"/>
                  <w:vAlign w:val="center"/>
                </w:tcPr>
                <w:p w14:paraId="4A757FC6">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651</w:t>
                  </w:r>
                </w:p>
              </w:tc>
              <w:tc>
                <w:tcPr>
                  <w:tcW w:w="252" w:type="pct"/>
                  <w:tcBorders>
                    <w:bottom w:val="single" w:color="000000" w:sz="4" w:space="0"/>
                    <w:tl2br w:val="nil"/>
                    <w:tr2bl w:val="nil"/>
                  </w:tcBorders>
                  <w:noWrap/>
                  <w:vAlign w:val="center"/>
                </w:tcPr>
                <w:p w14:paraId="64A2CCBC">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有组织</w:t>
                  </w:r>
                </w:p>
              </w:tc>
              <w:tc>
                <w:tcPr>
                  <w:tcW w:w="183" w:type="pct"/>
                  <w:tcBorders>
                    <w:bottom w:val="single" w:color="000000" w:sz="4" w:space="0"/>
                    <w:tl2br w:val="nil"/>
                    <w:tr2bl w:val="nil"/>
                  </w:tcBorders>
                  <w:noWrap/>
                  <w:vAlign w:val="center"/>
                </w:tcPr>
                <w:p w14:paraId="45559403">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布袋除尘</w:t>
                  </w:r>
                </w:p>
              </w:tc>
              <w:tc>
                <w:tcPr>
                  <w:tcW w:w="183" w:type="pct"/>
                  <w:tcBorders>
                    <w:bottom w:val="single" w:color="000000" w:sz="4" w:space="0"/>
                    <w:tl2br w:val="nil"/>
                    <w:tr2bl w:val="nil"/>
                  </w:tcBorders>
                  <w:noWrap/>
                  <w:vAlign w:val="center"/>
                </w:tcPr>
                <w:p w14:paraId="330A9407">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30</w:t>
                  </w:r>
                  <w:r>
                    <w:rPr>
                      <w:rFonts w:hint="eastAsia" w:ascii="Times New Roman" w:hAnsi="Times New Roman" w:eastAsia="宋体" w:cs="Times New Roman"/>
                      <w:color w:val="auto"/>
                      <w:sz w:val="18"/>
                      <w:szCs w:val="18"/>
                      <w:highlight w:val="none"/>
                      <w:u w:val="single"/>
                      <w:lang w:val="en-US" w:eastAsia="zh-CN"/>
                    </w:rPr>
                    <w:t>000</w:t>
                  </w:r>
                </w:p>
              </w:tc>
              <w:tc>
                <w:tcPr>
                  <w:tcW w:w="192" w:type="pct"/>
                  <w:tcBorders>
                    <w:bottom w:val="single" w:color="000000" w:sz="4" w:space="0"/>
                    <w:tl2br w:val="nil"/>
                    <w:tr2bl w:val="nil"/>
                  </w:tcBorders>
                  <w:noWrap/>
                  <w:vAlign w:val="center"/>
                </w:tcPr>
                <w:p w14:paraId="4594E506">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95</w:t>
                  </w:r>
                </w:p>
              </w:tc>
              <w:tc>
                <w:tcPr>
                  <w:tcW w:w="207" w:type="pct"/>
                  <w:tcBorders>
                    <w:bottom w:val="single" w:color="000000" w:sz="4" w:space="0"/>
                    <w:tl2br w:val="nil"/>
                    <w:tr2bl w:val="nil"/>
                  </w:tcBorders>
                  <w:noWrap/>
                  <w:vAlign w:val="center"/>
                </w:tcPr>
                <w:p w14:paraId="5D660506">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9</w:t>
                  </w:r>
                  <w:r>
                    <w:rPr>
                      <w:rFonts w:hint="eastAsia" w:cs="Times New Roman"/>
                      <w:color w:val="auto"/>
                      <w:sz w:val="18"/>
                      <w:szCs w:val="18"/>
                      <w:highlight w:val="none"/>
                      <w:u w:val="single"/>
                      <w:lang w:val="en-US" w:eastAsia="zh-CN"/>
                    </w:rPr>
                    <w:t>5</w:t>
                  </w:r>
                </w:p>
              </w:tc>
              <w:tc>
                <w:tcPr>
                  <w:tcW w:w="261" w:type="pct"/>
                  <w:tcBorders>
                    <w:bottom w:val="single" w:color="000000" w:sz="4" w:space="0"/>
                    <w:tl2br w:val="nil"/>
                    <w:tr2bl w:val="nil"/>
                  </w:tcBorders>
                  <w:noWrap/>
                  <w:vAlign w:val="center"/>
                </w:tcPr>
                <w:p w14:paraId="5C633FF1">
                  <w:pPr>
                    <w:pStyle w:val="106"/>
                    <w:tabs>
                      <w:tab w:val="left" w:pos="2422"/>
                    </w:tabs>
                    <w:rPr>
                      <w:rFonts w:hint="eastAsia" w:ascii="Times New Roman" w:hAnsi="Times New Roman" w:eastAsia="宋体" w:cs="Times New Roman"/>
                      <w:color w:val="auto"/>
                      <w:sz w:val="18"/>
                      <w:szCs w:val="18"/>
                      <w:highlight w:val="none"/>
                      <w:u w:val="single"/>
                    </w:rPr>
                  </w:pPr>
                  <w:r>
                    <w:rPr>
                      <w:rFonts w:hint="eastAsia" w:ascii="Times New Roman" w:hAnsi="Times New Roman" w:eastAsia="宋体" w:cs="Times New Roman"/>
                      <w:color w:val="auto"/>
                      <w:sz w:val="18"/>
                      <w:szCs w:val="18"/>
                      <w:highlight w:val="none"/>
                      <w:u w:val="single"/>
                    </w:rPr>
                    <w:t>是</w:t>
                  </w:r>
                </w:p>
              </w:tc>
              <w:tc>
                <w:tcPr>
                  <w:tcW w:w="155" w:type="pct"/>
                  <w:tcBorders>
                    <w:bottom w:val="single" w:color="000000" w:sz="4" w:space="0"/>
                    <w:tl2br w:val="nil"/>
                    <w:tr2bl w:val="nil"/>
                  </w:tcBorders>
                  <w:noWrap/>
                  <w:vAlign w:val="center"/>
                </w:tcPr>
                <w:p w14:paraId="47DA102C">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0.</w:t>
                  </w:r>
                  <w:r>
                    <w:rPr>
                      <w:rFonts w:hint="eastAsia" w:cs="Times New Roman"/>
                      <w:color w:val="auto"/>
                      <w:sz w:val="18"/>
                      <w:szCs w:val="18"/>
                      <w:highlight w:val="none"/>
                      <w:u w:val="single"/>
                      <w:lang w:val="en-US" w:eastAsia="zh-CN"/>
                    </w:rPr>
                    <w:t>1875</w:t>
                  </w:r>
                </w:p>
              </w:tc>
              <w:tc>
                <w:tcPr>
                  <w:tcW w:w="256" w:type="pct"/>
                  <w:tcBorders>
                    <w:bottom w:val="single" w:color="000000" w:sz="4" w:space="0"/>
                    <w:tl2br w:val="nil"/>
                    <w:tr2bl w:val="nil"/>
                  </w:tcBorders>
                  <w:noWrap/>
                  <w:vAlign w:val="center"/>
                </w:tcPr>
                <w:p w14:paraId="22177DE4">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0.0</w:t>
                  </w:r>
                  <w:r>
                    <w:rPr>
                      <w:rFonts w:hint="eastAsia" w:cs="Times New Roman"/>
                      <w:color w:val="auto"/>
                      <w:sz w:val="18"/>
                      <w:szCs w:val="18"/>
                      <w:highlight w:val="none"/>
                      <w:u w:val="single"/>
                      <w:lang w:val="en-US" w:eastAsia="zh-CN"/>
                    </w:rPr>
                    <w:t>3</w:t>
                  </w:r>
                  <w:r>
                    <w:rPr>
                      <w:rFonts w:hint="eastAsia" w:ascii="Times New Roman" w:hAnsi="Times New Roman" w:eastAsia="宋体" w:cs="Times New Roman"/>
                      <w:color w:val="auto"/>
                      <w:sz w:val="18"/>
                      <w:szCs w:val="18"/>
                      <w:highlight w:val="none"/>
                      <w:u w:val="single"/>
                      <w:lang w:val="en-US" w:eastAsia="zh-CN"/>
                    </w:rPr>
                    <w:t>6</w:t>
                  </w:r>
                </w:p>
              </w:tc>
              <w:tc>
                <w:tcPr>
                  <w:tcW w:w="222" w:type="pct"/>
                  <w:tcBorders>
                    <w:bottom w:val="single" w:color="000000" w:sz="4" w:space="0"/>
                    <w:tl2br w:val="nil"/>
                    <w:tr2bl w:val="nil"/>
                  </w:tcBorders>
                  <w:noWrap/>
                  <w:vAlign w:val="center"/>
                </w:tcPr>
                <w:p w14:paraId="10395132">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1</w:t>
                  </w:r>
                  <w:r>
                    <w:rPr>
                      <w:rFonts w:hint="eastAsia" w:cs="Times New Roman"/>
                      <w:color w:val="auto"/>
                      <w:sz w:val="18"/>
                      <w:szCs w:val="18"/>
                      <w:highlight w:val="none"/>
                      <w:u w:val="single"/>
                      <w:lang w:val="en-US" w:eastAsia="zh-CN"/>
                    </w:rPr>
                    <w:t>.2</w:t>
                  </w:r>
                </w:p>
              </w:tc>
              <w:tc>
                <w:tcPr>
                  <w:tcW w:w="147" w:type="pct"/>
                  <w:tcBorders>
                    <w:bottom w:val="single" w:color="000000" w:sz="4" w:space="0"/>
                    <w:tl2br w:val="nil"/>
                    <w:tr2bl w:val="nil"/>
                  </w:tcBorders>
                  <w:noWrap/>
                  <w:vAlign w:val="center"/>
                </w:tcPr>
                <w:p w14:paraId="0DB6E233">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15</w:t>
                  </w:r>
                </w:p>
              </w:tc>
              <w:tc>
                <w:tcPr>
                  <w:tcW w:w="166" w:type="pct"/>
                  <w:tcBorders>
                    <w:bottom w:val="single" w:color="000000" w:sz="4" w:space="0"/>
                    <w:tl2br w:val="nil"/>
                    <w:tr2bl w:val="nil"/>
                  </w:tcBorders>
                  <w:noWrap/>
                  <w:vAlign w:val="center"/>
                </w:tcPr>
                <w:p w14:paraId="1DFB4D89">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0.5</w:t>
                  </w:r>
                </w:p>
              </w:tc>
              <w:tc>
                <w:tcPr>
                  <w:tcW w:w="147" w:type="pct"/>
                  <w:tcBorders>
                    <w:bottom w:val="single" w:color="000000" w:sz="4" w:space="0"/>
                    <w:tl2br w:val="nil"/>
                    <w:tr2bl w:val="nil"/>
                  </w:tcBorders>
                  <w:noWrap/>
                  <w:vAlign w:val="center"/>
                </w:tcPr>
                <w:p w14:paraId="1E044A05">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5</w:t>
                  </w:r>
                  <w:r>
                    <w:rPr>
                      <w:rFonts w:hint="eastAsia" w:ascii="Times New Roman" w:hAnsi="Times New Roman" w:eastAsia="宋体" w:cs="Times New Roman"/>
                      <w:color w:val="auto"/>
                      <w:sz w:val="18"/>
                      <w:szCs w:val="18"/>
                      <w:highlight w:val="none"/>
                      <w:u w:val="single"/>
                      <w:lang w:val="en-US" w:eastAsia="zh-CN"/>
                    </w:rPr>
                    <w:t>0</w:t>
                  </w:r>
                </w:p>
              </w:tc>
              <w:tc>
                <w:tcPr>
                  <w:tcW w:w="204" w:type="pct"/>
                  <w:tcBorders>
                    <w:bottom w:val="single" w:color="000000" w:sz="4" w:space="0"/>
                    <w:tl2br w:val="nil"/>
                    <w:tr2bl w:val="nil"/>
                  </w:tcBorders>
                  <w:noWrap/>
                  <w:vAlign w:val="center"/>
                </w:tcPr>
                <w:p w14:paraId="1A2A46B5">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DA001</w:t>
                  </w:r>
                </w:p>
              </w:tc>
              <w:tc>
                <w:tcPr>
                  <w:tcW w:w="249" w:type="pct"/>
                  <w:tcBorders>
                    <w:bottom w:val="single" w:color="000000" w:sz="4" w:space="0"/>
                    <w:tl2br w:val="nil"/>
                    <w:tr2bl w:val="nil"/>
                  </w:tcBorders>
                  <w:noWrap/>
                  <w:vAlign w:val="center"/>
                </w:tcPr>
                <w:p w14:paraId="7BEFDBBE">
                  <w:pPr>
                    <w:pStyle w:val="106"/>
                    <w:tabs>
                      <w:tab w:val="left" w:pos="2422"/>
                    </w:tabs>
                    <w:rPr>
                      <w:rFonts w:hint="eastAsia" w:ascii="Times New Roman" w:hAnsi="Times New Roman" w:eastAsia="宋体" w:cs="Times New Roman"/>
                      <w:color w:val="auto"/>
                      <w:sz w:val="18"/>
                      <w:szCs w:val="18"/>
                      <w:highlight w:val="none"/>
                      <w:u w:val="single"/>
                      <w:lang w:eastAsia="zh-CN"/>
                    </w:rPr>
                  </w:pPr>
                  <w:r>
                    <w:rPr>
                      <w:rFonts w:hint="eastAsia" w:ascii="Times New Roman" w:hAnsi="Times New Roman" w:eastAsia="宋体" w:cs="Times New Roman"/>
                      <w:color w:val="auto"/>
                      <w:sz w:val="18"/>
                      <w:szCs w:val="18"/>
                      <w:highlight w:val="none"/>
                      <w:u w:val="single"/>
                      <w:lang w:eastAsia="zh-CN"/>
                    </w:rPr>
                    <w:t>一般排放口</w:t>
                  </w:r>
                </w:p>
              </w:tc>
              <w:tc>
                <w:tcPr>
                  <w:tcW w:w="260" w:type="pct"/>
                  <w:tcBorders>
                    <w:bottom w:val="single" w:color="000000" w:sz="4" w:space="0"/>
                    <w:tl2br w:val="nil"/>
                    <w:tr2bl w:val="nil"/>
                  </w:tcBorders>
                  <w:noWrap/>
                  <w:vAlign w:val="center"/>
                </w:tcPr>
                <w:p w14:paraId="647508CC">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111.362301</w:t>
                  </w:r>
                </w:p>
              </w:tc>
              <w:tc>
                <w:tcPr>
                  <w:tcW w:w="317" w:type="pct"/>
                  <w:tcBorders>
                    <w:bottom w:val="single" w:color="000000" w:sz="4" w:space="0"/>
                    <w:tl2br w:val="nil"/>
                    <w:tr2bl w:val="nil"/>
                  </w:tcBorders>
                  <w:noWrap/>
                  <w:vAlign w:val="center"/>
                </w:tcPr>
                <w:p w14:paraId="36D8A055">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25.227069</w:t>
                  </w:r>
                </w:p>
              </w:tc>
              <w:tc>
                <w:tcPr>
                  <w:tcW w:w="265" w:type="pct"/>
                  <w:tcBorders>
                    <w:bottom w:val="single" w:color="000000" w:sz="4" w:space="0"/>
                    <w:tl2br w:val="nil"/>
                    <w:tr2bl w:val="nil"/>
                  </w:tcBorders>
                  <w:noWrap/>
                  <w:vAlign w:val="center"/>
                </w:tcPr>
                <w:p w14:paraId="7C0E57D9">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30</w:t>
                  </w:r>
                </w:p>
              </w:tc>
            </w:tr>
            <w:tr w14:paraId="4E9551D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614" w:hRule="atLeast"/>
                <w:jc w:val="center"/>
              </w:trPr>
              <w:tc>
                <w:tcPr>
                  <w:tcW w:w="145" w:type="pct"/>
                  <w:vMerge w:val="continue"/>
                  <w:tcBorders>
                    <w:tl2br w:val="nil"/>
                    <w:tr2bl w:val="nil"/>
                  </w:tcBorders>
                  <w:noWrap/>
                  <w:vAlign w:val="center"/>
                </w:tcPr>
                <w:p w14:paraId="09E2A424">
                  <w:pPr>
                    <w:pStyle w:val="106"/>
                    <w:tabs>
                      <w:tab w:val="left" w:pos="2422"/>
                    </w:tabs>
                    <w:rPr>
                      <w:rFonts w:hint="eastAsia"/>
                      <w:color w:val="auto"/>
                      <w:sz w:val="18"/>
                      <w:szCs w:val="18"/>
                      <w:highlight w:val="none"/>
                      <w:u w:val="single"/>
                    </w:rPr>
                  </w:pPr>
                </w:p>
              </w:tc>
              <w:tc>
                <w:tcPr>
                  <w:tcW w:w="366" w:type="pct"/>
                  <w:vMerge w:val="continue"/>
                  <w:tcBorders>
                    <w:tl2br w:val="nil"/>
                    <w:tr2bl w:val="nil"/>
                  </w:tcBorders>
                  <w:noWrap/>
                  <w:vAlign w:val="center"/>
                </w:tcPr>
                <w:p w14:paraId="75D5ED55">
                  <w:pPr>
                    <w:pStyle w:val="106"/>
                    <w:tabs>
                      <w:tab w:val="left" w:pos="2422"/>
                    </w:tabs>
                    <w:rPr>
                      <w:rFonts w:hint="eastAsia" w:ascii="Times New Roman" w:hAnsi="Times New Roman" w:eastAsia="宋体" w:cs="Times New Roman"/>
                      <w:color w:val="auto"/>
                      <w:sz w:val="18"/>
                      <w:szCs w:val="18"/>
                      <w:highlight w:val="none"/>
                      <w:u w:val="single"/>
                      <w:lang w:val="en-US" w:eastAsia="zh-CN"/>
                    </w:rPr>
                  </w:pPr>
                </w:p>
              </w:tc>
              <w:tc>
                <w:tcPr>
                  <w:tcW w:w="298" w:type="pct"/>
                  <w:vMerge w:val="continue"/>
                  <w:tcBorders>
                    <w:bottom w:val="single" w:color="auto" w:sz="4" w:space="0"/>
                    <w:tl2br w:val="nil"/>
                    <w:tr2bl w:val="nil"/>
                  </w:tcBorders>
                  <w:noWrap/>
                  <w:vAlign w:val="center"/>
                </w:tcPr>
                <w:p w14:paraId="4B3EF960">
                  <w:pPr>
                    <w:pStyle w:val="106"/>
                    <w:tabs>
                      <w:tab w:val="left" w:pos="2422"/>
                    </w:tabs>
                    <w:rPr>
                      <w:rFonts w:hint="eastAsia" w:ascii="Times New Roman" w:hAnsi="Times New Roman" w:eastAsia="宋体" w:cs="Times New Roman"/>
                      <w:color w:val="auto"/>
                      <w:sz w:val="18"/>
                      <w:szCs w:val="18"/>
                      <w:highlight w:val="none"/>
                      <w:u w:val="single"/>
                      <w:lang w:val="en-US" w:eastAsia="zh-CN"/>
                    </w:rPr>
                  </w:pPr>
                </w:p>
              </w:tc>
              <w:tc>
                <w:tcPr>
                  <w:tcW w:w="261" w:type="pct"/>
                  <w:tcBorders>
                    <w:top w:val="single" w:color="000000" w:sz="4" w:space="0"/>
                    <w:bottom w:val="single" w:color="auto" w:sz="4" w:space="0"/>
                    <w:tl2br w:val="nil"/>
                    <w:tr2bl w:val="nil"/>
                  </w:tcBorders>
                  <w:noWrap w:val="0"/>
                  <w:vAlign w:val="center"/>
                </w:tcPr>
                <w:p w14:paraId="3C0C9524">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0.</w:t>
                  </w:r>
                  <w:r>
                    <w:rPr>
                      <w:rFonts w:hint="eastAsia" w:cs="Times New Roman"/>
                      <w:color w:val="auto"/>
                      <w:sz w:val="18"/>
                      <w:szCs w:val="18"/>
                      <w:highlight w:val="none"/>
                      <w:u w:val="single"/>
                      <w:lang w:val="en-US" w:eastAsia="zh-CN"/>
                    </w:rPr>
                    <w:t>2032</w:t>
                  </w:r>
                </w:p>
              </w:tc>
              <w:tc>
                <w:tcPr>
                  <w:tcW w:w="253" w:type="pct"/>
                  <w:tcBorders>
                    <w:top w:val="single" w:color="000000" w:sz="4" w:space="0"/>
                    <w:bottom w:val="single" w:color="auto" w:sz="4" w:space="0"/>
                    <w:tl2br w:val="nil"/>
                    <w:tr2bl w:val="nil"/>
                  </w:tcBorders>
                  <w:noWrap w:val="0"/>
                  <w:vAlign w:val="center"/>
                </w:tcPr>
                <w:p w14:paraId="67A74182">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w:t>
                  </w:r>
                </w:p>
              </w:tc>
              <w:tc>
                <w:tcPr>
                  <w:tcW w:w="252" w:type="pct"/>
                  <w:tcBorders>
                    <w:top w:val="single" w:color="000000" w:sz="4" w:space="0"/>
                    <w:bottom w:val="single" w:color="auto" w:sz="4" w:space="0"/>
                    <w:tl2br w:val="nil"/>
                    <w:tr2bl w:val="nil"/>
                  </w:tcBorders>
                  <w:noWrap/>
                  <w:vAlign w:val="center"/>
                </w:tcPr>
                <w:p w14:paraId="32FC0438">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无组织</w:t>
                  </w:r>
                </w:p>
              </w:tc>
              <w:tc>
                <w:tcPr>
                  <w:tcW w:w="183" w:type="pct"/>
                  <w:tcBorders>
                    <w:top w:val="single" w:color="000000" w:sz="4" w:space="0"/>
                    <w:bottom w:val="single" w:color="auto" w:sz="4" w:space="0"/>
                    <w:tl2br w:val="nil"/>
                    <w:tr2bl w:val="nil"/>
                  </w:tcBorders>
                  <w:noWrap/>
                  <w:vAlign w:val="center"/>
                </w:tcPr>
                <w:p w14:paraId="15B099BE">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密闭厂房</w:t>
                  </w:r>
                </w:p>
              </w:tc>
              <w:tc>
                <w:tcPr>
                  <w:tcW w:w="183" w:type="pct"/>
                  <w:tcBorders>
                    <w:top w:val="single" w:color="000000" w:sz="4" w:space="0"/>
                    <w:bottom w:val="single" w:color="auto" w:sz="4" w:space="0"/>
                    <w:tl2br w:val="nil"/>
                    <w:tr2bl w:val="nil"/>
                  </w:tcBorders>
                  <w:noWrap/>
                  <w:vAlign w:val="center"/>
                </w:tcPr>
                <w:p w14:paraId="7B816B4A">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w:t>
                  </w:r>
                </w:p>
              </w:tc>
              <w:tc>
                <w:tcPr>
                  <w:tcW w:w="192" w:type="pct"/>
                  <w:tcBorders>
                    <w:top w:val="single" w:color="000000" w:sz="4" w:space="0"/>
                    <w:bottom w:val="single" w:color="auto" w:sz="4" w:space="0"/>
                    <w:tl2br w:val="nil"/>
                    <w:tr2bl w:val="nil"/>
                  </w:tcBorders>
                  <w:noWrap/>
                  <w:vAlign w:val="center"/>
                </w:tcPr>
                <w:p w14:paraId="537216ED">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w:t>
                  </w:r>
                </w:p>
              </w:tc>
              <w:tc>
                <w:tcPr>
                  <w:tcW w:w="207" w:type="pct"/>
                  <w:tcBorders>
                    <w:top w:val="single" w:color="000000" w:sz="4" w:space="0"/>
                    <w:bottom w:val="single" w:color="auto" w:sz="4" w:space="0"/>
                    <w:tl2br w:val="nil"/>
                    <w:tr2bl w:val="nil"/>
                  </w:tcBorders>
                  <w:noWrap/>
                  <w:vAlign w:val="center"/>
                </w:tcPr>
                <w:p w14:paraId="50ECB40C">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70</w:t>
                  </w:r>
                </w:p>
              </w:tc>
              <w:tc>
                <w:tcPr>
                  <w:tcW w:w="261" w:type="pct"/>
                  <w:tcBorders>
                    <w:top w:val="single" w:color="000000" w:sz="4" w:space="0"/>
                    <w:bottom w:val="single" w:color="auto" w:sz="4" w:space="0"/>
                    <w:tl2br w:val="nil"/>
                    <w:tr2bl w:val="nil"/>
                  </w:tcBorders>
                  <w:noWrap/>
                  <w:vAlign w:val="center"/>
                </w:tcPr>
                <w:p w14:paraId="1F027AAC">
                  <w:pPr>
                    <w:pStyle w:val="106"/>
                    <w:tabs>
                      <w:tab w:val="left" w:pos="2422"/>
                    </w:tabs>
                    <w:rPr>
                      <w:rFonts w:hint="eastAsia" w:ascii="Times New Roman" w:hAnsi="Times New Roman" w:eastAsia="宋体" w:cs="Times New Roman"/>
                      <w:color w:val="auto"/>
                      <w:sz w:val="18"/>
                      <w:szCs w:val="18"/>
                      <w:highlight w:val="none"/>
                      <w:u w:val="single"/>
                    </w:rPr>
                  </w:pPr>
                  <w:r>
                    <w:rPr>
                      <w:rFonts w:hint="eastAsia" w:ascii="Times New Roman" w:hAnsi="Times New Roman" w:eastAsia="宋体" w:cs="Times New Roman"/>
                      <w:color w:val="auto"/>
                      <w:sz w:val="18"/>
                      <w:szCs w:val="18"/>
                      <w:highlight w:val="none"/>
                      <w:u w:val="single"/>
                    </w:rPr>
                    <w:t>是</w:t>
                  </w:r>
                </w:p>
              </w:tc>
              <w:tc>
                <w:tcPr>
                  <w:tcW w:w="155" w:type="pct"/>
                  <w:tcBorders>
                    <w:top w:val="single" w:color="000000" w:sz="4" w:space="0"/>
                    <w:bottom w:val="single" w:color="auto" w:sz="4" w:space="0"/>
                    <w:tl2br w:val="nil"/>
                    <w:tr2bl w:val="nil"/>
                  </w:tcBorders>
                  <w:noWrap/>
                  <w:vAlign w:val="center"/>
                </w:tcPr>
                <w:p w14:paraId="7E5BC718">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0.</w:t>
                  </w:r>
                  <w:r>
                    <w:rPr>
                      <w:rFonts w:hint="eastAsia" w:cs="Times New Roman"/>
                      <w:color w:val="auto"/>
                      <w:sz w:val="18"/>
                      <w:szCs w:val="18"/>
                      <w:highlight w:val="none"/>
                      <w:u w:val="single"/>
                      <w:lang w:val="en-US" w:eastAsia="zh-CN"/>
                    </w:rPr>
                    <w:t>06</w:t>
                  </w:r>
                </w:p>
              </w:tc>
              <w:tc>
                <w:tcPr>
                  <w:tcW w:w="256" w:type="pct"/>
                  <w:tcBorders>
                    <w:top w:val="single" w:color="000000" w:sz="4" w:space="0"/>
                    <w:bottom w:val="single" w:color="auto" w:sz="4" w:space="0"/>
                    <w:tl2br w:val="nil"/>
                    <w:tr2bl w:val="nil"/>
                  </w:tcBorders>
                  <w:noWrap/>
                  <w:vAlign w:val="center"/>
                </w:tcPr>
                <w:p w14:paraId="560C348D">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0.0</w:t>
                  </w:r>
                  <w:r>
                    <w:rPr>
                      <w:rFonts w:hint="eastAsia" w:cs="Times New Roman"/>
                      <w:color w:val="auto"/>
                      <w:sz w:val="18"/>
                      <w:szCs w:val="18"/>
                      <w:highlight w:val="none"/>
                      <w:u w:val="single"/>
                      <w:lang w:val="en-US" w:eastAsia="zh-CN"/>
                    </w:rPr>
                    <w:t>11</w:t>
                  </w:r>
                </w:p>
              </w:tc>
              <w:tc>
                <w:tcPr>
                  <w:tcW w:w="222" w:type="pct"/>
                  <w:tcBorders>
                    <w:top w:val="single" w:color="000000" w:sz="4" w:space="0"/>
                    <w:bottom w:val="single" w:color="auto" w:sz="4" w:space="0"/>
                    <w:tl2br w:val="nil"/>
                    <w:tr2bl w:val="nil"/>
                  </w:tcBorders>
                  <w:shd w:val="clear" w:color="auto" w:fill="auto"/>
                  <w:noWrap/>
                  <w:vAlign w:val="center"/>
                </w:tcPr>
                <w:p w14:paraId="5DBE6440">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47" w:type="pct"/>
                  <w:tcBorders>
                    <w:top w:val="single" w:color="000000" w:sz="4" w:space="0"/>
                    <w:bottom w:val="single" w:color="auto" w:sz="4" w:space="0"/>
                    <w:tl2br w:val="nil"/>
                    <w:tr2bl w:val="nil"/>
                  </w:tcBorders>
                  <w:shd w:val="clear" w:color="auto" w:fill="auto"/>
                  <w:noWrap/>
                  <w:vAlign w:val="center"/>
                </w:tcPr>
                <w:p w14:paraId="64C06393">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66" w:type="pct"/>
                  <w:tcBorders>
                    <w:top w:val="single" w:color="000000" w:sz="4" w:space="0"/>
                    <w:bottom w:val="single" w:color="auto" w:sz="4" w:space="0"/>
                    <w:tl2br w:val="nil"/>
                    <w:tr2bl w:val="nil"/>
                  </w:tcBorders>
                  <w:shd w:val="clear" w:color="auto" w:fill="auto"/>
                  <w:noWrap/>
                  <w:vAlign w:val="center"/>
                </w:tcPr>
                <w:p w14:paraId="5E4D5429">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47" w:type="pct"/>
                  <w:tcBorders>
                    <w:top w:val="single" w:color="000000" w:sz="4" w:space="0"/>
                    <w:bottom w:val="single" w:color="auto" w:sz="4" w:space="0"/>
                    <w:tl2br w:val="nil"/>
                    <w:tr2bl w:val="nil"/>
                  </w:tcBorders>
                  <w:shd w:val="clear" w:color="auto" w:fill="auto"/>
                  <w:noWrap/>
                  <w:vAlign w:val="center"/>
                </w:tcPr>
                <w:p w14:paraId="65879699">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04" w:type="pct"/>
                  <w:tcBorders>
                    <w:top w:val="single" w:color="000000" w:sz="4" w:space="0"/>
                    <w:bottom w:val="single" w:color="auto" w:sz="4" w:space="0"/>
                    <w:tl2br w:val="nil"/>
                    <w:tr2bl w:val="nil"/>
                  </w:tcBorders>
                  <w:shd w:val="clear" w:color="auto" w:fill="auto"/>
                  <w:noWrap/>
                  <w:vAlign w:val="center"/>
                </w:tcPr>
                <w:p w14:paraId="6623E701">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49" w:type="pct"/>
                  <w:tcBorders>
                    <w:top w:val="single" w:color="000000" w:sz="4" w:space="0"/>
                    <w:bottom w:val="single" w:color="auto" w:sz="4" w:space="0"/>
                    <w:tl2br w:val="nil"/>
                    <w:tr2bl w:val="nil"/>
                  </w:tcBorders>
                  <w:shd w:val="clear" w:color="auto" w:fill="auto"/>
                  <w:noWrap/>
                  <w:vAlign w:val="center"/>
                </w:tcPr>
                <w:p w14:paraId="0CB9B652">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60" w:type="pct"/>
                  <w:tcBorders>
                    <w:top w:val="single" w:color="000000" w:sz="4" w:space="0"/>
                    <w:bottom w:val="single" w:color="auto" w:sz="4" w:space="0"/>
                    <w:tl2br w:val="nil"/>
                    <w:tr2bl w:val="nil"/>
                  </w:tcBorders>
                  <w:shd w:val="clear" w:color="auto" w:fill="auto"/>
                  <w:noWrap/>
                  <w:vAlign w:val="center"/>
                </w:tcPr>
                <w:p w14:paraId="00CDEAEF">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rPr>
                    <w:t>/</w:t>
                  </w:r>
                </w:p>
              </w:tc>
              <w:tc>
                <w:tcPr>
                  <w:tcW w:w="317" w:type="pct"/>
                  <w:tcBorders>
                    <w:top w:val="single" w:color="000000" w:sz="4" w:space="0"/>
                    <w:bottom w:val="single" w:color="auto" w:sz="4" w:space="0"/>
                    <w:tl2br w:val="nil"/>
                    <w:tr2bl w:val="nil"/>
                  </w:tcBorders>
                  <w:shd w:val="clear" w:color="auto" w:fill="auto"/>
                  <w:noWrap/>
                  <w:vAlign w:val="center"/>
                </w:tcPr>
                <w:p w14:paraId="5EB4029E">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rPr>
                    <w:t>/</w:t>
                  </w:r>
                </w:p>
              </w:tc>
              <w:tc>
                <w:tcPr>
                  <w:tcW w:w="265" w:type="pct"/>
                  <w:tcBorders>
                    <w:top w:val="single" w:color="000000" w:sz="4" w:space="0"/>
                    <w:bottom w:val="single" w:color="auto" w:sz="4" w:space="0"/>
                    <w:tl2br w:val="nil"/>
                    <w:tr2bl w:val="nil"/>
                  </w:tcBorders>
                  <w:noWrap/>
                  <w:vAlign w:val="center"/>
                </w:tcPr>
                <w:p w14:paraId="2D27B214">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1.0</w:t>
                  </w:r>
                </w:p>
              </w:tc>
            </w:tr>
            <w:tr w14:paraId="220EDF4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59" w:hRule="atLeast"/>
                <w:jc w:val="center"/>
              </w:trPr>
              <w:tc>
                <w:tcPr>
                  <w:tcW w:w="145" w:type="pct"/>
                  <w:vMerge w:val="continue"/>
                  <w:tcBorders>
                    <w:tl2br w:val="nil"/>
                    <w:tr2bl w:val="nil"/>
                  </w:tcBorders>
                  <w:noWrap/>
                  <w:vAlign w:val="center"/>
                </w:tcPr>
                <w:p w14:paraId="043B15F2">
                  <w:pPr>
                    <w:pStyle w:val="106"/>
                    <w:tabs>
                      <w:tab w:val="left" w:pos="2422"/>
                    </w:tabs>
                    <w:rPr>
                      <w:rFonts w:hint="eastAsia"/>
                      <w:color w:val="auto"/>
                      <w:sz w:val="18"/>
                      <w:szCs w:val="18"/>
                      <w:highlight w:val="none"/>
                      <w:u w:val="single"/>
                    </w:rPr>
                  </w:pPr>
                </w:p>
              </w:tc>
              <w:tc>
                <w:tcPr>
                  <w:tcW w:w="366" w:type="pct"/>
                  <w:vMerge w:val="continue"/>
                  <w:tcBorders>
                    <w:tl2br w:val="nil"/>
                    <w:tr2bl w:val="nil"/>
                  </w:tcBorders>
                  <w:noWrap/>
                  <w:vAlign w:val="center"/>
                </w:tcPr>
                <w:p w14:paraId="02BD9F2D">
                  <w:pPr>
                    <w:pStyle w:val="106"/>
                    <w:tabs>
                      <w:tab w:val="left" w:pos="2422"/>
                    </w:tabs>
                    <w:rPr>
                      <w:rFonts w:hint="eastAsia" w:ascii="Times New Roman" w:hAnsi="Times New Roman" w:eastAsia="宋体" w:cs="Times New Roman"/>
                      <w:color w:val="auto"/>
                      <w:sz w:val="18"/>
                      <w:szCs w:val="18"/>
                      <w:highlight w:val="none"/>
                      <w:u w:val="single"/>
                      <w:lang w:val="en-US" w:eastAsia="zh-CN"/>
                    </w:rPr>
                  </w:pPr>
                </w:p>
              </w:tc>
              <w:tc>
                <w:tcPr>
                  <w:tcW w:w="298" w:type="pct"/>
                  <w:vMerge w:val="restart"/>
                  <w:tcBorders>
                    <w:top w:val="single" w:color="auto" w:sz="4" w:space="0"/>
                    <w:tl2br w:val="nil"/>
                    <w:tr2bl w:val="nil"/>
                  </w:tcBorders>
                  <w:noWrap/>
                  <w:vAlign w:val="center"/>
                </w:tcPr>
                <w:p w14:paraId="72EDC751">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非甲烷总烃</w:t>
                  </w:r>
                </w:p>
              </w:tc>
              <w:tc>
                <w:tcPr>
                  <w:tcW w:w="261" w:type="pct"/>
                  <w:tcBorders>
                    <w:top w:val="single" w:color="auto" w:sz="4" w:space="0"/>
                    <w:bottom w:val="single" w:color="auto" w:sz="4" w:space="0"/>
                    <w:tl2br w:val="nil"/>
                    <w:tr2bl w:val="nil"/>
                  </w:tcBorders>
                  <w:noWrap w:val="0"/>
                  <w:vAlign w:val="center"/>
                </w:tcPr>
                <w:p w14:paraId="76CA204A">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0.11</w:t>
                  </w:r>
                </w:p>
              </w:tc>
              <w:tc>
                <w:tcPr>
                  <w:tcW w:w="253" w:type="pct"/>
                  <w:tcBorders>
                    <w:top w:val="single" w:color="auto" w:sz="4" w:space="0"/>
                    <w:bottom w:val="single" w:color="auto" w:sz="4" w:space="0"/>
                    <w:tl2br w:val="nil"/>
                    <w:tr2bl w:val="nil"/>
                  </w:tcBorders>
                  <w:noWrap w:val="0"/>
                  <w:vAlign w:val="center"/>
                </w:tcPr>
                <w:p w14:paraId="48CAC0DF">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0.7</w:t>
                  </w:r>
                </w:p>
              </w:tc>
              <w:tc>
                <w:tcPr>
                  <w:tcW w:w="252" w:type="pct"/>
                  <w:tcBorders>
                    <w:top w:val="single" w:color="auto" w:sz="4" w:space="0"/>
                    <w:bottom w:val="single" w:color="auto" w:sz="4" w:space="0"/>
                    <w:tl2br w:val="nil"/>
                    <w:tr2bl w:val="nil"/>
                  </w:tcBorders>
                  <w:noWrap/>
                  <w:vAlign w:val="center"/>
                </w:tcPr>
                <w:p w14:paraId="13CAFEC7">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有组织</w:t>
                  </w:r>
                </w:p>
              </w:tc>
              <w:tc>
                <w:tcPr>
                  <w:tcW w:w="183" w:type="pct"/>
                  <w:tcBorders>
                    <w:top w:val="single" w:color="auto" w:sz="4" w:space="0"/>
                    <w:bottom w:val="single" w:color="auto" w:sz="4" w:space="0"/>
                    <w:tl2br w:val="nil"/>
                    <w:tr2bl w:val="nil"/>
                  </w:tcBorders>
                  <w:noWrap/>
                  <w:vAlign w:val="center"/>
                </w:tcPr>
                <w:p w14:paraId="5E4510B4">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w:t>
                  </w:r>
                </w:p>
              </w:tc>
              <w:tc>
                <w:tcPr>
                  <w:tcW w:w="183" w:type="pct"/>
                  <w:tcBorders>
                    <w:top w:val="single" w:color="auto" w:sz="4" w:space="0"/>
                    <w:bottom w:val="single" w:color="auto" w:sz="4" w:space="0"/>
                    <w:tl2br w:val="nil"/>
                    <w:tr2bl w:val="nil"/>
                  </w:tcBorders>
                  <w:noWrap/>
                  <w:vAlign w:val="center"/>
                </w:tcPr>
                <w:p w14:paraId="3CB2E7BA">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30000</w:t>
                  </w:r>
                </w:p>
              </w:tc>
              <w:tc>
                <w:tcPr>
                  <w:tcW w:w="192" w:type="pct"/>
                  <w:tcBorders>
                    <w:top w:val="single" w:color="auto" w:sz="4" w:space="0"/>
                    <w:bottom w:val="single" w:color="auto" w:sz="4" w:space="0"/>
                    <w:tl2br w:val="nil"/>
                    <w:tr2bl w:val="nil"/>
                  </w:tcBorders>
                  <w:noWrap/>
                  <w:vAlign w:val="center"/>
                </w:tcPr>
                <w:p w14:paraId="766C2007">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95</w:t>
                  </w:r>
                </w:p>
              </w:tc>
              <w:tc>
                <w:tcPr>
                  <w:tcW w:w="207" w:type="pct"/>
                  <w:tcBorders>
                    <w:top w:val="single" w:color="auto" w:sz="4" w:space="0"/>
                    <w:bottom w:val="single" w:color="auto" w:sz="4" w:space="0"/>
                    <w:tl2br w:val="nil"/>
                    <w:tr2bl w:val="nil"/>
                  </w:tcBorders>
                  <w:noWrap/>
                  <w:vAlign w:val="center"/>
                </w:tcPr>
                <w:p w14:paraId="32C19CA8">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w:t>
                  </w:r>
                </w:p>
              </w:tc>
              <w:tc>
                <w:tcPr>
                  <w:tcW w:w="261" w:type="pct"/>
                  <w:tcBorders>
                    <w:top w:val="single" w:color="auto" w:sz="4" w:space="0"/>
                    <w:bottom w:val="single" w:color="auto" w:sz="4" w:space="0"/>
                    <w:tl2br w:val="nil"/>
                    <w:tr2bl w:val="nil"/>
                  </w:tcBorders>
                  <w:noWrap/>
                  <w:vAlign w:val="center"/>
                </w:tcPr>
                <w:p w14:paraId="6B3B94C7">
                  <w:pPr>
                    <w:pStyle w:val="106"/>
                    <w:tabs>
                      <w:tab w:val="left" w:pos="2422"/>
                    </w:tabs>
                    <w:rPr>
                      <w:rFonts w:hint="eastAsia" w:ascii="Times New Roman" w:hAnsi="Times New Roman" w:eastAsia="宋体" w:cs="Times New Roman"/>
                      <w:color w:val="auto"/>
                      <w:sz w:val="18"/>
                      <w:szCs w:val="18"/>
                      <w:highlight w:val="none"/>
                      <w:u w:val="single"/>
                    </w:rPr>
                  </w:pPr>
                  <w:r>
                    <w:rPr>
                      <w:rFonts w:hint="eastAsia" w:ascii="Times New Roman" w:hAnsi="Times New Roman" w:eastAsia="宋体" w:cs="Times New Roman"/>
                      <w:color w:val="auto"/>
                      <w:sz w:val="18"/>
                      <w:szCs w:val="18"/>
                      <w:highlight w:val="none"/>
                      <w:u w:val="single"/>
                    </w:rPr>
                    <w:t>是</w:t>
                  </w:r>
                </w:p>
              </w:tc>
              <w:tc>
                <w:tcPr>
                  <w:tcW w:w="155" w:type="pct"/>
                  <w:tcBorders>
                    <w:top w:val="single" w:color="auto" w:sz="4" w:space="0"/>
                    <w:bottom w:val="single" w:color="auto" w:sz="4" w:space="0"/>
                    <w:tl2br w:val="nil"/>
                    <w:tr2bl w:val="nil"/>
                  </w:tcBorders>
                  <w:noWrap/>
                  <w:vAlign w:val="center"/>
                </w:tcPr>
                <w:p w14:paraId="131C325F">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0.11</w:t>
                  </w:r>
                </w:p>
              </w:tc>
              <w:tc>
                <w:tcPr>
                  <w:tcW w:w="256" w:type="pct"/>
                  <w:tcBorders>
                    <w:top w:val="single" w:color="auto" w:sz="4" w:space="0"/>
                    <w:bottom w:val="single" w:color="auto" w:sz="4" w:space="0"/>
                    <w:tl2br w:val="nil"/>
                    <w:tr2bl w:val="nil"/>
                  </w:tcBorders>
                  <w:noWrap/>
                  <w:vAlign w:val="center"/>
                </w:tcPr>
                <w:p w14:paraId="14BB1722">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0.021</w:t>
                  </w:r>
                </w:p>
              </w:tc>
              <w:tc>
                <w:tcPr>
                  <w:tcW w:w="222" w:type="pct"/>
                  <w:tcBorders>
                    <w:top w:val="single" w:color="auto" w:sz="4" w:space="0"/>
                    <w:bottom w:val="single" w:color="auto" w:sz="4" w:space="0"/>
                    <w:tl2br w:val="nil"/>
                    <w:tr2bl w:val="nil"/>
                  </w:tcBorders>
                  <w:shd w:val="clear" w:color="auto" w:fill="auto"/>
                  <w:noWrap/>
                  <w:vAlign w:val="center"/>
                </w:tcPr>
                <w:p w14:paraId="2A85C0C5">
                  <w:pPr>
                    <w:pStyle w:val="106"/>
                    <w:tabs>
                      <w:tab w:val="left" w:pos="2422"/>
                    </w:tabs>
                    <w:ind w:right="0" w:rightChars="0" w:firstLine="0" w:firstLineChars="0"/>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0.7</w:t>
                  </w:r>
                </w:p>
              </w:tc>
              <w:tc>
                <w:tcPr>
                  <w:tcW w:w="147" w:type="pct"/>
                  <w:tcBorders>
                    <w:top w:val="single" w:color="auto" w:sz="4" w:space="0"/>
                    <w:bottom w:val="single" w:color="auto" w:sz="4" w:space="0"/>
                    <w:tl2br w:val="nil"/>
                    <w:tr2bl w:val="nil"/>
                  </w:tcBorders>
                  <w:shd w:val="clear" w:color="auto" w:fill="auto"/>
                  <w:noWrap/>
                  <w:vAlign w:val="center"/>
                </w:tcPr>
                <w:p w14:paraId="1D51CA6F">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15</w:t>
                  </w:r>
                </w:p>
              </w:tc>
              <w:tc>
                <w:tcPr>
                  <w:tcW w:w="166" w:type="pct"/>
                  <w:tcBorders>
                    <w:top w:val="single" w:color="auto" w:sz="4" w:space="0"/>
                    <w:bottom w:val="single" w:color="auto" w:sz="4" w:space="0"/>
                    <w:tl2br w:val="nil"/>
                    <w:tr2bl w:val="nil"/>
                  </w:tcBorders>
                  <w:shd w:val="clear" w:color="auto" w:fill="auto"/>
                  <w:noWrap/>
                  <w:vAlign w:val="center"/>
                </w:tcPr>
                <w:p w14:paraId="0A804C8C">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0.5</w:t>
                  </w:r>
                </w:p>
              </w:tc>
              <w:tc>
                <w:tcPr>
                  <w:tcW w:w="147" w:type="pct"/>
                  <w:tcBorders>
                    <w:top w:val="single" w:color="auto" w:sz="4" w:space="0"/>
                    <w:bottom w:val="single" w:color="auto" w:sz="4" w:space="0"/>
                    <w:tl2br w:val="nil"/>
                    <w:tr2bl w:val="nil"/>
                  </w:tcBorders>
                  <w:shd w:val="clear" w:color="auto" w:fill="auto"/>
                  <w:noWrap/>
                  <w:vAlign w:val="center"/>
                </w:tcPr>
                <w:p w14:paraId="25DD609A">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80</w:t>
                  </w:r>
                </w:p>
              </w:tc>
              <w:tc>
                <w:tcPr>
                  <w:tcW w:w="204" w:type="pct"/>
                  <w:tcBorders>
                    <w:top w:val="single" w:color="auto" w:sz="4" w:space="0"/>
                    <w:bottom w:val="single" w:color="auto" w:sz="4" w:space="0"/>
                    <w:tl2br w:val="nil"/>
                    <w:tr2bl w:val="nil"/>
                  </w:tcBorders>
                  <w:shd w:val="clear" w:color="auto" w:fill="auto"/>
                  <w:noWrap/>
                  <w:vAlign w:val="center"/>
                </w:tcPr>
                <w:p w14:paraId="2765E381">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DA001</w:t>
                  </w:r>
                </w:p>
              </w:tc>
              <w:tc>
                <w:tcPr>
                  <w:tcW w:w="249" w:type="pct"/>
                  <w:tcBorders>
                    <w:top w:val="single" w:color="auto" w:sz="4" w:space="0"/>
                    <w:bottom w:val="single" w:color="auto" w:sz="4" w:space="0"/>
                    <w:tl2br w:val="nil"/>
                    <w:tr2bl w:val="nil"/>
                  </w:tcBorders>
                  <w:shd w:val="clear" w:color="auto" w:fill="auto"/>
                  <w:noWrap/>
                  <w:vAlign w:val="center"/>
                </w:tcPr>
                <w:p w14:paraId="49CAD7B3">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eastAsia="zh-CN"/>
                    </w:rPr>
                    <w:t>一般排放口</w:t>
                  </w:r>
                </w:p>
              </w:tc>
              <w:tc>
                <w:tcPr>
                  <w:tcW w:w="260" w:type="pct"/>
                  <w:tcBorders>
                    <w:top w:val="single" w:color="auto" w:sz="4" w:space="0"/>
                    <w:bottom w:val="single" w:color="auto" w:sz="4" w:space="0"/>
                    <w:tl2br w:val="nil"/>
                    <w:tr2bl w:val="nil"/>
                  </w:tcBorders>
                  <w:shd w:val="clear" w:color="auto" w:fill="auto"/>
                  <w:noWrap/>
                  <w:vAlign w:val="center"/>
                </w:tcPr>
                <w:p w14:paraId="7A9E01C8">
                  <w:pPr>
                    <w:pStyle w:val="106"/>
                    <w:tabs>
                      <w:tab w:val="left" w:pos="2422"/>
                    </w:tabs>
                    <w:ind w:right="0" w:rightChars="0" w:firstLine="0" w:firstLineChars="0"/>
                    <w:rPr>
                      <w:rFonts w:hint="eastAsia" w:ascii="Times New Roman" w:hAnsi="Times New Roman" w:eastAsia="宋体" w:cs="Times New Roman"/>
                      <w:color w:val="auto"/>
                      <w:sz w:val="18"/>
                      <w:szCs w:val="18"/>
                      <w:highlight w:val="none"/>
                      <w:u w:val="single"/>
                    </w:rPr>
                  </w:pPr>
                  <w:r>
                    <w:rPr>
                      <w:rFonts w:hint="eastAsia" w:cs="Times New Roman"/>
                      <w:color w:val="auto"/>
                      <w:sz w:val="18"/>
                      <w:szCs w:val="18"/>
                      <w:highlight w:val="none"/>
                      <w:u w:val="single"/>
                      <w:lang w:val="en-US" w:eastAsia="zh-CN"/>
                    </w:rPr>
                    <w:t>111.362301</w:t>
                  </w:r>
                </w:p>
              </w:tc>
              <w:tc>
                <w:tcPr>
                  <w:tcW w:w="317" w:type="pct"/>
                  <w:tcBorders>
                    <w:top w:val="single" w:color="auto" w:sz="4" w:space="0"/>
                    <w:bottom w:val="single" w:color="auto" w:sz="4" w:space="0"/>
                    <w:tl2br w:val="nil"/>
                    <w:tr2bl w:val="nil"/>
                  </w:tcBorders>
                  <w:shd w:val="clear" w:color="auto" w:fill="auto"/>
                  <w:noWrap/>
                  <w:vAlign w:val="center"/>
                </w:tcPr>
                <w:p w14:paraId="691E93AF">
                  <w:pPr>
                    <w:pStyle w:val="106"/>
                    <w:tabs>
                      <w:tab w:val="left" w:pos="2422"/>
                    </w:tabs>
                    <w:ind w:right="0" w:rightChars="0" w:firstLine="0" w:firstLineChars="0"/>
                    <w:rPr>
                      <w:rFonts w:hint="eastAsia" w:ascii="Times New Roman" w:hAnsi="Times New Roman" w:eastAsia="宋体" w:cs="Times New Roman"/>
                      <w:color w:val="auto"/>
                      <w:sz w:val="18"/>
                      <w:szCs w:val="18"/>
                      <w:highlight w:val="none"/>
                      <w:u w:val="single"/>
                    </w:rPr>
                  </w:pPr>
                  <w:r>
                    <w:rPr>
                      <w:rFonts w:hint="eastAsia" w:cs="Times New Roman"/>
                      <w:color w:val="auto"/>
                      <w:sz w:val="18"/>
                      <w:szCs w:val="18"/>
                      <w:highlight w:val="none"/>
                      <w:u w:val="single"/>
                      <w:lang w:val="en-US" w:eastAsia="zh-CN"/>
                    </w:rPr>
                    <w:t>25.227069</w:t>
                  </w:r>
                </w:p>
              </w:tc>
              <w:tc>
                <w:tcPr>
                  <w:tcW w:w="265" w:type="pct"/>
                  <w:tcBorders>
                    <w:top w:val="single" w:color="auto" w:sz="4" w:space="0"/>
                    <w:bottom w:val="single" w:color="auto" w:sz="4" w:space="0"/>
                    <w:tl2br w:val="nil"/>
                    <w:tr2bl w:val="nil"/>
                  </w:tcBorders>
                  <w:noWrap/>
                  <w:vAlign w:val="center"/>
                </w:tcPr>
                <w:p w14:paraId="494021F7">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120</w:t>
                  </w:r>
                </w:p>
              </w:tc>
            </w:tr>
            <w:tr w14:paraId="075E142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96" w:hRule="atLeast"/>
                <w:jc w:val="center"/>
              </w:trPr>
              <w:tc>
                <w:tcPr>
                  <w:tcW w:w="145" w:type="pct"/>
                  <w:vMerge w:val="continue"/>
                  <w:tcBorders>
                    <w:tl2br w:val="nil"/>
                    <w:tr2bl w:val="nil"/>
                  </w:tcBorders>
                  <w:noWrap/>
                  <w:vAlign w:val="center"/>
                </w:tcPr>
                <w:p w14:paraId="5E2D63F0">
                  <w:pPr>
                    <w:pStyle w:val="106"/>
                    <w:tabs>
                      <w:tab w:val="left" w:pos="2422"/>
                    </w:tabs>
                    <w:rPr>
                      <w:rFonts w:hint="eastAsia"/>
                      <w:color w:val="auto"/>
                      <w:sz w:val="18"/>
                      <w:szCs w:val="18"/>
                      <w:highlight w:val="none"/>
                      <w:u w:val="single"/>
                    </w:rPr>
                  </w:pPr>
                </w:p>
              </w:tc>
              <w:tc>
                <w:tcPr>
                  <w:tcW w:w="366" w:type="pct"/>
                  <w:vMerge w:val="continue"/>
                  <w:tcBorders>
                    <w:tl2br w:val="nil"/>
                    <w:tr2bl w:val="nil"/>
                  </w:tcBorders>
                  <w:noWrap/>
                  <w:vAlign w:val="center"/>
                </w:tcPr>
                <w:p w14:paraId="22975AA9">
                  <w:pPr>
                    <w:pStyle w:val="106"/>
                    <w:tabs>
                      <w:tab w:val="left" w:pos="2422"/>
                    </w:tabs>
                    <w:rPr>
                      <w:rFonts w:hint="eastAsia" w:ascii="Times New Roman" w:hAnsi="Times New Roman" w:eastAsia="宋体" w:cs="Times New Roman"/>
                      <w:color w:val="auto"/>
                      <w:sz w:val="18"/>
                      <w:szCs w:val="18"/>
                      <w:highlight w:val="none"/>
                      <w:u w:val="single"/>
                      <w:lang w:val="en-US" w:eastAsia="zh-CN"/>
                    </w:rPr>
                  </w:pPr>
                </w:p>
              </w:tc>
              <w:tc>
                <w:tcPr>
                  <w:tcW w:w="298" w:type="pct"/>
                  <w:vMerge w:val="continue"/>
                  <w:tcBorders>
                    <w:tl2br w:val="nil"/>
                    <w:tr2bl w:val="nil"/>
                  </w:tcBorders>
                  <w:noWrap/>
                  <w:vAlign w:val="center"/>
                </w:tcPr>
                <w:p w14:paraId="388B71ED">
                  <w:pPr>
                    <w:pStyle w:val="106"/>
                    <w:tabs>
                      <w:tab w:val="left" w:pos="2422"/>
                    </w:tabs>
                    <w:rPr>
                      <w:rFonts w:hint="eastAsia" w:cs="Times New Roman"/>
                      <w:color w:val="auto"/>
                      <w:sz w:val="18"/>
                      <w:szCs w:val="18"/>
                      <w:highlight w:val="none"/>
                      <w:u w:val="single"/>
                      <w:lang w:val="en-US" w:eastAsia="zh-CN"/>
                    </w:rPr>
                  </w:pPr>
                </w:p>
              </w:tc>
              <w:tc>
                <w:tcPr>
                  <w:tcW w:w="261" w:type="pct"/>
                  <w:tcBorders>
                    <w:top w:val="single" w:color="auto" w:sz="4" w:space="0"/>
                    <w:bottom w:val="single" w:color="auto" w:sz="4" w:space="0"/>
                    <w:tl2br w:val="nil"/>
                    <w:tr2bl w:val="nil"/>
                  </w:tcBorders>
                  <w:noWrap w:val="0"/>
                  <w:vAlign w:val="center"/>
                </w:tcPr>
                <w:p w14:paraId="5F21574B">
                  <w:pPr>
                    <w:pStyle w:val="106"/>
                    <w:tabs>
                      <w:tab w:val="left" w:pos="2422"/>
                    </w:tabs>
                    <w:rPr>
                      <w:rFonts w:hint="default"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0.006</w:t>
                  </w:r>
                </w:p>
              </w:tc>
              <w:tc>
                <w:tcPr>
                  <w:tcW w:w="253" w:type="pct"/>
                  <w:tcBorders>
                    <w:top w:val="single" w:color="auto" w:sz="4" w:space="0"/>
                    <w:bottom w:val="single" w:color="auto" w:sz="4" w:space="0"/>
                    <w:tl2br w:val="nil"/>
                    <w:tr2bl w:val="nil"/>
                  </w:tcBorders>
                  <w:noWrap w:val="0"/>
                  <w:vAlign w:val="center"/>
                </w:tcPr>
                <w:p w14:paraId="28132E16">
                  <w:pPr>
                    <w:pStyle w:val="106"/>
                    <w:tabs>
                      <w:tab w:val="left" w:pos="2422"/>
                    </w:tabs>
                    <w:rPr>
                      <w:rFonts w:hint="default"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w:t>
                  </w:r>
                </w:p>
              </w:tc>
              <w:tc>
                <w:tcPr>
                  <w:tcW w:w="252" w:type="pct"/>
                  <w:tcBorders>
                    <w:top w:val="single" w:color="auto" w:sz="4" w:space="0"/>
                    <w:bottom w:val="single" w:color="auto" w:sz="4" w:space="0"/>
                    <w:tl2br w:val="nil"/>
                    <w:tr2bl w:val="nil"/>
                  </w:tcBorders>
                  <w:noWrap/>
                  <w:vAlign w:val="center"/>
                </w:tcPr>
                <w:p w14:paraId="2888E304">
                  <w:pPr>
                    <w:pStyle w:val="106"/>
                    <w:tabs>
                      <w:tab w:val="left" w:pos="2422"/>
                    </w:tabs>
                    <w:rPr>
                      <w:rFonts w:hint="eastAsia" w:ascii="Times New Roman" w:hAnsi="Times New Roman" w:eastAsia="宋体" w:cs="Times New Roman"/>
                      <w:color w:val="auto"/>
                      <w:sz w:val="18"/>
                      <w:szCs w:val="18"/>
                      <w:highlight w:val="none"/>
                      <w:u w:val="single"/>
                      <w:lang w:val="en-US" w:eastAsia="zh-CN"/>
                    </w:rPr>
                  </w:pPr>
                  <w:r>
                    <w:rPr>
                      <w:rFonts w:hint="eastAsia" w:ascii="Times New Roman" w:hAnsi="Times New Roman" w:eastAsia="宋体" w:cs="Times New Roman"/>
                      <w:color w:val="auto"/>
                      <w:sz w:val="18"/>
                      <w:szCs w:val="18"/>
                      <w:highlight w:val="none"/>
                      <w:u w:val="single"/>
                      <w:lang w:val="en-US" w:eastAsia="zh-CN"/>
                    </w:rPr>
                    <w:t>无组织</w:t>
                  </w:r>
                </w:p>
              </w:tc>
              <w:tc>
                <w:tcPr>
                  <w:tcW w:w="183" w:type="pct"/>
                  <w:tcBorders>
                    <w:top w:val="single" w:color="auto" w:sz="4" w:space="0"/>
                    <w:bottom w:val="single" w:color="auto" w:sz="4" w:space="0"/>
                    <w:tl2br w:val="nil"/>
                    <w:tr2bl w:val="nil"/>
                  </w:tcBorders>
                  <w:noWrap/>
                  <w:vAlign w:val="center"/>
                </w:tcPr>
                <w:p w14:paraId="0361B012">
                  <w:pPr>
                    <w:pStyle w:val="106"/>
                    <w:tabs>
                      <w:tab w:val="left" w:pos="2422"/>
                    </w:tabs>
                    <w:rPr>
                      <w:rFonts w:hint="default"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w:t>
                  </w:r>
                </w:p>
              </w:tc>
              <w:tc>
                <w:tcPr>
                  <w:tcW w:w="183" w:type="pct"/>
                  <w:tcBorders>
                    <w:top w:val="single" w:color="auto" w:sz="4" w:space="0"/>
                    <w:bottom w:val="single" w:color="auto" w:sz="4" w:space="0"/>
                    <w:tl2br w:val="nil"/>
                    <w:tr2bl w:val="nil"/>
                  </w:tcBorders>
                  <w:shd w:val="clear" w:color="auto" w:fill="auto"/>
                  <w:noWrap/>
                  <w:vAlign w:val="center"/>
                </w:tcPr>
                <w:p w14:paraId="4F99C90C">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92" w:type="pct"/>
                  <w:tcBorders>
                    <w:top w:val="single" w:color="auto" w:sz="4" w:space="0"/>
                    <w:bottom w:val="single" w:color="auto" w:sz="4" w:space="0"/>
                    <w:tl2br w:val="nil"/>
                    <w:tr2bl w:val="nil"/>
                  </w:tcBorders>
                  <w:shd w:val="clear" w:color="auto" w:fill="auto"/>
                  <w:noWrap/>
                  <w:vAlign w:val="center"/>
                </w:tcPr>
                <w:p w14:paraId="097319A1">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07" w:type="pct"/>
                  <w:tcBorders>
                    <w:top w:val="single" w:color="auto" w:sz="4" w:space="0"/>
                    <w:bottom w:val="single" w:color="auto" w:sz="4" w:space="0"/>
                    <w:tl2br w:val="nil"/>
                    <w:tr2bl w:val="nil"/>
                  </w:tcBorders>
                  <w:noWrap/>
                  <w:vAlign w:val="center"/>
                </w:tcPr>
                <w:p w14:paraId="3B73B48C">
                  <w:pPr>
                    <w:pStyle w:val="106"/>
                    <w:tabs>
                      <w:tab w:val="left" w:pos="2422"/>
                    </w:tabs>
                    <w:rPr>
                      <w:rFonts w:hint="eastAsia"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w:t>
                  </w:r>
                </w:p>
              </w:tc>
              <w:tc>
                <w:tcPr>
                  <w:tcW w:w="261" w:type="pct"/>
                  <w:tcBorders>
                    <w:top w:val="single" w:color="auto" w:sz="4" w:space="0"/>
                    <w:bottom w:val="single" w:color="auto" w:sz="4" w:space="0"/>
                    <w:tl2br w:val="nil"/>
                    <w:tr2bl w:val="nil"/>
                  </w:tcBorders>
                  <w:noWrap/>
                  <w:vAlign w:val="center"/>
                </w:tcPr>
                <w:p w14:paraId="6F2722D0">
                  <w:pPr>
                    <w:pStyle w:val="106"/>
                    <w:tabs>
                      <w:tab w:val="left" w:pos="2422"/>
                    </w:tabs>
                    <w:rPr>
                      <w:rFonts w:hint="eastAsia" w:ascii="Times New Roman" w:hAnsi="Times New Roman" w:eastAsia="宋体" w:cs="Times New Roman"/>
                      <w:color w:val="auto"/>
                      <w:sz w:val="18"/>
                      <w:szCs w:val="18"/>
                      <w:highlight w:val="none"/>
                      <w:u w:val="single"/>
                      <w:lang w:eastAsia="zh-CN"/>
                    </w:rPr>
                  </w:pPr>
                  <w:r>
                    <w:rPr>
                      <w:rFonts w:hint="eastAsia" w:ascii="Times New Roman" w:hAnsi="Times New Roman" w:eastAsia="宋体" w:cs="Times New Roman"/>
                      <w:color w:val="auto"/>
                      <w:sz w:val="18"/>
                      <w:szCs w:val="18"/>
                      <w:highlight w:val="none"/>
                      <w:u w:val="single"/>
                      <w:lang w:eastAsia="zh-CN"/>
                    </w:rPr>
                    <w:t>是</w:t>
                  </w:r>
                </w:p>
              </w:tc>
              <w:tc>
                <w:tcPr>
                  <w:tcW w:w="155" w:type="pct"/>
                  <w:tcBorders>
                    <w:top w:val="single" w:color="auto" w:sz="4" w:space="0"/>
                    <w:bottom w:val="single" w:color="auto" w:sz="4" w:space="0"/>
                    <w:tl2br w:val="nil"/>
                    <w:tr2bl w:val="nil"/>
                  </w:tcBorders>
                  <w:noWrap/>
                  <w:vAlign w:val="center"/>
                </w:tcPr>
                <w:p w14:paraId="0D9C97ED">
                  <w:pPr>
                    <w:pStyle w:val="106"/>
                    <w:tabs>
                      <w:tab w:val="left" w:pos="2422"/>
                    </w:tabs>
                    <w:rPr>
                      <w:rFonts w:hint="default"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0.006</w:t>
                  </w:r>
                </w:p>
              </w:tc>
              <w:tc>
                <w:tcPr>
                  <w:tcW w:w="256" w:type="pct"/>
                  <w:tcBorders>
                    <w:top w:val="single" w:color="auto" w:sz="4" w:space="0"/>
                    <w:bottom w:val="single" w:color="auto" w:sz="4" w:space="0"/>
                    <w:tl2br w:val="nil"/>
                    <w:tr2bl w:val="nil"/>
                  </w:tcBorders>
                  <w:noWrap/>
                  <w:vAlign w:val="center"/>
                </w:tcPr>
                <w:p w14:paraId="135FA00B">
                  <w:pPr>
                    <w:pStyle w:val="106"/>
                    <w:tabs>
                      <w:tab w:val="left" w:pos="2422"/>
                    </w:tabs>
                    <w:rPr>
                      <w:rFonts w:hint="default"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0.0011</w:t>
                  </w:r>
                </w:p>
              </w:tc>
              <w:tc>
                <w:tcPr>
                  <w:tcW w:w="222" w:type="pct"/>
                  <w:tcBorders>
                    <w:top w:val="single" w:color="auto" w:sz="4" w:space="0"/>
                    <w:bottom w:val="single" w:color="auto" w:sz="4" w:space="0"/>
                    <w:tl2br w:val="nil"/>
                    <w:tr2bl w:val="nil"/>
                  </w:tcBorders>
                  <w:shd w:val="clear" w:color="auto" w:fill="auto"/>
                  <w:noWrap/>
                  <w:vAlign w:val="center"/>
                </w:tcPr>
                <w:p w14:paraId="2FFAAF27">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47" w:type="pct"/>
                  <w:tcBorders>
                    <w:top w:val="single" w:color="auto" w:sz="4" w:space="0"/>
                    <w:bottom w:val="single" w:color="auto" w:sz="4" w:space="0"/>
                    <w:tl2br w:val="nil"/>
                    <w:tr2bl w:val="nil"/>
                  </w:tcBorders>
                  <w:shd w:val="clear" w:color="auto" w:fill="auto"/>
                  <w:noWrap/>
                  <w:vAlign w:val="center"/>
                </w:tcPr>
                <w:p w14:paraId="3A91B7C4">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66" w:type="pct"/>
                  <w:tcBorders>
                    <w:top w:val="single" w:color="auto" w:sz="4" w:space="0"/>
                    <w:bottom w:val="single" w:color="auto" w:sz="4" w:space="0"/>
                    <w:tl2br w:val="nil"/>
                    <w:tr2bl w:val="nil"/>
                  </w:tcBorders>
                  <w:shd w:val="clear" w:color="auto" w:fill="auto"/>
                  <w:noWrap/>
                  <w:vAlign w:val="center"/>
                </w:tcPr>
                <w:p w14:paraId="221ACAE3">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47" w:type="pct"/>
                  <w:tcBorders>
                    <w:top w:val="single" w:color="auto" w:sz="4" w:space="0"/>
                    <w:bottom w:val="single" w:color="auto" w:sz="4" w:space="0"/>
                    <w:tl2br w:val="nil"/>
                    <w:tr2bl w:val="nil"/>
                  </w:tcBorders>
                  <w:shd w:val="clear" w:color="auto" w:fill="auto"/>
                  <w:noWrap/>
                  <w:vAlign w:val="center"/>
                </w:tcPr>
                <w:p w14:paraId="29045017">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04" w:type="pct"/>
                  <w:tcBorders>
                    <w:top w:val="single" w:color="auto" w:sz="4" w:space="0"/>
                    <w:bottom w:val="single" w:color="auto" w:sz="4" w:space="0"/>
                    <w:tl2br w:val="nil"/>
                    <w:tr2bl w:val="nil"/>
                  </w:tcBorders>
                  <w:shd w:val="clear" w:color="auto" w:fill="auto"/>
                  <w:noWrap/>
                  <w:vAlign w:val="center"/>
                </w:tcPr>
                <w:p w14:paraId="7FEF0B74">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49" w:type="pct"/>
                  <w:tcBorders>
                    <w:top w:val="single" w:color="auto" w:sz="4" w:space="0"/>
                    <w:bottom w:val="single" w:color="auto" w:sz="4" w:space="0"/>
                    <w:tl2br w:val="nil"/>
                    <w:tr2bl w:val="nil"/>
                  </w:tcBorders>
                  <w:shd w:val="clear" w:color="auto" w:fill="auto"/>
                  <w:noWrap/>
                  <w:vAlign w:val="center"/>
                </w:tcPr>
                <w:p w14:paraId="69D9564F">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60" w:type="pct"/>
                  <w:tcBorders>
                    <w:top w:val="single" w:color="auto" w:sz="4" w:space="0"/>
                    <w:bottom w:val="single" w:color="auto" w:sz="4" w:space="0"/>
                    <w:tl2br w:val="nil"/>
                    <w:tr2bl w:val="nil"/>
                  </w:tcBorders>
                  <w:shd w:val="clear" w:color="auto" w:fill="auto"/>
                  <w:noWrap/>
                  <w:vAlign w:val="center"/>
                </w:tcPr>
                <w:p w14:paraId="7D5F9DA8">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rPr>
                    <w:t>/</w:t>
                  </w:r>
                </w:p>
              </w:tc>
              <w:tc>
                <w:tcPr>
                  <w:tcW w:w="317" w:type="pct"/>
                  <w:tcBorders>
                    <w:top w:val="single" w:color="auto" w:sz="4" w:space="0"/>
                    <w:bottom w:val="single" w:color="auto" w:sz="4" w:space="0"/>
                    <w:tl2br w:val="nil"/>
                    <w:tr2bl w:val="nil"/>
                  </w:tcBorders>
                  <w:shd w:val="clear" w:color="auto" w:fill="auto"/>
                  <w:noWrap/>
                  <w:vAlign w:val="center"/>
                </w:tcPr>
                <w:p w14:paraId="398CAC8B">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rPr>
                    <w:t>/</w:t>
                  </w:r>
                </w:p>
              </w:tc>
              <w:tc>
                <w:tcPr>
                  <w:tcW w:w="265" w:type="pct"/>
                  <w:tcBorders>
                    <w:top w:val="single" w:color="auto" w:sz="4" w:space="0"/>
                    <w:bottom w:val="single" w:color="auto" w:sz="4" w:space="0"/>
                    <w:tl2br w:val="nil"/>
                    <w:tr2bl w:val="nil"/>
                  </w:tcBorders>
                  <w:noWrap/>
                  <w:vAlign w:val="center"/>
                </w:tcPr>
                <w:p w14:paraId="4F6D06A6">
                  <w:pPr>
                    <w:pStyle w:val="106"/>
                    <w:tabs>
                      <w:tab w:val="left" w:pos="2422"/>
                    </w:tabs>
                    <w:rPr>
                      <w:rFonts w:hint="default" w:ascii="Times New Roman" w:hAnsi="Times New Roman" w:eastAsia="宋体"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4.0</w:t>
                  </w:r>
                </w:p>
              </w:tc>
            </w:tr>
            <w:tr w14:paraId="64ECEC9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96" w:hRule="atLeast"/>
                <w:jc w:val="center"/>
              </w:trPr>
              <w:tc>
                <w:tcPr>
                  <w:tcW w:w="145" w:type="pct"/>
                  <w:vMerge w:val="continue"/>
                  <w:tcBorders>
                    <w:tl2br w:val="nil"/>
                    <w:tr2bl w:val="nil"/>
                  </w:tcBorders>
                  <w:noWrap/>
                  <w:vAlign w:val="center"/>
                </w:tcPr>
                <w:p w14:paraId="1A57EC78">
                  <w:pPr>
                    <w:pStyle w:val="106"/>
                    <w:tabs>
                      <w:tab w:val="left" w:pos="2422"/>
                    </w:tabs>
                    <w:rPr>
                      <w:rFonts w:hint="eastAsia"/>
                      <w:color w:val="auto"/>
                      <w:sz w:val="18"/>
                      <w:szCs w:val="18"/>
                      <w:highlight w:val="none"/>
                      <w:u w:val="single"/>
                    </w:rPr>
                  </w:pPr>
                </w:p>
              </w:tc>
              <w:tc>
                <w:tcPr>
                  <w:tcW w:w="366" w:type="pct"/>
                  <w:vMerge w:val="continue"/>
                  <w:tcBorders>
                    <w:tl2br w:val="nil"/>
                    <w:tr2bl w:val="nil"/>
                  </w:tcBorders>
                  <w:noWrap/>
                  <w:vAlign w:val="center"/>
                </w:tcPr>
                <w:p w14:paraId="3D438B6B">
                  <w:pPr>
                    <w:pStyle w:val="106"/>
                    <w:tabs>
                      <w:tab w:val="left" w:pos="2422"/>
                    </w:tabs>
                    <w:rPr>
                      <w:rFonts w:hint="eastAsia" w:ascii="Times New Roman" w:hAnsi="Times New Roman" w:eastAsia="宋体" w:cs="Times New Roman"/>
                      <w:color w:val="auto"/>
                      <w:sz w:val="18"/>
                      <w:szCs w:val="18"/>
                      <w:highlight w:val="none"/>
                      <w:u w:val="single"/>
                      <w:lang w:val="en-US" w:eastAsia="zh-CN"/>
                    </w:rPr>
                  </w:pPr>
                </w:p>
              </w:tc>
              <w:tc>
                <w:tcPr>
                  <w:tcW w:w="298" w:type="pct"/>
                  <w:vMerge w:val="restart"/>
                  <w:tcBorders>
                    <w:tl2br w:val="nil"/>
                    <w:tr2bl w:val="nil"/>
                  </w:tcBorders>
                  <w:noWrap/>
                  <w:vAlign w:val="center"/>
                </w:tcPr>
                <w:p w14:paraId="60F73CD1">
                  <w:pPr>
                    <w:pStyle w:val="106"/>
                    <w:tabs>
                      <w:tab w:val="left" w:pos="2422"/>
                    </w:tabs>
                    <w:rPr>
                      <w:rFonts w:hint="eastAsia" w:cs="Times New Roman"/>
                      <w:color w:val="auto"/>
                      <w:sz w:val="18"/>
                      <w:szCs w:val="18"/>
                      <w:highlight w:val="none"/>
                      <w:u w:val="single"/>
                      <w:lang w:val="en-US" w:eastAsia="zh-CN"/>
                    </w:rPr>
                  </w:pPr>
                  <w:r>
                    <w:rPr>
                      <w:rFonts w:hint="eastAsia" w:cs="Times New Roman"/>
                      <w:color w:val="auto"/>
                      <w:sz w:val="18"/>
                      <w:szCs w:val="18"/>
                      <w:highlight w:val="none"/>
                      <w:u w:val="single"/>
                      <w:lang w:val="en-US" w:eastAsia="zh-CN"/>
                    </w:rPr>
                    <w:t>甲醛</w:t>
                  </w:r>
                </w:p>
              </w:tc>
              <w:tc>
                <w:tcPr>
                  <w:tcW w:w="261" w:type="pct"/>
                  <w:tcBorders>
                    <w:top w:val="single" w:color="auto" w:sz="4" w:space="0"/>
                    <w:bottom w:val="single" w:color="auto" w:sz="4" w:space="0"/>
                    <w:tl2br w:val="nil"/>
                    <w:tr2bl w:val="nil"/>
                  </w:tcBorders>
                  <w:shd w:val="clear" w:color="auto" w:fill="auto"/>
                  <w:noWrap w:val="0"/>
                  <w:vAlign w:val="center"/>
                </w:tcPr>
                <w:p w14:paraId="01A28EB0">
                  <w:pPr>
                    <w:pStyle w:val="106"/>
                    <w:tabs>
                      <w:tab w:val="left" w:pos="2422"/>
                    </w:tabs>
                    <w:ind w:right="0" w:rightChars="0" w:firstLine="0" w:firstLineChars="0"/>
                    <w:rPr>
                      <w:rFonts w:hint="default"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0.0035</w:t>
                  </w:r>
                </w:p>
              </w:tc>
              <w:tc>
                <w:tcPr>
                  <w:tcW w:w="253" w:type="pct"/>
                  <w:tcBorders>
                    <w:top w:val="single" w:color="auto" w:sz="4" w:space="0"/>
                    <w:bottom w:val="single" w:color="auto" w:sz="4" w:space="0"/>
                    <w:tl2br w:val="nil"/>
                    <w:tr2bl w:val="nil"/>
                  </w:tcBorders>
                  <w:shd w:val="clear" w:color="auto" w:fill="auto"/>
                  <w:noWrap w:val="0"/>
                  <w:vAlign w:val="center"/>
                </w:tcPr>
                <w:p w14:paraId="2BE60778">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0.02</w:t>
                  </w:r>
                </w:p>
              </w:tc>
              <w:tc>
                <w:tcPr>
                  <w:tcW w:w="252" w:type="pct"/>
                  <w:tcBorders>
                    <w:top w:val="single" w:color="auto" w:sz="4" w:space="0"/>
                    <w:bottom w:val="single" w:color="auto" w:sz="4" w:space="0"/>
                    <w:tl2br w:val="nil"/>
                    <w:tr2bl w:val="nil"/>
                  </w:tcBorders>
                  <w:shd w:val="clear" w:color="auto" w:fill="auto"/>
                  <w:noWrap/>
                  <w:vAlign w:val="center"/>
                </w:tcPr>
                <w:p w14:paraId="7DD291B3">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有组织</w:t>
                  </w:r>
                </w:p>
              </w:tc>
              <w:tc>
                <w:tcPr>
                  <w:tcW w:w="183" w:type="pct"/>
                  <w:tcBorders>
                    <w:top w:val="single" w:color="auto" w:sz="4" w:space="0"/>
                    <w:bottom w:val="single" w:color="auto" w:sz="4" w:space="0"/>
                    <w:tl2br w:val="nil"/>
                    <w:tr2bl w:val="nil"/>
                  </w:tcBorders>
                  <w:shd w:val="clear" w:color="auto" w:fill="auto"/>
                  <w:noWrap/>
                  <w:vAlign w:val="center"/>
                </w:tcPr>
                <w:p w14:paraId="1EEA92B2">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w:t>
                  </w:r>
                </w:p>
              </w:tc>
              <w:tc>
                <w:tcPr>
                  <w:tcW w:w="183" w:type="pct"/>
                  <w:tcBorders>
                    <w:top w:val="single" w:color="auto" w:sz="4" w:space="0"/>
                    <w:bottom w:val="single" w:color="auto" w:sz="4" w:space="0"/>
                    <w:tl2br w:val="nil"/>
                    <w:tr2bl w:val="nil"/>
                  </w:tcBorders>
                  <w:shd w:val="clear" w:color="auto" w:fill="auto"/>
                  <w:noWrap/>
                  <w:vAlign w:val="center"/>
                </w:tcPr>
                <w:p w14:paraId="68A7FE5E">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30000</w:t>
                  </w:r>
                </w:p>
              </w:tc>
              <w:tc>
                <w:tcPr>
                  <w:tcW w:w="192" w:type="pct"/>
                  <w:tcBorders>
                    <w:top w:val="single" w:color="auto" w:sz="4" w:space="0"/>
                    <w:bottom w:val="single" w:color="auto" w:sz="4" w:space="0"/>
                    <w:tl2br w:val="nil"/>
                    <w:tr2bl w:val="nil"/>
                  </w:tcBorders>
                  <w:shd w:val="clear" w:color="auto" w:fill="auto"/>
                  <w:noWrap/>
                  <w:vAlign w:val="center"/>
                </w:tcPr>
                <w:p w14:paraId="7A318562">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95</w:t>
                  </w:r>
                </w:p>
              </w:tc>
              <w:tc>
                <w:tcPr>
                  <w:tcW w:w="207" w:type="pct"/>
                  <w:tcBorders>
                    <w:top w:val="single" w:color="auto" w:sz="4" w:space="0"/>
                    <w:bottom w:val="single" w:color="auto" w:sz="4" w:space="0"/>
                    <w:tl2br w:val="nil"/>
                    <w:tr2bl w:val="nil"/>
                  </w:tcBorders>
                  <w:shd w:val="clear" w:color="auto" w:fill="auto"/>
                  <w:noWrap/>
                  <w:vAlign w:val="center"/>
                </w:tcPr>
                <w:p w14:paraId="038C06B0">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w:t>
                  </w:r>
                </w:p>
              </w:tc>
              <w:tc>
                <w:tcPr>
                  <w:tcW w:w="261" w:type="pct"/>
                  <w:tcBorders>
                    <w:top w:val="single" w:color="auto" w:sz="4" w:space="0"/>
                    <w:bottom w:val="single" w:color="auto" w:sz="4" w:space="0"/>
                    <w:tl2br w:val="nil"/>
                    <w:tr2bl w:val="nil"/>
                  </w:tcBorders>
                  <w:shd w:val="clear" w:color="auto" w:fill="auto"/>
                  <w:noWrap/>
                  <w:vAlign w:val="center"/>
                </w:tcPr>
                <w:p w14:paraId="3422DCB9">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rPr>
                    <w:t>是</w:t>
                  </w:r>
                </w:p>
              </w:tc>
              <w:tc>
                <w:tcPr>
                  <w:tcW w:w="155" w:type="pct"/>
                  <w:tcBorders>
                    <w:top w:val="single" w:color="auto" w:sz="4" w:space="0"/>
                    <w:bottom w:val="single" w:color="auto" w:sz="4" w:space="0"/>
                    <w:tl2br w:val="nil"/>
                    <w:tr2bl w:val="nil"/>
                  </w:tcBorders>
                  <w:shd w:val="clear" w:color="auto" w:fill="auto"/>
                  <w:noWrap/>
                  <w:vAlign w:val="center"/>
                </w:tcPr>
                <w:p w14:paraId="758DED33">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0.0035</w:t>
                  </w:r>
                </w:p>
              </w:tc>
              <w:tc>
                <w:tcPr>
                  <w:tcW w:w="256" w:type="pct"/>
                  <w:tcBorders>
                    <w:top w:val="single" w:color="auto" w:sz="4" w:space="0"/>
                    <w:bottom w:val="single" w:color="auto" w:sz="4" w:space="0"/>
                    <w:tl2br w:val="nil"/>
                    <w:tr2bl w:val="nil"/>
                  </w:tcBorders>
                  <w:shd w:val="clear" w:color="auto" w:fill="auto"/>
                  <w:noWrap/>
                  <w:vAlign w:val="center"/>
                </w:tcPr>
                <w:p w14:paraId="425E69AF">
                  <w:pPr>
                    <w:pStyle w:val="106"/>
                    <w:tabs>
                      <w:tab w:val="left" w:pos="2422"/>
                    </w:tabs>
                    <w:ind w:right="0" w:rightChars="0" w:firstLine="0" w:firstLineChars="0"/>
                    <w:rPr>
                      <w:rFonts w:hint="default" w:ascii="Times New Roman" w:hAnsi="Times New Roman" w:eastAsia="宋体" w:cs="Times New Roman"/>
                      <w:color w:val="auto"/>
                      <w:kern w:val="2"/>
                      <w:sz w:val="18"/>
                      <w:szCs w:val="18"/>
                      <w:highlight w:val="none"/>
                      <w:u w:val="single"/>
                      <w:lang w:val="en-US" w:eastAsia="zh-CN" w:bidi="ar-SA"/>
                    </w:rPr>
                  </w:pPr>
                  <w:r>
                    <w:rPr>
                      <w:rFonts w:hint="eastAsia" w:eastAsia="宋体" w:cs="Times New Roman"/>
                      <w:color w:val="auto"/>
                      <w:kern w:val="2"/>
                      <w:sz w:val="18"/>
                      <w:szCs w:val="18"/>
                      <w:highlight w:val="none"/>
                      <w:u w:val="single"/>
                      <w:lang w:val="en-US" w:eastAsia="zh-CN" w:bidi="ar-SA"/>
                    </w:rPr>
                    <w:t>0.00067</w:t>
                  </w:r>
                </w:p>
              </w:tc>
              <w:tc>
                <w:tcPr>
                  <w:tcW w:w="222" w:type="pct"/>
                  <w:tcBorders>
                    <w:top w:val="single" w:color="auto" w:sz="4" w:space="0"/>
                    <w:bottom w:val="single" w:color="auto" w:sz="4" w:space="0"/>
                    <w:tl2br w:val="nil"/>
                    <w:tr2bl w:val="nil"/>
                  </w:tcBorders>
                  <w:shd w:val="clear" w:color="auto" w:fill="auto"/>
                  <w:noWrap/>
                  <w:vAlign w:val="center"/>
                </w:tcPr>
                <w:p w14:paraId="6D86A8AF">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0.02</w:t>
                  </w:r>
                </w:p>
              </w:tc>
              <w:tc>
                <w:tcPr>
                  <w:tcW w:w="147" w:type="pct"/>
                  <w:tcBorders>
                    <w:top w:val="single" w:color="auto" w:sz="4" w:space="0"/>
                    <w:bottom w:val="single" w:color="auto" w:sz="4" w:space="0"/>
                    <w:tl2br w:val="nil"/>
                    <w:tr2bl w:val="nil"/>
                  </w:tcBorders>
                  <w:shd w:val="clear" w:color="auto" w:fill="auto"/>
                  <w:noWrap/>
                  <w:vAlign w:val="center"/>
                </w:tcPr>
                <w:p w14:paraId="02972956">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15</w:t>
                  </w:r>
                </w:p>
              </w:tc>
              <w:tc>
                <w:tcPr>
                  <w:tcW w:w="166" w:type="pct"/>
                  <w:tcBorders>
                    <w:top w:val="single" w:color="auto" w:sz="4" w:space="0"/>
                    <w:bottom w:val="single" w:color="auto" w:sz="4" w:space="0"/>
                    <w:tl2br w:val="nil"/>
                    <w:tr2bl w:val="nil"/>
                  </w:tcBorders>
                  <w:shd w:val="clear" w:color="auto" w:fill="auto"/>
                  <w:noWrap/>
                  <w:vAlign w:val="center"/>
                </w:tcPr>
                <w:p w14:paraId="32E32A36">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0.5</w:t>
                  </w:r>
                </w:p>
              </w:tc>
              <w:tc>
                <w:tcPr>
                  <w:tcW w:w="147" w:type="pct"/>
                  <w:tcBorders>
                    <w:top w:val="single" w:color="auto" w:sz="4" w:space="0"/>
                    <w:bottom w:val="single" w:color="auto" w:sz="4" w:space="0"/>
                    <w:tl2br w:val="nil"/>
                    <w:tr2bl w:val="nil"/>
                  </w:tcBorders>
                  <w:shd w:val="clear" w:color="auto" w:fill="auto"/>
                  <w:noWrap/>
                  <w:vAlign w:val="center"/>
                </w:tcPr>
                <w:p w14:paraId="43E35900">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80</w:t>
                  </w:r>
                </w:p>
              </w:tc>
              <w:tc>
                <w:tcPr>
                  <w:tcW w:w="204" w:type="pct"/>
                  <w:tcBorders>
                    <w:top w:val="single" w:color="auto" w:sz="4" w:space="0"/>
                    <w:bottom w:val="single" w:color="auto" w:sz="4" w:space="0"/>
                    <w:tl2br w:val="nil"/>
                    <w:tr2bl w:val="nil"/>
                  </w:tcBorders>
                  <w:shd w:val="clear" w:color="auto" w:fill="auto"/>
                  <w:noWrap/>
                  <w:vAlign w:val="center"/>
                </w:tcPr>
                <w:p w14:paraId="3965DD27">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DA001</w:t>
                  </w:r>
                </w:p>
              </w:tc>
              <w:tc>
                <w:tcPr>
                  <w:tcW w:w="249" w:type="pct"/>
                  <w:tcBorders>
                    <w:top w:val="single" w:color="auto" w:sz="4" w:space="0"/>
                    <w:bottom w:val="single" w:color="auto" w:sz="4" w:space="0"/>
                    <w:tl2br w:val="nil"/>
                    <w:tr2bl w:val="nil"/>
                  </w:tcBorders>
                  <w:shd w:val="clear" w:color="auto" w:fill="auto"/>
                  <w:noWrap/>
                  <w:vAlign w:val="center"/>
                </w:tcPr>
                <w:p w14:paraId="4C1C43E1">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eastAsia="zh-CN"/>
                    </w:rPr>
                    <w:t>一般排放口</w:t>
                  </w:r>
                </w:p>
              </w:tc>
              <w:tc>
                <w:tcPr>
                  <w:tcW w:w="260" w:type="pct"/>
                  <w:tcBorders>
                    <w:top w:val="single" w:color="auto" w:sz="4" w:space="0"/>
                    <w:bottom w:val="single" w:color="auto" w:sz="4" w:space="0"/>
                    <w:tl2br w:val="nil"/>
                    <w:tr2bl w:val="nil"/>
                  </w:tcBorders>
                  <w:shd w:val="clear" w:color="auto" w:fill="auto"/>
                  <w:noWrap/>
                  <w:vAlign w:val="center"/>
                </w:tcPr>
                <w:p w14:paraId="43AF0328">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111.362301</w:t>
                  </w:r>
                </w:p>
              </w:tc>
              <w:tc>
                <w:tcPr>
                  <w:tcW w:w="317" w:type="pct"/>
                  <w:tcBorders>
                    <w:top w:val="single" w:color="auto" w:sz="4" w:space="0"/>
                    <w:bottom w:val="single" w:color="auto" w:sz="4" w:space="0"/>
                    <w:tl2br w:val="nil"/>
                    <w:tr2bl w:val="nil"/>
                  </w:tcBorders>
                  <w:shd w:val="clear" w:color="auto" w:fill="auto"/>
                  <w:noWrap/>
                  <w:vAlign w:val="center"/>
                </w:tcPr>
                <w:p w14:paraId="14339118">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25.227069</w:t>
                  </w:r>
                </w:p>
              </w:tc>
              <w:tc>
                <w:tcPr>
                  <w:tcW w:w="265" w:type="pct"/>
                  <w:tcBorders>
                    <w:top w:val="single" w:color="auto" w:sz="4" w:space="0"/>
                    <w:bottom w:val="single" w:color="auto" w:sz="4" w:space="0"/>
                    <w:tl2br w:val="nil"/>
                    <w:tr2bl w:val="nil"/>
                  </w:tcBorders>
                  <w:shd w:val="clear" w:color="auto" w:fill="auto"/>
                  <w:noWrap/>
                  <w:vAlign w:val="center"/>
                </w:tcPr>
                <w:p w14:paraId="512983F6">
                  <w:pPr>
                    <w:pStyle w:val="106"/>
                    <w:tabs>
                      <w:tab w:val="left" w:pos="2422"/>
                    </w:tabs>
                    <w:ind w:right="0" w:rightChars="0" w:firstLine="0" w:firstLineChars="0"/>
                    <w:rPr>
                      <w:rFonts w:hint="default"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25</w:t>
                  </w:r>
                </w:p>
              </w:tc>
            </w:tr>
            <w:tr w14:paraId="441AAF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96" w:hRule="atLeast"/>
                <w:jc w:val="center"/>
              </w:trPr>
              <w:tc>
                <w:tcPr>
                  <w:tcW w:w="145" w:type="pct"/>
                  <w:vMerge w:val="continue"/>
                  <w:tcBorders>
                    <w:tl2br w:val="nil"/>
                    <w:tr2bl w:val="nil"/>
                  </w:tcBorders>
                  <w:noWrap/>
                  <w:vAlign w:val="center"/>
                </w:tcPr>
                <w:p w14:paraId="2D96450C">
                  <w:pPr>
                    <w:pStyle w:val="106"/>
                    <w:tabs>
                      <w:tab w:val="left" w:pos="2422"/>
                    </w:tabs>
                    <w:rPr>
                      <w:rFonts w:hint="eastAsia"/>
                      <w:color w:val="auto"/>
                      <w:sz w:val="18"/>
                      <w:szCs w:val="18"/>
                      <w:highlight w:val="none"/>
                      <w:u w:val="single"/>
                    </w:rPr>
                  </w:pPr>
                </w:p>
              </w:tc>
              <w:tc>
                <w:tcPr>
                  <w:tcW w:w="366" w:type="pct"/>
                  <w:vMerge w:val="continue"/>
                  <w:tcBorders>
                    <w:tl2br w:val="nil"/>
                    <w:tr2bl w:val="nil"/>
                  </w:tcBorders>
                  <w:noWrap/>
                  <w:vAlign w:val="center"/>
                </w:tcPr>
                <w:p w14:paraId="30902876">
                  <w:pPr>
                    <w:pStyle w:val="106"/>
                    <w:tabs>
                      <w:tab w:val="left" w:pos="2422"/>
                    </w:tabs>
                    <w:rPr>
                      <w:rFonts w:hint="eastAsia" w:ascii="Times New Roman" w:hAnsi="Times New Roman" w:eastAsia="宋体" w:cs="Times New Roman"/>
                      <w:color w:val="auto"/>
                      <w:sz w:val="18"/>
                      <w:szCs w:val="18"/>
                      <w:highlight w:val="none"/>
                      <w:u w:val="single"/>
                      <w:lang w:val="en-US" w:eastAsia="zh-CN"/>
                    </w:rPr>
                  </w:pPr>
                </w:p>
              </w:tc>
              <w:tc>
                <w:tcPr>
                  <w:tcW w:w="298" w:type="pct"/>
                  <w:vMerge w:val="continue"/>
                  <w:tcBorders>
                    <w:tl2br w:val="nil"/>
                    <w:tr2bl w:val="nil"/>
                  </w:tcBorders>
                  <w:noWrap/>
                  <w:vAlign w:val="center"/>
                </w:tcPr>
                <w:p w14:paraId="7C4B7697">
                  <w:pPr>
                    <w:pStyle w:val="106"/>
                    <w:tabs>
                      <w:tab w:val="left" w:pos="2422"/>
                    </w:tabs>
                    <w:rPr>
                      <w:rFonts w:hint="eastAsia" w:cs="Times New Roman"/>
                      <w:color w:val="auto"/>
                      <w:sz w:val="18"/>
                      <w:szCs w:val="18"/>
                      <w:highlight w:val="none"/>
                      <w:u w:val="single"/>
                      <w:lang w:val="en-US" w:eastAsia="zh-CN"/>
                    </w:rPr>
                  </w:pPr>
                </w:p>
              </w:tc>
              <w:tc>
                <w:tcPr>
                  <w:tcW w:w="261" w:type="pct"/>
                  <w:tcBorders>
                    <w:top w:val="single" w:color="auto" w:sz="4" w:space="0"/>
                    <w:tl2br w:val="nil"/>
                    <w:tr2bl w:val="nil"/>
                  </w:tcBorders>
                  <w:shd w:val="clear" w:color="auto" w:fill="auto"/>
                  <w:noWrap w:val="0"/>
                  <w:vAlign w:val="center"/>
                </w:tcPr>
                <w:p w14:paraId="6426BEF6">
                  <w:pPr>
                    <w:pStyle w:val="106"/>
                    <w:tabs>
                      <w:tab w:val="left" w:pos="2422"/>
                    </w:tabs>
                    <w:ind w:right="0" w:rightChars="0" w:firstLine="0" w:firstLineChars="0"/>
                    <w:rPr>
                      <w:rFonts w:hint="default"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0.00025</w:t>
                  </w:r>
                </w:p>
              </w:tc>
              <w:tc>
                <w:tcPr>
                  <w:tcW w:w="253" w:type="pct"/>
                  <w:tcBorders>
                    <w:top w:val="single" w:color="auto" w:sz="4" w:space="0"/>
                    <w:tl2br w:val="nil"/>
                    <w:tr2bl w:val="nil"/>
                  </w:tcBorders>
                  <w:shd w:val="clear" w:color="auto" w:fill="auto"/>
                  <w:noWrap w:val="0"/>
                  <w:vAlign w:val="center"/>
                </w:tcPr>
                <w:p w14:paraId="7E76CB71">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w:t>
                  </w:r>
                </w:p>
              </w:tc>
              <w:tc>
                <w:tcPr>
                  <w:tcW w:w="252" w:type="pct"/>
                  <w:tcBorders>
                    <w:top w:val="single" w:color="auto" w:sz="4" w:space="0"/>
                    <w:tl2br w:val="nil"/>
                    <w:tr2bl w:val="nil"/>
                  </w:tcBorders>
                  <w:shd w:val="clear" w:color="auto" w:fill="auto"/>
                  <w:noWrap/>
                  <w:vAlign w:val="center"/>
                </w:tcPr>
                <w:p w14:paraId="42326568">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无组织</w:t>
                  </w:r>
                </w:p>
              </w:tc>
              <w:tc>
                <w:tcPr>
                  <w:tcW w:w="183" w:type="pct"/>
                  <w:tcBorders>
                    <w:top w:val="single" w:color="auto" w:sz="4" w:space="0"/>
                    <w:tl2br w:val="nil"/>
                    <w:tr2bl w:val="nil"/>
                  </w:tcBorders>
                  <w:shd w:val="clear" w:color="auto" w:fill="auto"/>
                  <w:noWrap/>
                  <w:vAlign w:val="center"/>
                </w:tcPr>
                <w:p w14:paraId="1C115857">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w:t>
                  </w:r>
                </w:p>
              </w:tc>
              <w:tc>
                <w:tcPr>
                  <w:tcW w:w="183" w:type="pct"/>
                  <w:tcBorders>
                    <w:top w:val="single" w:color="auto" w:sz="4" w:space="0"/>
                    <w:tl2br w:val="nil"/>
                    <w:tr2bl w:val="nil"/>
                  </w:tcBorders>
                  <w:shd w:val="clear" w:color="auto" w:fill="auto"/>
                  <w:noWrap/>
                  <w:vAlign w:val="center"/>
                </w:tcPr>
                <w:p w14:paraId="57F09DD7">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92" w:type="pct"/>
                  <w:tcBorders>
                    <w:top w:val="single" w:color="auto" w:sz="4" w:space="0"/>
                    <w:tl2br w:val="nil"/>
                    <w:tr2bl w:val="nil"/>
                  </w:tcBorders>
                  <w:shd w:val="clear" w:color="auto" w:fill="auto"/>
                  <w:noWrap/>
                  <w:vAlign w:val="center"/>
                </w:tcPr>
                <w:p w14:paraId="27E68A69">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07" w:type="pct"/>
                  <w:tcBorders>
                    <w:top w:val="single" w:color="auto" w:sz="4" w:space="0"/>
                    <w:tl2br w:val="nil"/>
                    <w:tr2bl w:val="nil"/>
                  </w:tcBorders>
                  <w:shd w:val="clear" w:color="auto" w:fill="auto"/>
                  <w:noWrap/>
                  <w:vAlign w:val="center"/>
                </w:tcPr>
                <w:p w14:paraId="77EC1A1D">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w:t>
                  </w:r>
                </w:p>
              </w:tc>
              <w:tc>
                <w:tcPr>
                  <w:tcW w:w="261" w:type="pct"/>
                  <w:tcBorders>
                    <w:top w:val="single" w:color="auto" w:sz="4" w:space="0"/>
                    <w:tl2br w:val="nil"/>
                    <w:tr2bl w:val="nil"/>
                  </w:tcBorders>
                  <w:shd w:val="clear" w:color="auto" w:fill="auto"/>
                  <w:noWrap/>
                  <w:vAlign w:val="center"/>
                </w:tcPr>
                <w:p w14:paraId="458EAD65">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eastAsia="zh-CN"/>
                    </w:rPr>
                    <w:t>是</w:t>
                  </w:r>
                </w:p>
              </w:tc>
              <w:tc>
                <w:tcPr>
                  <w:tcW w:w="155" w:type="pct"/>
                  <w:tcBorders>
                    <w:top w:val="single" w:color="auto" w:sz="4" w:space="0"/>
                    <w:tl2br w:val="nil"/>
                    <w:tr2bl w:val="nil"/>
                  </w:tcBorders>
                  <w:shd w:val="clear" w:color="auto" w:fill="auto"/>
                  <w:noWrap/>
                  <w:vAlign w:val="center"/>
                </w:tcPr>
                <w:p w14:paraId="54FBC777">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0.00025</w:t>
                  </w:r>
                </w:p>
              </w:tc>
              <w:tc>
                <w:tcPr>
                  <w:tcW w:w="256" w:type="pct"/>
                  <w:tcBorders>
                    <w:top w:val="single" w:color="auto" w:sz="4" w:space="0"/>
                    <w:tl2br w:val="nil"/>
                    <w:tr2bl w:val="nil"/>
                  </w:tcBorders>
                  <w:shd w:val="clear" w:color="auto" w:fill="auto"/>
                  <w:noWrap/>
                  <w:vAlign w:val="center"/>
                </w:tcPr>
                <w:p w14:paraId="158133DB">
                  <w:pPr>
                    <w:pStyle w:val="106"/>
                    <w:tabs>
                      <w:tab w:val="left" w:pos="2422"/>
                    </w:tabs>
                    <w:ind w:right="0" w:rightChars="0" w:firstLine="0" w:firstLineChars="0"/>
                    <w:rPr>
                      <w:rFonts w:hint="default"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kern w:val="2"/>
                      <w:sz w:val="18"/>
                      <w:szCs w:val="18"/>
                      <w:highlight w:val="none"/>
                      <w:u w:val="single"/>
                      <w:lang w:val="en-US" w:eastAsia="zh-CN" w:bidi="ar-SA"/>
                    </w:rPr>
                    <w:t>0.00004</w:t>
                  </w:r>
                </w:p>
              </w:tc>
              <w:tc>
                <w:tcPr>
                  <w:tcW w:w="222" w:type="pct"/>
                  <w:tcBorders>
                    <w:top w:val="single" w:color="auto" w:sz="4" w:space="0"/>
                    <w:tl2br w:val="nil"/>
                    <w:tr2bl w:val="nil"/>
                  </w:tcBorders>
                  <w:shd w:val="clear" w:color="auto" w:fill="auto"/>
                  <w:noWrap/>
                  <w:vAlign w:val="center"/>
                </w:tcPr>
                <w:p w14:paraId="7A9424FE">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47" w:type="pct"/>
                  <w:tcBorders>
                    <w:top w:val="single" w:color="auto" w:sz="4" w:space="0"/>
                    <w:tl2br w:val="nil"/>
                    <w:tr2bl w:val="nil"/>
                  </w:tcBorders>
                  <w:shd w:val="clear" w:color="auto" w:fill="auto"/>
                  <w:noWrap/>
                  <w:vAlign w:val="center"/>
                </w:tcPr>
                <w:p w14:paraId="5DAFCB07">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66" w:type="pct"/>
                  <w:tcBorders>
                    <w:top w:val="single" w:color="auto" w:sz="4" w:space="0"/>
                    <w:tl2br w:val="nil"/>
                    <w:tr2bl w:val="nil"/>
                  </w:tcBorders>
                  <w:shd w:val="clear" w:color="auto" w:fill="auto"/>
                  <w:noWrap/>
                  <w:vAlign w:val="center"/>
                </w:tcPr>
                <w:p w14:paraId="475084B1">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147" w:type="pct"/>
                  <w:tcBorders>
                    <w:top w:val="single" w:color="auto" w:sz="4" w:space="0"/>
                    <w:tl2br w:val="nil"/>
                    <w:tr2bl w:val="nil"/>
                  </w:tcBorders>
                  <w:shd w:val="clear" w:color="auto" w:fill="auto"/>
                  <w:noWrap/>
                  <w:vAlign w:val="center"/>
                </w:tcPr>
                <w:p w14:paraId="53ABA354">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04" w:type="pct"/>
                  <w:tcBorders>
                    <w:top w:val="single" w:color="auto" w:sz="4" w:space="0"/>
                    <w:tl2br w:val="nil"/>
                    <w:tr2bl w:val="nil"/>
                  </w:tcBorders>
                  <w:shd w:val="clear" w:color="auto" w:fill="auto"/>
                  <w:noWrap/>
                  <w:vAlign w:val="center"/>
                </w:tcPr>
                <w:p w14:paraId="6BDBED78">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49" w:type="pct"/>
                  <w:tcBorders>
                    <w:top w:val="single" w:color="auto" w:sz="4" w:space="0"/>
                    <w:tl2br w:val="nil"/>
                    <w:tr2bl w:val="nil"/>
                  </w:tcBorders>
                  <w:shd w:val="clear" w:color="auto" w:fill="auto"/>
                  <w:noWrap/>
                  <w:vAlign w:val="center"/>
                </w:tcPr>
                <w:p w14:paraId="56E2F0EE">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lang w:val="en-US" w:eastAsia="zh-CN"/>
                    </w:rPr>
                    <w:t>/</w:t>
                  </w:r>
                </w:p>
              </w:tc>
              <w:tc>
                <w:tcPr>
                  <w:tcW w:w="260" w:type="pct"/>
                  <w:tcBorders>
                    <w:top w:val="single" w:color="auto" w:sz="4" w:space="0"/>
                    <w:tl2br w:val="nil"/>
                    <w:tr2bl w:val="nil"/>
                  </w:tcBorders>
                  <w:shd w:val="clear" w:color="auto" w:fill="auto"/>
                  <w:noWrap/>
                  <w:vAlign w:val="center"/>
                </w:tcPr>
                <w:p w14:paraId="5245A386">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rPr>
                    <w:t>/</w:t>
                  </w:r>
                </w:p>
              </w:tc>
              <w:tc>
                <w:tcPr>
                  <w:tcW w:w="317" w:type="pct"/>
                  <w:tcBorders>
                    <w:top w:val="single" w:color="auto" w:sz="4" w:space="0"/>
                    <w:tl2br w:val="nil"/>
                    <w:tr2bl w:val="nil"/>
                  </w:tcBorders>
                  <w:shd w:val="clear" w:color="auto" w:fill="auto"/>
                  <w:noWrap/>
                  <w:vAlign w:val="center"/>
                </w:tcPr>
                <w:p w14:paraId="65597D71">
                  <w:pPr>
                    <w:pStyle w:val="106"/>
                    <w:tabs>
                      <w:tab w:val="left" w:pos="2422"/>
                    </w:tabs>
                    <w:ind w:right="0" w:rightChars="0" w:firstLine="0" w:firstLineChars="0"/>
                    <w:rPr>
                      <w:rFonts w:hint="eastAsia" w:ascii="Times New Roman" w:hAnsi="Times New Roman" w:eastAsia="宋体" w:cs="Times New Roman"/>
                      <w:color w:val="auto"/>
                      <w:kern w:val="2"/>
                      <w:sz w:val="18"/>
                      <w:szCs w:val="18"/>
                      <w:highlight w:val="none"/>
                      <w:u w:val="single"/>
                      <w:lang w:val="en-US" w:eastAsia="zh-CN" w:bidi="ar-SA"/>
                    </w:rPr>
                  </w:pPr>
                  <w:r>
                    <w:rPr>
                      <w:rFonts w:hint="eastAsia" w:ascii="Times New Roman" w:hAnsi="Times New Roman" w:eastAsia="宋体" w:cs="Times New Roman"/>
                      <w:color w:val="auto"/>
                      <w:sz w:val="18"/>
                      <w:szCs w:val="18"/>
                      <w:highlight w:val="none"/>
                      <w:u w:val="single"/>
                    </w:rPr>
                    <w:t>/</w:t>
                  </w:r>
                </w:p>
              </w:tc>
              <w:tc>
                <w:tcPr>
                  <w:tcW w:w="265" w:type="pct"/>
                  <w:tcBorders>
                    <w:top w:val="single" w:color="auto" w:sz="4" w:space="0"/>
                    <w:tl2br w:val="nil"/>
                    <w:tr2bl w:val="nil"/>
                  </w:tcBorders>
                  <w:shd w:val="clear" w:color="auto" w:fill="auto"/>
                  <w:noWrap/>
                  <w:vAlign w:val="center"/>
                </w:tcPr>
                <w:p w14:paraId="02AED653">
                  <w:pPr>
                    <w:pStyle w:val="106"/>
                    <w:tabs>
                      <w:tab w:val="left" w:pos="2422"/>
                    </w:tabs>
                    <w:ind w:right="0" w:rightChars="0" w:firstLine="0" w:firstLineChars="0"/>
                    <w:rPr>
                      <w:rFonts w:hint="default" w:ascii="Times New Roman" w:hAnsi="Times New Roman" w:eastAsia="宋体" w:cs="Times New Roman"/>
                      <w:color w:val="auto"/>
                      <w:kern w:val="2"/>
                      <w:sz w:val="18"/>
                      <w:szCs w:val="18"/>
                      <w:highlight w:val="none"/>
                      <w:u w:val="single"/>
                      <w:lang w:val="en-US" w:eastAsia="zh-CN" w:bidi="ar-SA"/>
                    </w:rPr>
                  </w:pPr>
                  <w:r>
                    <w:rPr>
                      <w:rFonts w:hint="eastAsia" w:cs="Times New Roman"/>
                      <w:color w:val="auto"/>
                      <w:sz w:val="18"/>
                      <w:szCs w:val="18"/>
                      <w:highlight w:val="none"/>
                      <w:u w:val="single"/>
                      <w:lang w:val="en-US" w:eastAsia="zh-CN"/>
                    </w:rPr>
                    <w:t>0.2</w:t>
                  </w:r>
                </w:p>
              </w:tc>
            </w:tr>
          </w:tbl>
          <w:p w14:paraId="220E9420">
            <w:pPr>
              <w:bidi w:val="0"/>
              <w:rPr>
                <w:rFonts w:hint="eastAsia"/>
                <w:color w:val="auto"/>
                <w:u w:val="single"/>
              </w:rPr>
            </w:pPr>
            <w:r>
              <w:rPr>
                <w:rFonts w:hint="eastAsia"/>
                <w:color w:val="auto"/>
                <w:u w:val="single"/>
                <w:lang w:val="en-US" w:eastAsia="zh-CN"/>
              </w:rPr>
              <w:t>2、</w:t>
            </w:r>
            <w:r>
              <w:rPr>
                <w:rFonts w:hint="eastAsia"/>
                <w:color w:val="auto"/>
                <w:u w:val="single"/>
              </w:rPr>
              <w:t>源强核算</w:t>
            </w:r>
          </w:p>
          <w:p w14:paraId="2DE5973D">
            <w:pPr>
              <w:bidi w:val="0"/>
              <w:rPr>
                <w:rFonts w:hint="default" w:eastAsia="宋体"/>
                <w:color w:val="auto"/>
                <w:u w:val="single"/>
                <w:lang w:val="en-US" w:eastAsia="zh-CN"/>
              </w:rPr>
            </w:pPr>
            <w:r>
              <w:rPr>
                <w:rFonts w:hint="eastAsia"/>
                <w:color w:val="auto"/>
                <w:u w:val="single"/>
                <w:lang w:val="en-US" w:eastAsia="zh-CN"/>
              </w:rPr>
              <w:t>（1）熔化废气</w:t>
            </w:r>
          </w:p>
          <w:p w14:paraId="101AFB01">
            <w:pPr>
              <w:keepNext w:val="0"/>
              <w:keepLines w:val="0"/>
              <w:widowControl/>
              <w:suppressLineNumbers w:val="0"/>
              <w:jc w:val="left"/>
              <w:rPr>
                <w:rFonts w:hint="eastAsia"/>
                <w:color w:val="auto"/>
                <w:u w:val="single"/>
                <w:lang w:val="en-US" w:eastAsia="zh-CN"/>
              </w:rPr>
            </w:pPr>
            <w:r>
              <w:rPr>
                <w:rFonts w:hint="eastAsia"/>
                <w:color w:val="auto"/>
                <w:u w:val="single"/>
              </w:rPr>
              <w:t>本项目</w:t>
            </w:r>
            <w:r>
              <w:rPr>
                <w:rFonts w:hint="eastAsia"/>
                <w:color w:val="auto"/>
                <w:u w:val="single"/>
                <w:lang w:val="en-US" w:eastAsia="zh-CN"/>
              </w:rPr>
              <w:t>铝合金锭</w:t>
            </w:r>
            <w:r>
              <w:rPr>
                <w:rFonts w:hint="eastAsia" w:ascii="Times New Roman" w:hAnsi="Times New Roman" w:cs="Times New Roman"/>
                <w:color w:val="auto"/>
                <w:u w:val="single"/>
                <w:lang w:val="en-US" w:eastAsia="zh-CN"/>
              </w:rPr>
              <w:t>熔化工序会产生热烟废气，根据《排放源统计调查产排污核算方法和系数手册-</w:t>
            </w:r>
            <w:r>
              <w:rPr>
                <w:rFonts w:hint="default" w:ascii="Times New Roman" w:hAnsi="Times New Roman" w:cs="Times New Roman"/>
                <w:color w:val="auto"/>
                <w:u w:val="single"/>
                <w:lang w:val="en-US" w:eastAsia="zh-CN"/>
              </w:rPr>
              <w:t>33</w:t>
            </w:r>
            <w:r>
              <w:rPr>
                <w:rFonts w:hint="eastAsia" w:ascii="Times New Roman" w:hAnsi="Times New Roman" w:cs="Times New Roman"/>
                <w:color w:val="auto"/>
                <w:u w:val="single"/>
                <w:lang w:val="en-US" w:eastAsia="zh-CN"/>
              </w:rPr>
              <w:t>金属制品业行业系数手册》中电阻炉生产铝合金铸件产排污系数，废气产生系数为21951标立方米</w:t>
            </w:r>
            <w:r>
              <w:rPr>
                <w:rFonts w:hint="default" w:ascii="Times New Roman" w:hAnsi="Times New Roman" w:cs="Times New Roman"/>
                <w:color w:val="auto"/>
                <w:u w:val="single"/>
                <w:lang w:val="en-US" w:eastAsia="zh-CN"/>
              </w:rPr>
              <w:t>/</w:t>
            </w:r>
            <w:r>
              <w:rPr>
                <w:rFonts w:hint="eastAsia" w:ascii="Times New Roman" w:hAnsi="Times New Roman" w:cs="Times New Roman"/>
                <w:color w:val="auto"/>
                <w:u w:val="single"/>
                <w:lang w:val="en-US" w:eastAsia="zh-CN"/>
              </w:rPr>
              <w:t>吨</w:t>
            </w:r>
            <w:r>
              <w:rPr>
                <w:rFonts w:hint="default" w:ascii="Times New Roman" w:hAnsi="Times New Roman" w:cs="Times New Roman"/>
                <w:color w:val="auto"/>
                <w:u w:val="single"/>
                <w:lang w:val="en-US" w:eastAsia="zh-CN"/>
              </w:rPr>
              <w:t>-</w:t>
            </w:r>
            <w:r>
              <w:rPr>
                <w:rFonts w:hint="eastAsia" w:ascii="Times New Roman" w:hAnsi="Times New Roman" w:cs="Times New Roman"/>
                <w:color w:val="auto"/>
                <w:u w:val="single"/>
                <w:lang w:val="en-US" w:eastAsia="zh-CN"/>
              </w:rPr>
              <w:t>产品，颗粒物产生系数为0.525千克/吨-产品。</w:t>
            </w:r>
          </w:p>
          <w:p w14:paraId="44A08526">
            <w:pPr>
              <w:bidi w:val="0"/>
              <w:rPr>
                <w:rFonts w:hint="eastAsia"/>
                <w:color w:val="auto"/>
                <w:u w:val="single"/>
                <w:lang w:val="en-US" w:eastAsia="zh-CN"/>
              </w:rPr>
            </w:pPr>
            <w:r>
              <w:rPr>
                <w:rFonts w:hint="eastAsia"/>
                <w:color w:val="auto"/>
                <w:u w:val="single"/>
                <w:lang w:val="en-US" w:eastAsia="zh-CN"/>
              </w:rPr>
              <w:t>项目年用铝合金锭5000吨，全部制成产品，即项目金属熔化工序废气产生量为10975.5万立方，颗粒物产生量为2.625吨。</w:t>
            </w:r>
          </w:p>
          <w:p w14:paraId="1E27F2DC">
            <w:pPr>
              <w:bidi w:val="0"/>
              <w:rPr>
                <w:rFonts w:hint="eastAsia" w:ascii="Times New Roman" w:hAnsi="Times New Roman" w:cs="Times New Roman"/>
                <w:color w:val="auto"/>
                <w:u w:val="single"/>
                <w:lang w:val="en-US" w:eastAsia="zh-CN"/>
              </w:rPr>
            </w:pPr>
            <w:r>
              <w:rPr>
                <w:rFonts w:hint="eastAsia" w:ascii="Times New Roman" w:hAnsi="Times New Roman" w:cs="Times New Roman"/>
                <w:color w:val="auto"/>
                <w:u w:val="single"/>
                <w:lang w:val="en-US" w:eastAsia="zh-CN"/>
              </w:rPr>
              <w:t>（2）制芯废气</w:t>
            </w:r>
          </w:p>
          <w:p w14:paraId="56918D9C">
            <w:pPr>
              <w:bidi w:val="0"/>
              <w:rPr>
                <w:rFonts w:hint="eastAsia" w:ascii="Times New Roman" w:hAnsi="Times New Roman" w:cs="Times New Roman"/>
                <w:color w:val="auto"/>
                <w:u w:val="single"/>
                <w:lang w:val="en-US" w:eastAsia="zh-CN"/>
              </w:rPr>
            </w:pPr>
            <w:r>
              <w:rPr>
                <w:rFonts w:hint="eastAsia"/>
                <w:color w:val="auto"/>
                <w:u w:val="single"/>
                <w:lang w:eastAsia="zh-CN"/>
              </w:rPr>
              <w:t>项目约</w:t>
            </w:r>
            <w:r>
              <w:rPr>
                <w:rFonts w:hint="eastAsia"/>
                <w:color w:val="auto"/>
                <w:u w:val="single"/>
                <w:lang w:val="en-US" w:eastAsia="zh-CN"/>
              </w:rPr>
              <w:t>3%</w:t>
            </w:r>
            <w:r>
              <w:rPr>
                <w:rFonts w:hint="eastAsia"/>
                <w:color w:val="auto"/>
                <w:u w:val="single"/>
                <w:lang w:eastAsia="zh-CN"/>
              </w:rPr>
              <w:t>产品在不容易脱模的情况下需在模具中制作一层砂芯，本项目采用成品覆膜砂，</w:t>
            </w:r>
            <w:r>
              <w:rPr>
                <w:rFonts w:hint="eastAsia" w:ascii="Times New Roman" w:hAnsi="Times New Roman" w:cs="Times New Roman"/>
                <w:color w:val="auto"/>
                <w:u w:val="single"/>
                <w:lang w:val="en-US" w:eastAsia="zh-CN"/>
              </w:rPr>
              <w:t>制芯</w:t>
            </w:r>
            <w:r>
              <w:rPr>
                <w:rFonts w:hint="eastAsia"/>
                <w:color w:val="auto"/>
                <w:u w:val="single"/>
                <w:lang w:eastAsia="zh-CN"/>
              </w:rPr>
              <w:t>过程产生颗粒物、有机废气</w:t>
            </w:r>
            <w:r>
              <w:rPr>
                <w:rFonts w:hint="eastAsia" w:ascii="Times New Roman" w:hAnsi="Times New Roman" w:cs="Times New Roman"/>
                <w:color w:val="auto"/>
                <w:u w:val="single"/>
                <w:lang w:val="en-US" w:eastAsia="zh-CN"/>
              </w:rPr>
              <w:t>，根据《排放源统计调查产排污核算方法和系数手册-</w:t>
            </w:r>
            <w:r>
              <w:rPr>
                <w:rFonts w:hint="default" w:ascii="Times New Roman" w:hAnsi="Times New Roman" w:cs="Times New Roman"/>
                <w:color w:val="auto"/>
                <w:u w:val="single"/>
                <w:lang w:val="en-US" w:eastAsia="zh-CN"/>
              </w:rPr>
              <w:t>33</w:t>
            </w:r>
            <w:r>
              <w:rPr>
                <w:rFonts w:hint="eastAsia" w:ascii="Times New Roman" w:hAnsi="Times New Roman" w:cs="Times New Roman"/>
                <w:color w:val="auto"/>
                <w:u w:val="single"/>
                <w:lang w:val="en-US" w:eastAsia="zh-CN"/>
              </w:rPr>
              <w:t>金属制品业行业系数手册》中覆膜砂制芯产排污系数，废气产生系数为3615标立方米</w:t>
            </w:r>
            <w:r>
              <w:rPr>
                <w:rFonts w:hint="default" w:ascii="Times New Roman" w:hAnsi="Times New Roman" w:cs="Times New Roman"/>
                <w:color w:val="auto"/>
                <w:u w:val="single"/>
                <w:lang w:val="en-US" w:eastAsia="zh-CN"/>
              </w:rPr>
              <w:t>/</w:t>
            </w:r>
            <w:r>
              <w:rPr>
                <w:rFonts w:hint="eastAsia" w:ascii="Times New Roman" w:hAnsi="Times New Roman" w:cs="Times New Roman"/>
                <w:color w:val="auto"/>
                <w:u w:val="single"/>
                <w:lang w:val="en-US" w:eastAsia="zh-CN"/>
              </w:rPr>
              <w:t>吨</w:t>
            </w:r>
            <w:r>
              <w:rPr>
                <w:rFonts w:hint="default" w:ascii="Times New Roman" w:hAnsi="Times New Roman" w:cs="Times New Roman"/>
                <w:color w:val="auto"/>
                <w:u w:val="single"/>
                <w:lang w:val="en-US" w:eastAsia="zh-CN"/>
              </w:rPr>
              <w:t>-</w:t>
            </w:r>
            <w:r>
              <w:rPr>
                <w:rFonts w:hint="eastAsia" w:ascii="Times New Roman" w:hAnsi="Times New Roman" w:cs="Times New Roman"/>
                <w:color w:val="auto"/>
                <w:u w:val="single"/>
                <w:lang w:val="en-US" w:eastAsia="zh-CN"/>
              </w:rPr>
              <w:t>产品，颗粒物产生系数为0.33千克/吨-产品，有机废气产排污系数为0.05千克/吨-产品。</w:t>
            </w:r>
          </w:p>
          <w:p w14:paraId="7983ADF4">
            <w:pPr>
              <w:bidi w:val="0"/>
              <w:rPr>
                <w:rFonts w:hint="eastAsia" w:ascii="Times New Roman" w:hAnsi="Times New Roman" w:cs="Times New Roman"/>
                <w:color w:val="auto"/>
                <w:u w:val="single"/>
                <w:lang w:val="en-US" w:eastAsia="zh-CN"/>
              </w:rPr>
            </w:pPr>
            <w:r>
              <w:rPr>
                <w:rFonts w:hint="eastAsia" w:ascii="Times New Roman" w:hAnsi="Times New Roman" w:cs="Times New Roman"/>
                <w:color w:val="auto"/>
                <w:u w:val="single"/>
                <w:lang w:val="en-US" w:eastAsia="zh-CN"/>
              </w:rPr>
              <w:t>项目需使用砂芯的铝合金铸件约150吨/年，即制芯工序废气产生量为54.2万立方，颗粒物产生量为0.05吨，有机废气产生量为0.0075吨。</w:t>
            </w:r>
          </w:p>
          <w:p w14:paraId="048BE88C">
            <w:pPr>
              <w:bidi w:val="0"/>
              <w:rPr>
                <w:rFonts w:hint="default" w:ascii="Times New Roman" w:hAnsi="Times New Roman" w:cs="Times New Roman"/>
                <w:color w:val="auto"/>
                <w:u w:val="single"/>
                <w:lang w:val="en-US" w:eastAsia="zh-CN"/>
              </w:rPr>
            </w:pPr>
            <w:r>
              <w:rPr>
                <w:rFonts w:hint="eastAsia" w:ascii="Times New Roman" w:hAnsi="Times New Roman" w:cs="Times New Roman"/>
                <w:color w:val="auto"/>
                <w:u w:val="single"/>
                <w:lang w:val="en-US" w:eastAsia="zh-CN"/>
              </w:rPr>
              <w:t>项目覆膜砂</w:t>
            </w:r>
            <w:r>
              <w:rPr>
                <w:rFonts w:hint="eastAsia" w:cs="Times New Roman"/>
                <w:color w:val="auto"/>
                <w:u w:val="single"/>
                <w:lang w:val="en-US" w:eastAsia="zh-CN"/>
              </w:rPr>
              <w:t>有机废气主要来源与其中的酚醛树脂，酚醛树脂受热会分离出其中游离的单质甲醛，其产生量本次以有机废气总体产生量的50%计，即为0.00375t/a、0.00072kg/h。</w:t>
            </w:r>
          </w:p>
          <w:p w14:paraId="73959C6F">
            <w:pPr>
              <w:bidi w:val="0"/>
              <w:rPr>
                <w:rFonts w:hint="default"/>
                <w:color w:val="auto"/>
                <w:u w:val="single"/>
                <w:lang w:val="en-US" w:eastAsia="zh-CN"/>
              </w:rPr>
            </w:pPr>
            <w:r>
              <w:rPr>
                <w:rFonts w:hint="eastAsia"/>
                <w:color w:val="auto"/>
                <w:u w:val="single"/>
                <w:lang w:val="en-US" w:eastAsia="zh-CN"/>
              </w:rPr>
              <w:t>（3）浇注废气</w:t>
            </w:r>
          </w:p>
          <w:p w14:paraId="5C7B5839">
            <w:pPr>
              <w:bidi w:val="0"/>
              <w:rPr>
                <w:rFonts w:hint="eastAsia" w:ascii="Times New Roman" w:hAnsi="Times New Roman" w:cs="Times New Roman"/>
                <w:color w:val="auto"/>
                <w:u w:val="single"/>
                <w:lang w:val="en-US" w:eastAsia="zh-CN"/>
              </w:rPr>
            </w:pPr>
            <w:r>
              <w:rPr>
                <w:rFonts w:hint="eastAsia"/>
                <w:color w:val="auto"/>
                <w:u w:val="single"/>
                <w:lang w:val="en-US" w:eastAsia="zh-CN"/>
              </w:rPr>
              <w:t>铝合金液在浇注入模具过程会产生颗粒物、有机废气，</w:t>
            </w:r>
            <w:r>
              <w:rPr>
                <w:rFonts w:hint="eastAsia" w:ascii="Times New Roman" w:hAnsi="Times New Roman" w:cs="Times New Roman"/>
                <w:color w:val="auto"/>
                <w:u w:val="single"/>
                <w:lang w:val="en-US" w:eastAsia="zh-CN"/>
              </w:rPr>
              <w:t>根据《排放源统计调查产排污核算方法和系数手册-</w:t>
            </w:r>
            <w:r>
              <w:rPr>
                <w:rFonts w:hint="default" w:ascii="Times New Roman" w:hAnsi="Times New Roman" w:cs="Times New Roman"/>
                <w:color w:val="auto"/>
                <w:u w:val="single"/>
                <w:lang w:val="en-US" w:eastAsia="zh-CN"/>
              </w:rPr>
              <w:t>33</w:t>
            </w:r>
            <w:r>
              <w:rPr>
                <w:rFonts w:hint="eastAsia" w:ascii="Times New Roman" w:hAnsi="Times New Roman" w:cs="Times New Roman"/>
                <w:color w:val="auto"/>
                <w:u w:val="single"/>
                <w:lang w:val="en-US" w:eastAsia="zh-CN"/>
              </w:rPr>
              <w:t>金属制品业行业系数手册》中低压浇注产排污系数，废气产生系数为6000标立方米</w:t>
            </w:r>
            <w:r>
              <w:rPr>
                <w:rFonts w:hint="default" w:ascii="Times New Roman" w:hAnsi="Times New Roman" w:cs="Times New Roman"/>
                <w:color w:val="auto"/>
                <w:u w:val="single"/>
                <w:lang w:val="en-US" w:eastAsia="zh-CN"/>
              </w:rPr>
              <w:t>/</w:t>
            </w:r>
            <w:r>
              <w:rPr>
                <w:rFonts w:hint="eastAsia" w:ascii="Times New Roman" w:hAnsi="Times New Roman" w:cs="Times New Roman"/>
                <w:color w:val="auto"/>
                <w:u w:val="single"/>
                <w:lang w:val="en-US" w:eastAsia="zh-CN"/>
              </w:rPr>
              <w:t>吨</w:t>
            </w:r>
            <w:r>
              <w:rPr>
                <w:rFonts w:hint="default" w:ascii="Times New Roman" w:hAnsi="Times New Roman" w:cs="Times New Roman"/>
                <w:color w:val="auto"/>
                <w:u w:val="single"/>
                <w:lang w:val="en-US" w:eastAsia="zh-CN"/>
              </w:rPr>
              <w:t>-</w:t>
            </w:r>
            <w:r>
              <w:rPr>
                <w:rFonts w:hint="eastAsia" w:ascii="Times New Roman" w:hAnsi="Times New Roman" w:cs="Times New Roman"/>
                <w:color w:val="auto"/>
                <w:u w:val="single"/>
                <w:lang w:val="en-US" w:eastAsia="zh-CN"/>
              </w:rPr>
              <w:t>产品，颗粒物产生系数为0.247千克/吨-产品。</w:t>
            </w:r>
          </w:p>
          <w:p w14:paraId="779620BB">
            <w:pPr>
              <w:bidi w:val="0"/>
              <w:rPr>
                <w:rFonts w:hint="eastAsia" w:ascii="Times New Roman" w:hAnsi="Times New Roman" w:cs="Times New Roman"/>
                <w:color w:val="auto"/>
                <w:u w:val="single"/>
                <w:lang w:val="en-US" w:eastAsia="zh-CN"/>
              </w:rPr>
            </w:pPr>
            <w:r>
              <w:rPr>
                <w:rFonts w:hint="eastAsia" w:ascii="Times New Roman" w:hAnsi="Times New Roman" w:cs="Times New Roman"/>
                <w:color w:val="auto"/>
                <w:u w:val="single"/>
                <w:lang w:val="en-US" w:eastAsia="zh-CN"/>
              </w:rPr>
              <w:t>项目铝合金铸件约5000吨/年，即浇注工序废气产生量为3000万立方，颗粒物产生量为1.235吨。</w:t>
            </w:r>
          </w:p>
          <w:p w14:paraId="45FAB1E0">
            <w:pPr>
              <w:keepNext w:val="0"/>
              <w:keepLines w:val="0"/>
              <w:widowControl/>
              <w:suppressLineNumbers w:val="0"/>
              <w:jc w:val="left"/>
              <w:rPr>
                <w:rFonts w:hint="default"/>
                <w:color w:val="auto"/>
                <w:u w:val="single"/>
                <w:lang w:val="en-US" w:eastAsia="zh-CN"/>
              </w:rPr>
            </w:pPr>
            <w:r>
              <w:rPr>
                <w:rFonts w:hint="eastAsia"/>
                <w:color w:val="auto"/>
                <w:u w:val="single"/>
                <w:lang w:eastAsia="zh-CN"/>
              </w:rPr>
              <w:t>项目压铸工序在浇注至模具之前，需要在模具上喷一层</w:t>
            </w:r>
            <w:r>
              <w:rPr>
                <w:rFonts w:hint="eastAsia"/>
                <w:color w:val="auto"/>
                <w:u w:val="single"/>
                <w:lang w:val="en-US" w:eastAsia="zh-CN"/>
              </w:rPr>
              <w:t>金属型涂料395</w:t>
            </w:r>
            <w:r>
              <w:rPr>
                <w:rFonts w:hint="eastAsia"/>
                <w:color w:val="auto"/>
                <w:u w:val="single"/>
                <w:lang w:eastAsia="zh-CN"/>
              </w:rPr>
              <w:t>，项目使用</w:t>
            </w:r>
            <w:r>
              <w:rPr>
                <w:rFonts w:hint="eastAsia"/>
                <w:color w:val="auto"/>
                <w:u w:val="single"/>
                <w:lang w:val="en-US" w:eastAsia="zh-CN"/>
              </w:rPr>
              <w:t>金属型涂料395</w:t>
            </w:r>
            <w:r>
              <w:rPr>
                <w:rFonts w:hint="eastAsia"/>
                <w:color w:val="auto"/>
                <w:u w:val="single"/>
                <w:lang w:eastAsia="zh-CN"/>
              </w:rPr>
              <w:t>约</w:t>
            </w:r>
            <w:r>
              <w:rPr>
                <w:rFonts w:hint="eastAsia"/>
                <w:color w:val="auto"/>
                <w:u w:val="single"/>
                <w:lang w:val="en-US" w:eastAsia="zh-CN"/>
              </w:rPr>
              <w:t>3.6t/a，</w:t>
            </w:r>
            <w:r>
              <w:rPr>
                <w:rFonts w:hint="eastAsia"/>
                <w:color w:val="auto"/>
                <w:u w:val="single"/>
                <w:lang w:eastAsia="zh-CN"/>
              </w:rPr>
              <w:t>按</w:t>
            </w:r>
            <w:r>
              <w:rPr>
                <w:rFonts w:hint="eastAsia"/>
                <w:color w:val="auto"/>
                <w:u w:val="single"/>
                <w:lang w:val="en-US" w:eastAsia="zh-CN"/>
              </w:rPr>
              <w:t>1:3的比例加水稀释，喷洒在模具上的，</w:t>
            </w:r>
            <w:r>
              <w:rPr>
                <w:rFonts w:hint="eastAsia"/>
                <w:color w:val="auto"/>
                <w:u w:val="single"/>
                <w:lang w:eastAsia="zh-CN"/>
              </w:rPr>
              <w:t>在受热时会产生水蒸气及少量挥发有机物。根据生产单位提供的</w:t>
            </w:r>
            <w:r>
              <w:rPr>
                <w:rFonts w:hint="eastAsia"/>
                <w:color w:val="auto"/>
                <w:u w:val="single"/>
                <w:lang w:val="en-US" w:eastAsia="zh-CN"/>
              </w:rPr>
              <w:t>MS</w:t>
            </w:r>
            <w:r>
              <w:rPr>
                <w:rFonts w:hint="eastAsia" w:ascii="Times New Roman" w:hAnsi="Times New Roman" w:eastAsia="宋体" w:cs="Times New Roman"/>
                <w:color w:val="auto"/>
                <w:u w:val="single"/>
                <w:lang w:val="en-US" w:eastAsia="zh-CN"/>
              </w:rPr>
              <w:t>DS报告，金属型涂料395主要成分是</w:t>
            </w:r>
            <w:r>
              <w:rPr>
                <w:rFonts w:hint="eastAsia" w:ascii="Times New Roman" w:hAnsi="Times New Roman" w:eastAsia="宋体" w:cs="Times New Roman"/>
                <w:color w:val="auto"/>
                <w:kern w:val="2"/>
                <w:sz w:val="24"/>
                <w:szCs w:val="24"/>
                <w:u w:val="single"/>
                <w:lang w:val="en-US" w:eastAsia="zh-CN" w:bidi="ar"/>
              </w:rPr>
              <w:t>九水偏硅钠</w:t>
            </w:r>
            <w:r>
              <w:rPr>
                <w:rFonts w:hint="eastAsia" w:ascii="Times New Roman" w:hAnsi="Times New Roman" w:eastAsia="宋体" w:cs="Times New Roman"/>
                <w:color w:val="auto"/>
                <w:u w:val="single"/>
                <w:lang w:eastAsia="zh-CN"/>
              </w:rPr>
              <w:t>、</w:t>
            </w:r>
            <w:r>
              <w:rPr>
                <w:rFonts w:hint="eastAsia" w:ascii="Times New Roman" w:hAnsi="Times New Roman" w:eastAsia="宋体" w:cs="Times New Roman"/>
                <w:color w:val="auto"/>
                <w:kern w:val="2"/>
                <w:sz w:val="24"/>
                <w:szCs w:val="24"/>
                <w:u w:val="single"/>
                <w:lang w:val="en-US" w:eastAsia="zh-CN" w:bidi="ar"/>
              </w:rPr>
              <w:t>蛭石、水、碳酸钙等无机物，评价考虑到该金属涂料有一定刺激气味，其中还有有少量可挥发性有机物</w:t>
            </w:r>
            <w:r>
              <w:rPr>
                <w:rFonts w:hint="eastAsia"/>
                <w:color w:val="auto"/>
                <w:u w:val="single"/>
                <w:lang w:eastAsia="zh-CN"/>
              </w:rPr>
              <w:t>，</w:t>
            </w:r>
            <w:r>
              <w:rPr>
                <w:rFonts w:hint="eastAsia"/>
                <w:color w:val="auto"/>
                <w:u w:val="single"/>
                <w:lang w:val="en-US" w:eastAsia="zh-CN"/>
              </w:rPr>
              <w:t>本次以3%计</w:t>
            </w:r>
            <w:r>
              <w:rPr>
                <w:rFonts w:hint="eastAsia"/>
                <w:color w:val="auto"/>
                <w:u w:val="single"/>
                <w:lang w:eastAsia="zh-CN"/>
              </w:rPr>
              <w:t>，则压铸过程产生有机废气</w:t>
            </w:r>
            <w:r>
              <w:rPr>
                <w:rFonts w:hint="eastAsia"/>
                <w:color w:val="auto"/>
                <w:u w:val="single"/>
                <w:lang w:val="en-US" w:eastAsia="zh-CN"/>
              </w:rPr>
              <w:t>108kg</w:t>
            </w:r>
            <w:r>
              <w:rPr>
                <w:rFonts w:hint="eastAsia"/>
                <w:color w:val="auto"/>
                <w:u w:val="single"/>
                <w:lang w:eastAsia="zh-CN"/>
              </w:rPr>
              <w:t>/</w:t>
            </w:r>
            <w:r>
              <w:rPr>
                <w:rFonts w:hint="eastAsia"/>
                <w:color w:val="auto"/>
                <w:u w:val="single"/>
                <w:lang w:val="en-US" w:eastAsia="zh-CN"/>
              </w:rPr>
              <w:t>a</w:t>
            </w:r>
            <w:r>
              <w:rPr>
                <w:rFonts w:hint="eastAsia"/>
                <w:color w:val="auto"/>
                <w:u w:val="single"/>
                <w:lang w:eastAsia="zh-CN"/>
              </w:rPr>
              <w:t>（以VOCs计），有机废气污染物产生量较少，与压铸废气一起收集后经同排气筒有组织排放。</w:t>
            </w:r>
          </w:p>
          <w:p w14:paraId="36863F1E">
            <w:pPr>
              <w:bidi w:val="0"/>
              <w:rPr>
                <w:rFonts w:hint="default" w:eastAsia="宋体"/>
                <w:color w:val="auto"/>
                <w:u w:val="single"/>
                <w:lang w:val="en-US" w:eastAsia="zh-CN"/>
              </w:rPr>
            </w:pPr>
            <w:r>
              <w:rPr>
                <w:rFonts w:hint="eastAsia"/>
                <w:color w:val="auto"/>
                <w:u w:val="single"/>
                <w:lang w:val="en-US" w:eastAsia="zh-CN"/>
              </w:rPr>
              <w:t>（4）抛丸废气</w:t>
            </w:r>
          </w:p>
          <w:p w14:paraId="2B86BD84">
            <w:pPr>
              <w:ind w:firstLine="480"/>
              <w:rPr>
                <w:rFonts w:hint="eastAsia"/>
                <w:color w:val="auto"/>
                <w:u w:val="single" w:color="auto"/>
                <w:lang w:val="en-US" w:eastAsia="zh-CN"/>
              </w:rPr>
            </w:pPr>
            <w:r>
              <w:rPr>
                <w:rFonts w:hint="eastAsia"/>
                <w:color w:val="auto"/>
                <w:u w:val="single" w:color="auto"/>
                <w:lang w:eastAsia="zh-CN"/>
              </w:rPr>
              <w:t>抛丸粉尘产生量与抛丸钢珠与需要处理的铝合金铸件用量有关，根据《喷塑行业污染物源强估算及治理方法探讨（中国环境管理干部学院学报）》（第26卷</w:t>
            </w:r>
            <w:r>
              <w:rPr>
                <w:rFonts w:hint="eastAsia"/>
                <w:color w:val="auto"/>
                <w:u w:val="single" w:color="auto"/>
                <w:lang w:val="en-US" w:eastAsia="zh-CN"/>
              </w:rPr>
              <w:t>第6期</w:t>
            </w:r>
            <w:r>
              <w:rPr>
                <w:rFonts w:hint="eastAsia"/>
                <w:color w:val="auto"/>
                <w:u w:val="single" w:color="auto"/>
                <w:lang w:eastAsia="zh-CN"/>
              </w:rPr>
              <w:t>）相关研究，一般在环评的抛丸工艺粉尘产生量</w:t>
            </w:r>
            <w:r>
              <w:rPr>
                <w:rFonts w:hint="eastAsia"/>
                <w:color w:val="auto"/>
                <w:u w:val="single" w:color="auto"/>
                <w:lang w:val="en-US" w:eastAsia="zh-CN"/>
              </w:rPr>
              <w:t>计算公式如下：</w:t>
            </w:r>
          </w:p>
          <w:p w14:paraId="22BFFE25">
            <w:pPr>
              <w:pStyle w:val="8"/>
              <w:ind w:left="0" w:leftChars="0" w:firstLine="0" w:firstLineChars="0"/>
              <w:jc w:val="center"/>
              <w:rPr>
                <w:rFonts w:hint="default"/>
                <w:color w:val="auto"/>
                <w:sz w:val="24"/>
                <w:szCs w:val="24"/>
                <w:u w:val="single" w:color="auto"/>
                <w:lang w:val="en-US"/>
              </w:rPr>
            </w:pPr>
            <w:r>
              <w:rPr>
                <w:rFonts w:hint="eastAsia"/>
                <w:color w:val="auto"/>
                <w:sz w:val="24"/>
                <w:szCs w:val="24"/>
                <w:u w:val="single" w:color="auto"/>
                <w:lang w:val="en-US" w:eastAsia="zh-CN"/>
              </w:rPr>
              <w:t>M</w:t>
            </w:r>
            <w:r>
              <w:rPr>
                <w:rFonts w:hint="eastAsia"/>
                <w:color w:val="auto"/>
                <w:sz w:val="24"/>
                <w:szCs w:val="24"/>
                <w:u w:val="single" w:color="auto"/>
                <w:vertAlign w:val="subscript"/>
                <w:lang w:val="en-US" w:eastAsia="zh-CN"/>
              </w:rPr>
              <w:t>a</w:t>
            </w:r>
            <w:r>
              <w:rPr>
                <w:rFonts w:hint="eastAsia"/>
                <w:color w:val="auto"/>
                <w:sz w:val="24"/>
                <w:szCs w:val="24"/>
                <w:u w:val="single" w:color="auto"/>
                <w:lang w:val="en-US" w:eastAsia="zh-CN"/>
              </w:rPr>
              <w:t>=M</w:t>
            </w:r>
            <w:r>
              <w:rPr>
                <w:rFonts w:hint="eastAsia"/>
                <w:color w:val="auto"/>
                <w:sz w:val="24"/>
                <w:szCs w:val="24"/>
                <w:u w:val="single" w:color="auto"/>
                <w:vertAlign w:val="subscript"/>
                <w:lang w:val="en-US" w:eastAsia="zh-CN"/>
              </w:rPr>
              <w:t>1</w:t>
            </w:r>
            <w:r>
              <w:rPr>
                <w:rFonts w:hint="eastAsia"/>
                <w:color w:val="auto"/>
                <w:sz w:val="24"/>
                <w:szCs w:val="24"/>
                <w:u w:val="single" w:color="auto"/>
                <w:lang w:val="en-US" w:eastAsia="zh-CN"/>
              </w:rPr>
              <w:t>×f</w:t>
            </w:r>
            <w:r>
              <w:rPr>
                <w:rFonts w:hint="eastAsia"/>
                <w:color w:val="auto"/>
                <w:sz w:val="24"/>
                <w:szCs w:val="24"/>
                <w:u w:val="single" w:color="auto"/>
                <w:vertAlign w:val="subscript"/>
                <w:lang w:val="en-US" w:eastAsia="zh-CN"/>
              </w:rPr>
              <w:t>1</w:t>
            </w:r>
          </w:p>
          <w:p w14:paraId="1BABB8E0">
            <w:pPr>
              <w:ind w:firstLine="480"/>
              <w:rPr>
                <w:rFonts w:hint="default"/>
                <w:color w:val="auto"/>
                <w:u w:val="single" w:color="auto"/>
                <w:lang w:val="en-US" w:eastAsia="zh-CN"/>
              </w:rPr>
            </w:pPr>
            <w:r>
              <w:rPr>
                <w:rFonts w:hint="eastAsia"/>
                <w:color w:val="auto"/>
                <w:u w:val="single" w:color="auto"/>
                <w:lang w:val="en-US" w:eastAsia="zh-CN"/>
              </w:rPr>
              <w:t>式中：M</w:t>
            </w:r>
            <w:r>
              <w:rPr>
                <w:rFonts w:hint="eastAsia"/>
                <w:color w:val="auto"/>
                <w:u w:val="single" w:color="auto"/>
                <w:vertAlign w:val="subscript"/>
                <w:lang w:val="en-US" w:eastAsia="zh-CN"/>
              </w:rPr>
              <w:t>1</w:t>
            </w:r>
            <w:r>
              <w:rPr>
                <w:rFonts w:hint="eastAsia"/>
                <w:color w:val="auto"/>
                <w:u w:val="single" w:color="auto"/>
                <w:lang w:val="en-US" w:eastAsia="zh-CN"/>
              </w:rPr>
              <w:t>为钢丸用量，t/a；M</w:t>
            </w:r>
            <w:r>
              <w:rPr>
                <w:rFonts w:hint="eastAsia"/>
                <w:color w:val="auto"/>
                <w:u w:val="single" w:color="auto"/>
                <w:vertAlign w:val="subscript"/>
                <w:lang w:val="en-US" w:eastAsia="zh-CN"/>
              </w:rPr>
              <w:t>a</w:t>
            </w:r>
            <w:r>
              <w:rPr>
                <w:rFonts w:hint="eastAsia"/>
                <w:color w:val="auto"/>
                <w:u w:val="single" w:color="auto"/>
                <w:lang w:val="en-US" w:eastAsia="zh-CN"/>
              </w:rPr>
              <w:t>为粉尘产生量，t/a；f</w:t>
            </w:r>
            <w:r>
              <w:rPr>
                <w:rFonts w:hint="eastAsia"/>
                <w:color w:val="auto"/>
                <w:u w:val="single" w:color="auto"/>
                <w:vertAlign w:val="subscript"/>
                <w:lang w:val="en-US" w:eastAsia="zh-CN"/>
              </w:rPr>
              <w:t>1</w:t>
            </w:r>
            <w:r>
              <w:rPr>
                <w:rFonts w:hint="eastAsia"/>
                <w:color w:val="auto"/>
                <w:u w:val="single" w:color="auto"/>
                <w:lang w:val="en-US" w:eastAsia="zh-CN"/>
              </w:rPr>
              <w:t>为产生粉尘量所占系数（5‰~6‰），本次取6‰。</w:t>
            </w:r>
          </w:p>
          <w:p w14:paraId="57EE10CF">
            <w:pPr>
              <w:bidi w:val="0"/>
              <w:rPr>
                <w:rFonts w:hint="eastAsia"/>
                <w:color w:val="auto"/>
                <w:u w:val="single" w:color="auto"/>
                <w:lang w:val="en-US" w:eastAsia="zh-CN"/>
              </w:rPr>
            </w:pPr>
            <w:r>
              <w:rPr>
                <w:rFonts w:hint="eastAsia"/>
                <w:color w:val="auto"/>
                <w:u w:val="single" w:color="auto"/>
                <w:lang w:val="en-US" w:eastAsia="zh-CN"/>
              </w:rPr>
              <w:t>1t钢丸可处理约100t工件，本项目年加工5000吨铝铸件，约需要50吨钢丸，钢丸定期添加无需更换，则抛丸粉尘产生量为0.3t/a。</w:t>
            </w:r>
          </w:p>
          <w:p w14:paraId="3ADC968A">
            <w:pPr>
              <w:bidi w:val="0"/>
              <w:rPr>
                <w:rFonts w:hint="default"/>
                <w:color w:val="auto"/>
                <w:u w:val="single" w:color="auto"/>
                <w:lang w:val="en-US" w:eastAsia="zh-CN"/>
              </w:rPr>
            </w:pPr>
            <w:r>
              <w:rPr>
                <w:rFonts w:hint="eastAsia"/>
                <w:color w:val="auto"/>
                <w:u w:val="single" w:color="auto"/>
                <w:lang w:val="en-US" w:eastAsia="zh-CN"/>
              </w:rPr>
              <w:t>考虑金属粉尘粒径较大且较重，沉降速度快，容易沉降在操作工位附近，项目为密闭式厂房，无组织排放的颗粒物约70%的大颗粒物在厂内快速沉降，沉降后的粉尘由人工清扫收集，收集后的金属粉尘外售给厂家综合利用，逸散到厂外的排放量约为0.0432</w:t>
            </w:r>
            <w:r>
              <w:rPr>
                <w:color w:val="auto"/>
                <w:u w:val="single" w:color="auto"/>
                <w:lang w:val="en-US" w:eastAsia="zh-CN"/>
              </w:rPr>
              <w:t>t/a</w:t>
            </w:r>
            <w:r>
              <w:rPr>
                <w:rFonts w:hint="eastAsia"/>
                <w:color w:val="auto"/>
                <w:u w:val="single" w:color="auto"/>
                <w:lang w:val="en-US" w:eastAsia="zh-CN"/>
              </w:rPr>
              <w:t>，排放速率为0.0083kg/h</w:t>
            </w:r>
            <w:r>
              <w:rPr>
                <w:color w:val="auto"/>
                <w:u w:val="single" w:color="auto"/>
                <w:lang w:val="en-US" w:eastAsia="zh-CN"/>
              </w:rPr>
              <w:t>。</w:t>
            </w:r>
            <w:r>
              <w:rPr>
                <w:rFonts w:hint="eastAsia"/>
                <w:color w:val="auto"/>
                <w:u w:val="single" w:color="auto"/>
                <w:lang w:val="en-US" w:eastAsia="zh-CN"/>
              </w:rPr>
              <w:t xml:space="preserve"> </w:t>
            </w:r>
          </w:p>
          <w:p w14:paraId="04310DE2">
            <w:pPr>
              <w:bidi w:val="0"/>
              <w:rPr>
                <w:rFonts w:hint="default"/>
                <w:color w:val="auto"/>
                <w:u w:val="single" w:color="auto"/>
                <w:lang w:val="en-US" w:eastAsia="zh-CN"/>
              </w:rPr>
            </w:pPr>
            <w:r>
              <w:rPr>
                <w:rFonts w:hint="eastAsia"/>
                <w:color w:val="auto"/>
                <w:u w:val="single" w:color="auto"/>
                <w:lang w:val="en-US" w:eastAsia="zh-CN"/>
              </w:rPr>
              <w:t>铝合金熔化、覆膜砂制芯、浇注、抛丸过程颗粒物总产生量为3.9532t/a，制芯及浇注过程有机废气总产生量为0.116t/a。</w:t>
            </w:r>
          </w:p>
          <w:p w14:paraId="67F19734">
            <w:pPr>
              <w:bidi w:val="0"/>
              <w:rPr>
                <w:color w:val="auto"/>
                <w:u w:val="single" w:color="auto"/>
                <w:lang w:val="en-US" w:eastAsia="zh-CN"/>
              </w:rPr>
            </w:pPr>
            <w:r>
              <w:rPr>
                <w:rFonts w:hint="eastAsia"/>
                <w:color w:val="auto"/>
                <w:u w:val="single" w:color="auto"/>
                <w:lang w:val="en-US" w:eastAsia="zh-CN"/>
              </w:rPr>
              <w:t>环评要求在电炉出口、制芯机上方、压铸机、抛丸机上方设置集气罩，设置风机风量为30000m</w:t>
            </w:r>
            <w:r>
              <w:rPr>
                <w:rFonts w:hint="eastAsia"/>
                <w:color w:val="auto"/>
                <w:u w:val="single" w:color="auto"/>
                <w:vertAlign w:val="superscript"/>
                <w:lang w:val="en-US" w:eastAsia="zh-CN"/>
              </w:rPr>
              <w:t>3</w:t>
            </w:r>
            <w:r>
              <w:rPr>
                <w:rFonts w:hint="eastAsia"/>
                <w:color w:val="auto"/>
                <w:u w:val="single" w:color="auto"/>
                <w:lang w:val="en-US" w:eastAsia="zh-CN"/>
              </w:rPr>
              <w:t>/h对废气统一收集，</w:t>
            </w:r>
            <w:r>
              <w:rPr>
                <w:color w:val="auto"/>
                <w:u w:val="single" w:color="auto"/>
                <w:lang w:val="en-US" w:eastAsia="zh-CN"/>
              </w:rPr>
              <w:t>集气效率9</w:t>
            </w:r>
            <w:r>
              <w:rPr>
                <w:rFonts w:hint="eastAsia"/>
                <w:color w:val="auto"/>
                <w:u w:val="single" w:color="auto"/>
                <w:lang w:val="en-US" w:eastAsia="zh-CN"/>
              </w:rPr>
              <w:t>5</w:t>
            </w:r>
            <w:r>
              <w:rPr>
                <w:color w:val="auto"/>
                <w:u w:val="single" w:color="auto"/>
                <w:lang w:val="en-US" w:eastAsia="zh-CN"/>
              </w:rPr>
              <w:t>%左右</w:t>
            </w:r>
            <w:r>
              <w:rPr>
                <w:rFonts w:hint="eastAsia"/>
                <w:color w:val="auto"/>
                <w:u w:val="single" w:color="auto"/>
                <w:lang w:val="en-US" w:eastAsia="zh-CN"/>
              </w:rPr>
              <w:t>，则收集到的颗粒物为3.75</w:t>
            </w:r>
            <w:r>
              <w:rPr>
                <w:color w:val="auto"/>
                <w:u w:val="single" w:color="auto"/>
                <w:lang w:val="en-US" w:eastAsia="zh-CN"/>
              </w:rPr>
              <w:t>t/a</w:t>
            </w:r>
            <w:r>
              <w:rPr>
                <w:rFonts w:hint="eastAsia"/>
                <w:color w:val="auto"/>
                <w:u w:val="single" w:color="auto"/>
                <w:lang w:val="en-US" w:eastAsia="zh-CN"/>
              </w:rPr>
              <w:t>，颗粒物产生浓度为24mg/m</w:t>
            </w:r>
            <w:r>
              <w:rPr>
                <w:rFonts w:hint="eastAsia"/>
                <w:color w:val="auto"/>
                <w:u w:val="single" w:color="auto"/>
                <w:vertAlign w:val="superscript"/>
                <w:lang w:val="en-US" w:eastAsia="zh-CN"/>
              </w:rPr>
              <w:t>3</w:t>
            </w:r>
            <w:r>
              <w:rPr>
                <w:rFonts w:hint="eastAsia"/>
                <w:color w:val="auto"/>
                <w:u w:val="single" w:color="auto"/>
                <w:lang w:val="en-US" w:eastAsia="zh-CN"/>
              </w:rPr>
              <w:t>；</w:t>
            </w:r>
            <w:r>
              <w:rPr>
                <w:color w:val="auto"/>
                <w:u w:val="single" w:color="auto"/>
                <w:lang w:val="en-US" w:eastAsia="zh-CN"/>
              </w:rPr>
              <w:t>捕集的废气经</w:t>
            </w:r>
            <w:r>
              <w:rPr>
                <w:rFonts w:hint="eastAsia"/>
                <w:color w:val="auto"/>
                <w:u w:val="single" w:color="auto"/>
                <w:lang w:val="en-US" w:eastAsia="zh-CN"/>
              </w:rPr>
              <w:t>布袋除尘装置</w:t>
            </w:r>
            <w:r>
              <w:rPr>
                <w:color w:val="auto"/>
                <w:u w:val="single" w:color="auto"/>
                <w:lang w:val="en-US" w:eastAsia="zh-CN"/>
              </w:rPr>
              <w:t>处理后于15米高的排气筒排放，除尘效率</w:t>
            </w:r>
            <w:r>
              <w:rPr>
                <w:rFonts w:hint="eastAsia"/>
                <w:color w:val="auto"/>
                <w:u w:val="single" w:color="auto"/>
                <w:lang w:val="en-US" w:eastAsia="zh-CN"/>
              </w:rPr>
              <w:t>按</w:t>
            </w:r>
            <w:r>
              <w:rPr>
                <w:color w:val="auto"/>
                <w:u w:val="single" w:color="auto"/>
                <w:lang w:val="en-US" w:eastAsia="zh-CN"/>
              </w:rPr>
              <w:t>9</w:t>
            </w:r>
            <w:r>
              <w:rPr>
                <w:rFonts w:hint="eastAsia"/>
                <w:color w:val="auto"/>
                <w:u w:val="single" w:color="auto"/>
                <w:lang w:val="en-US" w:eastAsia="zh-CN"/>
              </w:rPr>
              <w:t>5</w:t>
            </w:r>
            <w:r>
              <w:rPr>
                <w:color w:val="auto"/>
                <w:u w:val="single" w:color="auto"/>
                <w:lang w:val="en-US" w:eastAsia="zh-CN"/>
              </w:rPr>
              <w:t>%</w:t>
            </w:r>
            <w:r>
              <w:rPr>
                <w:rFonts w:hint="eastAsia"/>
                <w:color w:val="auto"/>
                <w:u w:val="single" w:color="auto"/>
                <w:lang w:val="en-US" w:eastAsia="zh-CN"/>
              </w:rPr>
              <w:t>计，</w:t>
            </w:r>
            <w:r>
              <w:rPr>
                <w:color w:val="auto"/>
                <w:u w:val="single" w:color="auto"/>
                <w:lang w:val="en-US" w:eastAsia="zh-CN"/>
              </w:rPr>
              <w:t>废气治理后有组织排放量为</w:t>
            </w:r>
            <w:r>
              <w:rPr>
                <w:rFonts w:hint="eastAsia"/>
                <w:color w:val="auto"/>
                <w:u w:val="single" w:color="auto"/>
                <w:lang w:val="en-US" w:eastAsia="zh-CN"/>
              </w:rPr>
              <w:t>0.1875</w:t>
            </w:r>
            <w:r>
              <w:rPr>
                <w:color w:val="auto"/>
                <w:u w:val="single" w:color="auto"/>
                <w:lang w:val="en-US" w:eastAsia="zh-CN"/>
              </w:rPr>
              <w:t>t/a</w:t>
            </w:r>
            <w:r>
              <w:rPr>
                <w:rFonts w:hint="eastAsia"/>
                <w:color w:val="auto"/>
                <w:u w:val="single" w:color="auto"/>
                <w:lang w:val="en-US" w:eastAsia="zh-CN"/>
              </w:rPr>
              <w:t>、0.036kg</w:t>
            </w:r>
            <w:r>
              <w:rPr>
                <w:rFonts w:hint="eastAsia"/>
                <w:color w:val="auto"/>
                <w:u w:val="single" w:color="auto"/>
                <w:lang w:eastAsia="zh-CN"/>
              </w:rPr>
              <w:t>/</w:t>
            </w:r>
            <w:r>
              <w:rPr>
                <w:rFonts w:hint="eastAsia"/>
                <w:color w:val="auto"/>
                <w:u w:val="single" w:color="auto"/>
                <w:lang w:val="en-US" w:eastAsia="zh-CN"/>
              </w:rPr>
              <w:t>h</w:t>
            </w:r>
            <w:r>
              <w:rPr>
                <w:color w:val="auto"/>
                <w:u w:val="single" w:color="auto"/>
                <w:lang w:val="en-US" w:eastAsia="zh-CN"/>
              </w:rPr>
              <w:t>，</w:t>
            </w:r>
            <w:r>
              <w:rPr>
                <w:rFonts w:hint="eastAsia"/>
                <w:color w:val="auto"/>
                <w:u w:val="single" w:color="auto"/>
                <w:lang w:val="en-US" w:eastAsia="zh-CN"/>
              </w:rPr>
              <w:t>排放浓度为1.2mg/m</w:t>
            </w:r>
            <w:r>
              <w:rPr>
                <w:rFonts w:hint="eastAsia"/>
                <w:color w:val="auto"/>
                <w:u w:val="single" w:color="auto"/>
                <w:vertAlign w:val="superscript"/>
                <w:lang w:val="en-US" w:eastAsia="zh-CN"/>
              </w:rPr>
              <w:t>3</w:t>
            </w:r>
            <w:r>
              <w:rPr>
                <w:color w:val="auto"/>
                <w:u w:val="single" w:color="auto"/>
                <w:lang w:val="en-US" w:eastAsia="zh-CN"/>
              </w:rPr>
              <w:t>。</w:t>
            </w:r>
          </w:p>
          <w:p w14:paraId="69668E0A">
            <w:pPr>
              <w:bidi w:val="0"/>
              <w:rPr>
                <w:rFonts w:hint="default"/>
                <w:color w:val="auto"/>
                <w:u w:val="single" w:color="auto"/>
                <w:lang w:val="en-US" w:eastAsia="zh-CN"/>
              </w:rPr>
            </w:pPr>
            <w:r>
              <w:rPr>
                <w:rFonts w:hint="eastAsia"/>
                <w:color w:val="auto"/>
                <w:u w:val="single" w:color="auto"/>
                <w:lang w:val="en-US" w:eastAsia="zh-CN"/>
              </w:rPr>
              <w:t>有机废气有组织收集量为0.11t/a，产生浓度为0.7mg/m</w:t>
            </w:r>
            <w:r>
              <w:rPr>
                <w:rFonts w:hint="eastAsia"/>
                <w:color w:val="auto"/>
                <w:u w:val="single" w:color="auto"/>
                <w:vertAlign w:val="superscript"/>
                <w:lang w:val="en-US" w:eastAsia="zh-CN"/>
              </w:rPr>
              <w:t>3</w:t>
            </w:r>
            <w:r>
              <w:rPr>
                <w:rFonts w:hint="eastAsia"/>
                <w:color w:val="auto"/>
                <w:u w:val="single" w:color="auto"/>
                <w:lang w:val="en-US" w:eastAsia="zh-CN"/>
              </w:rPr>
              <w:t>，其产生量较少，产生浓度低，经15m高排气筒有组织排放。</w:t>
            </w:r>
          </w:p>
          <w:p w14:paraId="7E73A438">
            <w:pPr>
              <w:bidi w:val="0"/>
              <w:rPr>
                <w:rFonts w:hint="eastAsia"/>
                <w:color w:val="auto"/>
                <w:u w:val="single" w:color="auto"/>
                <w:lang w:val="en-US" w:eastAsia="zh-CN"/>
              </w:rPr>
            </w:pPr>
            <w:r>
              <w:rPr>
                <w:color w:val="auto"/>
                <w:u w:val="single" w:color="auto"/>
                <w:lang w:val="en-US" w:eastAsia="zh-CN"/>
              </w:rPr>
              <w:t>无组织</w:t>
            </w:r>
            <w:r>
              <w:rPr>
                <w:rFonts w:hint="eastAsia"/>
                <w:color w:val="auto"/>
                <w:u w:val="single" w:color="auto"/>
                <w:lang w:val="en-US" w:eastAsia="zh-CN"/>
              </w:rPr>
              <w:t>产生</w:t>
            </w:r>
            <w:r>
              <w:rPr>
                <w:color w:val="auto"/>
                <w:u w:val="single" w:color="auto"/>
                <w:lang w:val="en-US" w:eastAsia="zh-CN"/>
              </w:rPr>
              <w:t>量为</w:t>
            </w:r>
            <w:r>
              <w:rPr>
                <w:rFonts w:hint="eastAsia"/>
                <w:color w:val="auto"/>
                <w:u w:val="single" w:color="auto"/>
                <w:lang w:val="en-US" w:eastAsia="zh-CN"/>
              </w:rPr>
              <w:t>0.2032</w:t>
            </w:r>
            <w:r>
              <w:rPr>
                <w:color w:val="auto"/>
                <w:u w:val="single" w:color="auto"/>
                <w:lang w:val="en-US" w:eastAsia="zh-CN"/>
              </w:rPr>
              <w:t>t/a</w:t>
            </w:r>
            <w:r>
              <w:rPr>
                <w:rFonts w:hint="eastAsia"/>
                <w:color w:val="auto"/>
                <w:u w:val="single" w:color="auto"/>
                <w:lang w:val="en-US" w:eastAsia="zh-CN"/>
              </w:rPr>
              <w:t>，考虑金属粉尘粒径较大且</w:t>
            </w:r>
            <w:bookmarkStart w:id="40" w:name="_GoBack"/>
            <w:bookmarkEnd w:id="40"/>
            <w:r>
              <w:rPr>
                <w:rFonts w:hint="eastAsia"/>
                <w:color w:val="auto"/>
                <w:u w:val="single" w:color="auto"/>
                <w:lang w:val="en-US" w:eastAsia="zh-CN"/>
              </w:rPr>
              <w:t>较重，沉降速度快，容易沉降在操作工位附近，项目为密闭式厂房，无组织排放的颗粒物约70%的大颗粒物在厂内快速沉降，沉降后的粉尘由人工清扫收集，收集后的金属粉尘外售给厂家综合利用，逸散到厂外的排放量约为0.06</w:t>
            </w:r>
            <w:r>
              <w:rPr>
                <w:color w:val="auto"/>
                <w:u w:val="single" w:color="auto"/>
                <w:lang w:val="en-US" w:eastAsia="zh-CN"/>
              </w:rPr>
              <w:t>t/a</w:t>
            </w:r>
            <w:r>
              <w:rPr>
                <w:rFonts w:hint="eastAsia"/>
                <w:color w:val="auto"/>
                <w:u w:val="single" w:color="auto"/>
                <w:lang w:val="en-US" w:eastAsia="zh-CN"/>
              </w:rPr>
              <w:t>，排放速率为0.011kg/h</w:t>
            </w:r>
            <w:r>
              <w:rPr>
                <w:color w:val="auto"/>
                <w:u w:val="single" w:color="auto"/>
                <w:lang w:val="en-US" w:eastAsia="zh-CN"/>
              </w:rPr>
              <w:t>。</w:t>
            </w:r>
            <w:r>
              <w:rPr>
                <w:rFonts w:hint="eastAsia"/>
                <w:color w:val="auto"/>
                <w:u w:val="single" w:color="auto"/>
                <w:lang w:val="en-US" w:eastAsia="zh-CN"/>
              </w:rPr>
              <w:t xml:space="preserve"> </w:t>
            </w:r>
          </w:p>
          <w:p w14:paraId="3B6516A3">
            <w:pPr>
              <w:bidi w:val="0"/>
              <w:rPr>
                <w:rFonts w:hint="eastAsia"/>
                <w:color w:val="auto"/>
                <w:u w:val="single" w:color="auto"/>
                <w:lang w:val="en-US" w:eastAsia="zh-CN"/>
              </w:rPr>
            </w:pPr>
            <w:r>
              <w:rPr>
                <w:rFonts w:hint="eastAsia"/>
                <w:color w:val="auto"/>
                <w:u w:val="single" w:color="auto"/>
                <w:lang w:val="en-US" w:eastAsia="zh-CN"/>
              </w:rPr>
              <w:t>3、废气排放环境影响分析</w:t>
            </w:r>
          </w:p>
          <w:p w14:paraId="62651192">
            <w:pPr>
              <w:bidi w:val="0"/>
              <w:ind w:firstLine="720"/>
              <w:rPr>
                <w:rFonts w:hint="eastAsia" w:ascii="Times New Roman" w:hAnsi="Times New Roman" w:eastAsia="宋体" w:cs="Times New Roman"/>
                <w:color w:val="auto"/>
                <w:u w:val="single" w:color="auto"/>
                <w:lang w:val="en-US" w:eastAsia="zh-CN"/>
              </w:rPr>
            </w:pPr>
            <w:r>
              <w:rPr>
                <w:rFonts w:hint="eastAsia"/>
                <w:color w:val="auto"/>
                <w:u w:val="single" w:color="auto"/>
                <w:lang w:val="en-US" w:eastAsia="zh-CN"/>
              </w:rPr>
              <w:t>项目铝合金锭熔化、制芯、浇注、抛丸等工艺废气经集气罩收集后采用布袋除尘装置处理后排放，颗粒物排放浓度满足《铸造工业大气污染物排放标准》(GB39726-2020)中大气污染物排放限值标准，少量未经收集的熔铸烟气与抛丸等废气为无组织排放，</w:t>
            </w:r>
            <w:r>
              <w:rPr>
                <w:rFonts w:hint="eastAsia" w:ascii="Times New Roman" w:hAnsi="Times New Roman" w:eastAsia="宋体" w:cs="Times New Roman"/>
                <w:color w:val="auto"/>
                <w:u w:val="single" w:color="auto"/>
                <w:lang w:val="en-US" w:eastAsia="zh-CN"/>
              </w:rPr>
              <w:t>金属粉尘粒比重大，沉降速度快，容易沉降在操作工位附近，沉降后的粉尘由人工清扫收集，收集后的金属粉尘外售综合利用，其他未沉降部分悬浮于空气中，通过厂房阻拦后以无组织形式排放，可满足《大气污染物综合排放标准》（GB16297-1996）中无组织排放监控浓度值（周界外浓度最高点浓度≤1.0mg/m</w:t>
            </w:r>
            <w:r>
              <w:rPr>
                <w:rFonts w:hint="eastAsia" w:ascii="Times New Roman" w:hAnsi="Times New Roman" w:eastAsia="宋体" w:cs="Times New Roman"/>
                <w:color w:val="auto"/>
                <w:u w:val="single" w:color="auto"/>
                <w:vertAlign w:val="superscript"/>
                <w:lang w:val="en-US" w:eastAsia="zh-CN"/>
              </w:rPr>
              <w:t>3</w:t>
            </w:r>
            <w:r>
              <w:rPr>
                <w:rFonts w:hint="eastAsia" w:ascii="Times New Roman" w:hAnsi="Times New Roman" w:eastAsia="宋体" w:cs="Times New Roman"/>
                <w:color w:val="auto"/>
                <w:u w:val="single" w:color="auto"/>
                <w:lang w:val="en-US" w:eastAsia="zh-CN"/>
              </w:rPr>
              <w:t>）。</w:t>
            </w:r>
          </w:p>
          <w:p w14:paraId="0A9F9A5D">
            <w:pPr>
              <w:bidi w:val="0"/>
              <w:rPr>
                <w:rFonts w:hint="eastAsia"/>
                <w:color w:val="auto"/>
                <w:u w:val="single" w:color="auto"/>
                <w:lang w:val="en-US" w:eastAsia="zh-CN"/>
              </w:rPr>
            </w:pPr>
            <w:r>
              <w:rPr>
                <w:rFonts w:hint="eastAsia"/>
                <w:color w:val="auto"/>
                <w:u w:val="single" w:color="auto"/>
                <w:lang w:val="en-US" w:eastAsia="zh-CN"/>
              </w:rPr>
              <w:t>4、自行监测要求</w:t>
            </w:r>
          </w:p>
          <w:p w14:paraId="51A9391D">
            <w:pPr>
              <w:bidi w:val="0"/>
              <w:rPr>
                <w:rFonts w:hint="eastAsia"/>
                <w:color w:val="auto"/>
                <w:u w:val="single" w:color="auto"/>
              </w:rPr>
            </w:pPr>
            <w:r>
              <w:rPr>
                <w:rFonts w:hint="eastAsia"/>
                <w:color w:val="auto"/>
                <w:u w:val="single" w:color="auto"/>
              </w:rPr>
              <w:t>本项目</w:t>
            </w:r>
            <w:r>
              <w:rPr>
                <w:rFonts w:hint="eastAsia"/>
                <w:color w:val="auto"/>
                <w:u w:val="single" w:color="auto"/>
                <w:lang w:eastAsia="zh-CN"/>
              </w:rPr>
              <w:t>属于金属铸造业</w:t>
            </w:r>
            <w:r>
              <w:rPr>
                <w:rFonts w:hint="eastAsia"/>
                <w:color w:val="auto"/>
                <w:u w:val="single" w:color="auto"/>
              </w:rPr>
              <w:t>，</w:t>
            </w:r>
            <w:r>
              <w:rPr>
                <w:rFonts w:hint="eastAsia"/>
                <w:color w:val="auto"/>
                <w:u w:val="single" w:color="auto"/>
                <w:lang w:val="en-US" w:eastAsia="zh-CN"/>
              </w:rPr>
              <w:t>根据《排污许可证申请与核发技术规范-金属铸造业》（HJ1115—2020）</w:t>
            </w:r>
            <w:r>
              <w:rPr>
                <w:rFonts w:hint="eastAsia"/>
                <w:color w:val="auto"/>
                <w:u w:val="single" w:color="auto"/>
              </w:rPr>
              <w:t>，</w:t>
            </w:r>
            <w:r>
              <w:rPr>
                <w:rFonts w:hint="eastAsia"/>
                <w:color w:val="auto"/>
                <w:u w:val="single" w:color="auto"/>
                <w:lang w:eastAsia="zh-CN"/>
              </w:rPr>
              <w:t>项目</w:t>
            </w:r>
            <w:r>
              <w:rPr>
                <w:rFonts w:hint="eastAsia"/>
                <w:color w:val="auto"/>
                <w:u w:val="single" w:color="auto"/>
              </w:rPr>
              <w:t>自行监测要求如下：</w:t>
            </w:r>
          </w:p>
          <w:p w14:paraId="6AC63B56">
            <w:pPr>
              <w:spacing w:line="240" w:lineRule="auto"/>
              <w:ind w:firstLine="422"/>
              <w:jc w:val="center"/>
              <w:rPr>
                <w:rFonts w:hint="eastAsia"/>
                <w:b/>
                <w:color w:val="auto"/>
                <w:kern w:val="21"/>
                <w:sz w:val="21"/>
                <w:szCs w:val="21"/>
                <w:u w:val="single" w:color="auto"/>
              </w:rPr>
            </w:pPr>
            <w:r>
              <w:rPr>
                <w:rFonts w:hint="eastAsia"/>
                <w:b/>
                <w:color w:val="auto"/>
                <w:kern w:val="21"/>
                <w:sz w:val="21"/>
                <w:szCs w:val="21"/>
                <w:u w:val="single" w:color="auto"/>
              </w:rPr>
              <w:t>表4-</w:t>
            </w:r>
            <w:r>
              <w:rPr>
                <w:rFonts w:hint="eastAsia"/>
                <w:b/>
                <w:color w:val="auto"/>
                <w:kern w:val="21"/>
                <w:sz w:val="21"/>
                <w:szCs w:val="21"/>
                <w:u w:val="single" w:color="auto"/>
                <w:lang w:val="en-US" w:eastAsia="zh-CN"/>
              </w:rPr>
              <w:t>2</w:t>
            </w:r>
            <w:r>
              <w:rPr>
                <w:rFonts w:hint="eastAsia"/>
                <w:b/>
                <w:color w:val="auto"/>
                <w:kern w:val="21"/>
                <w:sz w:val="21"/>
                <w:szCs w:val="21"/>
                <w:u w:val="single" w:color="auto"/>
              </w:rPr>
              <w:t xml:space="preserve">   废气监测要求一览表</w:t>
            </w:r>
          </w:p>
          <w:tbl>
            <w:tblPr>
              <w:tblStyle w:val="29"/>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9"/>
              <w:gridCol w:w="876"/>
              <w:gridCol w:w="1061"/>
              <w:gridCol w:w="1425"/>
              <w:gridCol w:w="1179"/>
              <w:gridCol w:w="2775"/>
            </w:tblGrid>
            <w:tr w14:paraId="6540B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3" w:type="pct"/>
                  <w:noWrap w:val="0"/>
                  <w:vAlign w:val="center"/>
                </w:tcPr>
                <w:p w14:paraId="4DFF54A1">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监测项目</w:t>
                  </w:r>
                </w:p>
              </w:tc>
              <w:tc>
                <w:tcPr>
                  <w:tcW w:w="518" w:type="pct"/>
                  <w:noWrap w:val="0"/>
                  <w:vAlign w:val="center"/>
                </w:tcPr>
                <w:p w14:paraId="3343730A">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监测内容</w:t>
                  </w:r>
                </w:p>
              </w:tc>
              <w:tc>
                <w:tcPr>
                  <w:tcW w:w="627" w:type="pct"/>
                  <w:noWrap w:val="0"/>
                  <w:vAlign w:val="center"/>
                </w:tcPr>
                <w:p w14:paraId="4181E755">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监测点位</w:t>
                  </w:r>
                </w:p>
              </w:tc>
              <w:tc>
                <w:tcPr>
                  <w:tcW w:w="842" w:type="pct"/>
                  <w:noWrap w:val="0"/>
                  <w:vAlign w:val="center"/>
                </w:tcPr>
                <w:p w14:paraId="4AE3A8A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监测项目</w:t>
                  </w:r>
                </w:p>
              </w:tc>
              <w:tc>
                <w:tcPr>
                  <w:tcW w:w="697" w:type="pct"/>
                  <w:noWrap w:val="0"/>
                  <w:vAlign w:val="center"/>
                </w:tcPr>
                <w:p w14:paraId="4267B3BC">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监测频次</w:t>
                  </w:r>
                </w:p>
              </w:tc>
              <w:tc>
                <w:tcPr>
                  <w:tcW w:w="1640" w:type="pct"/>
                  <w:noWrap w:val="0"/>
                  <w:vAlign w:val="center"/>
                </w:tcPr>
                <w:p w14:paraId="183BCA81">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执行标准</w:t>
                  </w:r>
                </w:p>
              </w:tc>
            </w:tr>
            <w:tr w14:paraId="12443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3" w:type="pct"/>
                  <w:vMerge w:val="restart"/>
                  <w:noWrap w:val="0"/>
                  <w:vAlign w:val="center"/>
                </w:tcPr>
                <w:p w14:paraId="5E7AE29B">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污染源监测</w:t>
                  </w:r>
                </w:p>
              </w:tc>
              <w:tc>
                <w:tcPr>
                  <w:tcW w:w="518" w:type="pct"/>
                  <w:vMerge w:val="restart"/>
                  <w:noWrap w:val="0"/>
                  <w:vAlign w:val="center"/>
                </w:tcPr>
                <w:p w14:paraId="77FBE2D0">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废气</w:t>
                  </w:r>
                </w:p>
              </w:tc>
              <w:tc>
                <w:tcPr>
                  <w:tcW w:w="627" w:type="pct"/>
                  <w:noWrap w:val="0"/>
                  <w:vAlign w:val="center"/>
                </w:tcPr>
                <w:p w14:paraId="0C4EB356">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排气筒</w:t>
                  </w:r>
                </w:p>
              </w:tc>
              <w:tc>
                <w:tcPr>
                  <w:tcW w:w="842" w:type="pct"/>
                  <w:noWrap w:val="0"/>
                  <w:vAlign w:val="center"/>
                </w:tcPr>
                <w:p w14:paraId="21C3E816">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eastAsia="zh-CN"/>
                    </w:rPr>
                  </w:pPr>
                  <w:r>
                    <w:rPr>
                      <w:rFonts w:hint="eastAsia" w:ascii="Times New Roman" w:hAnsi="Times New Roman" w:eastAsia="宋体" w:cs="Times New Roman"/>
                      <w:color w:val="auto"/>
                      <w:kern w:val="0"/>
                      <w:sz w:val="21"/>
                      <w:szCs w:val="21"/>
                      <w:u w:val="single" w:color="auto"/>
                      <w:lang w:eastAsia="zh-CN"/>
                    </w:rPr>
                    <w:t>颗粒物</w:t>
                  </w:r>
                </w:p>
              </w:tc>
              <w:tc>
                <w:tcPr>
                  <w:tcW w:w="697" w:type="pct"/>
                  <w:noWrap w:val="0"/>
                  <w:vAlign w:val="center"/>
                </w:tcPr>
                <w:p w14:paraId="6BFB3901">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1次/年</w:t>
                  </w:r>
                </w:p>
              </w:tc>
              <w:tc>
                <w:tcPr>
                  <w:tcW w:w="1640" w:type="pct"/>
                  <w:vMerge w:val="restart"/>
                  <w:noWrap w:val="0"/>
                  <w:vAlign w:val="center"/>
                </w:tcPr>
                <w:p w14:paraId="628D433B">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color w:val="auto"/>
                      <w:sz w:val="21"/>
                      <w:szCs w:val="21"/>
                      <w:u w:val="single" w:color="auto"/>
                      <w:lang w:val="en-US" w:eastAsia="zh-CN"/>
                    </w:rPr>
                    <w:t>《铸造工业大气污染物排放标准》(GB39726-2020)</w:t>
                  </w:r>
                </w:p>
              </w:tc>
            </w:tr>
            <w:tr w14:paraId="3DBA7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73" w:type="pct"/>
                  <w:vMerge w:val="continue"/>
                  <w:tcBorders>
                    <w:bottom w:val="single" w:color="000000" w:sz="2" w:space="0"/>
                  </w:tcBorders>
                  <w:noWrap w:val="0"/>
                  <w:vAlign w:val="center"/>
                </w:tcPr>
                <w:p w14:paraId="08F961E5">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eastAsia="zh-CN"/>
                    </w:rPr>
                  </w:pPr>
                </w:p>
              </w:tc>
              <w:tc>
                <w:tcPr>
                  <w:tcW w:w="518" w:type="pct"/>
                  <w:vMerge w:val="continue"/>
                  <w:tcBorders>
                    <w:bottom w:val="single" w:color="000000" w:sz="2" w:space="0"/>
                  </w:tcBorders>
                  <w:noWrap w:val="0"/>
                  <w:vAlign w:val="center"/>
                </w:tcPr>
                <w:p w14:paraId="6B23C445">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eastAsia="zh-CN"/>
                    </w:rPr>
                  </w:pPr>
                </w:p>
              </w:tc>
              <w:tc>
                <w:tcPr>
                  <w:tcW w:w="627" w:type="pct"/>
                  <w:tcBorders>
                    <w:bottom w:val="single" w:color="000000" w:sz="2" w:space="0"/>
                  </w:tcBorders>
                  <w:noWrap w:val="0"/>
                  <w:vAlign w:val="center"/>
                </w:tcPr>
                <w:p w14:paraId="249E7EA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eastAsia="zh-CN"/>
                    </w:rPr>
                  </w:pPr>
                  <w:r>
                    <w:rPr>
                      <w:rFonts w:hint="eastAsia" w:ascii="Times New Roman" w:hAnsi="Times New Roman" w:eastAsia="宋体" w:cs="Times New Roman"/>
                      <w:color w:val="auto"/>
                      <w:kern w:val="0"/>
                      <w:sz w:val="21"/>
                      <w:szCs w:val="21"/>
                      <w:u w:val="single" w:color="auto"/>
                      <w:lang w:eastAsia="zh-CN"/>
                    </w:rPr>
                    <w:t>厂</w:t>
                  </w:r>
                  <w:r>
                    <w:rPr>
                      <w:rFonts w:hint="eastAsia" w:cs="Times New Roman"/>
                      <w:color w:val="auto"/>
                      <w:kern w:val="0"/>
                      <w:sz w:val="21"/>
                      <w:szCs w:val="21"/>
                      <w:u w:val="single" w:color="auto"/>
                      <w:lang w:eastAsia="zh-CN"/>
                    </w:rPr>
                    <w:t>区</w:t>
                  </w:r>
                </w:p>
              </w:tc>
              <w:tc>
                <w:tcPr>
                  <w:tcW w:w="842" w:type="pct"/>
                  <w:noWrap w:val="0"/>
                  <w:vAlign w:val="center"/>
                </w:tcPr>
                <w:p w14:paraId="79A0B8B5">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eastAsia="zh-CN"/>
                    </w:rPr>
                  </w:pPr>
                  <w:r>
                    <w:rPr>
                      <w:rFonts w:hint="eastAsia" w:ascii="Times New Roman" w:hAnsi="Times New Roman" w:eastAsia="宋体" w:cs="Times New Roman"/>
                      <w:color w:val="auto"/>
                      <w:kern w:val="0"/>
                      <w:sz w:val="21"/>
                      <w:szCs w:val="21"/>
                      <w:u w:val="single" w:color="auto"/>
                      <w:lang w:eastAsia="zh-CN"/>
                    </w:rPr>
                    <w:t>颗粒物</w:t>
                  </w:r>
                  <w:r>
                    <w:rPr>
                      <w:rFonts w:hint="eastAsia" w:cs="Times New Roman"/>
                      <w:color w:val="auto"/>
                      <w:kern w:val="0"/>
                      <w:sz w:val="21"/>
                      <w:szCs w:val="21"/>
                      <w:u w:val="single" w:color="auto"/>
                      <w:lang w:eastAsia="zh-CN"/>
                    </w:rPr>
                    <w:t>、非甲烷总烃</w:t>
                  </w:r>
                </w:p>
              </w:tc>
              <w:tc>
                <w:tcPr>
                  <w:tcW w:w="697" w:type="pct"/>
                  <w:tcBorders>
                    <w:bottom w:val="single" w:color="000000" w:sz="2" w:space="0"/>
                  </w:tcBorders>
                  <w:noWrap w:val="0"/>
                  <w:vAlign w:val="center"/>
                </w:tcPr>
                <w:p w14:paraId="095E9BE5">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rPr>
                  </w:pPr>
                  <w:r>
                    <w:rPr>
                      <w:rFonts w:hint="eastAsia" w:ascii="Times New Roman" w:hAnsi="Times New Roman" w:eastAsia="宋体" w:cs="Times New Roman"/>
                      <w:color w:val="auto"/>
                      <w:kern w:val="0"/>
                      <w:sz w:val="21"/>
                      <w:szCs w:val="21"/>
                      <w:u w:val="single" w:color="auto"/>
                    </w:rPr>
                    <w:t>1次/年</w:t>
                  </w:r>
                </w:p>
              </w:tc>
              <w:tc>
                <w:tcPr>
                  <w:tcW w:w="1640" w:type="pct"/>
                  <w:vMerge w:val="continue"/>
                  <w:tcBorders>
                    <w:bottom w:val="single" w:color="000000" w:sz="2" w:space="0"/>
                  </w:tcBorders>
                  <w:noWrap w:val="0"/>
                  <w:vAlign w:val="center"/>
                </w:tcPr>
                <w:p w14:paraId="03EA8DE4">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p>
              </w:tc>
            </w:tr>
          </w:tbl>
          <w:p w14:paraId="3F4EB944">
            <w:pPr>
              <w:ind w:firstLine="482"/>
              <w:rPr>
                <w:rFonts w:hint="eastAsia"/>
                <w:b/>
                <w:bCs/>
                <w:color w:val="auto"/>
                <w:u w:val="single" w:color="auto"/>
              </w:rPr>
            </w:pPr>
            <w:r>
              <w:rPr>
                <w:rFonts w:hint="eastAsia"/>
                <w:b/>
                <w:bCs/>
                <w:color w:val="auto"/>
                <w:u w:val="single" w:color="auto"/>
              </w:rPr>
              <w:t>（二）运营期水环境影响和保护措施</w:t>
            </w:r>
          </w:p>
          <w:p w14:paraId="0A41F75C">
            <w:pPr>
              <w:bidi w:val="0"/>
              <w:rPr>
                <w:rFonts w:hint="eastAsia"/>
                <w:color w:val="auto"/>
                <w:u w:val="single" w:color="auto"/>
                <w:lang w:val="en-US" w:eastAsia="zh-CN"/>
              </w:rPr>
            </w:pPr>
            <w:r>
              <w:rPr>
                <w:rFonts w:hint="eastAsia"/>
                <w:color w:val="auto"/>
                <w:u w:val="single" w:color="auto"/>
                <w:lang w:val="en-US" w:eastAsia="zh-CN"/>
              </w:rPr>
              <w:t>1、废水</w:t>
            </w:r>
          </w:p>
          <w:p w14:paraId="4694DD1C">
            <w:pPr>
              <w:spacing w:line="360" w:lineRule="auto"/>
              <w:ind w:firstLine="480" w:firstLineChars="200"/>
              <w:rPr>
                <w:rFonts w:hint="eastAsia" w:eastAsia="宋体"/>
                <w:color w:val="auto"/>
                <w:u w:val="single" w:color="auto"/>
                <w:lang w:eastAsia="zh-CN"/>
              </w:rPr>
            </w:pPr>
            <w:r>
              <w:rPr>
                <w:rFonts w:eastAsia="宋体"/>
                <w:color w:val="auto"/>
                <w:u w:val="single" w:color="auto"/>
              </w:rPr>
              <w:t>本项目生产</w:t>
            </w:r>
            <w:r>
              <w:rPr>
                <w:rFonts w:hint="eastAsia"/>
                <w:color w:val="auto"/>
                <w:u w:val="single" w:color="auto"/>
                <w:lang w:eastAsia="zh-CN"/>
              </w:rPr>
              <w:t>工艺无废水产生，生产设备无清洗要求、不产生冷却水，车间地面为干清扫，无地面清洗废水，废水主要为员工上班生活污水。</w:t>
            </w:r>
          </w:p>
          <w:p w14:paraId="3B1E444A">
            <w:pPr>
              <w:bidi w:val="0"/>
              <w:rPr>
                <w:rFonts w:hint="eastAsia"/>
                <w:color w:val="auto"/>
                <w:u w:val="single" w:color="auto"/>
                <w:lang w:val="en-US" w:eastAsia="zh-CN"/>
              </w:rPr>
            </w:pPr>
            <w:r>
              <w:rPr>
                <w:rFonts w:hint="eastAsia"/>
                <w:color w:val="auto"/>
                <w:u w:val="single" w:color="auto"/>
                <w:lang w:val="en-US" w:eastAsia="zh-CN"/>
              </w:rPr>
              <w:t>（1）废水源强分析</w:t>
            </w:r>
          </w:p>
          <w:p w14:paraId="58BC29CD">
            <w:pPr>
              <w:bidi w:val="0"/>
              <w:rPr>
                <w:rFonts w:hint="eastAsia" w:ascii="Times New Roman" w:hAnsi="Times New Roman" w:eastAsia="宋体" w:cs="Times New Roman"/>
                <w:color w:val="auto"/>
                <w:u w:val="single" w:color="auto"/>
                <w:lang w:val="en-US" w:eastAsia="zh-CN"/>
              </w:rPr>
            </w:pPr>
            <w:r>
              <w:rPr>
                <w:rFonts w:hint="eastAsia"/>
                <w:color w:val="auto"/>
                <w:u w:val="single" w:color="auto"/>
                <w:lang w:val="en-US" w:eastAsia="zh-CN"/>
              </w:rPr>
              <w:t>本项目营运期废水主要为</w:t>
            </w:r>
            <w:r>
              <w:rPr>
                <w:rFonts w:hint="eastAsia" w:ascii="Times New Roman" w:hAnsi="Times New Roman" w:eastAsia="宋体" w:cs="Times New Roman"/>
                <w:color w:val="auto"/>
                <w:u w:val="single" w:color="auto"/>
                <w:lang w:val="en-US" w:eastAsia="zh-CN"/>
              </w:rPr>
              <w:t>员工生活污水，根据建设单位提供资料营运期劳动定员为35人，均不在厂区食宿，年工作260天，参照《湖南省地方标准用水定额》（DB43/T388-2020），员工用水量按45L/人·d，则生活用水量约为409.5m</w:t>
            </w:r>
            <w:r>
              <w:rPr>
                <w:rFonts w:hint="eastAsia" w:ascii="Times New Roman" w:hAnsi="Times New Roman" w:eastAsia="宋体" w:cs="Times New Roman"/>
                <w:color w:val="auto"/>
                <w:u w:val="single" w:color="auto"/>
                <w:vertAlign w:val="superscript"/>
                <w:lang w:val="en-US" w:eastAsia="zh-CN"/>
              </w:rPr>
              <w:t>3</w:t>
            </w:r>
            <w:r>
              <w:rPr>
                <w:rFonts w:hint="eastAsia" w:ascii="Times New Roman" w:hAnsi="Times New Roman" w:eastAsia="宋体" w:cs="Times New Roman"/>
                <w:color w:val="auto"/>
                <w:u w:val="single" w:color="auto"/>
                <w:lang w:val="en-US" w:eastAsia="zh-CN"/>
              </w:rPr>
              <w:t>/a（1.575m</w:t>
            </w:r>
            <w:r>
              <w:rPr>
                <w:rFonts w:hint="eastAsia" w:ascii="Times New Roman" w:hAnsi="Times New Roman" w:eastAsia="宋体" w:cs="Times New Roman"/>
                <w:color w:val="auto"/>
                <w:u w:val="single" w:color="auto"/>
                <w:vertAlign w:val="superscript"/>
                <w:lang w:val="en-US" w:eastAsia="zh-CN"/>
              </w:rPr>
              <w:t>3</w:t>
            </w:r>
            <w:r>
              <w:rPr>
                <w:rFonts w:hint="eastAsia" w:ascii="Times New Roman" w:hAnsi="Times New Roman" w:eastAsia="宋体" w:cs="Times New Roman"/>
                <w:color w:val="auto"/>
                <w:u w:val="single" w:color="auto"/>
                <w:lang w:val="en-US" w:eastAsia="zh-CN"/>
              </w:rPr>
              <w:t>/d），排水量按用水量的85%计，则本项目排水量约为348m</w:t>
            </w:r>
            <w:r>
              <w:rPr>
                <w:rFonts w:hint="eastAsia" w:ascii="Times New Roman" w:hAnsi="Times New Roman" w:eastAsia="宋体" w:cs="Times New Roman"/>
                <w:color w:val="auto"/>
                <w:u w:val="single" w:color="auto"/>
                <w:vertAlign w:val="superscript"/>
                <w:lang w:val="en-US" w:eastAsia="zh-CN"/>
              </w:rPr>
              <w:t>3</w:t>
            </w:r>
            <w:r>
              <w:rPr>
                <w:rFonts w:hint="eastAsia" w:ascii="Times New Roman" w:hAnsi="Times New Roman" w:eastAsia="宋体" w:cs="Times New Roman"/>
                <w:color w:val="auto"/>
                <w:u w:val="single" w:color="auto"/>
                <w:lang w:val="en-US" w:eastAsia="zh-CN"/>
              </w:rPr>
              <w:t>/a（1.34m</w:t>
            </w:r>
            <w:r>
              <w:rPr>
                <w:rFonts w:hint="eastAsia" w:ascii="Times New Roman" w:hAnsi="Times New Roman" w:eastAsia="宋体" w:cs="Times New Roman"/>
                <w:color w:val="auto"/>
                <w:u w:val="single" w:color="auto"/>
                <w:vertAlign w:val="superscript"/>
                <w:lang w:val="en-US" w:eastAsia="zh-CN"/>
              </w:rPr>
              <w:t>3</w:t>
            </w:r>
            <w:r>
              <w:rPr>
                <w:rFonts w:hint="eastAsia" w:ascii="Times New Roman" w:hAnsi="Times New Roman" w:eastAsia="宋体" w:cs="Times New Roman"/>
                <w:color w:val="auto"/>
                <w:u w:val="single" w:color="auto"/>
                <w:lang w:val="en-US" w:eastAsia="zh-CN"/>
              </w:rPr>
              <w:t>/d），废水量较小，水质较为简单，主要污染物为CODcr350mg/L、BOD</w:t>
            </w:r>
            <w:r>
              <w:rPr>
                <w:rFonts w:hint="eastAsia" w:ascii="Times New Roman" w:hAnsi="Times New Roman" w:eastAsia="宋体" w:cs="Times New Roman"/>
                <w:color w:val="auto"/>
                <w:u w:val="single" w:color="auto"/>
                <w:vertAlign w:val="subscript"/>
                <w:lang w:val="en-US" w:eastAsia="zh-CN"/>
              </w:rPr>
              <w:t>5</w:t>
            </w:r>
            <w:r>
              <w:rPr>
                <w:rFonts w:hint="eastAsia" w:ascii="Times New Roman" w:hAnsi="Times New Roman" w:eastAsia="宋体" w:cs="Times New Roman"/>
                <w:color w:val="auto"/>
                <w:u w:val="single" w:color="auto"/>
                <w:lang w:val="en-US" w:eastAsia="zh-CN"/>
              </w:rPr>
              <w:t>180mg/L、SS250mg/L、氨氮30mg/L等。</w:t>
            </w:r>
          </w:p>
          <w:p w14:paraId="0CF432E6">
            <w:pPr>
              <w:bidi w:val="0"/>
              <w:rPr>
                <w:rFonts w:hint="eastAsia"/>
                <w:color w:val="auto"/>
                <w:u w:val="single" w:color="auto"/>
                <w:lang w:val="en-US" w:eastAsia="zh-CN"/>
              </w:rPr>
            </w:pPr>
            <w:r>
              <w:rPr>
                <w:rFonts w:hint="eastAsia"/>
                <w:color w:val="auto"/>
                <w:u w:val="single" w:color="auto"/>
                <w:lang w:val="en-US" w:eastAsia="zh-CN"/>
              </w:rPr>
              <w:t>本项目生活污水经园区配套化粪池处理达到《污水综合排放标准》（GB8978-1996）中表4中三级标准排放限值后通过市政污水管网排入进入江永工业园污水处理厂达到《城镇污水处理厂污染物排放标准》（GB18918-2002）一级A标准，最终排入马河。</w:t>
            </w:r>
          </w:p>
          <w:p w14:paraId="37862448">
            <w:pPr>
              <w:widowControl/>
              <w:spacing w:line="240" w:lineRule="auto"/>
              <w:ind w:firstLine="413" w:firstLineChars="196"/>
              <w:jc w:val="center"/>
              <w:rPr>
                <w:rFonts w:hint="eastAsia"/>
                <w:b/>
                <w:color w:val="auto"/>
                <w:sz w:val="21"/>
                <w:szCs w:val="21"/>
                <w:highlight w:val="none"/>
                <w:u w:val="single" w:color="auto"/>
              </w:rPr>
            </w:pPr>
            <w:r>
              <w:rPr>
                <w:b/>
                <w:color w:val="auto"/>
                <w:sz w:val="21"/>
                <w:szCs w:val="21"/>
                <w:highlight w:val="none"/>
                <w:u w:val="single" w:color="auto"/>
              </w:rPr>
              <w:t>表</w:t>
            </w:r>
            <w:r>
              <w:rPr>
                <w:rFonts w:hint="eastAsia"/>
                <w:b/>
                <w:color w:val="auto"/>
                <w:sz w:val="21"/>
                <w:szCs w:val="21"/>
                <w:highlight w:val="none"/>
                <w:u w:val="single" w:color="auto"/>
              </w:rPr>
              <w:t>4-</w:t>
            </w:r>
            <w:r>
              <w:rPr>
                <w:rFonts w:hint="eastAsia"/>
                <w:b/>
                <w:color w:val="auto"/>
                <w:sz w:val="21"/>
                <w:szCs w:val="21"/>
                <w:highlight w:val="none"/>
                <w:u w:val="single" w:color="auto"/>
                <w:lang w:val="en-US" w:eastAsia="zh-CN"/>
              </w:rPr>
              <w:t>2</w:t>
            </w:r>
            <w:r>
              <w:rPr>
                <w:rFonts w:hint="eastAsia"/>
                <w:b/>
                <w:color w:val="auto"/>
                <w:sz w:val="21"/>
                <w:szCs w:val="21"/>
                <w:highlight w:val="none"/>
                <w:u w:val="single" w:color="auto"/>
              </w:rPr>
              <w:t xml:space="preserve"> </w:t>
            </w:r>
            <w:r>
              <w:rPr>
                <w:b/>
                <w:color w:val="auto"/>
                <w:sz w:val="21"/>
                <w:szCs w:val="21"/>
                <w:highlight w:val="none"/>
                <w:u w:val="single" w:color="auto"/>
              </w:rPr>
              <w:t xml:space="preserve">  本项目</w:t>
            </w:r>
            <w:r>
              <w:rPr>
                <w:rFonts w:hint="eastAsia"/>
                <w:b/>
                <w:color w:val="auto"/>
                <w:sz w:val="21"/>
                <w:szCs w:val="21"/>
                <w:highlight w:val="none"/>
                <w:u w:val="single" w:color="auto"/>
              </w:rPr>
              <w:t>水污染物排放情况一览表</w:t>
            </w:r>
          </w:p>
          <w:tbl>
            <w:tblPr>
              <w:tblStyle w:val="29"/>
              <w:tblW w:w="4998"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367"/>
              <w:gridCol w:w="614"/>
              <w:gridCol w:w="755"/>
              <w:gridCol w:w="724"/>
              <w:gridCol w:w="638"/>
              <w:gridCol w:w="577"/>
              <w:gridCol w:w="720"/>
              <w:gridCol w:w="720"/>
              <w:gridCol w:w="734"/>
              <w:gridCol w:w="516"/>
              <w:gridCol w:w="376"/>
              <w:gridCol w:w="741"/>
              <w:gridCol w:w="968"/>
            </w:tblGrid>
            <w:tr w14:paraId="564C14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634" w:hRule="atLeast"/>
                <w:jc w:val="center"/>
              </w:trPr>
              <w:tc>
                <w:tcPr>
                  <w:tcW w:w="217" w:type="pct"/>
                  <w:vMerge w:val="restart"/>
                  <w:tcBorders>
                    <w:tl2br w:val="nil"/>
                    <w:tr2bl w:val="nil"/>
                  </w:tcBorders>
                  <w:noWrap/>
                  <w:vAlign w:val="center"/>
                </w:tcPr>
                <w:p w14:paraId="70C6C96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序号</w:t>
                  </w:r>
                </w:p>
              </w:tc>
              <w:tc>
                <w:tcPr>
                  <w:tcW w:w="363" w:type="pct"/>
                  <w:vMerge w:val="restart"/>
                  <w:tcBorders>
                    <w:tl2br w:val="nil"/>
                    <w:tr2bl w:val="nil"/>
                  </w:tcBorders>
                  <w:noWrap/>
                  <w:vAlign w:val="center"/>
                </w:tcPr>
                <w:p w14:paraId="5252B60C">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产排污环节</w:t>
                  </w:r>
                </w:p>
              </w:tc>
              <w:tc>
                <w:tcPr>
                  <w:tcW w:w="446" w:type="pct"/>
                  <w:vMerge w:val="restart"/>
                  <w:tcBorders>
                    <w:tl2br w:val="nil"/>
                    <w:tr2bl w:val="nil"/>
                  </w:tcBorders>
                  <w:noWrap/>
                  <w:vAlign w:val="center"/>
                </w:tcPr>
                <w:p w14:paraId="0EDAF85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污染物种类</w:t>
                  </w:r>
                </w:p>
              </w:tc>
              <w:tc>
                <w:tcPr>
                  <w:tcW w:w="805" w:type="pct"/>
                  <w:gridSpan w:val="2"/>
                  <w:tcBorders>
                    <w:tl2br w:val="nil"/>
                    <w:tr2bl w:val="nil"/>
                  </w:tcBorders>
                  <w:noWrap/>
                  <w:vAlign w:val="center"/>
                </w:tcPr>
                <w:p w14:paraId="26A66421">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污染物产生情况</w:t>
                  </w:r>
                </w:p>
              </w:tc>
              <w:tc>
                <w:tcPr>
                  <w:tcW w:w="341" w:type="pct"/>
                  <w:vMerge w:val="restart"/>
                  <w:tcBorders>
                    <w:tl2br w:val="nil"/>
                    <w:tr2bl w:val="nil"/>
                  </w:tcBorders>
                  <w:noWrap/>
                  <w:vAlign w:val="center"/>
                </w:tcPr>
                <w:p w14:paraId="0D3668E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排放形式</w:t>
                  </w:r>
                </w:p>
              </w:tc>
              <w:tc>
                <w:tcPr>
                  <w:tcW w:w="1286" w:type="pct"/>
                  <w:gridSpan w:val="3"/>
                  <w:tcBorders>
                    <w:tl2br w:val="nil"/>
                    <w:tr2bl w:val="nil"/>
                  </w:tcBorders>
                  <w:noWrap/>
                  <w:vAlign w:val="center"/>
                </w:tcPr>
                <w:p w14:paraId="57D2139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污染物排放情况</w:t>
                  </w:r>
                </w:p>
              </w:tc>
              <w:tc>
                <w:tcPr>
                  <w:tcW w:w="1537" w:type="pct"/>
                  <w:gridSpan w:val="4"/>
                  <w:tcBorders>
                    <w:tl2br w:val="nil"/>
                    <w:tr2bl w:val="nil"/>
                  </w:tcBorders>
                  <w:noWrap/>
                  <w:vAlign w:val="center"/>
                </w:tcPr>
                <w:p w14:paraId="1DFA6B3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治理设施情况</w:t>
                  </w:r>
                </w:p>
              </w:tc>
            </w:tr>
            <w:tr w14:paraId="685645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1334" w:hRule="atLeast"/>
                <w:jc w:val="center"/>
              </w:trPr>
              <w:tc>
                <w:tcPr>
                  <w:tcW w:w="217" w:type="pct"/>
                  <w:vMerge w:val="continue"/>
                  <w:tcBorders>
                    <w:tl2br w:val="nil"/>
                    <w:tr2bl w:val="nil"/>
                  </w:tcBorders>
                  <w:noWrap/>
                  <w:vAlign w:val="center"/>
                </w:tcPr>
                <w:p w14:paraId="28056156">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363" w:type="pct"/>
                  <w:vMerge w:val="continue"/>
                  <w:tcBorders>
                    <w:tl2br w:val="nil"/>
                    <w:tr2bl w:val="nil"/>
                  </w:tcBorders>
                  <w:noWrap/>
                  <w:vAlign w:val="center"/>
                </w:tcPr>
                <w:p w14:paraId="17010C8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46" w:type="pct"/>
                  <w:vMerge w:val="continue"/>
                  <w:tcBorders>
                    <w:tl2br w:val="nil"/>
                    <w:tr2bl w:val="nil"/>
                  </w:tcBorders>
                  <w:noWrap/>
                  <w:vAlign w:val="center"/>
                </w:tcPr>
                <w:p w14:paraId="7445908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28" w:type="pct"/>
                  <w:tcBorders>
                    <w:tl2br w:val="nil"/>
                    <w:tr2bl w:val="nil"/>
                  </w:tcBorders>
                  <w:noWrap/>
                  <w:vAlign w:val="center"/>
                </w:tcPr>
                <w:p w14:paraId="7B332932">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产生浓度mg/m</w:t>
                  </w:r>
                  <w:r>
                    <w:rPr>
                      <w:rFonts w:hint="eastAsia" w:ascii="Times New Roman" w:hAnsi="Times New Roman" w:eastAsia="宋体" w:cs="Times New Roman"/>
                      <w:color w:val="auto"/>
                      <w:sz w:val="21"/>
                      <w:szCs w:val="21"/>
                      <w:highlight w:val="none"/>
                      <w:u w:val="single" w:color="auto"/>
                      <w:vertAlign w:val="superscript"/>
                      <w:lang w:val="en-US" w:eastAsia="zh-CN"/>
                    </w:rPr>
                    <w:t>3</w:t>
                  </w:r>
                </w:p>
              </w:tc>
              <w:tc>
                <w:tcPr>
                  <w:tcW w:w="376" w:type="pct"/>
                  <w:tcBorders>
                    <w:tl2br w:val="nil"/>
                    <w:tr2bl w:val="nil"/>
                  </w:tcBorders>
                  <w:noWrap/>
                  <w:vAlign w:val="center"/>
                </w:tcPr>
                <w:p w14:paraId="5D642D2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产生量t/a</w:t>
                  </w:r>
                </w:p>
              </w:tc>
              <w:tc>
                <w:tcPr>
                  <w:tcW w:w="341" w:type="pct"/>
                  <w:vMerge w:val="continue"/>
                  <w:tcBorders>
                    <w:tl2br w:val="nil"/>
                    <w:tr2bl w:val="nil"/>
                  </w:tcBorders>
                  <w:noWrap w:val="0"/>
                  <w:vAlign w:val="center"/>
                </w:tcPr>
                <w:p w14:paraId="36026F34">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26" w:type="pct"/>
                  <w:tcBorders>
                    <w:tl2br w:val="nil"/>
                    <w:tr2bl w:val="nil"/>
                  </w:tcBorders>
                  <w:noWrap/>
                  <w:vAlign w:val="center"/>
                </w:tcPr>
                <w:p w14:paraId="27E470D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废水排放量t/a</w:t>
                  </w:r>
                </w:p>
              </w:tc>
              <w:tc>
                <w:tcPr>
                  <w:tcW w:w="426" w:type="pct"/>
                  <w:tcBorders>
                    <w:tl2br w:val="nil"/>
                    <w:tr2bl w:val="nil"/>
                  </w:tcBorders>
                  <w:noWrap/>
                  <w:vAlign w:val="center"/>
                </w:tcPr>
                <w:p w14:paraId="66B288CA">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污染物排放量t/a</w:t>
                  </w:r>
                </w:p>
              </w:tc>
              <w:tc>
                <w:tcPr>
                  <w:tcW w:w="434" w:type="pct"/>
                  <w:tcBorders>
                    <w:tl2br w:val="nil"/>
                    <w:tr2bl w:val="nil"/>
                  </w:tcBorders>
                  <w:noWrap/>
                  <w:vAlign w:val="center"/>
                </w:tcPr>
                <w:p w14:paraId="329E678C">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排放浓度mg/m</w:t>
                  </w:r>
                  <w:r>
                    <w:rPr>
                      <w:rFonts w:hint="eastAsia" w:ascii="Times New Roman" w:hAnsi="Times New Roman" w:eastAsia="宋体" w:cs="Times New Roman"/>
                      <w:color w:val="auto"/>
                      <w:sz w:val="21"/>
                      <w:szCs w:val="21"/>
                      <w:highlight w:val="none"/>
                      <w:u w:val="single" w:color="auto"/>
                      <w:vertAlign w:val="superscript"/>
                      <w:lang w:val="en-US" w:eastAsia="zh-CN"/>
                    </w:rPr>
                    <w:t>3</w:t>
                  </w:r>
                </w:p>
              </w:tc>
              <w:tc>
                <w:tcPr>
                  <w:tcW w:w="305" w:type="pct"/>
                  <w:tcBorders>
                    <w:tl2br w:val="nil"/>
                    <w:tr2bl w:val="nil"/>
                  </w:tcBorders>
                  <w:noWrap/>
                  <w:vAlign w:val="center"/>
                </w:tcPr>
                <w:p w14:paraId="4116CD6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治理设施</w:t>
                  </w:r>
                </w:p>
              </w:tc>
              <w:tc>
                <w:tcPr>
                  <w:tcW w:w="222" w:type="pct"/>
                  <w:tcBorders>
                    <w:tl2br w:val="nil"/>
                    <w:tr2bl w:val="nil"/>
                  </w:tcBorders>
                  <w:noWrap/>
                  <w:vAlign w:val="center"/>
                </w:tcPr>
                <w:p w14:paraId="56E9962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收集效率</w:t>
                  </w:r>
                </w:p>
              </w:tc>
              <w:tc>
                <w:tcPr>
                  <w:tcW w:w="438" w:type="pct"/>
                  <w:tcBorders>
                    <w:tl2br w:val="nil"/>
                    <w:tr2bl w:val="nil"/>
                  </w:tcBorders>
                  <w:noWrap/>
                  <w:vAlign w:val="center"/>
                </w:tcPr>
                <w:p w14:paraId="01198AE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治理工艺去除率</w:t>
                  </w:r>
                </w:p>
              </w:tc>
              <w:tc>
                <w:tcPr>
                  <w:tcW w:w="571" w:type="pct"/>
                  <w:tcBorders>
                    <w:tl2br w:val="nil"/>
                    <w:tr2bl w:val="nil"/>
                  </w:tcBorders>
                  <w:noWrap/>
                  <w:vAlign w:val="center"/>
                </w:tcPr>
                <w:p w14:paraId="76005FD5">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是否为可行技术</w:t>
                  </w:r>
                </w:p>
              </w:tc>
            </w:tr>
            <w:tr w14:paraId="607850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217" w:type="pct"/>
                  <w:vMerge w:val="restart"/>
                  <w:tcBorders>
                    <w:tl2br w:val="nil"/>
                    <w:tr2bl w:val="nil"/>
                  </w:tcBorders>
                  <w:noWrap/>
                  <w:vAlign w:val="center"/>
                </w:tcPr>
                <w:p w14:paraId="07C6C7A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1</w:t>
                  </w:r>
                </w:p>
              </w:tc>
              <w:tc>
                <w:tcPr>
                  <w:tcW w:w="363" w:type="pct"/>
                  <w:vMerge w:val="restart"/>
                  <w:tcBorders>
                    <w:tl2br w:val="nil"/>
                    <w:tr2bl w:val="nil"/>
                  </w:tcBorders>
                  <w:noWrap/>
                  <w:vAlign w:val="center"/>
                </w:tcPr>
                <w:p w14:paraId="38F15B6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生活污水</w:t>
                  </w:r>
                </w:p>
              </w:tc>
              <w:tc>
                <w:tcPr>
                  <w:tcW w:w="446" w:type="pct"/>
                  <w:tcBorders>
                    <w:tl2br w:val="nil"/>
                    <w:tr2bl w:val="nil"/>
                  </w:tcBorders>
                  <w:noWrap/>
                  <w:vAlign w:val="center"/>
                </w:tcPr>
                <w:p w14:paraId="43E5E1F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COD</w:t>
                  </w:r>
                </w:p>
              </w:tc>
              <w:tc>
                <w:tcPr>
                  <w:tcW w:w="428" w:type="pct"/>
                  <w:tcBorders>
                    <w:tl2br w:val="nil"/>
                    <w:tr2bl w:val="nil"/>
                  </w:tcBorders>
                  <w:noWrap w:val="0"/>
                  <w:vAlign w:val="center"/>
                </w:tcPr>
                <w:p w14:paraId="13BFA466">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350</w:t>
                  </w:r>
                </w:p>
              </w:tc>
              <w:tc>
                <w:tcPr>
                  <w:tcW w:w="638" w:type="dxa"/>
                  <w:tcBorders>
                    <w:tl2br w:val="nil"/>
                    <w:tr2bl w:val="nil"/>
                  </w:tcBorders>
                  <w:noWrap w:val="0"/>
                  <w:vAlign w:val="center"/>
                </w:tcPr>
                <w:p w14:paraId="012DD051">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0.143</w:t>
                  </w:r>
                </w:p>
              </w:tc>
              <w:tc>
                <w:tcPr>
                  <w:tcW w:w="341" w:type="pct"/>
                  <w:vMerge w:val="restart"/>
                  <w:tcBorders>
                    <w:tl2br w:val="nil"/>
                    <w:tr2bl w:val="nil"/>
                  </w:tcBorders>
                  <w:noWrap/>
                  <w:vAlign w:val="center"/>
                </w:tcPr>
                <w:p w14:paraId="1200CC5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间接排放</w:t>
                  </w:r>
                </w:p>
              </w:tc>
              <w:tc>
                <w:tcPr>
                  <w:tcW w:w="426" w:type="pct"/>
                  <w:vMerge w:val="restart"/>
                  <w:tcBorders>
                    <w:tl2br w:val="nil"/>
                    <w:tr2bl w:val="nil"/>
                  </w:tcBorders>
                  <w:noWrap/>
                  <w:vAlign w:val="center"/>
                </w:tcPr>
                <w:p w14:paraId="66D85FB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409.5</w:t>
                  </w:r>
                </w:p>
              </w:tc>
              <w:tc>
                <w:tcPr>
                  <w:tcW w:w="721" w:type="dxa"/>
                  <w:tcBorders>
                    <w:tl2br w:val="nil"/>
                    <w:tr2bl w:val="nil"/>
                  </w:tcBorders>
                  <w:noWrap/>
                  <w:vAlign w:val="center"/>
                </w:tcPr>
                <w:p w14:paraId="2C22458C">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0.08</w:t>
                  </w:r>
                  <w:r>
                    <w:rPr>
                      <w:rFonts w:hint="eastAsia" w:cs="Times New Roman"/>
                      <w:color w:val="auto"/>
                      <w:sz w:val="21"/>
                      <w:szCs w:val="21"/>
                      <w:highlight w:val="none"/>
                      <w:u w:val="single" w:color="auto"/>
                      <w:lang w:val="en-US" w:eastAsia="zh-CN"/>
                    </w:rPr>
                    <w:t>2</w:t>
                  </w:r>
                </w:p>
              </w:tc>
              <w:tc>
                <w:tcPr>
                  <w:tcW w:w="434" w:type="pct"/>
                  <w:tcBorders>
                    <w:tl2br w:val="nil"/>
                    <w:tr2bl w:val="nil"/>
                  </w:tcBorders>
                  <w:noWrap/>
                  <w:vAlign w:val="center"/>
                </w:tcPr>
                <w:p w14:paraId="56A4A4F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200</w:t>
                  </w:r>
                </w:p>
              </w:tc>
              <w:tc>
                <w:tcPr>
                  <w:tcW w:w="305" w:type="pct"/>
                  <w:vMerge w:val="restart"/>
                  <w:tcBorders>
                    <w:tl2br w:val="nil"/>
                    <w:tr2bl w:val="nil"/>
                  </w:tcBorders>
                  <w:noWrap/>
                  <w:vAlign w:val="center"/>
                </w:tcPr>
                <w:p w14:paraId="25AD5531">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化粪池</w:t>
                  </w:r>
                </w:p>
              </w:tc>
              <w:tc>
                <w:tcPr>
                  <w:tcW w:w="222" w:type="pct"/>
                  <w:vMerge w:val="restart"/>
                  <w:tcBorders>
                    <w:tl2br w:val="nil"/>
                    <w:tr2bl w:val="nil"/>
                  </w:tcBorders>
                  <w:noWrap/>
                  <w:vAlign w:val="center"/>
                </w:tcPr>
                <w:p w14:paraId="2C481A84">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100%</w:t>
                  </w:r>
                </w:p>
              </w:tc>
              <w:tc>
                <w:tcPr>
                  <w:tcW w:w="438" w:type="pct"/>
                  <w:tcBorders>
                    <w:tl2br w:val="nil"/>
                    <w:tr2bl w:val="nil"/>
                  </w:tcBorders>
                  <w:noWrap/>
                  <w:vAlign w:val="center"/>
                </w:tcPr>
                <w:p w14:paraId="2CDB7BD4">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42.86%</w:t>
                  </w:r>
                </w:p>
              </w:tc>
              <w:tc>
                <w:tcPr>
                  <w:tcW w:w="571" w:type="pct"/>
                  <w:vMerge w:val="restart"/>
                  <w:tcBorders>
                    <w:tl2br w:val="nil"/>
                    <w:tr2bl w:val="nil"/>
                  </w:tcBorders>
                  <w:noWrap/>
                  <w:vAlign w:val="center"/>
                </w:tcPr>
                <w:p w14:paraId="3C1E5322">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是</w:t>
                  </w:r>
                </w:p>
              </w:tc>
            </w:tr>
            <w:tr w14:paraId="567E117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36" w:hRule="atLeast"/>
                <w:jc w:val="center"/>
              </w:trPr>
              <w:tc>
                <w:tcPr>
                  <w:tcW w:w="217" w:type="pct"/>
                  <w:vMerge w:val="continue"/>
                  <w:tcBorders>
                    <w:tl2br w:val="nil"/>
                    <w:tr2bl w:val="nil"/>
                  </w:tcBorders>
                  <w:noWrap/>
                  <w:vAlign w:val="center"/>
                </w:tcPr>
                <w:p w14:paraId="5BBBB18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363" w:type="pct"/>
                  <w:vMerge w:val="continue"/>
                  <w:tcBorders>
                    <w:tl2br w:val="nil"/>
                    <w:tr2bl w:val="nil"/>
                  </w:tcBorders>
                  <w:noWrap/>
                  <w:vAlign w:val="center"/>
                </w:tcPr>
                <w:p w14:paraId="7BCD040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46" w:type="pct"/>
                  <w:tcBorders>
                    <w:tl2br w:val="nil"/>
                    <w:tr2bl w:val="nil"/>
                  </w:tcBorders>
                  <w:noWrap/>
                  <w:vAlign w:val="center"/>
                </w:tcPr>
                <w:p w14:paraId="297521C5">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BOD</w:t>
                  </w:r>
                  <w:r>
                    <w:rPr>
                      <w:rFonts w:hint="eastAsia" w:ascii="Times New Roman" w:hAnsi="Times New Roman" w:eastAsia="宋体" w:cs="Times New Roman"/>
                      <w:color w:val="auto"/>
                      <w:sz w:val="21"/>
                      <w:szCs w:val="21"/>
                      <w:highlight w:val="none"/>
                      <w:u w:val="single" w:color="auto"/>
                      <w:vertAlign w:val="subscript"/>
                      <w:lang w:val="en-US" w:eastAsia="zh-CN"/>
                    </w:rPr>
                    <w:t>5</w:t>
                  </w:r>
                </w:p>
              </w:tc>
              <w:tc>
                <w:tcPr>
                  <w:tcW w:w="428" w:type="pct"/>
                  <w:tcBorders>
                    <w:tl2br w:val="nil"/>
                    <w:tr2bl w:val="nil"/>
                  </w:tcBorders>
                  <w:noWrap/>
                  <w:vAlign w:val="center"/>
                </w:tcPr>
                <w:p w14:paraId="0E568B1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180</w:t>
                  </w:r>
                </w:p>
              </w:tc>
              <w:tc>
                <w:tcPr>
                  <w:tcW w:w="638" w:type="dxa"/>
                  <w:tcBorders>
                    <w:tl2br w:val="nil"/>
                    <w:tr2bl w:val="nil"/>
                  </w:tcBorders>
                  <w:noWrap/>
                  <w:vAlign w:val="center"/>
                </w:tcPr>
                <w:p w14:paraId="5A176F5A">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0.07</w:t>
                  </w:r>
                  <w:r>
                    <w:rPr>
                      <w:rFonts w:hint="eastAsia" w:cs="Times New Roman"/>
                      <w:color w:val="auto"/>
                      <w:sz w:val="21"/>
                      <w:szCs w:val="21"/>
                      <w:highlight w:val="none"/>
                      <w:u w:val="single" w:color="auto"/>
                      <w:lang w:val="en-US" w:eastAsia="zh-CN"/>
                    </w:rPr>
                    <w:t>4</w:t>
                  </w:r>
                </w:p>
              </w:tc>
              <w:tc>
                <w:tcPr>
                  <w:tcW w:w="341" w:type="pct"/>
                  <w:vMerge w:val="continue"/>
                  <w:tcBorders>
                    <w:tl2br w:val="nil"/>
                    <w:tr2bl w:val="nil"/>
                  </w:tcBorders>
                  <w:noWrap/>
                  <w:vAlign w:val="center"/>
                </w:tcPr>
                <w:p w14:paraId="371AD796">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26" w:type="pct"/>
                  <w:vMerge w:val="continue"/>
                  <w:tcBorders>
                    <w:tl2br w:val="nil"/>
                    <w:tr2bl w:val="nil"/>
                  </w:tcBorders>
                  <w:noWrap/>
                  <w:vAlign w:val="center"/>
                </w:tcPr>
                <w:p w14:paraId="2FB43AA1">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721" w:type="dxa"/>
                  <w:tcBorders>
                    <w:tl2br w:val="nil"/>
                    <w:tr2bl w:val="nil"/>
                  </w:tcBorders>
                  <w:noWrap/>
                  <w:vAlign w:val="center"/>
                </w:tcPr>
                <w:p w14:paraId="4632B19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0.049</w:t>
                  </w:r>
                </w:p>
              </w:tc>
              <w:tc>
                <w:tcPr>
                  <w:tcW w:w="434" w:type="pct"/>
                  <w:tcBorders>
                    <w:tl2br w:val="nil"/>
                    <w:tr2bl w:val="nil"/>
                  </w:tcBorders>
                  <w:noWrap/>
                  <w:vAlign w:val="center"/>
                </w:tcPr>
                <w:p w14:paraId="3D1D2284">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120</w:t>
                  </w:r>
                </w:p>
              </w:tc>
              <w:tc>
                <w:tcPr>
                  <w:tcW w:w="305" w:type="pct"/>
                  <w:vMerge w:val="continue"/>
                  <w:tcBorders>
                    <w:tl2br w:val="nil"/>
                    <w:tr2bl w:val="nil"/>
                  </w:tcBorders>
                  <w:noWrap/>
                  <w:vAlign w:val="center"/>
                </w:tcPr>
                <w:p w14:paraId="6D381B9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222" w:type="pct"/>
                  <w:vMerge w:val="continue"/>
                  <w:tcBorders>
                    <w:tl2br w:val="nil"/>
                    <w:tr2bl w:val="nil"/>
                  </w:tcBorders>
                  <w:noWrap/>
                  <w:vAlign w:val="center"/>
                </w:tcPr>
                <w:p w14:paraId="1D257BC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38" w:type="pct"/>
                  <w:tcBorders>
                    <w:tl2br w:val="nil"/>
                    <w:tr2bl w:val="nil"/>
                  </w:tcBorders>
                  <w:noWrap/>
                  <w:vAlign w:val="center"/>
                </w:tcPr>
                <w:p w14:paraId="3F1434D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33.33%</w:t>
                  </w:r>
                </w:p>
              </w:tc>
              <w:tc>
                <w:tcPr>
                  <w:tcW w:w="571" w:type="pct"/>
                  <w:vMerge w:val="continue"/>
                  <w:tcBorders>
                    <w:tl2br w:val="nil"/>
                    <w:tr2bl w:val="nil"/>
                  </w:tcBorders>
                  <w:noWrap/>
                  <w:vAlign w:val="center"/>
                </w:tcPr>
                <w:p w14:paraId="59AFA05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r>
            <w:tr w14:paraId="5672C2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36" w:hRule="atLeast"/>
                <w:jc w:val="center"/>
              </w:trPr>
              <w:tc>
                <w:tcPr>
                  <w:tcW w:w="217" w:type="pct"/>
                  <w:vMerge w:val="continue"/>
                  <w:tcBorders>
                    <w:tl2br w:val="nil"/>
                    <w:tr2bl w:val="nil"/>
                  </w:tcBorders>
                  <w:noWrap/>
                  <w:vAlign w:val="center"/>
                </w:tcPr>
                <w:p w14:paraId="26599D2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363" w:type="pct"/>
                  <w:vMerge w:val="continue"/>
                  <w:tcBorders>
                    <w:tl2br w:val="nil"/>
                    <w:tr2bl w:val="nil"/>
                  </w:tcBorders>
                  <w:noWrap/>
                  <w:vAlign w:val="center"/>
                </w:tcPr>
                <w:p w14:paraId="6BAEEF4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46" w:type="pct"/>
                  <w:tcBorders>
                    <w:tl2br w:val="nil"/>
                    <w:tr2bl w:val="nil"/>
                  </w:tcBorders>
                  <w:noWrap/>
                  <w:vAlign w:val="center"/>
                </w:tcPr>
                <w:p w14:paraId="039A95E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SS</w:t>
                  </w:r>
                </w:p>
              </w:tc>
              <w:tc>
                <w:tcPr>
                  <w:tcW w:w="428" w:type="pct"/>
                  <w:tcBorders>
                    <w:tl2br w:val="nil"/>
                    <w:tr2bl w:val="nil"/>
                  </w:tcBorders>
                  <w:noWrap w:val="0"/>
                  <w:vAlign w:val="center"/>
                </w:tcPr>
                <w:p w14:paraId="295CC8D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250</w:t>
                  </w:r>
                </w:p>
              </w:tc>
              <w:tc>
                <w:tcPr>
                  <w:tcW w:w="638" w:type="dxa"/>
                  <w:tcBorders>
                    <w:tl2br w:val="nil"/>
                    <w:tr2bl w:val="nil"/>
                  </w:tcBorders>
                  <w:noWrap/>
                  <w:vAlign w:val="center"/>
                </w:tcPr>
                <w:p w14:paraId="71C4E74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0.102</w:t>
                  </w:r>
                </w:p>
              </w:tc>
              <w:tc>
                <w:tcPr>
                  <w:tcW w:w="341" w:type="pct"/>
                  <w:vMerge w:val="continue"/>
                  <w:tcBorders>
                    <w:tl2br w:val="nil"/>
                    <w:tr2bl w:val="nil"/>
                  </w:tcBorders>
                  <w:noWrap/>
                  <w:vAlign w:val="center"/>
                </w:tcPr>
                <w:p w14:paraId="3597FFE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26" w:type="pct"/>
                  <w:vMerge w:val="continue"/>
                  <w:tcBorders>
                    <w:tl2br w:val="nil"/>
                    <w:tr2bl w:val="nil"/>
                  </w:tcBorders>
                  <w:noWrap/>
                  <w:vAlign w:val="center"/>
                </w:tcPr>
                <w:p w14:paraId="2EF6B862">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721" w:type="dxa"/>
                  <w:tcBorders>
                    <w:tl2br w:val="nil"/>
                    <w:tr2bl w:val="nil"/>
                  </w:tcBorders>
                  <w:noWrap/>
                  <w:vAlign w:val="center"/>
                </w:tcPr>
                <w:p w14:paraId="2DA2258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0.08</w:t>
                  </w:r>
                  <w:r>
                    <w:rPr>
                      <w:rFonts w:hint="eastAsia" w:cs="Times New Roman"/>
                      <w:color w:val="auto"/>
                      <w:sz w:val="21"/>
                      <w:szCs w:val="21"/>
                      <w:highlight w:val="none"/>
                      <w:u w:val="single" w:color="auto"/>
                      <w:lang w:val="en-US" w:eastAsia="zh-CN"/>
                    </w:rPr>
                    <w:t>2</w:t>
                  </w:r>
                </w:p>
              </w:tc>
              <w:tc>
                <w:tcPr>
                  <w:tcW w:w="434" w:type="pct"/>
                  <w:tcBorders>
                    <w:tl2br w:val="nil"/>
                    <w:tr2bl w:val="nil"/>
                  </w:tcBorders>
                  <w:noWrap/>
                  <w:vAlign w:val="center"/>
                </w:tcPr>
                <w:p w14:paraId="3A5DE1E1">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200</w:t>
                  </w:r>
                </w:p>
              </w:tc>
              <w:tc>
                <w:tcPr>
                  <w:tcW w:w="305" w:type="pct"/>
                  <w:vMerge w:val="continue"/>
                  <w:tcBorders>
                    <w:tl2br w:val="nil"/>
                    <w:tr2bl w:val="nil"/>
                  </w:tcBorders>
                  <w:noWrap/>
                  <w:vAlign w:val="center"/>
                </w:tcPr>
                <w:p w14:paraId="5275468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222" w:type="pct"/>
                  <w:vMerge w:val="continue"/>
                  <w:tcBorders>
                    <w:tl2br w:val="nil"/>
                    <w:tr2bl w:val="nil"/>
                  </w:tcBorders>
                  <w:noWrap/>
                  <w:vAlign w:val="center"/>
                </w:tcPr>
                <w:p w14:paraId="2F8DC55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38" w:type="pct"/>
                  <w:tcBorders>
                    <w:tl2br w:val="nil"/>
                    <w:tr2bl w:val="nil"/>
                  </w:tcBorders>
                  <w:noWrap/>
                  <w:vAlign w:val="center"/>
                </w:tcPr>
                <w:p w14:paraId="3E4DF31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20.00%</w:t>
                  </w:r>
                </w:p>
              </w:tc>
              <w:tc>
                <w:tcPr>
                  <w:tcW w:w="571" w:type="pct"/>
                  <w:vMerge w:val="continue"/>
                  <w:tcBorders>
                    <w:tl2br w:val="nil"/>
                    <w:tr2bl w:val="nil"/>
                  </w:tcBorders>
                  <w:noWrap/>
                  <w:vAlign w:val="center"/>
                </w:tcPr>
                <w:p w14:paraId="4066DF1C">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r>
            <w:tr w14:paraId="7EB409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36" w:hRule="atLeast"/>
                <w:jc w:val="center"/>
              </w:trPr>
              <w:tc>
                <w:tcPr>
                  <w:tcW w:w="217" w:type="pct"/>
                  <w:vMerge w:val="continue"/>
                  <w:tcBorders>
                    <w:tl2br w:val="nil"/>
                    <w:tr2bl w:val="nil"/>
                  </w:tcBorders>
                  <w:noWrap/>
                  <w:vAlign w:val="center"/>
                </w:tcPr>
                <w:p w14:paraId="5528ECC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363" w:type="pct"/>
                  <w:vMerge w:val="continue"/>
                  <w:tcBorders>
                    <w:tl2br w:val="nil"/>
                    <w:tr2bl w:val="nil"/>
                  </w:tcBorders>
                  <w:noWrap/>
                  <w:vAlign w:val="center"/>
                </w:tcPr>
                <w:p w14:paraId="30428F44">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46" w:type="pct"/>
                  <w:tcBorders>
                    <w:tl2br w:val="nil"/>
                    <w:tr2bl w:val="nil"/>
                  </w:tcBorders>
                  <w:noWrap/>
                  <w:vAlign w:val="center"/>
                </w:tcPr>
                <w:p w14:paraId="4A5FD98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NH</w:t>
                  </w:r>
                  <w:r>
                    <w:rPr>
                      <w:rFonts w:hint="eastAsia" w:ascii="Times New Roman" w:hAnsi="Times New Roman" w:eastAsia="宋体" w:cs="Times New Roman"/>
                      <w:color w:val="auto"/>
                      <w:sz w:val="21"/>
                      <w:szCs w:val="21"/>
                      <w:highlight w:val="none"/>
                      <w:u w:val="single" w:color="auto"/>
                      <w:vertAlign w:val="subscript"/>
                      <w:lang w:val="en-US" w:eastAsia="zh-CN"/>
                    </w:rPr>
                    <w:t>3</w:t>
                  </w:r>
                  <w:r>
                    <w:rPr>
                      <w:rFonts w:hint="eastAsia" w:ascii="Times New Roman" w:hAnsi="Times New Roman" w:eastAsia="宋体" w:cs="Times New Roman"/>
                      <w:color w:val="auto"/>
                      <w:sz w:val="21"/>
                      <w:szCs w:val="21"/>
                      <w:highlight w:val="none"/>
                      <w:u w:val="single" w:color="auto"/>
                      <w:lang w:val="en-US" w:eastAsia="zh-CN"/>
                    </w:rPr>
                    <w:t>-N</w:t>
                  </w:r>
                </w:p>
              </w:tc>
              <w:tc>
                <w:tcPr>
                  <w:tcW w:w="428" w:type="pct"/>
                  <w:tcBorders>
                    <w:tl2br w:val="nil"/>
                    <w:tr2bl w:val="nil"/>
                  </w:tcBorders>
                  <w:noWrap w:val="0"/>
                  <w:vAlign w:val="center"/>
                </w:tcPr>
                <w:p w14:paraId="3046720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30</w:t>
                  </w:r>
                </w:p>
              </w:tc>
              <w:tc>
                <w:tcPr>
                  <w:tcW w:w="638" w:type="dxa"/>
                  <w:tcBorders>
                    <w:tl2br w:val="nil"/>
                    <w:tr2bl w:val="nil"/>
                  </w:tcBorders>
                  <w:noWrap/>
                  <w:vAlign w:val="center"/>
                </w:tcPr>
                <w:p w14:paraId="242963C1">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0.01</w:t>
                  </w:r>
                  <w:r>
                    <w:rPr>
                      <w:rFonts w:hint="eastAsia" w:cs="Times New Roman"/>
                      <w:color w:val="auto"/>
                      <w:sz w:val="21"/>
                      <w:szCs w:val="21"/>
                      <w:highlight w:val="none"/>
                      <w:u w:val="single" w:color="auto"/>
                      <w:lang w:val="en-US" w:eastAsia="zh-CN"/>
                    </w:rPr>
                    <w:t>3</w:t>
                  </w:r>
                </w:p>
              </w:tc>
              <w:tc>
                <w:tcPr>
                  <w:tcW w:w="341" w:type="pct"/>
                  <w:vMerge w:val="continue"/>
                  <w:tcBorders>
                    <w:tl2br w:val="nil"/>
                    <w:tr2bl w:val="nil"/>
                  </w:tcBorders>
                  <w:noWrap/>
                  <w:vAlign w:val="center"/>
                </w:tcPr>
                <w:p w14:paraId="08FE22E5">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26" w:type="pct"/>
                  <w:vMerge w:val="continue"/>
                  <w:tcBorders>
                    <w:tl2br w:val="nil"/>
                    <w:tr2bl w:val="nil"/>
                  </w:tcBorders>
                  <w:noWrap/>
                  <w:vAlign w:val="center"/>
                </w:tcPr>
                <w:p w14:paraId="6BC61B2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721" w:type="dxa"/>
                  <w:tcBorders>
                    <w:tl2br w:val="nil"/>
                    <w:tr2bl w:val="nil"/>
                  </w:tcBorders>
                  <w:noWrap/>
                  <w:vAlign w:val="center"/>
                </w:tcPr>
                <w:p w14:paraId="7077205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0.008</w:t>
                  </w:r>
                </w:p>
              </w:tc>
              <w:tc>
                <w:tcPr>
                  <w:tcW w:w="434" w:type="pct"/>
                  <w:tcBorders>
                    <w:tl2br w:val="nil"/>
                    <w:tr2bl w:val="nil"/>
                  </w:tcBorders>
                  <w:noWrap/>
                  <w:vAlign w:val="center"/>
                </w:tcPr>
                <w:p w14:paraId="62D0064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20</w:t>
                  </w:r>
                </w:p>
              </w:tc>
              <w:tc>
                <w:tcPr>
                  <w:tcW w:w="305" w:type="pct"/>
                  <w:vMerge w:val="continue"/>
                  <w:tcBorders>
                    <w:tl2br w:val="nil"/>
                    <w:tr2bl w:val="nil"/>
                  </w:tcBorders>
                  <w:noWrap/>
                  <w:vAlign w:val="center"/>
                </w:tcPr>
                <w:p w14:paraId="67D8BE8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222" w:type="pct"/>
                  <w:vMerge w:val="continue"/>
                  <w:tcBorders>
                    <w:tl2br w:val="nil"/>
                    <w:tr2bl w:val="nil"/>
                  </w:tcBorders>
                  <w:noWrap/>
                  <w:vAlign w:val="center"/>
                </w:tcPr>
                <w:p w14:paraId="3B45CE84">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c>
                <w:tcPr>
                  <w:tcW w:w="438" w:type="pct"/>
                  <w:tcBorders>
                    <w:tl2br w:val="nil"/>
                    <w:tr2bl w:val="nil"/>
                  </w:tcBorders>
                  <w:noWrap/>
                  <w:vAlign w:val="center"/>
                </w:tcPr>
                <w:p w14:paraId="7E7956E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33.33%</w:t>
                  </w:r>
                </w:p>
              </w:tc>
              <w:tc>
                <w:tcPr>
                  <w:tcW w:w="571" w:type="pct"/>
                  <w:vMerge w:val="continue"/>
                  <w:tcBorders>
                    <w:tl2br w:val="nil"/>
                    <w:tr2bl w:val="nil"/>
                  </w:tcBorders>
                  <w:noWrap/>
                  <w:vAlign w:val="center"/>
                </w:tcPr>
                <w:p w14:paraId="2F5AE1E5">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p>
              </w:tc>
            </w:tr>
          </w:tbl>
          <w:p w14:paraId="2F631105">
            <w:pPr>
              <w:spacing w:line="240" w:lineRule="auto"/>
              <w:jc w:val="center"/>
              <w:rPr>
                <w:b/>
                <w:color w:val="auto"/>
                <w:spacing w:val="6"/>
                <w:sz w:val="21"/>
                <w:szCs w:val="21"/>
                <w:highlight w:val="none"/>
                <w:u w:val="single" w:color="auto"/>
              </w:rPr>
            </w:pPr>
            <w:r>
              <w:rPr>
                <w:b/>
                <w:color w:val="auto"/>
                <w:spacing w:val="6"/>
                <w:sz w:val="21"/>
                <w:szCs w:val="21"/>
                <w:highlight w:val="none"/>
                <w:u w:val="single" w:color="auto"/>
              </w:rPr>
              <w:t>表</w:t>
            </w:r>
            <w:r>
              <w:rPr>
                <w:rFonts w:hint="eastAsia"/>
                <w:b/>
                <w:color w:val="auto"/>
                <w:spacing w:val="6"/>
                <w:sz w:val="21"/>
                <w:szCs w:val="21"/>
                <w:highlight w:val="none"/>
                <w:u w:val="single" w:color="auto"/>
              </w:rPr>
              <w:t>4-</w:t>
            </w:r>
            <w:r>
              <w:rPr>
                <w:rFonts w:hint="eastAsia"/>
                <w:b/>
                <w:color w:val="auto"/>
                <w:spacing w:val="6"/>
                <w:sz w:val="21"/>
                <w:szCs w:val="21"/>
                <w:highlight w:val="none"/>
                <w:u w:val="single" w:color="auto"/>
                <w:lang w:val="en-US" w:eastAsia="zh-CN"/>
              </w:rPr>
              <w:t>3</w:t>
            </w:r>
            <w:r>
              <w:rPr>
                <w:b/>
                <w:color w:val="auto"/>
                <w:spacing w:val="6"/>
                <w:sz w:val="21"/>
                <w:szCs w:val="21"/>
                <w:highlight w:val="none"/>
                <w:u w:val="single" w:color="auto"/>
              </w:rPr>
              <w:t xml:space="preserve">  </w:t>
            </w:r>
            <w:r>
              <w:rPr>
                <w:rFonts w:hint="eastAsia"/>
                <w:b/>
                <w:color w:val="auto"/>
                <w:spacing w:val="6"/>
                <w:sz w:val="21"/>
                <w:szCs w:val="21"/>
                <w:highlight w:val="none"/>
                <w:u w:val="single" w:color="auto"/>
              </w:rPr>
              <w:t xml:space="preserve"> </w:t>
            </w:r>
            <w:r>
              <w:rPr>
                <w:b/>
                <w:color w:val="auto"/>
                <w:spacing w:val="6"/>
                <w:sz w:val="21"/>
                <w:szCs w:val="21"/>
                <w:highlight w:val="none"/>
                <w:u w:val="single" w:color="auto"/>
              </w:rPr>
              <w:t>废水间接排放口基本情况表</w:t>
            </w:r>
          </w:p>
          <w:tbl>
            <w:tblPr>
              <w:tblStyle w:val="29"/>
              <w:tblW w:w="4997"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958"/>
              <w:gridCol w:w="946"/>
              <w:gridCol w:w="1042"/>
              <w:gridCol w:w="739"/>
              <w:gridCol w:w="1038"/>
              <w:gridCol w:w="904"/>
              <w:gridCol w:w="846"/>
              <w:gridCol w:w="1978"/>
            </w:tblGrid>
            <w:tr w14:paraId="3A509BA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66" w:type="pct"/>
                  <w:tcBorders>
                    <w:tl2br w:val="nil"/>
                    <w:tr2bl w:val="nil"/>
                  </w:tcBorders>
                  <w:noWrap w:val="0"/>
                  <w:vAlign w:val="center"/>
                </w:tcPr>
                <w:p w14:paraId="40A2168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排放口编号</w:t>
                  </w:r>
                </w:p>
              </w:tc>
              <w:tc>
                <w:tcPr>
                  <w:tcW w:w="559" w:type="pct"/>
                  <w:tcBorders>
                    <w:tl2br w:val="nil"/>
                    <w:tr2bl w:val="nil"/>
                  </w:tcBorders>
                  <w:noWrap w:val="0"/>
                  <w:vAlign w:val="center"/>
                </w:tcPr>
                <w:p w14:paraId="4E396BA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排放口名称</w:t>
                  </w:r>
                </w:p>
              </w:tc>
              <w:tc>
                <w:tcPr>
                  <w:tcW w:w="616" w:type="pct"/>
                  <w:tcBorders>
                    <w:tl2br w:val="nil"/>
                    <w:tr2bl w:val="nil"/>
                  </w:tcBorders>
                  <w:noWrap w:val="0"/>
                  <w:vAlign w:val="center"/>
                </w:tcPr>
                <w:p w14:paraId="15068D7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地理坐标</w:t>
                  </w:r>
                </w:p>
              </w:tc>
              <w:tc>
                <w:tcPr>
                  <w:tcW w:w="437" w:type="pct"/>
                  <w:tcBorders>
                    <w:tl2br w:val="nil"/>
                    <w:tr2bl w:val="nil"/>
                  </w:tcBorders>
                  <w:noWrap w:val="0"/>
                  <w:vAlign w:val="center"/>
                </w:tcPr>
                <w:p w14:paraId="07FA8FE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排放方式</w:t>
                  </w:r>
                </w:p>
              </w:tc>
              <w:tc>
                <w:tcPr>
                  <w:tcW w:w="614" w:type="pct"/>
                  <w:tcBorders>
                    <w:tl2br w:val="nil"/>
                    <w:tr2bl w:val="nil"/>
                  </w:tcBorders>
                  <w:noWrap w:val="0"/>
                  <w:vAlign w:val="center"/>
                </w:tcPr>
                <w:p w14:paraId="14FCEA2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排放规律</w:t>
                  </w:r>
                </w:p>
              </w:tc>
              <w:tc>
                <w:tcPr>
                  <w:tcW w:w="534" w:type="pct"/>
                  <w:tcBorders>
                    <w:tl2br w:val="nil"/>
                    <w:tr2bl w:val="nil"/>
                  </w:tcBorders>
                  <w:noWrap w:val="0"/>
                  <w:vAlign w:val="center"/>
                </w:tcPr>
                <w:p w14:paraId="51FD3F0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排放去向</w:t>
                  </w:r>
                </w:p>
              </w:tc>
              <w:tc>
                <w:tcPr>
                  <w:tcW w:w="500" w:type="pct"/>
                  <w:tcBorders>
                    <w:tl2br w:val="nil"/>
                    <w:tr2bl w:val="nil"/>
                  </w:tcBorders>
                  <w:noWrap w:val="0"/>
                  <w:vAlign w:val="center"/>
                </w:tcPr>
                <w:p w14:paraId="19D3570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排放口类型</w:t>
                  </w:r>
                </w:p>
              </w:tc>
              <w:tc>
                <w:tcPr>
                  <w:tcW w:w="1170" w:type="pct"/>
                  <w:tcBorders>
                    <w:tl2br w:val="nil"/>
                    <w:tr2bl w:val="nil"/>
                  </w:tcBorders>
                  <w:noWrap w:val="0"/>
                  <w:vAlign w:val="center"/>
                </w:tcPr>
                <w:p w14:paraId="01F685B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排放标准</w:t>
                  </w:r>
                </w:p>
              </w:tc>
            </w:tr>
            <w:tr w14:paraId="62332AD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66" w:type="pct"/>
                  <w:tcBorders>
                    <w:tl2br w:val="nil"/>
                    <w:tr2bl w:val="nil"/>
                  </w:tcBorders>
                  <w:noWrap w:val="0"/>
                  <w:vAlign w:val="center"/>
                </w:tcPr>
                <w:p w14:paraId="4DB152F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DW001</w:t>
                  </w:r>
                </w:p>
              </w:tc>
              <w:tc>
                <w:tcPr>
                  <w:tcW w:w="559" w:type="pct"/>
                  <w:tcBorders>
                    <w:tl2br w:val="nil"/>
                    <w:tr2bl w:val="nil"/>
                  </w:tcBorders>
                  <w:noWrap w:val="0"/>
                  <w:vAlign w:val="center"/>
                </w:tcPr>
                <w:p w14:paraId="44BBBEC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废水总排口</w:t>
                  </w:r>
                </w:p>
              </w:tc>
              <w:tc>
                <w:tcPr>
                  <w:tcW w:w="616" w:type="pct"/>
                  <w:tcBorders>
                    <w:tl2br w:val="nil"/>
                    <w:tr2bl w:val="nil"/>
                  </w:tcBorders>
                  <w:noWrap w:val="0"/>
                  <w:vAlign w:val="center"/>
                </w:tcPr>
                <w:p w14:paraId="49C4545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E</w:t>
                  </w:r>
                  <w:r>
                    <w:rPr>
                      <w:rFonts w:hint="default" w:ascii="Times New Roman" w:hAnsi="Times New Roman" w:eastAsia="宋体" w:cs="Times New Roman"/>
                      <w:color w:val="auto"/>
                      <w:sz w:val="21"/>
                      <w:szCs w:val="21"/>
                      <w:highlight w:val="none"/>
                      <w:u w:val="single" w:color="auto"/>
                      <w:lang w:val="en-US" w:eastAsia="zh-CN"/>
                    </w:rPr>
                    <w:t>111.37474358</w:t>
                  </w:r>
                  <w:r>
                    <w:rPr>
                      <w:rFonts w:hint="eastAsia" w:cs="Times New Roman"/>
                      <w:color w:val="auto"/>
                      <w:sz w:val="21"/>
                      <w:szCs w:val="21"/>
                      <w:highlight w:val="none"/>
                      <w:u w:val="single" w:color="auto"/>
                      <w:lang w:val="en-US" w:eastAsia="zh-CN"/>
                    </w:rPr>
                    <w:t xml:space="preserve">, </w:t>
                  </w:r>
                  <w:r>
                    <w:rPr>
                      <w:rFonts w:hint="eastAsia" w:ascii="Times New Roman" w:hAnsi="Times New Roman" w:eastAsia="宋体" w:cs="Times New Roman"/>
                      <w:color w:val="auto"/>
                      <w:sz w:val="21"/>
                      <w:szCs w:val="21"/>
                      <w:highlight w:val="none"/>
                      <w:u w:val="single" w:color="auto"/>
                      <w:lang w:val="en-US" w:eastAsia="zh-CN"/>
                    </w:rPr>
                    <w:t>N</w:t>
                  </w:r>
                  <w:r>
                    <w:rPr>
                      <w:rFonts w:hint="default" w:ascii="Times New Roman" w:hAnsi="Times New Roman" w:eastAsia="宋体" w:cs="Times New Roman"/>
                      <w:color w:val="auto"/>
                      <w:sz w:val="21"/>
                      <w:szCs w:val="21"/>
                      <w:highlight w:val="none"/>
                      <w:u w:val="single" w:color="auto"/>
                      <w:lang w:val="en-US" w:eastAsia="zh-CN"/>
                    </w:rPr>
                    <w:t>25.25365502</w:t>
                  </w:r>
                </w:p>
              </w:tc>
              <w:tc>
                <w:tcPr>
                  <w:tcW w:w="437" w:type="pct"/>
                  <w:tcBorders>
                    <w:tl2br w:val="nil"/>
                    <w:tr2bl w:val="nil"/>
                  </w:tcBorders>
                  <w:noWrap w:val="0"/>
                  <w:vAlign w:val="center"/>
                </w:tcPr>
                <w:p w14:paraId="4DC8AB4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间接排放</w:t>
                  </w:r>
                </w:p>
              </w:tc>
              <w:tc>
                <w:tcPr>
                  <w:tcW w:w="614" w:type="pct"/>
                  <w:tcBorders>
                    <w:tl2br w:val="nil"/>
                    <w:tr2bl w:val="nil"/>
                  </w:tcBorders>
                  <w:noWrap w:val="0"/>
                  <w:vAlign w:val="center"/>
                </w:tcPr>
                <w:p w14:paraId="55A4FA3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color w:val="auto"/>
                      <w:kern w:val="0"/>
                      <w:sz w:val="21"/>
                      <w:szCs w:val="21"/>
                      <w:u w:val="single" w:color="auto"/>
                    </w:rPr>
                    <w:t>连续排放，流量稳定</w:t>
                  </w:r>
                </w:p>
              </w:tc>
              <w:tc>
                <w:tcPr>
                  <w:tcW w:w="534" w:type="pct"/>
                  <w:tcBorders>
                    <w:tl2br w:val="nil"/>
                    <w:tr2bl w:val="nil"/>
                  </w:tcBorders>
                  <w:noWrap w:val="0"/>
                  <w:vAlign w:val="center"/>
                </w:tcPr>
                <w:p w14:paraId="581D3FE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江永工业园污水处理厂</w:t>
                  </w:r>
                </w:p>
              </w:tc>
              <w:tc>
                <w:tcPr>
                  <w:tcW w:w="500" w:type="pct"/>
                  <w:tcBorders>
                    <w:tl2br w:val="nil"/>
                    <w:tr2bl w:val="nil"/>
                  </w:tcBorders>
                  <w:noWrap w:val="0"/>
                  <w:vAlign w:val="center"/>
                </w:tcPr>
                <w:p w14:paraId="3D359FD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一般排放口</w:t>
                  </w:r>
                </w:p>
              </w:tc>
              <w:tc>
                <w:tcPr>
                  <w:tcW w:w="1170" w:type="pct"/>
                  <w:tcBorders>
                    <w:tl2br w:val="nil"/>
                    <w:tr2bl w:val="nil"/>
                  </w:tcBorders>
                  <w:noWrap w:val="0"/>
                  <w:vAlign w:val="center"/>
                </w:tcPr>
                <w:p w14:paraId="3532540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《污水综合排放标准》（GB8978-1996）中表4中三级标准</w:t>
                  </w:r>
                </w:p>
              </w:tc>
            </w:tr>
          </w:tbl>
          <w:p w14:paraId="38578419">
            <w:pPr>
              <w:bidi w:val="0"/>
              <w:rPr>
                <w:rFonts w:hint="eastAsia"/>
                <w:color w:val="auto"/>
                <w:u w:val="single" w:color="auto"/>
                <w:lang w:val="en-US" w:eastAsia="zh-CN"/>
              </w:rPr>
            </w:pPr>
            <w:r>
              <w:rPr>
                <w:rFonts w:hint="eastAsia"/>
                <w:color w:val="auto"/>
                <w:u w:val="single" w:color="auto"/>
                <w:lang w:val="en-US" w:eastAsia="zh-CN"/>
              </w:rPr>
              <w:t>2、废水污染防治措施及可行性分析</w:t>
            </w:r>
          </w:p>
          <w:p w14:paraId="18C3431D">
            <w:pPr>
              <w:bidi w:val="0"/>
              <w:rPr>
                <w:rFonts w:hint="eastAsia"/>
                <w:color w:val="auto"/>
                <w:u w:val="single" w:color="auto"/>
                <w:lang w:val="en-US" w:eastAsia="zh-CN"/>
              </w:rPr>
            </w:pPr>
            <w:r>
              <w:rPr>
                <w:rFonts w:hint="eastAsia"/>
                <w:color w:val="auto"/>
                <w:u w:val="single" w:color="auto"/>
                <w:lang w:val="en-US" w:eastAsia="zh-CN"/>
              </w:rPr>
              <w:t>①污水预处理措施可行性</w:t>
            </w:r>
          </w:p>
          <w:p w14:paraId="4CF59970">
            <w:pPr>
              <w:bidi w:val="0"/>
              <w:rPr>
                <w:rFonts w:hint="eastAsia"/>
                <w:color w:val="auto"/>
                <w:u w:val="single" w:color="auto"/>
                <w:lang w:val="en-US" w:eastAsia="zh-CN"/>
              </w:rPr>
            </w:pPr>
            <w:r>
              <w:rPr>
                <w:rFonts w:hint="eastAsia"/>
                <w:color w:val="auto"/>
                <w:u w:val="single" w:color="auto"/>
                <w:lang w:val="en-US" w:eastAsia="zh-CN"/>
              </w:rPr>
              <w:t>本项目营运期生活污水经化粪池处理达到《污水综合排放标准》（GB8978-1996）表4中三级标准后通过市政污水管网同时满足江永工业园污水处理厂进水水质要求，根据《排污许可证申请与核发技术规范-金属铸造业》（HJ1115—2020）和《排污许可证申请与核发技术规范-水处理通用工序》（HJ1120-2020），生活污水预处理调整、隔油、格栅、沉淀、气浮、混凝为可行技术，项目生活污水采用化粪池（沉淀工艺）处理工艺为可行技术。</w:t>
            </w:r>
          </w:p>
          <w:p w14:paraId="7D953C7A">
            <w:pPr>
              <w:bidi w:val="0"/>
              <w:rPr>
                <w:rFonts w:hint="eastAsia"/>
                <w:color w:val="auto"/>
                <w:u w:val="single" w:color="auto"/>
                <w:lang w:val="en-US" w:eastAsia="zh-CN"/>
              </w:rPr>
            </w:pPr>
            <w:r>
              <w:rPr>
                <w:rFonts w:hint="eastAsia"/>
                <w:color w:val="auto"/>
                <w:u w:val="single" w:color="auto"/>
                <w:lang w:val="en-US" w:eastAsia="zh-CN"/>
              </w:rPr>
              <w:t>②废水进江永工业园污水处理厂可行性</w:t>
            </w:r>
          </w:p>
          <w:p w14:paraId="3D72FA07">
            <w:pPr>
              <w:bidi w:val="0"/>
              <w:rPr>
                <w:rFonts w:hint="eastAsia"/>
                <w:color w:val="auto"/>
                <w:u w:val="single" w:color="auto"/>
                <w:lang w:val="en-US" w:eastAsia="zh-CN"/>
              </w:rPr>
            </w:pPr>
            <w:r>
              <w:rPr>
                <w:color w:val="auto"/>
                <w:u w:val="single" w:color="auto"/>
              </w:rPr>
              <w:t>本项目排放的废水主要为生活污水，主要污染物为COD、BOD</w:t>
            </w:r>
            <w:r>
              <w:rPr>
                <w:color w:val="auto"/>
                <w:u w:val="single" w:color="auto"/>
                <w:vertAlign w:val="subscript"/>
              </w:rPr>
              <w:t>5</w:t>
            </w:r>
            <w:r>
              <w:rPr>
                <w:color w:val="auto"/>
                <w:u w:val="single" w:color="auto"/>
              </w:rPr>
              <w:t>、SS、氨氮等，无重金属等有毒有害物质。生活污水经化粪池处理后，通过市政污水管道排入江永产业开发区污水处理厂，江永产业开发区污水处理厂尾水处理均达到《城镇污水处理厂污染物排放标准》GB18918-2002 中一级A标准后排入马河。江永产业开发区污水处理厂位于江永产业开发区 北侧塔山路(S325省道)与滨河西路交叉口西南处，建设规模为5000m³/d，配套污水管网总长度10653m，分两期建设，一期处理规模为2500m³/d，主要收集处理江永产业开发区利田片区内工业废水、生活污水，本项目属于其纳污范围。</w:t>
            </w:r>
            <w:r>
              <w:rPr>
                <w:rFonts w:hint="eastAsia"/>
                <w:color w:val="auto"/>
                <w:u w:val="single" w:color="auto"/>
                <w:lang w:eastAsia="zh-CN"/>
              </w:rPr>
              <w:t>污水处理厂</w:t>
            </w:r>
            <w:r>
              <w:rPr>
                <w:color w:val="auto"/>
                <w:u w:val="single" w:color="auto"/>
              </w:rPr>
              <w:t>采用A/O污水处理工艺，江永产业开发区污水处理厂废水接管标准为《污水综合排放标准》(GB8978-1996)三级标准：COD≤400mg/L，SS≤300mg/L，BOD</w:t>
            </w:r>
            <w:r>
              <w:rPr>
                <w:color w:val="auto"/>
                <w:u w:val="single" w:color="auto"/>
                <w:vertAlign w:val="subscript"/>
              </w:rPr>
              <w:t>5</w:t>
            </w:r>
            <w:r>
              <w:rPr>
                <w:color w:val="auto"/>
                <w:u w:val="single" w:color="auto"/>
              </w:rPr>
              <w:t>≤200mg/L，氨氮≤40mg/L，动植物油25mg/L，TN45mg/L、TP3mg/L，pH6~9。根据江永县工业园区管理委员会介绍，目前工业园污水处理厂一期主体工程已建成并投运，配套园区至污水处理厂污水管网已基本敷设完成。污水处理厂进水水质各污染物浓度限值为COD≤400mg/L， SS≤300mg/L，BOD</w:t>
            </w:r>
            <w:r>
              <w:rPr>
                <w:color w:val="auto"/>
                <w:u w:val="single" w:color="auto"/>
                <w:vertAlign w:val="subscript"/>
              </w:rPr>
              <w:t>5</w:t>
            </w:r>
            <w:r>
              <w:rPr>
                <w:color w:val="auto"/>
                <w:u w:val="single" w:color="auto"/>
              </w:rPr>
              <w:t>≤200mg/L，氨氮≤40mg/L，动植物油25mg/L，TN45mg/L、TP3mg/L。本项目排放的污水为员工生活污水，项目位于江永县工业园内，属于江永产业开发区污水处理厂纳污范围内，废水水质简单，废水量为8.5m</w:t>
            </w:r>
            <w:r>
              <w:rPr>
                <w:rFonts w:hint="eastAsia"/>
                <w:color w:val="auto"/>
                <w:u w:val="single" w:color="auto"/>
                <w:vertAlign w:val="superscript"/>
                <w:lang w:val="en-US" w:eastAsia="zh-CN"/>
              </w:rPr>
              <w:t>3</w:t>
            </w:r>
            <w:r>
              <w:rPr>
                <w:color w:val="auto"/>
                <w:u w:val="single" w:color="auto"/>
              </w:rPr>
              <w:t>/d，所占比例较小，对江永产业开发区污水处理厂的处理负荷影响不大，生活污水经化粪池预处理后可达到江永产业开发区污水处理厂进水水质要求，水量、水质均不会对江永产业开发区污水处理厂产生冲击影响。因此本项目外排生活污水进入江永县</w:t>
            </w:r>
            <w:r>
              <w:rPr>
                <w:rFonts w:hint="eastAsia"/>
                <w:color w:val="auto"/>
                <w:u w:val="single" w:color="auto"/>
                <w:lang w:eastAsia="zh-CN"/>
              </w:rPr>
              <w:t>污水处理厂</w:t>
            </w:r>
            <w:r>
              <w:rPr>
                <w:color w:val="auto"/>
                <w:u w:val="single" w:color="auto"/>
              </w:rPr>
              <w:t>处理可行，且对江永产业开发区污水处理厂的水质和水量不会产生冲击影响</w:t>
            </w:r>
            <w:r>
              <w:rPr>
                <w:rFonts w:hint="eastAsia"/>
                <w:color w:val="auto"/>
                <w:u w:val="single" w:color="auto"/>
                <w:lang w:val="en-US" w:eastAsia="zh-CN"/>
              </w:rPr>
              <w:t>。</w:t>
            </w:r>
          </w:p>
          <w:p w14:paraId="0DA6F678">
            <w:pPr>
              <w:bidi w:val="0"/>
              <w:rPr>
                <w:rFonts w:hint="eastAsia"/>
                <w:color w:val="auto"/>
                <w:u w:val="single" w:color="auto"/>
                <w:lang w:val="en-US" w:eastAsia="zh-CN"/>
              </w:rPr>
            </w:pPr>
            <w:r>
              <w:rPr>
                <w:rFonts w:hint="eastAsia"/>
                <w:color w:val="auto"/>
                <w:u w:val="single" w:color="auto"/>
                <w:lang w:val="en-US" w:eastAsia="zh-CN"/>
              </w:rPr>
              <w:t>3、监测要求</w:t>
            </w:r>
          </w:p>
          <w:p w14:paraId="3265E48D">
            <w:pPr>
              <w:bidi w:val="0"/>
              <w:rPr>
                <w:rFonts w:hint="eastAsia"/>
                <w:color w:val="auto"/>
                <w:u w:val="single" w:color="auto"/>
                <w:lang w:val="en-US" w:eastAsia="zh-CN"/>
              </w:rPr>
            </w:pPr>
            <w:r>
              <w:rPr>
                <w:color w:val="auto"/>
                <w:u w:val="single" w:color="auto"/>
              </w:rPr>
              <w:t>本项目单独排向公共污水处理系统的生活污水仅说明排放去向，无须监测。</w:t>
            </w:r>
          </w:p>
          <w:p w14:paraId="51E7451D">
            <w:pPr>
              <w:ind w:firstLine="482"/>
              <w:rPr>
                <w:rFonts w:hint="eastAsia"/>
                <w:b/>
                <w:bCs/>
                <w:color w:val="auto"/>
                <w:u w:val="single" w:color="auto"/>
              </w:rPr>
            </w:pPr>
            <w:r>
              <w:rPr>
                <w:rFonts w:hint="eastAsia"/>
                <w:b/>
                <w:bCs/>
                <w:color w:val="auto"/>
                <w:u w:val="single" w:color="auto"/>
              </w:rPr>
              <w:t>（</w:t>
            </w:r>
            <w:r>
              <w:rPr>
                <w:rFonts w:hint="eastAsia"/>
                <w:b/>
                <w:bCs/>
                <w:color w:val="auto"/>
                <w:u w:val="single" w:color="auto"/>
                <w:lang w:val="en-US" w:eastAsia="zh-CN"/>
              </w:rPr>
              <w:t>三</w:t>
            </w:r>
            <w:r>
              <w:rPr>
                <w:rFonts w:hint="eastAsia"/>
                <w:b/>
                <w:bCs/>
                <w:color w:val="auto"/>
                <w:u w:val="single" w:color="auto"/>
              </w:rPr>
              <w:t>）运营期</w:t>
            </w:r>
            <w:r>
              <w:rPr>
                <w:rFonts w:hint="eastAsia"/>
                <w:b/>
                <w:bCs/>
                <w:color w:val="auto"/>
                <w:u w:val="single" w:color="auto"/>
                <w:lang w:val="en-US" w:eastAsia="zh-CN"/>
              </w:rPr>
              <w:t>声</w:t>
            </w:r>
            <w:r>
              <w:rPr>
                <w:rFonts w:hint="eastAsia"/>
                <w:b/>
                <w:bCs/>
                <w:color w:val="auto"/>
                <w:u w:val="single" w:color="auto"/>
              </w:rPr>
              <w:t>环境影响和保护措施</w:t>
            </w:r>
          </w:p>
          <w:p w14:paraId="30553C70">
            <w:pPr>
              <w:bidi w:val="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1、噪声源</w:t>
            </w:r>
          </w:p>
          <w:p w14:paraId="522B05B8">
            <w:pPr>
              <w:bidi w:val="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本项目营运期主要噪声源为铸造机、立式带锯床、砂芯机、龙门加工中心、立式加工中心等机械设备，均为室内噪声源，各类噪声产生源强见下表。</w:t>
            </w:r>
          </w:p>
          <w:p w14:paraId="23B5C7AB">
            <w:pPr>
              <w:adjustRightInd w:val="0"/>
              <w:snapToGrid w:val="0"/>
              <w:spacing w:line="240" w:lineRule="auto"/>
              <w:jc w:val="center"/>
              <w:rPr>
                <w:rFonts w:hint="eastAsia" w:ascii="Times New Roman" w:hAnsi="Times New Roman" w:eastAsia="宋体" w:cs="Times New Roman"/>
                <w:b/>
                <w:color w:val="auto"/>
                <w:kern w:val="21"/>
                <w:sz w:val="21"/>
                <w:szCs w:val="21"/>
                <w:u w:val="single" w:color="auto"/>
              </w:rPr>
            </w:pPr>
            <w:r>
              <w:rPr>
                <w:rFonts w:hint="eastAsia" w:ascii="Times New Roman" w:hAnsi="Times New Roman" w:eastAsia="宋体" w:cs="Times New Roman"/>
                <w:b/>
                <w:color w:val="auto"/>
                <w:kern w:val="21"/>
                <w:sz w:val="21"/>
                <w:szCs w:val="21"/>
                <w:u w:val="single" w:color="auto"/>
              </w:rPr>
              <w:t>表4-</w:t>
            </w:r>
            <w:r>
              <w:rPr>
                <w:rFonts w:hint="eastAsia" w:ascii="Times New Roman" w:hAnsi="Times New Roman" w:eastAsia="宋体" w:cs="Times New Roman"/>
                <w:b/>
                <w:color w:val="auto"/>
                <w:kern w:val="21"/>
                <w:sz w:val="21"/>
                <w:szCs w:val="21"/>
                <w:u w:val="single" w:color="auto"/>
                <w:lang w:val="en-US" w:eastAsia="zh-CN"/>
              </w:rPr>
              <w:t xml:space="preserve">4 </w:t>
            </w:r>
            <w:r>
              <w:rPr>
                <w:rFonts w:hint="eastAsia" w:ascii="Times New Roman" w:hAnsi="Times New Roman" w:eastAsia="宋体" w:cs="Times New Roman"/>
                <w:b/>
                <w:color w:val="auto"/>
                <w:kern w:val="21"/>
                <w:sz w:val="21"/>
                <w:szCs w:val="21"/>
                <w:u w:val="single" w:color="auto"/>
              </w:rPr>
              <w:t xml:space="preserve"> 工业企业噪声源强调查清单（室内声源）</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87"/>
              <w:gridCol w:w="480"/>
              <w:gridCol w:w="480"/>
              <w:gridCol w:w="435"/>
              <w:gridCol w:w="510"/>
              <w:gridCol w:w="510"/>
              <w:gridCol w:w="495"/>
              <w:gridCol w:w="621"/>
              <w:gridCol w:w="354"/>
              <w:gridCol w:w="450"/>
              <w:gridCol w:w="630"/>
              <w:gridCol w:w="705"/>
              <w:gridCol w:w="480"/>
              <w:gridCol w:w="750"/>
              <w:gridCol w:w="720"/>
              <w:gridCol w:w="551"/>
            </w:tblGrid>
            <w:tr w14:paraId="5813C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restart"/>
                  <w:tcBorders>
                    <w:tl2br w:val="nil"/>
                    <w:tr2bl w:val="nil"/>
                  </w:tcBorders>
                  <w:shd w:val="clear" w:color="auto" w:fill="auto"/>
                  <w:noWrap/>
                  <w:vAlign w:val="center"/>
                </w:tcPr>
                <w:p w14:paraId="4FFCD32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序号</w:t>
                  </w:r>
                </w:p>
              </w:tc>
              <w:tc>
                <w:tcPr>
                  <w:tcW w:w="283" w:type="pct"/>
                  <w:vMerge w:val="restart"/>
                  <w:tcBorders>
                    <w:tl2br w:val="nil"/>
                    <w:tr2bl w:val="nil"/>
                  </w:tcBorders>
                  <w:shd w:val="clear" w:color="auto" w:fill="auto"/>
                  <w:noWrap/>
                  <w:vAlign w:val="center"/>
                </w:tcPr>
                <w:p w14:paraId="699FF0C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生产厂房名称</w:t>
                  </w:r>
                </w:p>
              </w:tc>
              <w:tc>
                <w:tcPr>
                  <w:tcW w:w="283" w:type="pct"/>
                  <w:vMerge w:val="restart"/>
                  <w:tcBorders>
                    <w:tl2br w:val="nil"/>
                    <w:tr2bl w:val="nil"/>
                  </w:tcBorders>
                  <w:shd w:val="clear" w:color="auto" w:fill="auto"/>
                  <w:noWrap/>
                  <w:vAlign w:val="center"/>
                </w:tcPr>
                <w:p w14:paraId="0FA2E5A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声源名称</w:t>
                  </w:r>
                </w:p>
              </w:tc>
              <w:tc>
                <w:tcPr>
                  <w:tcW w:w="257" w:type="pct"/>
                  <w:vMerge w:val="restart"/>
                  <w:tcBorders>
                    <w:tl2br w:val="nil"/>
                    <w:tr2bl w:val="nil"/>
                  </w:tcBorders>
                  <w:shd w:val="clear" w:color="auto" w:fill="auto"/>
                  <w:noWrap/>
                  <w:vAlign w:val="center"/>
                </w:tcPr>
                <w:p w14:paraId="3845319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型号</w:t>
                  </w:r>
                </w:p>
              </w:tc>
              <w:tc>
                <w:tcPr>
                  <w:tcW w:w="301" w:type="pct"/>
                  <w:vMerge w:val="restart"/>
                  <w:tcBorders>
                    <w:tl2br w:val="nil"/>
                    <w:tr2bl w:val="nil"/>
                  </w:tcBorders>
                  <w:shd w:val="clear" w:color="auto" w:fill="auto"/>
                  <w:noWrap/>
                  <w:vAlign w:val="center"/>
                </w:tcPr>
                <w:p w14:paraId="7954B85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声功率级/dB(A</w:t>
                  </w:r>
                </w:p>
              </w:tc>
              <w:tc>
                <w:tcPr>
                  <w:tcW w:w="301" w:type="pct"/>
                  <w:vMerge w:val="restart"/>
                  <w:tcBorders>
                    <w:tl2br w:val="nil"/>
                    <w:tr2bl w:val="nil"/>
                  </w:tcBorders>
                  <w:shd w:val="clear" w:color="auto" w:fill="auto"/>
                  <w:noWrap/>
                  <w:vAlign w:val="center"/>
                </w:tcPr>
                <w:p w14:paraId="6BA9BD8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声源控制措施</w:t>
                  </w:r>
                </w:p>
              </w:tc>
              <w:tc>
                <w:tcPr>
                  <w:tcW w:w="868" w:type="pct"/>
                  <w:gridSpan w:val="3"/>
                  <w:tcBorders>
                    <w:tl2br w:val="nil"/>
                    <w:tr2bl w:val="nil"/>
                  </w:tcBorders>
                  <w:shd w:val="clear" w:color="auto" w:fill="auto"/>
                  <w:noWrap/>
                  <w:vAlign w:val="center"/>
                </w:tcPr>
                <w:p w14:paraId="2BD4DF0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空间相对位置/m</w:t>
                  </w:r>
                </w:p>
              </w:tc>
              <w:tc>
                <w:tcPr>
                  <w:tcW w:w="638" w:type="pct"/>
                  <w:gridSpan w:val="2"/>
                  <w:vMerge w:val="restart"/>
                  <w:tcBorders>
                    <w:tl2br w:val="nil"/>
                    <w:tr2bl w:val="nil"/>
                  </w:tcBorders>
                  <w:shd w:val="clear" w:color="auto" w:fill="auto"/>
                  <w:noWrap/>
                  <w:vAlign w:val="center"/>
                </w:tcPr>
                <w:p w14:paraId="332119A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距室内边界距离/m</w:t>
                  </w:r>
                </w:p>
              </w:tc>
              <w:tc>
                <w:tcPr>
                  <w:tcW w:w="416" w:type="pct"/>
                  <w:vMerge w:val="restart"/>
                  <w:tcBorders>
                    <w:tl2br w:val="nil"/>
                    <w:tr2bl w:val="nil"/>
                  </w:tcBorders>
                  <w:shd w:val="clear" w:color="auto" w:fill="auto"/>
                  <w:noWrap/>
                  <w:vAlign w:val="center"/>
                </w:tcPr>
                <w:p w14:paraId="13E3998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室内边界声级/dB(A)</w:t>
                  </w:r>
                </w:p>
              </w:tc>
              <w:tc>
                <w:tcPr>
                  <w:tcW w:w="283" w:type="pct"/>
                  <w:vMerge w:val="restart"/>
                  <w:tcBorders>
                    <w:tl2br w:val="nil"/>
                    <w:tr2bl w:val="nil"/>
                  </w:tcBorders>
                  <w:shd w:val="clear" w:color="auto" w:fill="auto"/>
                  <w:noWrap/>
                  <w:vAlign w:val="center"/>
                </w:tcPr>
                <w:p w14:paraId="001BC88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运行时段</w:t>
                  </w:r>
                </w:p>
              </w:tc>
              <w:tc>
                <w:tcPr>
                  <w:tcW w:w="443" w:type="pct"/>
                  <w:vMerge w:val="restart"/>
                  <w:tcBorders>
                    <w:tl2br w:val="nil"/>
                    <w:tr2bl w:val="nil"/>
                  </w:tcBorders>
                  <w:shd w:val="clear" w:color="auto" w:fill="auto"/>
                  <w:noWrap/>
                  <w:vAlign w:val="center"/>
                </w:tcPr>
                <w:p w14:paraId="34D73C5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生产厂房插入损失/dB(A)</w:t>
                  </w:r>
                </w:p>
              </w:tc>
              <w:tc>
                <w:tcPr>
                  <w:tcW w:w="751" w:type="pct"/>
                  <w:gridSpan w:val="2"/>
                  <w:tcBorders>
                    <w:tl2br w:val="nil"/>
                    <w:tr2bl w:val="nil"/>
                  </w:tcBorders>
                  <w:shd w:val="clear" w:color="auto" w:fill="auto"/>
                  <w:noWrap/>
                  <w:vAlign w:val="center"/>
                </w:tcPr>
                <w:p w14:paraId="6DA5213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生产厂房外噪声</w:t>
                  </w:r>
                </w:p>
              </w:tc>
            </w:tr>
            <w:tr w14:paraId="54668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3BCC9E5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139B3EF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6A5B69F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4B2A9F5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vAlign w:val="center"/>
                </w:tcPr>
                <w:p w14:paraId="2653781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7B2C8F9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tcBorders>
                    <w:tl2br w:val="nil"/>
                    <w:tr2bl w:val="nil"/>
                  </w:tcBorders>
                  <w:shd w:val="clear" w:color="auto" w:fill="auto"/>
                  <w:noWrap/>
                  <w:vAlign w:val="center"/>
                </w:tcPr>
                <w:p w14:paraId="10D7039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X</w:t>
                  </w:r>
                </w:p>
              </w:tc>
              <w:tc>
                <w:tcPr>
                  <w:tcW w:w="367" w:type="pct"/>
                  <w:tcBorders>
                    <w:tl2br w:val="nil"/>
                    <w:tr2bl w:val="nil"/>
                  </w:tcBorders>
                  <w:shd w:val="clear" w:color="auto" w:fill="auto"/>
                  <w:noWrap/>
                  <w:vAlign w:val="center"/>
                </w:tcPr>
                <w:p w14:paraId="4A93DBA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Y</w:t>
                  </w:r>
                </w:p>
              </w:tc>
              <w:tc>
                <w:tcPr>
                  <w:tcW w:w="209" w:type="pct"/>
                  <w:tcBorders>
                    <w:tl2br w:val="nil"/>
                    <w:tr2bl w:val="nil"/>
                  </w:tcBorders>
                  <w:shd w:val="clear" w:color="auto" w:fill="auto"/>
                  <w:noWrap/>
                  <w:vAlign w:val="center"/>
                </w:tcPr>
                <w:p w14:paraId="6870DA5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Z</w:t>
                  </w:r>
                </w:p>
              </w:tc>
              <w:tc>
                <w:tcPr>
                  <w:tcW w:w="638" w:type="pct"/>
                  <w:gridSpan w:val="2"/>
                  <w:vMerge w:val="continue"/>
                  <w:tcBorders>
                    <w:tl2br w:val="nil"/>
                    <w:tr2bl w:val="nil"/>
                  </w:tcBorders>
                  <w:shd w:val="clear" w:color="auto" w:fill="auto"/>
                  <w:noWrap/>
                  <w:vAlign w:val="center"/>
                </w:tcPr>
                <w:p w14:paraId="4A65C7B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16" w:type="pct"/>
                  <w:vMerge w:val="continue"/>
                  <w:tcBorders>
                    <w:tl2br w:val="nil"/>
                    <w:tr2bl w:val="nil"/>
                  </w:tcBorders>
                  <w:shd w:val="clear" w:color="auto" w:fill="auto"/>
                  <w:noWrap/>
                  <w:vAlign w:val="center"/>
                </w:tcPr>
                <w:p w14:paraId="4CB0167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4018706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2AC387D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5F2ED4D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声压级/dB(A)</w:t>
                  </w:r>
                </w:p>
              </w:tc>
              <w:tc>
                <w:tcPr>
                  <w:tcW w:w="325" w:type="pct"/>
                  <w:tcBorders>
                    <w:tl2br w:val="nil"/>
                    <w:tr2bl w:val="nil"/>
                  </w:tcBorders>
                  <w:shd w:val="clear" w:color="auto" w:fill="auto"/>
                  <w:noWrap/>
                  <w:vAlign w:val="center"/>
                </w:tcPr>
                <w:p w14:paraId="489B56B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距离</w:t>
                  </w:r>
                </w:p>
              </w:tc>
            </w:tr>
            <w:tr w14:paraId="275BB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restart"/>
                  <w:tcBorders>
                    <w:tl2br w:val="nil"/>
                    <w:tr2bl w:val="nil"/>
                  </w:tcBorders>
                  <w:shd w:val="clear" w:color="auto" w:fill="auto"/>
                  <w:noWrap/>
                  <w:vAlign w:val="center"/>
                </w:tcPr>
                <w:p w14:paraId="2D9AE61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c>
                <w:tcPr>
                  <w:tcW w:w="283" w:type="pct"/>
                  <w:vMerge w:val="restart"/>
                  <w:tcBorders>
                    <w:tl2br w:val="nil"/>
                    <w:tr2bl w:val="nil"/>
                  </w:tcBorders>
                  <w:shd w:val="clear" w:color="auto" w:fill="auto"/>
                  <w:noWrap/>
                  <w:vAlign w:val="center"/>
                </w:tcPr>
                <w:p w14:paraId="4FDB535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生产厂房</w:t>
                  </w:r>
                </w:p>
              </w:tc>
              <w:tc>
                <w:tcPr>
                  <w:tcW w:w="283" w:type="pct"/>
                  <w:vMerge w:val="restart"/>
                  <w:tcBorders>
                    <w:tl2br w:val="nil"/>
                    <w:tr2bl w:val="nil"/>
                  </w:tcBorders>
                  <w:shd w:val="clear" w:color="auto" w:fill="auto"/>
                  <w:noWrap/>
                  <w:vAlign w:val="center"/>
                </w:tcPr>
                <w:p w14:paraId="3EF9DFF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低压铸造机</w:t>
                  </w:r>
                </w:p>
              </w:tc>
              <w:tc>
                <w:tcPr>
                  <w:tcW w:w="257" w:type="pct"/>
                  <w:vMerge w:val="restart"/>
                  <w:tcBorders>
                    <w:tl2br w:val="nil"/>
                    <w:tr2bl w:val="nil"/>
                  </w:tcBorders>
                  <w:shd w:val="clear" w:color="auto" w:fill="auto"/>
                  <w:noWrap/>
                  <w:vAlign w:val="center"/>
                </w:tcPr>
                <w:p w14:paraId="7A0BA38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cs="Times New Roman"/>
                      <w:snapToGrid/>
                      <w:color w:val="auto"/>
                      <w:kern w:val="2"/>
                      <w:sz w:val="18"/>
                      <w:szCs w:val="18"/>
                      <w:highlight w:val="none"/>
                      <w:u w:val="single" w:color="auto"/>
                      <w:lang w:val="en-US" w:eastAsia="zh-CN"/>
                    </w:rPr>
                    <w:t>/</w:t>
                  </w:r>
                </w:p>
              </w:tc>
              <w:tc>
                <w:tcPr>
                  <w:tcW w:w="301" w:type="pct"/>
                  <w:vMerge w:val="restart"/>
                  <w:tcBorders>
                    <w:tl2br w:val="nil"/>
                    <w:tr2bl w:val="nil"/>
                  </w:tcBorders>
                  <w:shd w:val="clear" w:color="auto" w:fill="auto"/>
                  <w:noWrap/>
                  <w:vAlign w:val="center"/>
                </w:tcPr>
                <w:p w14:paraId="1AFA848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75</w:t>
                  </w:r>
                </w:p>
              </w:tc>
              <w:tc>
                <w:tcPr>
                  <w:tcW w:w="301" w:type="pct"/>
                  <w:vMerge w:val="restart"/>
                  <w:tcBorders>
                    <w:tl2br w:val="nil"/>
                    <w:tr2bl w:val="nil"/>
                  </w:tcBorders>
                  <w:shd w:val="clear" w:color="auto" w:fill="auto"/>
                  <w:noWrap/>
                  <w:vAlign w:val="center"/>
                </w:tcPr>
                <w:p w14:paraId="2910B1B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减震、隔声</w:t>
                  </w:r>
                </w:p>
              </w:tc>
              <w:tc>
                <w:tcPr>
                  <w:tcW w:w="292" w:type="pct"/>
                  <w:vMerge w:val="restart"/>
                  <w:tcBorders>
                    <w:tl2br w:val="nil"/>
                    <w:tr2bl w:val="nil"/>
                  </w:tcBorders>
                  <w:shd w:val="clear" w:color="auto" w:fill="auto"/>
                  <w:noWrap/>
                  <w:vAlign w:val="center"/>
                </w:tcPr>
                <w:p w14:paraId="66352F4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6.49</w:t>
                  </w:r>
                </w:p>
              </w:tc>
              <w:tc>
                <w:tcPr>
                  <w:tcW w:w="367" w:type="pct"/>
                  <w:vMerge w:val="restart"/>
                  <w:tcBorders>
                    <w:tl2br w:val="nil"/>
                    <w:tr2bl w:val="nil"/>
                  </w:tcBorders>
                  <w:shd w:val="clear" w:color="auto" w:fill="auto"/>
                  <w:noWrap/>
                  <w:vAlign w:val="center"/>
                </w:tcPr>
                <w:p w14:paraId="3F55861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36.97</w:t>
                  </w:r>
                </w:p>
              </w:tc>
              <w:tc>
                <w:tcPr>
                  <w:tcW w:w="209" w:type="pct"/>
                  <w:vMerge w:val="restart"/>
                  <w:tcBorders>
                    <w:tl2br w:val="nil"/>
                    <w:tr2bl w:val="nil"/>
                  </w:tcBorders>
                  <w:shd w:val="clear" w:color="auto" w:fill="auto"/>
                  <w:noWrap/>
                  <w:vAlign w:val="center"/>
                </w:tcPr>
                <w:p w14:paraId="5893B56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c>
                <w:tcPr>
                  <w:tcW w:w="266" w:type="pct"/>
                  <w:tcBorders>
                    <w:tl2br w:val="nil"/>
                    <w:tr2bl w:val="nil"/>
                  </w:tcBorders>
                  <w:shd w:val="clear" w:color="auto" w:fill="auto"/>
                  <w:noWrap/>
                  <w:vAlign w:val="center"/>
                </w:tcPr>
                <w:p w14:paraId="202CC42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东</w:t>
                  </w:r>
                </w:p>
              </w:tc>
              <w:tc>
                <w:tcPr>
                  <w:tcW w:w="372" w:type="pct"/>
                  <w:tcBorders>
                    <w:tl2br w:val="nil"/>
                    <w:tr2bl w:val="nil"/>
                  </w:tcBorders>
                  <w:shd w:val="clear" w:color="auto" w:fill="auto"/>
                  <w:noWrap/>
                  <w:vAlign w:val="center"/>
                </w:tcPr>
                <w:p w14:paraId="63BB2E3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99.34</w:t>
                  </w:r>
                </w:p>
              </w:tc>
              <w:tc>
                <w:tcPr>
                  <w:tcW w:w="416" w:type="pct"/>
                  <w:tcBorders>
                    <w:tl2br w:val="nil"/>
                    <w:tr2bl w:val="nil"/>
                  </w:tcBorders>
                  <w:shd w:val="clear" w:color="auto" w:fill="auto"/>
                  <w:noWrap/>
                  <w:vAlign w:val="center"/>
                </w:tcPr>
                <w:p w14:paraId="60FA86F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64.45</w:t>
                  </w:r>
                </w:p>
              </w:tc>
              <w:tc>
                <w:tcPr>
                  <w:tcW w:w="283" w:type="pct"/>
                  <w:vMerge w:val="restart"/>
                  <w:tcBorders>
                    <w:tl2br w:val="nil"/>
                    <w:tr2bl w:val="nil"/>
                  </w:tcBorders>
                  <w:shd w:val="clear" w:color="auto" w:fill="auto"/>
                  <w:noWrap/>
                  <w:vAlign w:val="center"/>
                </w:tcPr>
                <w:p w14:paraId="360F385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昼夜间</w:t>
                  </w:r>
                </w:p>
              </w:tc>
              <w:tc>
                <w:tcPr>
                  <w:tcW w:w="443" w:type="pct"/>
                  <w:vMerge w:val="restart"/>
                  <w:tcBorders>
                    <w:tl2br w:val="nil"/>
                    <w:tr2bl w:val="nil"/>
                  </w:tcBorders>
                  <w:shd w:val="clear" w:color="auto" w:fill="auto"/>
                  <w:noWrap/>
                  <w:vAlign w:val="center"/>
                </w:tcPr>
                <w:p w14:paraId="136B271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26</w:t>
                  </w:r>
                </w:p>
              </w:tc>
              <w:tc>
                <w:tcPr>
                  <w:tcW w:w="425" w:type="pct"/>
                  <w:tcBorders>
                    <w:tl2br w:val="nil"/>
                    <w:tr2bl w:val="nil"/>
                  </w:tcBorders>
                  <w:shd w:val="clear" w:color="auto" w:fill="auto"/>
                  <w:noWrap/>
                  <w:vAlign w:val="center"/>
                </w:tcPr>
                <w:p w14:paraId="1D24F12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38.45</w:t>
                  </w:r>
                </w:p>
              </w:tc>
              <w:tc>
                <w:tcPr>
                  <w:tcW w:w="325" w:type="pct"/>
                  <w:vMerge w:val="restart"/>
                  <w:tcBorders>
                    <w:tl2br w:val="nil"/>
                    <w:tr2bl w:val="nil"/>
                  </w:tcBorders>
                  <w:shd w:val="clear" w:color="auto" w:fill="auto"/>
                  <w:noWrap/>
                  <w:vAlign w:val="center"/>
                </w:tcPr>
                <w:p w14:paraId="2D3F2A7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r>
            <w:tr w14:paraId="28FB1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51290CF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0A52605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762EECB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6B2D982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45B1EF3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0E3F80A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790CB90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27E8BF3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6B2DA68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5C19B80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南</w:t>
                  </w:r>
                </w:p>
              </w:tc>
              <w:tc>
                <w:tcPr>
                  <w:tcW w:w="372" w:type="pct"/>
                  <w:tcBorders>
                    <w:tl2br w:val="nil"/>
                    <w:tr2bl w:val="nil"/>
                  </w:tcBorders>
                  <w:shd w:val="clear" w:color="auto" w:fill="auto"/>
                  <w:noWrap/>
                  <w:vAlign w:val="center"/>
                </w:tcPr>
                <w:p w14:paraId="74C50C3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36.90</w:t>
                  </w:r>
                </w:p>
              </w:tc>
              <w:tc>
                <w:tcPr>
                  <w:tcW w:w="416" w:type="pct"/>
                  <w:tcBorders>
                    <w:tl2br w:val="nil"/>
                    <w:tr2bl w:val="nil"/>
                  </w:tcBorders>
                  <w:shd w:val="clear" w:color="auto" w:fill="auto"/>
                  <w:noWrap/>
                  <w:vAlign w:val="center"/>
                </w:tcPr>
                <w:p w14:paraId="2762241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6113D26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49D41C8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0E39A81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4CB92A5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28A48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0B15927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3CE60A3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71AD60C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10DDB10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08D99AF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7D45DBA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151B338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568FB96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09A7AD5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4B99A27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西</w:t>
                  </w:r>
                </w:p>
              </w:tc>
              <w:tc>
                <w:tcPr>
                  <w:tcW w:w="372" w:type="pct"/>
                  <w:tcBorders>
                    <w:tl2br w:val="nil"/>
                    <w:tr2bl w:val="nil"/>
                  </w:tcBorders>
                  <w:shd w:val="clear" w:color="auto" w:fill="auto"/>
                  <w:noWrap/>
                  <w:vAlign w:val="center"/>
                </w:tcPr>
                <w:p w14:paraId="47FD1F0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6.50</w:t>
                  </w:r>
                </w:p>
              </w:tc>
              <w:tc>
                <w:tcPr>
                  <w:tcW w:w="416" w:type="pct"/>
                  <w:tcBorders>
                    <w:tl2br w:val="nil"/>
                    <w:tr2bl w:val="nil"/>
                  </w:tcBorders>
                  <w:shd w:val="clear" w:color="auto" w:fill="auto"/>
                  <w:noWrap/>
                  <w:vAlign w:val="center"/>
                </w:tcPr>
                <w:p w14:paraId="1DA945D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64.55</w:t>
                  </w:r>
                </w:p>
              </w:tc>
              <w:tc>
                <w:tcPr>
                  <w:tcW w:w="283" w:type="pct"/>
                  <w:vMerge w:val="continue"/>
                  <w:tcBorders>
                    <w:tl2br w:val="nil"/>
                    <w:tr2bl w:val="nil"/>
                  </w:tcBorders>
                  <w:shd w:val="clear" w:color="auto" w:fill="auto"/>
                  <w:noWrap/>
                  <w:vAlign w:val="center"/>
                </w:tcPr>
                <w:p w14:paraId="6918450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4F7B24D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2D369D0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38.55</w:t>
                  </w:r>
                </w:p>
              </w:tc>
              <w:tc>
                <w:tcPr>
                  <w:tcW w:w="325" w:type="pct"/>
                  <w:vMerge w:val="continue"/>
                  <w:tcBorders>
                    <w:tl2br w:val="nil"/>
                    <w:tr2bl w:val="nil"/>
                  </w:tcBorders>
                  <w:shd w:val="clear" w:color="auto" w:fill="auto"/>
                  <w:noWrap/>
                  <w:vAlign w:val="center"/>
                </w:tcPr>
                <w:p w14:paraId="512B7C7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6769B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49D4D7D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7716709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193E225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4DB6532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2D26D85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7DAB485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2E89B0A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702FAD9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5B8CF45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53B8663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北</w:t>
                  </w:r>
                </w:p>
              </w:tc>
              <w:tc>
                <w:tcPr>
                  <w:tcW w:w="372" w:type="pct"/>
                  <w:tcBorders>
                    <w:tl2br w:val="nil"/>
                    <w:tr2bl w:val="nil"/>
                  </w:tcBorders>
                  <w:shd w:val="clear" w:color="auto" w:fill="auto"/>
                  <w:noWrap/>
                  <w:vAlign w:val="center"/>
                </w:tcPr>
                <w:p w14:paraId="479D76E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37.03</w:t>
                  </w:r>
                </w:p>
              </w:tc>
              <w:tc>
                <w:tcPr>
                  <w:tcW w:w="416" w:type="pct"/>
                  <w:tcBorders>
                    <w:tl2br w:val="nil"/>
                    <w:tr2bl w:val="nil"/>
                  </w:tcBorders>
                  <w:shd w:val="clear" w:color="auto" w:fill="auto"/>
                  <w:noWrap/>
                  <w:vAlign w:val="center"/>
                </w:tcPr>
                <w:p w14:paraId="32F34BB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4314F83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0FA6B11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68B2283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62AB1E5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56B50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restart"/>
                  <w:tcBorders>
                    <w:tl2br w:val="nil"/>
                    <w:tr2bl w:val="nil"/>
                  </w:tcBorders>
                  <w:shd w:val="clear" w:color="auto" w:fill="auto"/>
                  <w:noWrap/>
                  <w:vAlign w:val="center"/>
                </w:tcPr>
                <w:p w14:paraId="1B5464C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2</w:t>
                  </w:r>
                </w:p>
              </w:tc>
              <w:tc>
                <w:tcPr>
                  <w:tcW w:w="283" w:type="pct"/>
                  <w:vMerge w:val="restart"/>
                  <w:tcBorders>
                    <w:tl2br w:val="nil"/>
                    <w:tr2bl w:val="nil"/>
                  </w:tcBorders>
                  <w:shd w:val="clear" w:color="auto" w:fill="auto"/>
                  <w:noWrap/>
                  <w:vAlign w:val="center"/>
                </w:tcPr>
                <w:p w14:paraId="1088AF2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生产厂房</w:t>
                  </w:r>
                </w:p>
              </w:tc>
              <w:tc>
                <w:tcPr>
                  <w:tcW w:w="283" w:type="pct"/>
                  <w:vMerge w:val="restart"/>
                  <w:tcBorders>
                    <w:tl2br w:val="nil"/>
                    <w:tr2bl w:val="nil"/>
                  </w:tcBorders>
                  <w:shd w:val="clear" w:color="auto" w:fill="auto"/>
                  <w:noWrap/>
                  <w:vAlign w:val="center"/>
                </w:tcPr>
                <w:p w14:paraId="23014EC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砂芯机</w:t>
                  </w:r>
                </w:p>
              </w:tc>
              <w:tc>
                <w:tcPr>
                  <w:tcW w:w="257" w:type="pct"/>
                  <w:vMerge w:val="restart"/>
                  <w:tcBorders>
                    <w:tl2br w:val="nil"/>
                    <w:tr2bl w:val="nil"/>
                  </w:tcBorders>
                  <w:shd w:val="clear" w:color="auto" w:fill="auto"/>
                  <w:noWrap/>
                  <w:vAlign w:val="center"/>
                </w:tcPr>
                <w:p w14:paraId="65861D7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cs="Times New Roman"/>
                      <w:snapToGrid/>
                      <w:color w:val="auto"/>
                      <w:kern w:val="2"/>
                      <w:sz w:val="18"/>
                      <w:szCs w:val="18"/>
                      <w:highlight w:val="none"/>
                      <w:u w:val="single" w:color="auto"/>
                      <w:lang w:val="en-US" w:eastAsia="zh-CN"/>
                    </w:rPr>
                    <w:t>/</w:t>
                  </w:r>
                </w:p>
              </w:tc>
              <w:tc>
                <w:tcPr>
                  <w:tcW w:w="301" w:type="pct"/>
                  <w:vMerge w:val="restart"/>
                  <w:tcBorders>
                    <w:tl2br w:val="nil"/>
                    <w:tr2bl w:val="nil"/>
                  </w:tcBorders>
                  <w:shd w:val="clear" w:color="auto" w:fill="auto"/>
                  <w:noWrap/>
                  <w:vAlign w:val="center"/>
                </w:tcPr>
                <w:p w14:paraId="456E5D7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85</w:t>
                  </w:r>
                </w:p>
              </w:tc>
              <w:tc>
                <w:tcPr>
                  <w:tcW w:w="301" w:type="pct"/>
                  <w:vMerge w:val="restart"/>
                  <w:tcBorders>
                    <w:tl2br w:val="nil"/>
                    <w:tr2bl w:val="nil"/>
                  </w:tcBorders>
                  <w:shd w:val="clear" w:color="auto" w:fill="auto"/>
                  <w:noWrap/>
                  <w:vAlign w:val="center"/>
                </w:tcPr>
                <w:p w14:paraId="0623900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减震、隔声</w:t>
                  </w:r>
                </w:p>
              </w:tc>
              <w:tc>
                <w:tcPr>
                  <w:tcW w:w="292" w:type="pct"/>
                  <w:vMerge w:val="restart"/>
                  <w:tcBorders>
                    <w:tl2br w:val="nil"/>
                    <w:tr2bl w:val="nil"/>
                  </w:tcBorders>
                  <w:shd w:val="clear" w:color="auto" w:fill="auto"/>
                  <w:noWrap/>
                  <w:vAlign w:val="center"/>
                </w:tcPr>
                <w:p w14:paraId="50EBC3F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48.12</w:t>
                  </w:r>
                </w:p>
              </w:tc>
              <w:tc>
                <w:tcPr>
                  <w:tcW w:w="367" w:type="pct"/>
                  <w:vMerge w:val="restart"/>
                  <w:tcBorders>
                    <w:tl2br w:val="nil"/>
                    <w:tr2bl w:val="nil"/>
                  </w:tcBorders>
                  <w:shd w:val="clear" w:color="auto" w:fill="auto"/>
                  <w:noWrap/>
                  <w:vAlign w:val="center"/>
                </w:tcPr>
                <w:p w14:paraId="0F3A98D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71.16</w:t>
                  </w:r>
                </w:p>
              </w:tc>
              <w:tc>
                <w:tcPr>
                  <w:tcW w:w="209" w:type="pct"/>
                  <w:vMerge w:val="restart"/>
                  <w:tcBorders>
                    <w:tl2br w:val="nil"/>
                    <w:tr2bl w:val="nil"/>
                  </w:tcBorders>
                  <w:shd w:val="clear" w:color="auto" w:fill="auto"/>
                  <w:noWrap/>
                  <w:vAlign w:val="center"/>
                </w:tcPr>
                <w:p w14:paraId="31E0871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c>
                <w:tcPr>
                  <w:tcW w:w="266" w:type="pct"/>
                  <w:tcBorders>
                    <w:tl2br w:val="nil"/>
                    <w:tr2bl w:val="nil"/>
                  </w:tcBorders>
                  <w:shd w:val="clear" w:color="auto" w:fill="auto"/>
                  <w:noWrap/>
                  <w:vAlign w:val="center"/>
                </w:tcPr>
                <w:p w14:paraId="4FD25C0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东</w:t>
                  </w:r>
                </w:p>
              </w:tc>
              <w:tc>
                <w:tcPr>
                  <w:tcW w:w="372" w:type="pct"/>
                  <w:tcBorders>
                    <w:tl2br w:val="nil"/>
                    <w:tr2bl w:val="nil"/>
                  </w:tcBorders>
                  <w:shd w:val="clear" w:color="auto" w:fill="auto"/>
                  <w:noWrap/>
                  <w:vAlign w:val="center"/>
                </w:tcPr>
                <w:p w14:paraId="08276AA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57.70</w:t>
                  </w:r>
                </w:p>
              </w:tc>
              <w:tc>
                <w:tcPr>
                  <w:tcW w:w="416" w:type="pct"/>
                  <w:tcBorders>
                    <w:tl2br w:val="nil"/>
                    <w:tr2bl w:val="nil"/>
                  </w:tcBorders>
                  <w:shd w:val="clear" w:color="auto" w:fill="auto"/>
                  <w:noWrap/>
                  <w:vAlign w:val="center"/>
                </w:tcPr>
                <w:p w14:paraId="36C405B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74.46</w:t>
                  </w:r>
                </w:p>
              </w:tc>
              <w:tc>
                <w:tcPr>
                  <w:tcW w:w="283" w:type="pct"/>
                  <w:vMerge w:val="restart"/>
                  <w:tcBorders>
                    <w:tl2br w:val="nil"/>
                    <w:tr2bl w:val="nil"/>
                  </w:tcBorders>
                  <w:shd w:val="clear" w:color="auto" w:fill="auto"/>
                  <w:noWrap/>
                  <w:vAlign w:val="center"/>
                </w:tcPr>
                <w:p w14:paraId="7F3BA5A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昼夜间</w:t>
                  </w:r>
                </w:p>
              </w:tc>
              <w:tc>
                <w:tcPr>
                  <w:tcW w:w="443" w:type="pct"/>
                  <w:vMerge w:val="restart"/>
                  <w:tcBorders>
                    <w:tl2br w:val="nil"/>
                    <w:tr2bl w:val="nil"/>
                  </w:tcBorders>
                  <w:shd w:val="clear" w:color="auto" w:fill="auto"/>
                  <w:noWrap/>
                  <w:vAlign w:val="center"/>
                </w:tcPr>
                <w:p w14:paraId="11CAAC1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26</w:t>
                  </w:r>
                </w:p>
              </w:tc>
              <w:tc>
                <w:tcPr>
                  <w:tcW w:w="425" w:type="pct"/>
                  <w:tcBorders>
                    <w:tl2br w:val="nil"/>
                    <w:tr2bl w:val="nil"/>
                  </w:tcBorders>
                  <w:shd w:val="clear" w:color="auto" w:fill="auto"/>
                  <w:noWrap/>
                  <w:vAlign w:val="center"/>
                </w:tcPr>
                <w:p w14:paraId="5AD912F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48.46</w:t>
                  </w:r>
                </w:p>
              </w:tc>
              <w:tc>
                <w:tcPr>
                  <w:tcW w:w="325" w:type="pct"/>
                  <w:vMerge w:val="restart"/>
                  <w:tcBorders>
                    <w:tl2br w:val="nil"/>
                    <w:tr2bl w:val="nil"/>
                  </w:tcBorders>
                  <w:shd w:val="clear" w:color="auto" w:fill="auto"/>
                  <w:noWrap/>
                  <w:vAlign w:val="center"/>
                </w:tcPr>
                <w:p w14:paraId="5AA5914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r>
            <w:tr w14:paraId="131AD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125C24E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0E9145A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369C910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7221C85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34C13B5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0D9CC3F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1EF0D97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79B0D29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22F728C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6A82830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南</w:t>
                  </w:r>
                </w:p>
              </w:tc>
              <w:tc>
                <w:tcPr>
                  <w:tcW w:w="372" w:type="pct"/>
                  <w:tcBorders>
                    <w:tl2br w:val="nil"/>
                    <w:tr2bl w:val="nil"/>
                  </w:tcBorders>
                  <w:shd w:val="clear" w:color="auto" w:fill="auto"/>
                  <w:noWrap/>
                  <w:vAlign w:val="center"/>
                </w:tcPr>
                <w:p w14:paraId="1CC0829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71.08</w:t>
                  </w:r>
                </w:p>
              </w:tc>
              <w:tc>
                <w:tcPr>
                  <w:tcW w:w="416" w:type="pct"/>
                  <w:tcBorders>
                    <w:tl2br w:val="nil"/>
                    <w:tr2bl w:val="nil"/>
                  </w:tcBorders>
                  <w:shd w:val="clear" w:color="auto" w:fill="auto"/>
                  <w:noWrap/>
                  <w:vAlign w:val="center"/>
                </w:tcPr>
                <w:p w14:paraId="71B7FC7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74.46</w:t>
                  </w:r>
                </w:p>
              </w:tc>
              <w:tc>
                <w:tcPr>
                  <w:tcW w:w="283" w:type="pct"/>
                  <w:vMerge w:val="continue"/>
                  <w:tcBorders>
                    <w:tl2br w:val="nil"/>
                    <w:tr2bl w:val="nil"/>
                  </w:tcBorders>
                  <w:shd w:val="clear" w:color="auto" w:fill="auto"/>
                  <w:noWrap/>
                  <w:vAlign w:val="center"/>
                </w:tcPr>
                <w:p w14:paraId="72EADB1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74BEAC2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047D098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48.46</w:t>
                  </w:r>
                </w:p>
              </w:tc>
              <w:tc>
                <w:tcPr>
                  <w:tcW w:w="325" w:type="pct"/>
                  <w:vMerge w:val="continue"/>
                  <w:tcBorders>
                    <w:tl2br w:val="nil"/>
                    <w:tr2bl w:val="nil"/>
                  </w:tcBorders>
                  <w:shd w:val="clear" w:color="auto" w:fill="auto"/>
                  <w:noWrap/>
                  <w:vAlign w:val="center"/>
                </w:tcPr>
                <w:p w14:paraId="2F5C9C1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71E58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25AAF91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145A244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2330142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3F6C397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4E5A382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6DE4004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00A1197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3A19625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62571ED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4703A39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西</w:t>
                  </w:r>
                </w:p>
              </w:tc>
              <w:tc>
                <w:tcPr>
                  <w:tcW w:w="372" w:type="pct"/>
                  <w:tcBorders>
                    <w:tl2br w:val="nil"/>
                    <w:tr2bl w:val="nil"/>
                  </w:tcBorders>
                  <w:shd w:val="clear" w:color="auto" w:fill="auto"/>
                  <w:noWrap/>
                  <w:vAlign w:val="center"/>
                </w:tcPr>
                <w:p w14:paraId="10F9CB3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48.09</w:t>
                  </w:r>
                </w:p>
              </w:tc>
              <w:tc>
                <w:tcPr>
                  <w:tcW w:w="416" w:type="pct"/>
                  <w:tcBorders>
                    <w:tl2br w:val="nil"/>
                    <w:tr2bl w:val="nil"/>
                  </w:tcBorders>
                  <w:shd w:val="clear" w:color="auto" w:fill="auto"/>
                  <w:noWrap/>
                  <w:vAlign w:val="center"/>
                </w:tcPr>
                <w:p w14:paraId="099BC8A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74.46</w:t>
                  </w:r>
                </w:p>
              </w:tc>
              <w:tc>
                <w:tcPr>
                  <w:tcW w:w="283" w:type="pct"/>
                  <w:vMerge w:val="continue"/>
                  <w:tcBorders>
                    <w:tl2br w:val="nil"/>
                    <w:tr2bl w:val="nil"/>
                  </w:tcBorders>
                  <w:shd w:val="clear" w:color="auto" w:fill="auto"/>
                  <w:noWrap/>
                  <w:vAlign w:val="center"/>
                </w:tcPr>
                <w:p w14:paraId="7E8B131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45DB403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07C7ECF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48.46</w:t>
                  </w:r>
                </w:p>
              </w:tc>
              <w:tc>
                <w:tcPr>
                  <w:tcW w:w="325" w:type="pct"/>
                  <w:vMerge w:val="continue"/>
                  <w:tcBorders>
                    <w:tl2br w:val="nil"/>
                    <w:tr2bl w:val="nil"/>
                  </w:tcBorders>
                  <w:shd w:val="clear" w:color="auto" w:fill="auto"/>
                  <w:noWrap/>
                  <w:vAlign w:val="center"/>
                </w:tcPr>
                <w:p w14:paraId="660C66F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69950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7884A0B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231989B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07FC80B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54CAAC4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1739BCC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44CB65E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32D2FB0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35D105F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27811C8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77370C9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北</w:t>
                  </w:r>
                </w:p>
              </w:tc>
              <w:tc>
                <w:tcPr>
                  <w:tcW w:w="372" w:type="pct"/>
                  <w:tcBorders>
                    <w:tl2br w:val="nil"/>
                    <w:tr2bl w:val="nil"/>
                  </w:tcBorders>
                  <w:shd w:val="clear" w:color="auto" w:fill="auto"/>
                  <w:noWrap/>
                  <w:vAlign w:val="center"/>
                </w:tcPr>
                <w:p w14:paraId="233BFDB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2.83</w:t>
                  </w:r>
                </w:p>
              </w:tc>
              <w:tc>
                <w:tcPr>
                  <w:tcW w:w="416" w:type="pct"/>
                  <w:tcBorders>
                    <w:tl2br w:val="nil"/>
                    <w:tr2bl w:val="nil"/>
                  </w:tcBorders>
                  <w:shd w:val="clear" w:color="auto" w:fill="auto"/>
                  <w:noWrap/>
                  <w:vAlign w:val="center"/>
                </w:tcPr>
                <w:p w14:paraId="4FA40F1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74.92</w:t>
                  </w:r>
                </w:p>
              </w:tc>
              <w:tc>
                <w:tcPr>
                  <w:tcW w:w="283" w:type="pct"/>
                  <w:vMerge w:val="continue"/>
                  <w:tcBorders>
                    <w:tl2br w:val="nil"/>
                    <w:tr2bl w:val="nil"/>
                  </w:tcBorders>
                  <w:shd w:val="clear" w:color="auto" w:fill="auto"/>
                  <w:noWrap/>
                  <w:vAlign w:val="center"/>
                </w:tcPr>
                <w:p w14:paraId="777927E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0ADBD2A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320FC31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48.92</w:t>
                  </w:r>
                </w:p>
              </w:tc>
              <w:tc>
                <w:tcPr>
                  <w:tcW w:w="325" w:type="pct"/>
                  <w:vMerge w:val="continue"/>
                  <w:tcBorders>
                    <w:tl2br w:val="nil"/>
                    <w:tr2bl w:val="nil"/>
                  </w:tcBorders>
                  <w:shd w:val="clear" w:color="auto" w:fill="auto"/>
                  <w:noWrap/>
                  <w:vAlign w:val="center"/>
                </w:tcPr>
                <w:p w14:paraId="4456987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4B1F2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restart"/>
                  <w:tcBorders>
                    <w:tl2br w:val="nil"/>
                    <w:tr2bl w:val="nil"/>
                  </w:tcBorders>
                  <w:shd w:val="clear" w:color="auto" w:fill="auto"/>
                  <w:noWrap/>
                  <w:vAlign w:val="center"/>
                </w:tcPr>
                <w:p w14:paraId="51DF98C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w:t>
                  </w:r>
                </w:p>
              </w:tc>
              <w:tc>
                <w:tcPr>
                  <w:tcW w:w="283" w:type="pct"/>
                  <w:vMerge w:val="restart"/>
                  <w:tcBorders>
                    <w:tl2br w:val="nil"/>
                    <w:tr2bl w:val="nil"/>
                  </w:tcBorders>
                  <w:shd w:val="clear" w:color="auto" w:fill="auto"/>
                  <w:noWrap/>
                  <w:vAlign w:val="center"/>
                </w:tcPr>
                <w:p w14:paraId="784B23C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生产厂房</w:t>
                  </w:r>
                </w:p>
              </w:tc>
              <w:tc>
                <w:tcPr>
                  <w:tcW w:w="283" w:type="pct"/>
                  <w:vMerge w:val="restart"/>
                  <w:tcBorders>
                    <w:tl2br w:val="nil"/>
                    <w:tr2bl w:val="nil"/>
                  </w:tcBorders>
                  <w:shd w:val="clear" w:color="auto" w:fill="auto"/>
                  <w:noWrap/>
                  <w:vAlign w:val="center"/>
                </w:tcPr>
                <w:p w14:paraId="7DF8442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立式带锯床</w:t>
                  </w:r>
                </w:p>
              </w:tc>
              <w:tc>
                <w:tcPr>
                  <w:tcW w:w="257" w:type="pct"/>
                  <w:vMerge w:val="restart"/>
                  <w:tcBorders>
                    <w:tl2br w:val="nil"/>
                    <w:tr2bl w:val="nil"/>
                  </w:tcBorders>
                  <w:shd w:val="clear" w:color="auto" w:fill="auto"/>
                  <w:noWrap/>
                  <w:vAlign w:val="center"/>
                </w:tcPr>
                <w:p w14:paraId="2D367B8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cs="Times New Roman"/>
                      <w:snapToGrid/>
                      <w:color w:val="auto"/>
                      <w:kern w:val="2"/>
                      <w:sz w:val="18"/>
                      <w:szCs w:val="18"/>
                      <w:highlight w:val="none"/>
                      <w:u w:val="single" w:color="auto"/>
                      <w:lang w:val="en-US" w:eastAsia="zh-CN"/>
                    </w:rPr>
                    <w:t>/</w:t>
                  </w:r>
                </w:p>
              </w:tc>
              <w:tc>
                <w:tcPr>
                  <w:tcW w:w="301" w:type="pct"/>
                  <w:vMerge w:val="restart"/>
                  <w:tcBorders>
                    <w:tl2br w:val="nil"/>
                    <w:tr2bl w:val="nil"/>
                  </w:tcBorders>
                  <w:shd w:val="clear" w:color="auto" w:fill="auto"/>
                  <w:noWrap/>
                  <w:vAlign w:val="center"/>
                </w:tcPr>
                <w:p w14:paraId="42A4DA9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75</w:t>
                  </w:r>
                </w:p>
              </w:tc>
              <w:tc>
                <w:tcPr>
                  <w:tcW w:w="301" w:type="pct"/>
                  <w:vMerge w:val="restart"/>
                  <w:tcBorders>
                    <w:tl2br w:val="nil"/>
                    <w:tr2bl w:val="nil"/>
                  </w:tcBorders>
                  <w:shd w:val="clear" w:color="auto" w:fill="auto"/>
                  <w:noWrap/>
                  <w:vAlign w:val="center"/>
                </w:tcPr>
                <w:p w14:paraId="0172B5A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减震、隔声</w:t>
                  </w:r>
                </w:p>
              </w:tc>
              <w:tc>
                <w:tcPr>
                  <w:tcW w:w="292" w:type="pct"/>
                  <w:vMerge w:val="restart"/>
                  <w:tcBorders>
                    <w:tl2br w:val="nil"/>
                    <w:tr2bl w:val="nil"/>
                  </w:tcBorders>
                  <w:shd w:val="clear" w:color="auto" w:fill="auto"/>
                  <w:noWrap/>
                  <w:vAlign w:val="center"/>
                </w:tcPr>
                <w:p w14:paraId="2D9B386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34.17</w:t>
                  </w:r>
                </w:p>
              </w:tc>
              <w:tc>
                <w:tcPr>
                  <w:tcW w:w="367" w:type="pct"/>
                  <w:vMerge w:val="restart"/>
                  <w:tcBorders>
                    <w:tl2br w:val="nil"/>
                    <w:tr2bl w:val="nil"/>
                  </w:tcBorders>
                  <w:shd w:val="clear" w:color="auto" w:fill="auto"/>
                  <w:noWrap/>
                  <w:vAlign w:val="center"/>
                </w:tcPr>
                <w:p w14:paraId="2C79E27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43.81</w:t>
                  </w:r>
                </w:p>
              </w:tc>
              <w:tc>
                <w:tcPr>
                  <w:tcW w:w="209" w:type="pct"/>
                  <w:vMerge w:val="restart"/>
                  <w:tcBorders>
                    <w:tl2br w:val="nil"/>
                    <w:tr2bl w:val="nil"/>
                  </w:tcBorders>
                  <w:shd w:val="clear" w:color="auto" w:fill="auto"/>
                  <w:noWrap/>
                  <w:vAlign w:val="center"/>
                </w:tcPr>
                <w:p w14:paraId="7395ACB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c>
                <w:tcPr>
                  <w:tcW w:w="266" w:type="pct"/>
                  <w:tcBorders>
                    <w:tl2br w:val="nil"/>
                    <w:tr2bl w:val="nil"/>
                  </w:tcBorders>
                  <w:shd w:val="clear" w:color="auto" w:fill="auto"/>
                  <w:noWrap/>
                  <w:vAlign w:val="center"/>
                </w:tcPr>
                <w:p w14:paraId="4E2F943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东</w:t>
                  </w:r>
                </w:p>
              </w:tc>
              <w:tc>
                <w:tcPr>
                  <w:tcW w:w="372" w:type="pct"/>
                  <w:tcBorders>
                    <w:tl2br w:val="nil"/>
                    <w:tr2bl w:val="nil"/>
                  </w:tcBorders>
                  <w:shd w:val="clear" w:color="auto" w:fill="auto"/>
                  <w:noWrap/>
                  <w:vAlign w:val="center"/>
                </w:tcPr>
                <w:p w14:paraId="5270171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71.65</w:t>
                  </w:r>
                </w:p>
              </w:tc>
              <w:tc>
                <w:tcPr>
                  <w:tcW w:w="416" w:type="pct"/>
                  <w:tcBorders>
                    <w:tl2br w:val="nil"/>
                    <w:tr2bl w:val="nil"/>
                  </w:tcBorders>
                  <w:shd w:val="clear" w:color="auto" w:fill="auto"/>
                  <w:noWrap/>
                  <w:vAlign w:val="center"/>
                </w:tcPr>
                <w:p w14:paraId="66363DE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restart"/>
                  <w:tcBorders>
                    <w:tl2br w:val="nil"/>
                    <w:tr2bl w:val="nil"/>
                  </w:tcBorders>
                  <w:shd w:val="clear" w:color="auto" w:fill="auto"/>
                  <w:noWrap/>
                  <w:vAlign w:val="center"/>
                </w:tcPr>
                <w:p w14:paraId="170FF18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昼夜间</w:t>
                  </w:r>
                </w:p>
              </w:tc>
              <w:tc>
                <w:tcPr>
                  <w:tcW w:w="443" w:type="pct"/>
                  <w:vMerge w:val="restart"/>
                  <w:tcBorders>
                    <w:tl2br w:val="nil"/>
                    <w:tr2bl w:val="nil"/>
                  </w:tcBorders>
                  <w:shd w:val="clear" w:color="auto" w:fill="auto"/>
                  <w:noWrap/>
                  <w:vAlign w:val="center"/>
                </w:tcPr>
                <w:p w14:paraId="3E3E599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26</w:t>
                  </w:r>
                </w:p>
              </w:tc>
              <w:tc>
                <w:tcPr>
                  <w:tcW w:w="425" w:type="pct"/>
                  <w:tcBorders>
                    <w:tl2br w:val="nil"/>
                    <w:tr2bl w:val="nil"/>
                  </w:tcBorders>
                  <w:shd w:val="clear" w:color="auto" w:fill="auto"/>
                  <w:noWrap/>
                  <w:vAlign w:val="center"/>
                </w:tcPr>
                <w:p w14:paraId="5FA60BD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restart"/>
                  <w:tcBorders>
                    <w:tl2br w:val="nil"/>
                    <w:tr2bl w:val="nil"/>
                  </w:tcBorders>
                  <w:shd w:val="clear" w:color="auto" w:fill="auto"/>
                  <w:noWrap/>
                  <w:vAlign w:val="center"/>
                </w:tcPr>
                <w:p w14:paraId="5761936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r>
            <w:tr w14:paraId="7B24A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7347E72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102C1F0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208DE03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589C0F7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42441D2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1A3E28E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6F89D8E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51D9EEF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45E1797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35B508B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南</w:t>
                  </w:r>
                </w:p>
              </w:tc>
              <w:tc>
                <w:tcPr>
                  <w:tcW w:w="372" w:type="pct"/>
                  <w:tcBorders>
                    <w:tl2br w:val="nil"/>
                    <w:tr2bl w:val="nil"/>
                  </w:tcBorders>
                  <w:shd w:val="clear" w:color="auto" w:fill="auto"/>
                  <w:noWrap/>
                  <w:vAlign w:val="center"/>
                </w:tcPr>
                <w:p w14:paraId="5D6E74D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43.73</w:t>
                  </w:r>
                </w:p>
              </w:tc>
              <w:tc>
                <w:tcPr>
                  <w:tcW w:w="416" w:type="pct"/>
                  <w:tcBorders>
                    <w:tl2br w:val="nil"/>
                    <w:tr2bl w:val="nil"/>
                  </w:tcBorders>
                  <w:shd w:val="clear" w:color="auto" w:fill="auto"/>
                  <w:noWrap/>
                  <w:vAlign w:val="center"/>
                </w:tcPr>
                <w:p w14:paraId="79EF9A8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32A0304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11D47CE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643AAF3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1938BBA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5CA52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481CBD2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6248794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21080E2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1AD495B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4A1F844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1253D62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7932B5B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562C34C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52F334F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35867EB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西</w:t>
                  </w:r>
                </w:p>
              </w:tc>
              <w:tc>
                <w:tcPr>
                  <w:tcW w:w="372" w:type="pct"/>
                  <w:tcBorders>
                    <w:tl2br w:val="nil"/>
                    <w:tr2bl w:val="nil"/>
                  </w:tcBorders>
                  <w:shd w:val="clear" w:color="auto" w:fill="auto"/>
                  <w:noWrap/>
                  <w:vAlign w:val="center"/>
                </w:tcPr>
                <w:p w14:paraId="41F5242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34.17</w:t>
                  </w:r>
                </w:p>
              </w:tc>
              <w:tc>
                <w:tcPr>
                  <w:tcW w:w="416" w:type="pct"/>
                  <w:tcBorders>
                    <w:tl2br w:val="nil"/>
                    <w:tr2bl w:val="nil"/>
                  </w:tcBorders>
                  <w:shd w:val="clear" w:color="auto" w:fill="auto"/>
                  <w:noWrap/>
                  <w:vAlign w:val="center"/>
                </w:tcPr>
                <w:p w14:paraId="59FF201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0AB2E8D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26C6D31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63C6BAA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6ABBF62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49CFD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5B1317F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16A2A3F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0285CE9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01ADB8B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2944280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373F204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77CFB34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3120033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5E2B88A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539D5CB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北</w:t>
                  </w:r>
                </w:p>
              </w:tc>
              <w:tc>
                <w:tcPr>
                  <w:tcW w:w="372" w:type="pct"/>
                  <w:tcBorders>
                    <w:tl2br w:val="nil"/>
                    <w:tr2bl w:val="nil"/>
                  </w:tcBorders>
                  <w:shd w:val="clear" w:color="auto" w:fill="auto"/>
                  <w:noWrap/>
                  <w:vAlign w:val="center"/>
                </w:tcPr>
                <w:p w14:paraId="4353A20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30.18</w:t>
                  </w:r>
                </w:p>
              </w:tc>
              <w:tc>
                <w:tcPr>
                  <w:tcW w:w="416" w:type="pct"/>
                  <w:tcBorders>
                    <w:tl2br w:val="nil"/>
                    <w:tr2bl w:val="nil"/>
                  </w:tcBorders>
                  <w:shd w:val="clear" w:color="auto" w:fill="auto"/>
                  <w:noWrap/>
                  <w:vAlign w:val="center"/>
                </w:tcPr>
                <w:p w14:paraId="4795C49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5D8CD09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55B3A65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0AC06F5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1628EBC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18C0A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restart"/>
                  <w:tcBorders>
                    <w:tl2br w:val="nil"/>
                    <w:tr2bl w:val="nil"/>
                  </w:tcBorders>
                  <w:shd w:val="clear" w:color="auto" w:fill="auto"/>
                  <w:noWrap/>
                  <w:vAlign w:val="center"/>
                </w:tcPr>
                <w:p w14:paraId="5B4A0A5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4</w:t>
                  </w:r>
                </w:p>
              </w:tc>
              <w:tc>
                <w:tcPr>
                  <w:tcW w:w="283" w:type="pct"/>
                  <w:vMerge w:val="restart"/>
                  <w:tcBorders>
                    <w:tl2br w:val="nil"/>
                    <w:tr2bl w:val="nil"/>
                  </w:tcBorders>
                  <w:shd w:val="clear" w:color="auto" w:fill="auto"/>
                  <w:noWrap/>
                  <w:vAlign w:val="center"/>
                </w:tcPr>
                <w:p w14:paraId="71BA72E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生产厂房</w:t>
                  </w:r>
                </w:p>
              </w:tc>
              <w:tc>
                <w:tcPr>
                  <w:tcW w:w="283" w:type="pct"/>
                  <w:vMerge w:val="restart"/>
                  <w:tcBorders>
                    <w:tl2br w:val="nil"/>
                    <w:tr2bl w:val="nil"/>
                  </w:tcBorders>
                  <w:shd w:val="clear" w:color="auto" w:fill="auto"/>
                  <w:noWrap/>
                  <w:vAlign w:val="center"/>
                </w:tcPr>
                <w:p w14:paraId="359F6AD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重力压铸区</w:t>
                  </w:r>
                </w:p>
              </w:tc>
              <w:tc>
                <w:tcPr>
                  <w:tcW w:w="257" w:type="pct"/>
                  <w:vMerge w:val="restart"/>
                  <w:tcBorders>
                    <w:tl2br w:val="nil"/>
                    <w:tr2bl w:val="nil"/>
                  </w:tcBorders>
                  <w:shd w:val="clear" w:color="auto" w:fill="auto"/>
                  <w:noWrap/>
                  <w:vAlign w:val="center"/>
                </w:tcPr>
                <w:p w14:paraId="0606CB6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cs="Times New Roman"/>
                      <w:snapToGrid/>
                      <w:color w:val="auto"/>
                      <w:kern w:val="2"/>
                      <w:sz w:val="18"/>
                      <w:szCs w:val="18"/>
                      <w:highlight w:val="none"/>
                      <w:u w:val="single" w:color="auto"/>
                      <w:lang w:val="en-US" w:eastAsia="zh-CN"/>
                    </w:rPr>
                    <w:t>/</w:t>
                  </w:r>
                </w:p>
              </w:tc>
              <w:tc>
                <w:tcPr>
                  <w:tcW w:w="301" w:type="pct"/>
                  <w:vMerge w:val="restart"/>
                  <w:tcBorders>
                    <w:tl2br w:val="nil"/>
                    <w:tr2bl w:val="nil"/>
                  </w:tcBorders>
                  <w:shd w:val="clear" w:color="auto" w:fill="auto"/>
                  <w:noWrap/>
                  <w:vAlign w:val="center"/>
                </w:tcPr>
                <w:p w14:paraId="249A0E7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75</w:t>
                  </w:r>
                </w:p>
              </w:tc>
              <w:tc>
                <w:tcPr>
                  <w:tcW w:w="301" w:type="pct"/>
                  <w:vMerge w:val="restart"/>
                  <w:tcBorders>
                    <w:tl2br w:val="nil"/>
                    <w:tr2bl w:val="nil"/>
                  </w:tcBorders>
                  <w:shd w:val="clear" w:color="auto" w:fill="auto"/>
                  <w:noWrap/>
                  <w:vAlign w:val="center"/>
                </w:tcPr>
                <w:p w14:paraId="214BDDF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减震、隔声</w:t>
                  </w:r>
                </w:p>
              </w:tc>
              <w:tc>
                <w:tcPr>
                  <w:tcW w:w="292" w:type="pct"/>
                  <w:vMerge w:val="restart"/>
                  <w:tcBorders>
                    <w:tl2br w:val="nil"/>
                    <w:tr2bl w:val="nil"/>
                  </w:tcBorders>
                  <w:shd w:val="clear" w:color="auto" w:fill="auto"/>
                  <w:noWrap/>
                  <w:vAlign w:val="center"/>
                </w:tcPr>
                <w:p w14:paraId="2E17F5F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66.68</w:t>
                  </w:r>
                </w:p>
              </w:tc>
              <w:tc>
                <w:tcPr>
                  <w:tcW w:w="367" w:type="pct"/>
                  <w:vMerge w:val="restart"/>
                  <w:tcBorders>
                    <w:tl2br w:val="nil"/>
                    <w:tr2bl w:val="nil"/>
                  </w:tcBorders>
                  <w:shd w:val="clear" w:color="auto" w:fill="auto"/>
                  <w:noWrap/>
                  <w:vAlign w:val="center"/>
                </w:tcPr>
                <w:p w14:paraId="7C8C167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70.38</w:t>
                  </w:r>
                </w:p>
              </w:tc>
              <w:tc>
                <w:tcPr>
                  <w:tcW w:w="209" w:type="pct"/>
                  <w:vMerge w:val="restart"/>
                  <w:tcBorders>
                    <w:tl2br w:val="nil"/>
                    <w:tr2bl w:val="nil"/>
                  </w:tcBorders>
                  <w:shd w:val="clear" w:color="auto" w:fill="auto"/>
                  <w:noWrap/>
                  <w:vAlign w:val="center"/>
                </w:tcPr>
                <w:p w14:paraId="3DE6E21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c>
                <w:tcPr>
                  <w:tcW w:w="266" w:type="pct"/>
                  <w:tcBorders>
                    <w:tl2br w:val="nil"/>
                    <w:tr2bl w:val="nil"/>
                  </w:tcBorders>
                  <w:shd w:val="clear" w:color="auto" w:fill="auto"/>
                  <w:noWrap/>
                  <w:vAlign w:val="center"/>
                </w:tcPr>
                <w:p w14:paraId="56730EA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东</w:t>
                  </w:r>
                </w:p>
              </w:tc>
              <w:tc>
                <w:tcPr>
                  <w:tcW w:w="372" w:type="pct"/>
                  <w:tcBorders>
                    <w:tl2br w:val="nil"/>
                    <w:tr2bl w:val="nil"/>
                  </w:tcBorders>
                  <w:shd w:val="clear" w:color="auto" w:fill="auto"/>
                  <w:noWrap/>
                  <w:vAlign w:val="center"/>
                </w:tcPr>
                <w:p w14:paraId="199863D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39.14</w:t>
                  </w:r>
                </w:p>
              </w:tc>
              <w:tc>
                <w:tcPr>
                  <w:tcW w:w="416" w:type="pct"/>
                  <w:tcBorders>
                    <w:tl2br w:val="nil"/>
                    <w:tr2bl w:val="nil"/>
                  </w:tcBorders>
                  <w:shd w:val="clear" w:color="auto" w:fill="auto"/>
                  <w:noWrap/>
                  <w:vAlign w:val="center"/>
                </w:tcPr>
                <w:p w14:paraId="0CADB04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restart"/>
                  <w:tcBorders>
                    <w:tl2br w:val="nil"/>
                    <w:tr2bl w:val="nil"/>
                  </w:tcBorders>
                  <w:shd w:val="clear" w:color="auto" w:fill="auto"/>
                  <w:noWrap/>
                  <w:vAlign w:val="center"/>
                </w:tcPr>
                <w:p w14:paraId="175E7EC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昼夜间</w:t>
                  </w:r>
                </w:p>
              </w:tc>
              <w:tc>
                <w:tcPr>
                  <w:tcW w:w="443" w:type="pct"/>
                  <w:vMerge w:val="restart"/>
                  <w:tcBorders>
                    <w:tl2br w:val="nil"/>
                    <w:tr2bl w:val="nil"/>
                  </w:tcBorders>
                  <w:shd w:val="clear" w:color="auto" w:fill="auto"/>
                  <w:noWrap/>
                  <w:vAlign w:val="center"/>
                </w:tcPr>
                <w:p w14:paraId="663E323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26</w:t>
                  </w:r>
                </w:p>
              </w:tc>
              <w:tc>
                <w:tcPr>
                  <w:tcW w:w="425" w:type="pct"/>
                  <w:tcBorders>
                    <w:tl2br w:val="nil"/>
                    <w:tr2bl w:val="nil"/>
                  </w:tcBorders>
                  <w:shd w:val="clear" w:color="auto" w:fill="auto"/>
                  <w:noWrap/>
                  <w:vAlign w:val="center"/>
                </w:tcPr>
                <w:p w14:paraId="0A21AD5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restart"/>
                  <w:tcBorders>
                    <w:tl2br w:val="nil"/>
                    <w:tr2bl w:val="nil"/>
                  </w:tcBorders>
                  <w:shd w:val="clear" w:color="auto" w:fill="auto"/>
                  <w:noWrap/>
                  <w:vAlign w:val="center"/>
                </w:tcPr>
                <w:p w14:paraId="0258323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r>
            <w:tr w14:paraId="41F5E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0718064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6789C34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42EFD77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05B5D7D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442CE0C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400ED31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6A42FC7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5854673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58B4678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1D98717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南</w:t>
                  </w:r>
                </w:p>
              </w:tc>
              <w:tc>
                <w:tcPr>
                  <w:tcW w:w="372" w:type="pct"/>
                  <w:tcBorders>
                    <w:tl2br w:val="nil"/>
                    <w:tr2bl w:val="nil"/>
                  </w:tcBorders>
                  <w:shd w:val="clear" w:color="auto" w:fill="auto"/>
                  <w:noWrap/>
                  <w:vAlign w:val="center"/>
                </w:tcPr>
                <w:p w14:paraId="06B8A5A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70.29</w:t>
                  </w:r>
                </w:p>
              </w:tc>
              <w:tc>
                <w:tcPr>
                  <w:tcW w:w="416" w:type="pct"/>
                  <w:tcBorders>
                    <w:tl2br w:val="nil"/>
                    <w:tr2bl w:val="nil"/>
                  </w:tcBorders>
                  <w:shd w:val="clear" w:color="auto" w:fill="auto"/>
                  <w:noWrap/>
                  <w:vAlign w:val="center"/>
                </w:tcPr>
                <w:p w14:paraId="0E8E04C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321C5B7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603FC9A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5CAACEE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0A3A668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24843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540FE73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7C4A77D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3B51484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60B59BF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63478E4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6577088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6C7CF60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0833600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534BAA5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07DB1DB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西</w:t>
                  </w:r>
                </w:p>
              </w:tc>
              <w:tc>
                <w:tcPr>
                  <w:tcW w:w="372" w:type="pct"/>
                  <w:tcBorders>
                    <w:tl2br w:val="nil"/>
                    <w:tr2bl w:val="nil"/>
                  </w:tcBorders>
                  <w:shd w:val="clear" w:color="auto" w:fill="auto"/>
                  <w:noWrap/>
                  <w:vAlign w:val="center"/>
                </w:tcPr>
                <w:p w14:paraId="5DD2AD9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66.65</w:t>
                  </w:r>
                </w:p>
              </w:tc>
              <w:tc>
                <w:tcPr>
                  <w:tcW w:w="416" w:type="pct"/>
                  <w:tcBorders>
                    <w:tl2br w:val="nil"/>
                    <w:tr2bl w:val="nil"/>
                  </w:tcBorders>
                  <w:shd w:val="clear" w:color="auto" w:fill="auto"/>
                  <w:noWrap/>
                  <w:vAlign w:val="center"/>
                </w:tcPr>
                <w:p w14:paraId="142A4F7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5FBC72E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4DC1BDA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10F9A1F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32D1415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4EA80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6365956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5B0087B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2546B20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3ED8BED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6D67606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16BF67C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273F28F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0DC6F80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1F03335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06164E5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北</w:t>
                  </w:r>
                </w:p>
              </w:tc>
              <w:tc>
                <w:tcPr>
                  <w:tcW w:w="372" w:type="pct"/>
                  <w:tcBorders>
                    <w:tl2br w:val="nil"/>
                    <w:tr2bl w:val="nil"/>
                  </w:tcBorders>
                  <w:shd w:val="clear" w:color="auto" w:fill="auto"/>
                  <w:noWrap/>
                  <w:vAlign w:val="center"/>
                </w:tcPr>
                <w:p w14:paraId="3669374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3.61</w:t>
                  </w:r>
                </w:p>
              </w:tc>
              <w:tc>
                <w:tcPr>
                  <w:tcW w:w="416" w:type="pct"/>
                  <w:tcBorders>
                    <w:tl2br w:val="nil"/>
                    <w:tr2bl w:val="nil"/>
                  </w:tcBorders>
                  <w:shd w:val="clear" w:color="auto" w:fill="auto"/>
                  <w:noWrap/>
                  <w:vAlign w:val="center"/>
                </w:tcPr>
                <w:p w14:paraId="0C5059A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64.75</w:t>
                  </w:r>
                </w:p>
              </w:tc>
              <w:tc>
                <w:tcPr>
                  <w:tcW w:w="283" w:type="pct"/>
                  <w:vMerge w:val="continue"/>
                  <w:tcBorders>
                    <w:tl2br w:val="nil"/>
                    <w:tr2bl w:val="nil"/>
                  </w:tcBorders>
                  <w:shd w:val="clear" w:color="auto" w:fill="auto"/>
                  <w:noWrap/>
                  <w:vAlign w:val="center"/>
                </w:tcPr>
                <w:p w14:paraId="56575B2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7688615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417207F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38.75</w:t>
                  </w:r>
                </w:p>
              </w:tc>
              <w:tc>
                <w:tcPr>
                  <w:tcW w:w="325" w:type="pct"/>
                  <w:vMerge w:val="continue"/>
                  <w:tcBorders>
                    <w:tl2br w:val="nil"/>
                    <w:tr2bl w:val="nil"/>
                  </w:tcBorders>
                  <w:shd w:val="clear" w:color="auto" w:fill="auto"/>
                  <w:noWrap/>
                  <w:vAlign w:val="center"/>
                </w:tcPr>
                <w:p w14:paraId="4EF8B90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4D517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restart"/>
                  <w:tcBorders>
                    <w:tl2br w:val="nil"/>
                    <w:tr2bl w:val="nil"/>
                  </w:tcBorders>
                  <w:shd w:val="clear" w:color="auto" w:fill="auto"/>
                  <w:noWrap/>
                  <w:vAlign w:val="center"/>
                </w:tcPr>
                <w:p w14:paraId="79EA1B7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w:t>
                  </w:r>
                </w:p>
              </w:tc>
              <w:tc>
                <w:tcPr>
                  <w:tcW w:w="283" w:type="pct"/>
                  <w:vMerge w:val="restart"/>
                  <w:tcBorders>
                    <w:tl2br w:val="nil"/>
                    <w:tr2bl w:val="nil"/>
                  </w:tcBorders>
                  <w:shd w:val="clear" w:color="auto" w:fill="auto"/>
                  <w:noWrap/>
                  <w:vAlign w:val="center"/>
                </w:tcPr>
                <w:p w14:paraId="2435E07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生产厂房</w:t>
                  </w:r>
                </w:p>
              </w:tc>
              <w:tc>
                <w:tcPr>
                  <w:tcW w:w="283" w:type="pct"/>
                  <w:vMerge w:val="restart"/>
                  <w:tcBorders>
                    <w:tl2br w:val="nil"/>
                    <w:tr2bl w:val="nil"/>
                  </w:tcBorders>
                  <w:shd w:val="clear" w:color="auto" w:fill="auto"/>
                  <w:noWrap/>
                  <w:vAlign w:val="center"/>
                </w:tcPr>
                <w:p w14:paraId="3DDDBAE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龙门加工中心</w:t>
                  </w:r>
                </w:p>
              </w:tc>
              <w:tc>
                <w:tcPr>
                  <w:tcW w:w="257" w:type="pct"/>
                  <w:vMerge w:val="restart"/>
                  <w:tcBorders>
                    <w:tl2br w:val="nil"/>
                    <w:tr2bl w:val="nil"/>
                  </w:tcBorders>
                  <w:shd w:val="clear" w:color="auto" w:fill="auto"/>
                  <w:noWrap/>
                  <w:vAlign w:val="center"/>
                </w:tcPr>
                <w:p w14:paraId="3E57074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cs="Times New Roman"/>
                      <w:snapToGrid/>
                      <w:color w:val="auto"/>
                      <w:kern w:val="2"/>
                      <w:sz w:val="18"/>
                      <w:szCs w:val="18"/>
                      <w:highlight w:val="none"/>
                      <w:u w:val="single" w:color="auto"/>
                      <w:lang w:val="en-US" w:eastAsia="zh-CN"/>
                    </w:rPr>
                    <w:t>/</w:t>
                  </w:r>
                </w:p>
              </w:tc>
              <w:tc>
                <w:tcPr>
                  <w:tcW w:w="301" w:type="pct"/>
                  <w:vMerge w:val="restart"/>
                  <w:tcBorders>
                    <w:tl2br w:val="nil"/>
                    <w:tr2bl w:val="nil"/>
                  </w:tcBorders>
                  <w:shd w:val="clear" w:color="auto" w:fill="auto"/>
                  <w:noWrap/>
                  <w:vAlign w:val="center"/>
                </w:tcPr>
                <w:p w14:paraId="5D24D28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75</w:t>
                  </w:r>
                </w:p>
              </w:tc>
              <w:tc>
                <w:tcPr>
                  <w:tcW w:w="301" w:type="pct"/>
                  <w:vMerge w:val="restart"/>
                  <w:tcBorders>
                    <w:tl2br w:val="nil"/>
                    <w:tr2bl w:val="nil"/>
                  </w:tcBorders>
                  <w:shd w:val="clear" w:color="auto" w:fill="auto"/>
                  <w:noWrap/>
                  <w:vAlign w:val="center"/>
                </w:tcPr>
                <w:p w14:paraId="33D5749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减震、隔声</w:t>
                  </w:r>
                </w:p>
              </w:tc>
              <w:tc>
                <w:tcPr>
                  <w:tcW w:w="292" w:type="pct"/>
                  <w:vMerge w:val="restart"/>
                  <w:tcBorders>
                    <w:tl2br w:val="nil"/>
                    <w:tr2bl w:val="nil"/>
                  </w:tcBorders>
                  <w:shd w:val="clear" w:color="auto" w:fill="auto"/>
                  <w:noWrap/>
                  <w:vAlign w:val="center"/>
                </w:tcPr>
                <w:p w14:paraId="5021445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43.16</w:t>
                  </w:r>
                </w:p>
              </w:tc>
              <w:tc>
                <w:tcPr>
                  <w:tcW w:w="367" w:type="pct"/>
                  <w:vMerge w:val="restart"/>
                  <w:tcBorders>
                    <w:tl2br w:val="nil"/>
                    <w:tr2bl w:val="nil"/>
                  </w:tcBorders>
                  <w:shd w:val="clear" w:color="auto" w:fill="auto"/>
                  <w:noWrap/>
                  <w:vAlign w:val="center"/>
                </w:tcPr>
                <w:p w14:paraId="7E4BEE8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28.53</w:t>
                  </w:r>
                </w:p>
              </w:tc>
              <w:tc>
                <w:tcPr>
                  <w:tcW w:w="209" w:type="pct"/>
                  <w:vMerge w:val="restart"/>
                  <w:tcBorders>
                    <w:tl2br w:val="nil"/>
                    <w:tr2bl w:val="nil"/>
                  </w:tcBorders>
                  <w:shd w:val="clear" w:color="auto" w:fill="auto"/>
                  <w:noWrap/>
                  <w:vAlign w:val="center"/>
                </w:tcPr>
                <w:p w14:paraId="6A39A99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c>
                <w:tcPr>
                  <w:tcW w:w="266" w:type="pct"/>
                  <w:tcBorders>
                    <w:tl2br w:val="nil"/>
                    <w:tr2bl w:val="nil"/>
                  </w:tcBorders>
                  <w:shd w:val="clear" w:color="auto" w:fill="auto"/>
                  <w:noWrap/>
                  <w:vAlign w:val="center"/>
                </w:tcPr>
                <w:p w14:paraId="0396178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东</w:t>
                  </w:r>
                </w:p>
              </w:tc>
              <w:tc>
                <w:tcPr>
                  <w:tcW w:w="372" w:type="pct"/>
                  <w:tcBorders>
                    <w:tl2br w:val="nil"/>
                    <w:tr2bl w:val="nil"/>
                  </w:tcBorders>
                  <w:shd w:val="clear" w:color="auto" w:fill="auto"/>
                  <w:noWrap/>
                  <w:vAlign w:val="center"/>
                </w:tcPr>
                <w:p w14:paraId="152C313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62.67</w:t>
                  </w:r>
                </w:p>
              </w:tc>
              <w:tc>
                <w:tcPr>
                  <w:tcW w:w="416" w:type="pct"/>
                  <w:tcBorders>
                    <w:tl2br w:val="nil"/>
                    <w:tr2bl w:val="nil"/>
                  </w:tcBorders>
                  <w:shd w:val="clear" w:color="auto" w:fill="auto"/>
                  <w:noWrap/>
                  <w:vAlign w:val="center"/>
                </w:tcPr>
                <w:p w14:paraId="58A6E4A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restart"/>
                  <w:tcBorders>
                    <w:tl2br w:val="nil"/>
                    <w:tr2bl w:val="nil"/>
                  </w:tcBorders>
                  <w:shd w:val="clear" w:color="auto" w:fill="auto"/>
                  <w:noWrap/>
                  <w:vAlign w:val="center"/>
                </w:tcPr>
                <w:p w14:paraId="713CEB5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昼夜间</w:t>
                  </w:r>
                </w:p>
              </w:tc>
              <w:tc>
                <w:tcPr>
                  <w:tcW w:w="443" w:type="pct"/>
                  <w:vMerge w:val="restart"/>
                  <w:tcBorders>
                    <w:tl2br w:val="nil"/>
                    <w:tr2bl w:val="nil"/>
                  </w:tcBorders>
                  <w:shd w:val="clear" w:color="auto" w:fill="auto"/>
                  <w:noWrap/>
                  <w:vAlign w:val="center"/>
                </w:tcPr>
                <w:p w14:paraId="673D2E8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26</w:t>
                  </w:r>
                </w:p>
              </w:tc>
              <w:tc>
                <w:tcPr>
                  <w:tcW w:w="425" w:type="pct"/>
                  <w:tcBorders>
                    <w:tl2br w:val="nil"/>
                    <w:tr2bl w:val="nil"/>
                  </w:tcBorders>
                  <w:shd w:val="clear" w:color="auto" w:fill="auto"/>
                  <w:noWrap/>
                  <w:vAlign w:val="center"/>
                </w:tcPr>
                <w:p w14:paraId="2437B09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restart"/>
                  <w:tcBorders>
                    <w:tl2br w:val="nil"/>
                    <w:tr2bl w:val="nil"/>
                  </w:tcBorders>
                  <w:shd w:val="clear" w:color="auto" w:fill="auto"/>
                  <w:noWrap/>
                  <w:vAlign w:val="center"/>
                </w:tcPr>
                <w:p w14:paraId="6BEF365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r>
            <w:tr w14:paraId="49CDB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7689174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166DA78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5DCA1AC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1374D4C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7FAD13E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67F7D06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4344034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245ED08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04C6B7D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3DE9D4C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南</w:t>
                  </w:r>
                </w:p>
              </w:tc>
              <w:tc>
                <w:tcPr>
                  <w:tcW w:w="372" w:type="pct"/>
                  <w:tcBorders>
                    <w:tl2br w:val="nil"/>
                    <w:tr2bl w:val="nil"/>
                  </w:tcBorders>
                  <w:shd w:val="clear" w:color="auto" w:fill="auto"/>
                  <w:noWrap/>
                  <w:vAlign w:val="center"/>
                </w:tcPr>
                <w:p w14:paraId="59FFE47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28.45</w:t>
                  </w:r>
                </w:p>
              </w:tc>
              <w:tc>
                <w:tcPr>
                  <w:tcW w:w="416" w:type="pct"/>
                  <w:tcBorders>
                    <w:tl2br w:val="nil"/>
                    <w:tr2bl w:val="nil"/>
                  </w:tcBorders>
                  <w:shd w:val="clear" w:color="auto" w:fill="auto"/>
                  <w:noWrap/>
                  <w:vAlign w:val="center"/>
                </w:tcPr>
                <w:p w14:paraId="564FD5E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75E0A55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3369AA3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505FF9C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0171E6D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38001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17B8C62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1BF9BE7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0DA855D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570E387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0EE17E5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217E86F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7F56F85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2882773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2EFDA84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6D192E5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西</w:t>
                  </w:r>
                </w:p>
              </w:tc>
              <w:tc>
                <w:tcPr>
                  <w:tcW w:w="372" w:type="pct"/>
                  <w:tcBorders>
                    <w:tl2br w:val="nil"/>
                    <w:tr2bl w:val="nil"/>
                  </w:tcBorders>
                  <w:shd w:val="clear" w:color="auto" w:fill="auto"/>
                  <w:noWrap/>
                  <w:vAlign w:val="center"/>
                </w:tcPr>
                <w:p w14:paraId="23B4FCB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43.17</w:t>
                  </w:r>
                </w:p>
              </w:tc>
              <w:tc>
                <w:tcPr>
                  <w:tcW w:w="416" w:type="pct"/>
                  <w:tcBorders>
                    <w:tl2br w:val="nil"/>
                    <w:tr2bl w:val="nil"/>
                  </w:tcBorders>
                  <w:shd w:val="clear" w:color="auto" w:fill="auto"/>
                  <w:noWrap/>
                  <w:vAlign w:val="center"/>
                </w:tcPr>
                <w:p w14:paraId="2064B1F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585BB91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407483D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716BABA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0DA405D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796DB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51E70A8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385C929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4DADEA2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46092A8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05A2863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6058272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2244B46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01E7E67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1477080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50490B9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北</w:t>
                  </w:r>
                </w:p>
              </w:tc>
              <w:tc>
                <w:tcPr>
                  <w:tcW w:w="372" w:type="pct"/>
                  <w:tcBorders>
                    <w:tl2br w:val="nil"/>
                    <w:tr2bl w:val="nil"/>
                  </w:tcBorders>
                  <w:shd w:val="clear" w:color="auto" w:fill="auto"/>
                  <w:noWrap/>
                  <w:vAlign w:val="center"/>
                </w:tcPr>
                <w:p w14:paraId="473954B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45.46</w:t>
                  </w:r>
                </w:p>
              </w:tc>
              <w:tc>
                <w:tcPr>
                  <w:tcW w:w="416" w:type="pct"/>
                  <w:tcBorders>
                    <w:tl2br w:val="nil"/>
                    <w:tr2bl w:val="nil"/>
                  </w:tcBorders>
                  <w:shd w:val="clear" w:color="auto" w:fill="auto"/>
                  <w:noWrap/>
                  <w:vAlign w:val="center"/>
                </w:tcPr>
                <w:p w14:paraId="25513A8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245A128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6C05596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3302D63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05E3D05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68B69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restart"/>
                  <w:tcBorders>
                    <w:tl2br w:val="nil"/>
                    <w:tr2bl w:val="nil"/>
                  </w:tcBorders>
                  <w:shd w:val="clear" w:color="auto" w:fill="auto"/>
                  <w:noWrap/>
                  <w:vAlign w:val="center"/>
                </w:tcPr>
                <w:p w14:paraId="57FD13A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w:t>
                  </w:r>
                </w:p>
              </w:tc>
              <w:tc>
                <w:tcPr>
                  <w:tcW w:w="283" w:type="pct"/>
                  <w:vMerge w:val="restart"/>
                  <w:tcBorders>
                    <w:tl2br w:val="nil"/>
                    <w:tr2bl w:val="nil"/>
                  </w:tcBorders>
                  <w:shd w:val="clear" w:color="auto" w:fill="auto"/>
                  <w:noWrap/>
                  <w:vAlign w:val="center"/>
                </w:tcPr>
                <w:p w14:paraId="671B3E5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生产厂房</w:t>
                  </w:r>
                </w:p>
              </w:tc>
              <w:tc>
                <w:tcPr>
                  <w:tcW w:w="283" w:type="pct"/>
                  <w:vMerge w:val="restart"/>
                  <w:tcBorders>
                    <w:tl2br w:val="nil"/>
                    <w:tr2bl w:val="nil"/>
                  </w:tcBorders>
                  <w:shd w:val="clear" w:color="auto" w:fill="auto"/>
                  <w:noWrap/>
                  <w:vAlign w:val="center"/>
                </w:tcPr>
                <w:p w14:paraId="31B9FD5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立式加工中心</w:t>
                  </w:r>
                </w:p>
              </w:tc>
              <w:tc>
                <w:tcPr>
                  <w:tcW w:w="257" w:type="pct"/>
                  <w:vMerge w:val="restart"/>
                  <w:tcBorders>
                    <w:tl2br w:val="nil"/>
                    <w:tr2bl w:val="nil"/>
                  </w:tcBorders>
                  <w:shd w:val="clear" w:color="auto" w:fill="auto"/>
                  <w:noWrap/>
                  <w:vAlign w:val="center"/>
                </w:tcPr>
                <w:p w14:paraId="1861184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cs="Times New Roman"/>
                      <w:snapToGrid/>
                      <w:color w:val="auto"/>
                      <w:kern w:val="2"/>
                      <w:sz w:val="18"/>
                      <w:szCs w:val="18"/>
                      <w:highlight w:val="none"/>
                      <w:u w:val="single" w:color="auto"/>
                      <w:lang w:val="en-US" w:eastAsia="zh-CN"/>
                    </w:rPr>
                    <w:t>/</w:t>
                  </w:r>
                </w:p>
              </w:tc>
              <w:tc>
                <w:tcPr>
                  <w:tcW w:w="301" w:type="pct"/>
                  <w:vMerge w:val="restart"/>
                  <w:tcBorders>
                    <w:tl2br w:val="nil"/>
                    <w:tr2bl w:val="nil"/>
                  </w:tcBorders>
                  <w:shd w:val="clear" w:color="auto" w:fill="auto"/>
                  <w:noWrap/>
                  <w:vAlign w:val="center"/>
                </w:tcPr>
                <w:p w14:paraId="671EDAA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75</w:t>
                  </w:r>
                </w:p>
              </w:tc>
              <w:tc>
                <w:tcPr>
                  <w:tcW w:w="301" w:type="pct"/>
                  <w:vMerge w:val="restart"/>
                  <w:tcBorders>
                    <w:tl2br w:val="nil"/>
                    <w:tr2bl w:val="nil"/>
                  </w:tcBorders>
                  <w:shd w:val="clear" w:color="auto" w:fill="auto"/>
                  <w:noWrap/>
                  <w:vAlign w:val="center"/>
                </w:tcPr>
                <w:p w14:paraId="5BC103F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减震、隔声</w:t>
                  </w:r>
                </w:p>
              </w:tc>
              <w:tc>
                <w:tcPr>
                  <w:tcW w:w="292" w:type="pct"/>
                  <w:vMerge w:val="restart"/>
                  <w:tcBorders>
                    <w:tl2br w:val="nil"/>
                    <w:tr2bl w:val="nil"/>
                  </w:tcBorders>
                  <w:shd w:val="clear" w:color="auto" w:fill="auto"/>
                  <w:noWrap/>
                  <w:vAlign w:val="center"/>
                </w:tcPr>
                <w:p w14:paraId="40C476D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63.14</w:t>
                  </w:r>
                </w:p>
              </w:tc>
              <w:tc>
                <w:tcPr>
                  <w:tcW w:w="367" w:type="pct"/>
                  <w:vMerge w:val="restart"/>
                  <w:tcBorders>
                    <w:tl2br w:val="nil"/>
                    <w:tr2bl w:val="nil"/>
                  </w:tcBorders>
                  <w:shd w:val="clear" w:color="auto" w:fill="auto"/>
                  <w:noWrap/>
                  <w:vAlign w:val="center"/>
                </w:tcPr>
                <w:p w14:paraId="17DD4CF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28.58</w:t>
                  </w:r>
                </w:p>
              </w:tc>
              <w:tc>
                <w:tcPr>
                  <w:tcW w:w="209" w:type="pct"/>
                  <w:vMerge w:val="restart"/>
                  <w:tcBorders>
                    <w:tl2br w:val="nil"/>
                    <w:tr2bl w:val="nil"/>
                  </w:tcBorders>
                  <w:shd w:val="clear" w:color="auto" w:fill="auto"/>
                  <w:noWrap/>
                  <w:vAlign w:val="center"/>
                </w:tcPr>
                <w:p w14:paraId="0DF8EA7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c>
                <w:tcPr>
                  <w:tcW w:w="266" w:type="pct"/>
                  <w:tcBorders>
                    <w:tl2br w:val="nil"/>
                    <w:tr2bl w:val="nil"/>
                  </w:tcBorders>
                  <w:shd w:val="clear" w:color="auto" w:fill="auto"/>
                  <w:noWrap/>
                  <w:vAlign w:val="center"/>
                </w:tcPr>
                <w:p w14:paraId="3CDA0C1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东</w:t>
                  </w:r>
                </w:p>
              </w:tc>
              <w:tc>
                <w:tcPr>
                  <w:tcW w:w="372" w:type="pct"/>
                  <w:tcBorders>
                    <w:tl2br w:val="nil"/>
                    <w:tr2bl w:val="nil"/>
                  </w:tcBorders>
                  <w:shd w:val="clear" w:color="auto" w:fill="auto"/>
                  <w:noWrap/>
                  <w:vAlign w:val="center"/>
                </w:tcPr>
                <w:p w14:paraId="4C4943C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42.69</w:t>
                  </w:r>
                </w:p>
              </w:tc>
              <w:tc>
                <w:tcPr>
                  <w:tcW w:w="416" w:type="pct"/>
                  <w:tcBorders>
                    <w:tl2br w:val="nil"/>
                    <w:tr2bl w:val="nil"/>
                  </w:tcBorders>
                  <w:shd w:val="clear" w:color="auto" w:fill="auto"/>
                  <w:noWrap/>
                  <w:vAlign w:val="center"/>
                </w:tcPr>
                <w:p w14:paraId="72F890D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restart"/>
                  <w:tcBorders>
                    <w:tl2br w:val="nil"/>
                    <w:tr2bl w:val="nil"/>
                  </w:tcBorders>
                  <w:shd w:val="clear" w:color="auto" w:fill="auto"/>
                  <w:noWrap/>
                  <w:vAlign w:val="center"/>
                </w:tcPr>
                <w:p w14:paraId="6B9E0CC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昼夜间</w:t>
                  </w:r>
                </w:p>
              </w:tc>
              <w:tc>
                <w:tcPr>
                  <w:tcW w:w="443" w:type="pct"/>
                  <w:vMerge w:val="restart"/>
                  <w:tcBorders>
                    <w:tl2br w:val="nil"/>
                    <w:tr2bl w:val="nil"/>
                  </w:tcBorders>
                  <w:shd w:val="clear" w:color="auto" w:fill="auto"/>
                  <w:noWrap/>
                  <w:vAlign w:val="center"/>
                </w:tcPr>
                <w:p w14:paraId="12B9401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color w:val="auto"/>
                      <w:sz w:val="18"/>
                      <w:szCs w:val="18"/>
                      <w:u w:val="single" w:color="auto"/>
                      <w:lang w:val="en-US" w:eastAsia="zh-CN"/>
                    </w:rPr>
                    <w:t>26</w:t>
                  </w:r>
                </w:p>
              </w:tc>
              <w:tc>
                <w:tcPr>
                  <w:tcW w:w="425" w:type="pct"/>
                  <w:tcBorders>
                    <w:tl2br w:val="nil"/>
                    <w:tr2bl w:val="nil"/>
                  </w:tcBorders>
                  <w:shd w:val="clear" w:color="auto" w:fill="auto"/>
                  <w:noWrap/>
                  <w:vAlign w:val="center"/>
                </w:tcPr>
                <w:p w14:paraId="6A93552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restart"/>
                  <w:tcBorders>
                    <w:tl2br w:val="nil"/>
                    <w:tr2bl w:val="nil"/>
                  </w:tcBorders>
                  <w:shd w:val="clear" w:color="auto" w:fill="auto"/>
                  <w:noWrap/>
                  <w:vAlign w:val="center"/>
                </w:tcPr>
                <w:p w14:paraId="517DF29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default"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r>
            <w:tr w14:paraId="5A4A1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00DA95D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715290D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711DDEF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40B5D40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70E5636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7776875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086B90C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2E85B12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51343B0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5292886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南</w:t>
                  </w:r>
                </w:p>
              </w:tc>
              <w:tc>
                <w:tcPr>
                  <w:tcW w:w="372" w:type="pct"/>
                  <w:tcBorders>
                    <w:tl2br w:val="nil"/>
                    <w:tr2bl w:val="nil"/>
                  </w:tcBorders>
                  <w:shd w:val="clear" w:color="auto" w:fill="auto"/>
                  <w:noWrap/>
                  <w:vAlign w:val="center"/>
                </w:tcPr>
                <w:p w14:paraId="7181B1C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28.49</w:t>
                  </w:r>
                </w:p>
              </w:tc>
              <w:tc>
                <w:tcPr>
                  <w:tcW w:w="416" w:type="pct"/>
                  <w:tcBorders>
                    <w:tl2br w:val="nil"/>
                    <w:tr2bl w:val="nil"/>
                  </w:tcBorders>
                  <w:shd w:val="clear" w:color="auto" w:fill="auto"/>
                  <w:noWrap/>
                  <w:vAlign w:val="center"/>
                </w:tcPr>
                <w:p w14:paraId="33591D9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3A3EC32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288A950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42C1F05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299A64C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58259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4501CD5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4ACC747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6967D8D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2EE0A9F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48E862A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274FB14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73A9EF0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3D0B638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5079B35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2D2CE5A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西</w:t>
                  </w:r>
                </w:p>
              </w:tc>
              <w:tc>
                <w:tcPr>
                  <w:tcW w:w="372" w:type="pct"/>
                  <w:tcBorders>
                    <w:tl2br w:val="nil"/>
                    <w:tr2bl w:val="nil"/>
                  </w:tcBorders>
                  <w:shd w:val="clear" w:color="auto" w:fill="auto"/>
                  <w:noWrap/>
                  <w:vAlign w:val="center"/>
                </w:tcPr>
                <w:p w14:paraId="563325D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63.15</w:t>
                  </w:r>
                </w:p>
              </w:tc>
              <w:tc>
                <w:tcPr>
                  <w:tcW w:w="416" w:type="pct"/>
                  <w:tcBorders>
                    <w:tl2br w:val="nil"/>
                    <w:tr2bl w:val="nil"/>
                  </w:tcBorders>
                  <w:shd w:val="clear" w:color="auto" w:fill="auto"/>
                  <w:noWrap/>
                  <w:vAlign w:val="center"/>
                </w:tcPr>
                <w:p w14:paraId="11E8BF1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0A8564D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5C5E303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718B491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1AE00D2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707E9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69" w:type="pct"/>
                  <w:vMerge w:val="continue"/>
                  <w:tcBorders>
                    <w:tl2br w:val="nil"/>
                    <w:tr2bl w:val="nil"/>
                  </w:tcBorders>
                  <w:shd w:val="clear" w:color="auto" w:fill="auto"/>
                  <w:noWrap/>
                  <w:vAlign w:val="center"/>
                </w:tcPr>
                <w:p w14:paraId="65C24C6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4BB252F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83" w:type="pct"/>
                  <w:vMerge w:val="continue"/>
                  <w:tcBorders>
                    <w:tl2br w:val="nil"/>
                    <w:tr2bl w:val="nil"/>
                  </w:tcBorders>
                  <w:shd w:val="clear" w:color="auto" w:fill="auto"/>
                  <w:noWrap/>
                  <w:vAlign w:val="center"/>
                </w:tcPr>
                <w:p w14:paraId="20155AE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57" w:type="pct"/>
                  <w:vMerge w:val="continue"/>
                  <w:tcBorders>
                    <w:tl2br w:val="nil"/>
                    <w:tr2bl w:val="nil"/>
                  </w:tcBorders>
                  <w:shd w:val="clear" w:color="auto" w:fill="auto"/>
                  <w:noWrap/>
                  <w:vAlign w:val="center"/>
                </w:tcPr>
                <w:p w14:paraId="77EF35E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4423BF5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01" w:type="pct"/>
                  <w:vMerge w:val="continue"/>
                  <w:tcBorders>
                    <w:tl2br w:val="nil"/>
                    <w:tr2bl w:val="nil"/>
                  </w:tcBorders>
                  <w:shd w:val="clear" w:color="auto" w:fill="auto"/>
                  <w:noWrap/>
                  <w:vAlign w:val="center"/>
                </w:tcPr>
                <w:p w14:paraId="11404EF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92" w:type="pct"/>
                  <w:vMerge w:val="continue"/>
                  <w:tcBorders>
                    <w:tl2br w:val="nil"/>
                    <w:tr2bl w:val="nil"/>
                  </w:tcBorders>
                  <w:shd w:val="clear" w:color="auto" w:fill="auto"/>
                  <w:noWrap/>
                  <w:vAlign w:val="center"/>
                </w:tcPr>
                <w:p w14:paraId="457E4C3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67" w:type="pct"/>
                  <w:vMerge w:val="continue"/>
                  <w:tcBorders>
                    <w:tl2br w:val="nil"/>
                    <w:tr2bl w:val="nil"/>
                  </w:tcBorders>
                  <w:shd w:val="clear" w:color="auto" w:fill="auto"/>
                  <w:noWrap/>
                  <w:vAlign w:val="center"/>
                </w:tcPr>
                <w:p w14:paraId="2BBDE40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09" w:type="pct"/>
                  <w:vMerge w:val="continue"/>
                  <w:tcBorders>
                    <w:tl2br w:val="nil"/>
                    <w:tr2bl w:val="nil"/>
                  </w:tcBorders>
                  <w:shd w:val="clear" w:color="auto" w:fill="auto"/>
                  <w:noWrap/>
                  <w:vAlign w:val="center"/>
                </w:tcPr>
                <w:p w14:paraId="7BF4E02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266" w:type="pct"/>
                  <w:tcBorders>
                    <w:tl2br w:val="nil"/>
                    <w:tr2bl w:val="nil"/>
                  </w:tcBorders>
                  <w:shd w:val="clear" w:color="auto" w:fill="auto"/>
                  <w:noWrap/>
                  <w:vAlign w:val="center"/>
                </w:tcPr>
                <w:p w14:paraId="428C6C6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北</w:t>
                  </w:r>
                </w:p>
              </w:tc>
              <w:tc>
                <w:tcPr>
                  <w:tcW w:w="372" w:type="pct"/>
                  <w:tcBorders>
                    <w:tl2br w:val="nil"/>
                    <w:tr2bl w:val="nil"/>
                  </w:tcBorders>
                  <w:shd w:val="clear" w:color="auto" w:fill="auto"/>
                  <w:noWrap/>
                  <w:vAlign w:val="center"/>
                </w:tcPr>
                <w:p w14:paraId="3E8E995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45.41</w:t>
                  </w:r>
                </w:p>
              </w:tc>
              <w:tc>
                <w:tcPr>
                  <w:tcW w:w="416" w:type="pct"/>
                  <w:tcBorders>
                    <w:tl2br w:val="nil"/>
                    <w:tr2bl w:val="nil"/>
                  </w:tcBorders>
                  <w:shd w:val="clear" w:color="auto" w:fill="auto"/>
                  <w:noWrap/>
                  <w:vAlign w:val="center"/>
                </w:tcPr>
                <w:p w14:paraId="70DCF9E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64.46</w:t>
                  </w:r>
                </w:p>
              </w:tc>
              <w:tc>
                <w:tcPr>
                  <w:tcW w:w="283" w:type="pct"/>
                  <w:vMerge w:val="continue"/>
                  <w:tcBorders>
                    <w:tl2br w:val="nil"/>
                    <w:tr2bl w:val="nil"/>
                  </w:tcBorders>
                  <w:shd w:val="clear" w:color="auto" w:fill="auto"/>
                  <w:noWrap/>
                  <w:vAlign w:val="center"/>
                </w:tcPr>
                <w:p w14:paraId="6176E78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43" w:type="pct"/>
                  <w:vMerge w:val="continue"/>
                  <w:tcBorders>
                    <w:tl2br w:val="nil"/>
                    <w:tr2bl w:val="nil"/>
                  </w:tcBorders>
                  <w:shd w:val="clear" w:color="auto" w:fill="auto"/>
                  <w:noWrap/>
                  <w:vAlign w:val="center"/>
                </w:tcPr>
                <w:p w14:paraId="4CF79CA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25" w:type="pct"/>
                  <w:tcBorders>
                    <w:tl2br w:val="nil"/>
                    <w:tr2bl w:val="nil"/>
                  </w:tcBorders>
                  <w:shd w:val="clear" w:color="auto" w:fill="auto"/>
                  <w:noWrap/>
                  <w:vAlign w:val="center"/>
                </w:tcPr>
                <w:p w14:paraId="58E3EFB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bidi="ar-SA"/>
                    </w:rPr>
                  </w:pPr>
                  <w:r>
                    <w:rPr>
                      <w:rFonts w:hint="eastAsia" w:ascii="Times New Roman" w:hAnsi="Times New Roman" w:eastAsia="宋体" w:cs="Times New Roman"/>
                      <w:snapToGrid/>
                      <w:color w:val="auto"/>
                      <w:kern w:val="2"/>
                      <w:sz w:val="18"/>
                      <w:szCs w:val="18"/>
                      <w:highlight w:val="none"/>
                      <w:u w:val="single" w:color="auto"/>
                      <w:lang w:val="en-US" w:eastAsia="zh-CN"/>
                    </w:rPr>
                    <w:t>38.46</w:t>
                  </w:r>
                </w:p>
              </w:tc>
              <w:tc>
                <w:tcPr>
                  <w:tcW w:w="325" w:type="pct"/>
                  <w:vMerge w:val="continue"/>
                  <w:tcBorders>
                    <w:tl2br w:val="nil"/>
                    <w:tr2bl w:val="nil"/>
                  </w:tcBorders>
                  <w:shd w:val="clear" w:color="auto" w:fill="auto"/>
                  <w:noWrap/>
                  <w:vAlign w:val="center"/>
                </w:tcPr>
                <w:p w14:paraId="650C1CD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bl>
          <w:p w14:paraId="06016C1F">
            <w:pPr>
              <w:bidi w:val="0"/>
              <w:rPr>
                <w:rFonts w:hint="eastAsia"/>
                <w:color w:val="auto"/>
                <w:u w:val="single" w:color="auto"/>
                <w:lang w:val="en-US" w:eastAsia="zh-CN"/>
              </w:rPr>
            </w:pPr>
            <w:r>
              <w:rPr>
                <w:rFonts w:hint="eastAsia"/>
                <w:color w:val="auto"/>
                <w:u w:val="single" w:color="auto"/>
                <w:lang w:val="en-US" w:eastAsia="zh-CN"/>
              </w:rPr>
              <w:t>2、噪声预测</w:t>
            </w:r>
          </w:p>
          <w:p w14:paraId="3BEAEA3A">
            <w:pPr>
              <w:bidi w:val="0"/>
              <w:rPr>
                <w:rFonts w:hint="default"/>
                <w:color w:val="auto"/>
                <w:u w:val="single" w:color="auto"/>
              </w:rPr>
            </w:pPr>
            <w:r>
              <w:rPr>
                <w:rFonts w:hint="default"/>
                <w:color w:val="auto"/>
                <w:u w:val="single" w:color="auto"/>
              </w:rPr>
              <w:t>本项目主要对厂界噪声排放情况进行预测，项目厂界噪声排放执行《工业企业厂界环境噪声排放标准》（GB12348-20</w:t>
            </w:r>
            <w:r>
              <w:rPr>
                <w:rFonts w:hint="eastAsia"/>
                <w:color w:val="auto"/>
                <w:u w:val="single" w:color="auto"/>
                <w:lang w:val="en-US" w:eastAsia="zh-CN"/>
              </w:rPr>
              <w:t>21</w:t>
            </w:r>
            <w:r>
              <w:rPr>
                <w:rFonts w:hint="default"/>
                <w:color w:val="auto"/>
                <w:u w:val="single" w:color="auto"/>
              </w:rPr>
              <w:t>）中的</w:t>
            </w:r>
            <w:r>
              <w:rPr>
                <w:rFonts w:hint="eastAsia"/>
                <w:color w:val="auto"/>
                <w:u w:val="single" w:color="auto"/>
                <w:lang w:val="en-US" w:eastAsia="zh-CN"/>
              </w:rPr>
              <w:t>3</w:t>
            </w:r>
            <w:r>
              <w:rPr>
                <w:rFonts w:hint="default"/>
                <w:color w:val="auto"/>
                <w:u w:val="single" w:color="auto"/>
              </w:rPr>
              <w:t>类标准。</w:t>
            </w:r>
          </w:p>
          <w:p w14:paraId="06DA0A28">
            <w:pPr>
              <w:keepNext w:val="0"/>
              <w:keepLines w:val="0"/>
              <w:widowControl/>
              <w:suppressLineNumbers w:val="0"/>
              <w:jc w:val="left"/>
              <w:rPr>
                <w:color w:val="auto"/>
                <w:u w:val="single" w:color="auto"/>
              </w:rPr>
            </w:pPr>
            <w:r>
              <w:rPr>
                <w:rFonts w:hint="eastAsia"/>
                <w:color w:val="auto"/>
                <w:u w:val="single" w:color="auto"/>
                <w:lang w:val="en-US" w:eastAsia="zh-CN"/>
              </w:rPr>
              <w:t>（1）</w:t>
            </w:r>
            <w:r>
              <w:rPr>
                <w:rFonts w:hint="eastAsia" w:ascii="Times New Roman" w:hAnsi="Times New Roman" w:eastAsia="宋体" w:cs="Times New Roman"/>
                <w:color w:val="auto"/>
                <w:u w:val="single" w:color="auto"/>
                <w:lang w:val="en-US" w:eastAsia="zh-CN"/>
              </w:rPr>
              <w:t>室外声源在预测点产生的声</w:t>
            </w:r>
            <w:r>
              <w:rPr>
                <w:rFonts w:hint="eastAsia" w:eastAsia="宋体" w:cs="Times New Roman"/>
                <w:color w:val="auto"/>
                <w:u w:val="single" w:color="auto"/>
                <w:lang w:val="en-US" w:eastAsia="zh-CN"/>
              </w:rPr>
              <w:t>压</w:t>
            </w:r>
            <w:r>
              <w:rPr>
                <w:rFonts w:hint="eastAsia" w:ascii="Times New Roman" w:hAnsi="Times New Roman" w:eastAsia="宋体" w:cs="Times New Roman"/>
                <w:color w:val="auto"/>
                <w:u w:val="single" w:color="auto"/>
                <w:lang w:val="en-US" w:eastAsia="zh-CN"/>
              </w:rPr>
              <w:t>级</w:t>
            </w:r>
          </w:p>
          <w:p w14:paraId="4A759065">
            <w:pPr>
              <w:keepNext w:val="0"/>
              <w:keepLines w:val="0"/>
              <w:widowControl/>
              <w:suppressLineNumbers w:val="0"/>
              <w:jc w:val="left"/>
              <w:rPr>
                <w:color w:val="auto"/>
                <w:u w:val="single" w:color="auto"/>
              </w:rPr>
            </w:pPr>
            <w:r>
              <w:rPr>
                <w:rFonts w:hint="eastAsia" w:ascii="Times New Roman" w:hAnsi="Times New Roman" w:eastAsia="宋体" w:cs="Times New Roman"/>
                <w:color w:val="auto"/>
                <w:u w:val="single" w:color="auto"/>
                <w:lang w:val="en-US" w:eastAsia="zh-CN"/>
              </w:rPr>
              <w:t>根据《环境影响评价技术导则—声环境》（HJ2.4-2021）附录A，户外声传播衰减包括几何发散（</w:t>
            </w:r>
            <w:r>
              <w:rPr>
                <w:rFonts w:hint="default" w:ascii="Times New Roman" w:hAnsi="Times New Roman" w:eastAsia="宋体" w:cs="Times New Roman"/>
                <w:i/>
                <w:iCs/>
                <w:color w:val="auto"/>
                <w:u w:val="single" w:color="auto"/>
                <w:lang w:val="en-US" w:eastAsia="zh-CN"/>
              </w:rPr>
              <w:t>Adiv</w:t>
            </w:r>
            <w:r>
              <w:rPr>
                <w:rFonts w:hint="eastAsia" w:ascii="Times New Roman" w:hAnsi="Times New Roman" w:eastAsia="宋体" w:cs="Times New Roman"/>
                <w:color w:val="auto"/>
                <w:u w:val="single" w:color="auto"/>
                <w:lang w:val="en-US" w:eastAsia="zh-CN"/>
              </w:rPr>
              <w:t>）、大气吸收（</w:t>
            </w:r>
            <w:r>
              <w:rPr>
                <w:rFonts w:hint="default" w:ascii="Times New Roman" w:hAnsi="Times New Roman" w:eastAsia="宋体" w:cs="Times New Roman"/>
                <w:i/>
                <w:iCs/>
                <w:color w:val="auto"/>
                <w:u w:val="single" w:color="auto"/>
                <w:lang w:val="en-US" w:eastAsia="zh-CN"/>
              </w:rPr>
              <w:t>Aatm</w:t>
            </w:r>
            <w:r>
              <w:rPr>
                <w:rFonts w:hint="eastAsia" w:ascii="Times New Roman" w:hAnsi="Times New Roman" w:eastAsia="宋体" w:cs="Times New Roman"/>
                <w:color w:val="auto"/>
                <w:u w:val="single" w:color="auto"/>
                <w:lang w:val="en-US" w:eastAsia="zh-CN"/>
              </w:rPr>
              <w:t>）、地面效应（</w:t>
            </w:r>
            <w:r>
              <w:rPr>
                <w:rFonts w:hint="default" w:ascii="Times New Roman" w:hAnsi="Times New Roman" w:eastAsia="宋体" w:cs="Times New Roman"/>
                <w:i/>
                <w:iCs/>
                <w:color w:val="auto"/>
                <w:u w:val="single" w:color="auto"/>
                <w:lang w:val="en-US" w:eastAsia="zh-CN"/>
              </w:rPr>
              <w:t>Agr</w:t>
            </w:r>
            <w:r>
              <w:rPr>
                <w:rFonts w:hint="eastAsia" w:ascii="Times New Roman" w:hAnsi="Times New Roman" w:eastAsia="宋体" w:cs="Times New Roman"/>
                <w:color w:val="auto"/>
                <w:u w:val="single" w:color="auto"/>
                <w:lang w:val="en-US" w:eastAsia="zh-CN"/>
              </w:rPr>
              <w:t>）、障碍物屏蔽（</w:t>
            </w:r>
            <w:r>
              <w:rPr>
                <w:rFonts w:hint="default" w:ascii="Times New Roman" w:hAnsi="Times New Roman" w:eastAsia="宋体" w:cs="Times New Roman"/>
                <w:i/>
                <w:iCs/>
                <w:color w:val="auto"/>
                <w:u w:val="single" w:color="auto"/>
                <w:lang w:val="en-US" w:eastAsia="zh-CN"/>
              </w:rPr>
              <w:t>Abar</w:t>
            </w:r>
            <w:r>
              <w:rPr>
                <w:rFonts w:hint="eastAsia" w:ascii="Times New Roman" w:hAnsi="Times New Roman" w:eastAsia="宋体" w:cs="Times New Roman"/>
                <w:color w:val="auto"/>
                <w:u w:val="single" w:color="auto"/>
                <w:lang w:val="en-US" w:eastAsia="zh-CN"/>
              </w:rPr>
              <w:t>）、其他多方面效应（</w:t>
            </w:r>
            <w:r>
              <w:rPr>
                <w:rFonts w:hint="default" w:ascii="Times New Roman" w:hAnsi="Times New Roman" w:eastAsia="宋体" w:cs="Times New Roman"/>
                <w:i/>
                <w:iCs/>
                <w:color w:val="auto"/>
                <w:u w:val="single" w:color="auto"/>
                <w:lang w:val="en-US" w:eastAsia="zh-CN"/>
              </w:rPr>
              <w:t>Amisc</w:t>
            </w:r>
            <w:r>
              <w:rPr>
                <w:rFonts w:hint="eastAsia" w:ascii="Times New Roman" w:hAnsi="Times New Roman" w:eastAsia="宋体" w:cs="Times New Roman"/>
                <w:color w:val="auto"/>
                <w:u w:val="single" w:color="auto"/>
                <w:lang w:val="en-US" w:eastAsia="zh-CN"/>
              </w:rPr>
              <w:t>）引起的衰减。</w:t>
            </w:r>
            <w:r>
              <w:rPr>
                <w:rFonts w:hint="eastAsia" w:ascii="宋体" w:hAnsi="宋体" w:eastAsia="宋体" w:cs="宋体"/>
                <w:color w:val="auto"/>
                <w:kern w:val="0"/>
                <w:sz w:val="21"/>
                <w:szCs w:val="21"/>
                <w:u w:val="single" w:color="auto"/>
                <w:lang w:val="en-US" w:eastAsia="zh-CN" w:bidi="ar"/>
              </w:rPr>
              <w:t xml:space="preserve"> </w:t>
            </w:r>
          </w:p>
          <w:p w14:paraId="49FF8EE3">
            <w:pPr>
              <w:bidi w:val="0"/>
              <w:rPr>
                <w:color w:val="auto"/>
                <w:u w:val="single" w:color="auto"/>
              </w:rPr>
            </w:pPr>
            <w:r>
              <w:rPr>
                <w:rFonts w:hint="eastAsia"/>
                <w:color w:val="auto"/>
                <w:u w:val="single" w:color="auto"/>
                <w:lang w:val="en-US" w:eastAsia="zh-CN"/>
              </w:rPr>
              <w:t>噪声</w:t>
            </w:r>
            <w:r>
              <w:rPr>
                <w:rFonts w:hint="eastAsia" w:ascii="Times New Roman" w:hAnsi="Times New Roman" w:eastAsia="宋体" w:cs="Times New Roman"/>
                <w:color w:val="auto"/>
                <w:u w:val="single" w:color="auto"/>
                <w:lang w:val="en-US" w:eastAsia="zh-CN"/>
              </w:rPr>
              <w:t>户外声传播</w:t>
            </w:r>
            <w:r>
              <w:rPr>
                <w:rFonts w:hint="eastAsia"/>
                <w:color w:val="auto"/>
                <w:u w:val="single" w:color="auto"/>
                <w:lang w:val="en-US" w:eastAsia="zh-CN"/>
              </w:rPr>
              <w:t>在预测点的声级，按以下式计算。</w:t>
            </w:r>
          </w:p>
          <w:p w14:paraId="6C568656">
            <w:pPr>
              <w:bidi w:val="0"/>
              <w:ind w:left="0" w:leftChars="0" w:firstLine="0" w:firstLineChars="0"/>
              <w:jc w:val="center"/>
              <w:rPr>
                <w:color w:val="auto"/>
                <w:u w:val="single" w:color="auto"/>
              </w:rPr>
            </w:pPr>
            <w:r>
              <w:rPr>
                <w:color w:val="auto"/>
                <w:u w:val="single" w:color="auto"/>
              </w:rPr>
              <w:drawing>
                <wp:inline distT="0" distB="0" distL="114300" distR="114300">
                  <wp:extent cx="3638550" cy="304800"/>
                  <wp:effectExtent l="0" t="0" r="0" b="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15"/>
                          <a:stretch>
                            <a:fillRect/>
                          </a:stretch>
                        </pic:blipFill>
                        <pic:spPr>
                          <a:xfrm>
                            <a:off x="0" y="0"/>
                            <a:ext cx="3638550" cy="304800"/>
                          </a:xfrm>
                          <a:prstGeom prst="rect">
                            <a:avLst/>
                          </a:prstGeom>
                          <a:noFill/>
                          <a:ln>
                            <a:noFill/>
                          </a:ln>
                        </pic:spPr>
                      </pic:pic>
                    </a:graphicData>
                  </a:graphic>
                </wp:inline>
              </w:drawing>
            </w:r>
          </w:p>
          <w:p w14:paraId="69AEFE31">
            <w:pPr>
              <w:keepNext w:val="0"/>
              <w:keepLines w:val="0"/>
              <w:widowControl/>
              <w:suppressLineNumbers w:val="0"/>
              <w:jc w:val="left"/>
              <w:rPr>
                <w:color w:val="auto"/>
                <w:sz w:val="24"/>
                <w:szCs w:val="24"/>
                <w:u w:val="single" w:color="auto"/>
              </w:rPr>
            </w:pPr>
            <w:r>
              <w:rPr>
                <w:rFonts w:hint="eastAsia" w:ascii="宋体" w:hAnsi="宋体" w:eastAsia="宋体" w:cs="宋体"/>
                <w:color w:val="auto"/>
                <w:kern w:val="0"/>
                <w:sz w:val="24"/>
                <w:szCs w:val="24"/>
                <w:u w:val="single" w:color="auto"/>
                <w:lang w:val="en-US" w:eastAsia="zh-CN" w:bidi="ar"/>
              </w:rPr>
              <w:t>式中：</w:t>
            </w:r>
            <w:r>
              <w:rPr>
                <w:rFonts w:hint="default" w:ascii="Times New Roman" w:hAnsi="Times New Roman" w:eastAsia="宋体" w:cs="Times New Roman"/>
                <w:i/>
                <w:iCs/>
                <w:color w:val="auto"/>
                <w:kern w:val="0"/>
                <w:sz w:val="24"/>
                <w:szCs w:val="24"/>
                <w:u w:val="single" w:color="auto"/>
                <w:lang w:val="en-US" w:eastAsia="zh-CN" w:bidi="ar"/>
              </w:rPr>
              <w:t>Lp</w:t>
            </w:r>
            <w:r>
              <w:rPr>
                <w:rFonts w:hint="default" w:ascii="Times New Roman" w:hAnsi="Times New Roman" w:eastAsia="宋体" w:cs="Times New Roman"/>
                <w:color w:val="auto"/>
                <w:kern w:val="0"/>
                <w:sz w:val="24"/>
                <w:szCs w:val="24"/>
                <w:u w:val="single" w:color="auto"/>
                <w:lang w:val="en-US" w:eastAsia="zh-CN" w:bidi="ar"/>
              </w:rPr>
              <w:t>(</w:t>
            </w:r>
            <w:r>
              <w:rPr>
                <w:rFonts w:hint="default" w:ascii="Times New Roman" w:hAnsi="Times New Roman" w:eastAsia="宋体" w:cs="Times New Roman"/>
                <w:i/>
                <w:iCs/>
                <w:color w:val="auto"/>
                <w:kern w:val="0"/>
                <w:sz w:val="24"/>
                <w:szCs w:val="24"/>
                <w:u w:val="single" w:color="auto"/>
                <w:lang w:val="en-US" w:eastAsia="zh-CN" w:bidi="ar"/>
              </w:rPr>
              <w:t>r</w:t>
            </w:r>
            <w:r>
              <w:rPr>
                <w:rFonts w:hint="default" w:ascii="Times New Roman" w:hAnsi="Times New Roman" w:eastAsia="宋体" w:cs="Times New Roman"/>
                <w:color w:val="auto"/>
                <w:kern w:val="0"/>
                <w:sz w:val="24"/>
                <w:szCs w:val="24"/>
                <w:u w:val="single" w:color="auto"/>
                <w:lang w:val="en-US" w:eastAsia="zh-CN" w:bidi="ar"/>
              </w:rPr>
              <w:t>) ——</w:t>
            </w:r>
            <w:r>
              <w:rPr>
                <w:rFonts w:hint="eastAsia" w:ascii="宋体" w:hAnsi="宋体" w:eastAsia="宋体" w:cs="宋体"/>
                <w:color w:val="auto"/>
                <w:kern w:val="0"/>
                <w:sz w:val="24"/>
                <w:szCs w:val="24"/>
                <w:u w:val="single" w:color="auto"/>
                <w:lang w:val="en-US" w:eastAsia="zh-CN" w:bidi="ar"/>
              </w:rPr>
              <w:t>预测点处声压级，</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w:t>
            </w:r>
          </w:p>
          <w:p w14:paraId="67C71E30">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Lp</w:t>
            </w:r>
            <w:r>
              <w:rPr>
                <w:rFonts w:hint="default" w:ascii="Times New Roman" w:hAnsi="Times New Roman" w:eastAsia="宋体" w:cs="Times New Roman"/>
                <w:color w:val="auto"/>
                <w:kern w:val="0"/>
                <w:sz w:val="24"/>
                <w:szCs w:val="24"/>
                <w:u w:val="single" w:color="auto"/>
                <w:lang w:val="en-US" w:eastAsia="zh-CN" w:bidi="ar"/>
              </w:rPr>
              <w:t>(</w:t>
            </w:r>
            <w:r>
              <w:rPr>
                <w:rFonts w:hint="default" w:ascii="Times New Roman" w:hAnsi="Times New Roman" w:eastAsia="宋体" w:cs="Times New Roman"/>
                <w:i/>
                <w:iCs/>
                <w:color w:val="auto"/>
                <w:kern w:val="0"/>
                <w:sz w:val="24"/>
                <w:szCs w:val="24"/>
                <w:u w:val="single" w:color="auto"/>
                <w:lang w:val="en-US" w:eastAsia="zh-CN" w:bidi="ar"/>
              </w:rPr>
              <w:t>r</w:t>
            </w:r>
            <w:r>
              <w:rPr>
                <w:rFonts w:hint="eastAsia" w:ascii="Times New Roman" w:hAnsi="Times New Roman" w:eastAsia="宋体" w:cs="Times New Roman"/>
                <w:i/>
                <w:iCs/>
                <w:color w:val="auto"/>
                <w:kern w:val="0"/>
                <w:sz w:val="24"/>
                <w:szCs w:val="24"/>
                <w:u w:val="single" w:color="auto"/>
                <w:lang w:val="en-US" w:eastAsia="zh-CN" w:bidi="ar"/>
              </w:rPr>
              <w:t>0</w:t>
            </w:r>
            <w:r>
              <w:rPr>
                <w:rFonts w:hint="default" w:ascii="Times New Roman" w:hAnsi="Times New Roman" w:eastAsia="宋体" w:cs="Times New Roman"/>
                <w:color w:val="auto"/>
                <w:kern w:val="0"/>
                <w:sz w:val="24"/>
                <w:szCs w:val="24"/>
                <w:u w:val="single" w:color="auto"/>
                <w:lang w:val="en-US" w:eastAsia="zh-CN" w:bidi="ar"/>
              </w:rPr>
              <w:t xml:space="preserve">)—— </w:t>
            </w:r>
            <w:r>
              <w:rPr>
                <w:rFonts w:hint="eastAsia" w:ascii="宋体" w:hAnsi="宋体" w:eastAsia="宋体" w:cs="宋体"/>
                <w:color w:val="auto"/>
                <w:kern w:val="0"/>
                <w:sz w:val="24"/>
                <w:szCs w:val="24"/>
                <w:u w:val="single" w:color="auto"/>
                <w:lang w:val="en-US" w:eastAsia="zh-CN" w:bidi="ar"/>
              </w:rPr>
              <w:t>参考位置</w:t>
            </w:r>
            <w:r>
              <w:rPr>
                <w:rFonts w:hint="default" w:ascii="Times New Roman" w:hAnsi="Times New Roman" w:eastAsia="宋体" w:cs="Times New Roman"/>
                <w:i/>
                <w:iCs/>
                <w:color w:val="auto"/>
                <w:kern w:val="0"/>
                <w:sz w:val="24"/>
                <w:szCs w:val="24"/>
                <w:u w:val="single" w:color="auto"/>
                <w:lang w:val="en-US" w:eastAsia="zh-CN" w:bidi="ar"/>
              </w:rPr>
              <w:t>r</w:t>
            </w:r>
            <w:r>
              <w:rPr>
                <w:rFonts w:hint="default" w:ascii="Times New Roman" w:hAnsi="Times New Roman" w:eastAsia="宋体" w:cs="Times New Roman"/>
                <w:color w:val="auto"/>
                <w:kern w:val="0"/>
                <w:sz w:val="24"/>
                <w:szCs w:val="24"/>
                <w:u w:val="single" w:color="auto"/>
                <w:lang w:val="en-US" w:eastAsia="zh-CN" w:bidi="ar"/>
              </w:rPr>
              <w:t>0</w:t>
            </w:r>
            <w:r>
              <w:rPr>
                <w:rFonts w:hint="eastAsia" w:ascii="宋体" w:hAnsi="宋体" w:eastAsia="宋体" w:cs="宋体"/>
                <w:color w:val="auto"/>
                <w:kern w:val="0"/>
                <w:sz w:val="24"/>
                <w:szCs w:val="24"/>
                <w:u w:val="single" w:color="auto"/>
                <w:lang w:val="en-US" w:eastAsia="zh-CN" w:bidi="ar"/>
              </w:rPr>
              <w:t>处的声压级，</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5ADB9349">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D</w:t>
            </w:r>
            <w:r>
              <w:rPr>
                <w:rFonts w:hint="default" w:ascii="Times New Roman" w:hAnsi="Times New Roman" w:eastAsia="宋体" w:cs="Times New Roman"/>
                <w:color w:val="auto"/>
                <w:kern w:val="0"/>
                <w:sz w:val="24"/>
                <w:szCs w:val="24"/>
                <w:u w:val="single" w:color="auto"/>
                <w:lang w:val="en-US" w:eastAsia="zh-CN" w:bidi="ar"/>
              </w:rPr>
              <w:t>C ——</w:t>
            </w:r>
            <w:r>
              <w:rPr>
                <w:rFonts w:hint="eastAsia" w:ascii="Times New Roman" w:hAnsi="Times New Roman" w:eastAsia="宋体" w:cs="Times New Roman"/>
                <w:color w:val="auto"/>
                <w:sz w:val="24"/>
                <w:szCs w:val="24"/>
                <w:u w:val="single" w:color="auto"/>
                <w:lang w:val="en-US" w:eastAsia="zh-CN"/>
              </w:rPr>
              <w:t>指向性校正，它描述点声源的等效连续声压级与产生声功率级</w:t>
            </w:r>
            <w:r>
              <w:rPr>
                <w:rFonts w:hint="default" w:ascii="Times New Roman" w:hAnsi="Times New Roman" w:eastAsia="宋体" w:cs="Times New Roman"/>
                <w:color w:val="auto"/>
                <w:sz w:val="24"/>
                <w:szCs w:val="24"/>
                <w:u w:val="single" w:color="auto"/>
                <w:lang w:val="en-US" w:eastAsia="zh-CN"/>
              </w:rPr>
              <w:t>Lw</w:t>
            </w:r>
            <w:r>
              <w:rPr>
                <w:rFonts w:hint="eastAsia" w:ascii="Times New Roman" w:hAnsi="Times New Roman" w:eastAsia="宋体" w:cs="Times New Roman"/>
                <w:color w:val="auto"/>
                <w:sz w:val="24"/>
                <w:szCs w:val="24"/>
                <w:u w:val="single" w:color="auto"/>
                <w:lang w:val="en-US" w:eastAsia="zh-CN"/>
              </w:rPr>
              <w:t>的全向点声源在规定方向的声级的偏差程度，</w:t>
            </w:r>
            <w:r>
              <w:rPr>
                <w:rFonts w:hint="default" w:ascii="Times New Roman" w:hAnsi="Times New Roman" w:eastAsia="宋体" w:cs="Times New Roman"/>
                <w:color w:val="auto"/>
                <w:sz w:val="24"/>
                <w:szCs w:val="24"/>
                <w:u w:val="single" w:color="auto"/>
                <w:lang w:val="en-US" w:eastAsia="zh-CN"/>
              </w:rPr>
              <w:t>dB</w:t>
            </w:r>
            <w:r>
              <w:rPr>
                <w:rFonts w:hint="eastAsia" w:ascii="Times New Roman" w:hAnsi="Times New Roman" w:eastAsia="宋体" w:cs="Times New Roman"/>
                <w:color w:val="auto"/>
                <w:sz w:val="24"/>
                <w:szCs w:val="24"/>
                <w:u w:val="single" w:color="auto"/>
                <w:lang w:val="en-US" w:eastAsia="zh-CN"/>
              </w:rPr>
              <w:t xml:space="preserve">； </w:t>
            </w:r>
          </w:p>
          <w:p w14:paraId="74E97C1B">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A</w:t>
            </w:r>
            <w:r>
              <w:rPr>
                <w:rFonts w:hint="default" w:ascii="Times New Roman" w:hAnsi="Times New Roman" w:eastAsia="宋体" w:cs="Times New Roman"/>
                <w:color w:val="auto"/>
                <w:kern w:val="0"/>
                <w:sz w:val="24"/>
                <w:szCs w:val="24"/>
                <w:u w:val="single" w:color="auto"/>
                <w:lang w:val="en-US" w:eastAsia="zh-CN" w:bidi="ar"/>
              </w:rPr>
              <w:t>div ——</w:t>
            </w:r>
            <w:r>
              <w:rPr>
                <w:rFonts w:hint="eastAsia" w:ascii="宋体" w:hAnsi="宋体" w:eastAsia="宋体" w:cs="宋体"/>
                <w:color w:val="auto"/>
                <w:kern w:val="0"/>
                <w:sz w:val="24"/>
                <w:szCs w:val="24"/>
                <w:u w:val="single" w:color="auto"/>
                <w:lang w:val="en-US" w:eastAsia="zh-CN" w:bidi="ar"/>
              </w:rPr>
              <w:t>几何发散引起的衰减，</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30666B4E">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A</w:t>
            </w:r>
            <w:r>
              <w:rPr>
                <w:rFonts w:hint="default" w:ascii="Times New Roman" w:hAnsi="Times New Roman" w:eastAsia="宋体" w:cs="Times New Roman"/>
                <w:color w:val="auto"/>
                <w:kern w:val="0"/>
                <w:sz w:val="24"/>
                <w:szCs w:val="24"/>
                <w:u w:val="single" w:color="auto"/>
                <w:lang w:val="en-US" w:eastAsia="zh-CN" w:bidi="ar"/>
              </w:rPr>
              <w:t>atm ——</w:t>
            </w:r>
            <w:r>
              <w:rPr>
                <w:rFonts w:hint="eastAsia" w:ascii="宋体" w:hAnsi="宋体" w:eastAsia="宋体" w:cs="宋体"/>
                <w:color w:val="auto"/>
                <w:kern w:val="0"/>
                <w:sz w:val="24"/>
                <w:szCs w:val="24"/>
                <w:u w:val="single" w:color="auto"/>
                <w:lang w:val="en-US" w:eastAsia="zh-CN" w:bidi="ar"/>
              </w:rPr>
              <w:t>大气吸收引起的衰减，</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0644DCB5">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A</w:t>
            </w:r>
            <w:r>
              <w:rPr>
                <w:rFonts w:hint="default" w:ascii="Times New Roman" w:hAnsi="Times New Roman" w:eastAsia="宋体" w:cs="Times New Roman"/>
                <w:color w:val="auto"/>
                <w:kern w:val="0"/>
                <w:sz w:val="24"/>
                <w:szCs w:val="24"/>
                <w:u w:val="single" w:color="auto"/>
                <w:lang w:val="en-US" w:eastAsia="zh-CN" w:bidi="ar"/>
              </w:rPr>
              <w:t>gr ——</w:t>
            </w:r>
            <w:r>
              <w:rPr>
                <w:rFonts w:hint="eastAsia" w:ascii="宋体" w:hAnsi="宋体" w:eastAsia="宋体" w:cs="宋体"/>
                <w:color w:val="auto"/>
                <w:kern w:val="0"/>
                <w:sz w:val="24"/>
                <w:szCs w:val="24"/>
                <w:u w:val="single" w:color="auto"/>
                <w:lang w:val="en-US" w:eastAsia="zh-CN" w:bidi="ar"/>
              </w:rPr>
              <w:t>地面效应引起的衰减，</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39D1CE5D">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A</w:t>
            </w:r>
            <w:r>
              <w:rPr>
                <w:rFonts w:hint="default" w:ascii="Times New Roman" w:hAnsi="Times New Roman" w:eastAsia="宋体" w:cs="Times New Roman"/>
                <w:color w:val="auto"/>
                <w:kern w:val="0"/>
                <w:sz w:val="24"/>
                <w:szCs w:val="24"/>
                <w:u w:val="single" w:color="auto"/>
                <w:lang w:val="en-US" w:eastAsia="zh-CN" w:bidi="ar"/>
              </w:rPr>
              <w:t>bar ——</w:t>
            </w:r>
            <w:r>
              <w:rPr>
                <w:rFonts w:hint="eastAsia" w:ascii="宋体" w:hAnsi="宋体" w:eastAsia="宋体" w:cs="宋体"/>
                <w:color w:val="auto"/>
                <w:kern w:val="0"/>
                <w:sz w:val="24"/>
                <w:szCs w:val="24"/>
                <w:u w:val="single" w:color="auto"/>
                <w:lang w:val="en-US" w:eastAsia="zh-CN" w:bidi="ar"/>
              </w:rPr>
              <w:t>障碍物屏蔽引起的衰减，</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1F063C31">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A</w:t>
            </w:r>
            <w:r>
              <w:rPr>
                <w:rFonts w:hint="default" w:ascii="Times New Roman" w:hAnsi="Times New Roman" w:eastAsia="宋体" w:cs="Times New Roman"/>
                <w:color w:val="auto"/>
                <w:kern w:val="0"/>
                <w:sz w:val="24"/>
                <w:szCs w:val="24"/>
                <w:u w:val="single" w:color="auto"/>
                <w:lang w:val="en-US" w:eastAsia="zh-CN" w:bidi="ar"/>
              </w:rPr>
              <w:t>misc ——</w:t>
            </w:r>
            <w:r>
              <w:rPr>
                <w:rFonts w:hint="eastAsia" w:ascii="宋体" w:hAnsi="宋体" w:eastAsia="宋体" w:cs="宋体"/>
                <w:color w:val="auto"/>
                <w:kern w:val="0"/>
                <w:sz w:val="24"/>
                <w:szCs w:val="24"/>
                <w:u w:val="single" w:color="auto"/>
                <w:lang w:val="en-US" w:eastAsia="zh-CN" w:bidi="ar"/>
              </w:rPr>
              <w:t>其他多方面效应引起的衰减，</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317DFA63">
            <w:pPr>
              <w:bidi w:val="0"/>
              <w:rPr>
                <w:rFonts w:hint="default" w:ascii="Times New Roman" w:hAnsi="Times New Roman" w:eastAsia="宋体" w:cs="Times New Roman"/>
                <w:color w:val="auto"/>
                <w:sz w:val="24"/>
                <w:szCs w:val="24"/>
                <w:u w:val="single" w:color="auto"/>
                <w:lang w:val="en-US" w:eastAsia="zh-CN"/>
              </w:rPr>
            </w:pPr>
            <w:r>
              <w:rPr>
                <w:rFonts w:hint="eastAsia" w:ascii="Times New Roman" w:hAnsi="Times New Roman" w:eastAsia="宋体" w:cs="Times New Roman"/>
                <w:color w:val="auto"/>
                <w:sz w:val="24"/>
                <w:szCs w:val="24"/>
                <w:u w:val="single" w:color="auto"/>
                <w:lang w:val="en-US" w:eastAsia="zh-CN"/>
              </w:rPr>
              <w:t>结合项目的厂区平面布置和噪声源分布情况，本次评价不再考虑大气吸收引起的衰减</w:t>
            </w:r>
            <w:r>
              <w:rPr>
                <w:rFonts w:hint="default" w:ascii="Times New Roman" w:hAnsi="Times New Roman" w:eastAsia="宋体" w:cs="Times New Roman"/>
                <w:i/>
                <w:iCs/>
                <w:color w:val="auto"/>
                <w:kern w:val="0"/>
                <w:sz w:val="24"/>
                <w:szCs w:val="24"/>
                <w:u w:val="single" w:color="auto"/>
                <w:lang w:val="en-US" w:eastAsia="zh-CN" w:bidi="ar"/>
              </w:rPr>
              <w:t>A</w:t>
            </w:r>
            <w:r>
              <w:rPr>
                <w:rFonts w:hint="default" w:ascii="Times New Roman" w:hAnsi="Times New Roman" w:eastAsia="宋体" w:cs="Times New Roman"/>
                <w:color w:val="auto"/>
                <w:kern w:val="0"/>
                <w:sz w:val="24"/>
                <w:szCs w:val="24"/>
                <w:u w:val="single" w:color="auto"/>
                <w:lang w:val="en-US" w:eastAsia="zh-CN" w:bidi="ar"/>
              </w:rPr>
              <w:t>atm</w:t>
            </w:r>
            <w:r>
              <w:rPr>
                <w:rFonts w:hint="eastAsia" w:ascii="Times New Roman" w:hAnsi="Times New Roman" w:eastAsia="宋体" w:cs="Times New Roman"/>
                <w:color w:val="auto"/>
                <w:sz w:val="24"/>
                <w:szCs w:val="24"/>
                <w:u w:val="single" w:color="auto"/>
                <w:lang w:val="en-US" w:eastAsia="zh-CN"/>
              </w:rPr>
              <w:t>、地面效应引起的倍频带衰减</w:t>
            </w:r>
            <w:r>
              <w:rPr>
                <w:rFonts w:hint="eastAsia" w:ascii="Times New Roman" w:hAnsi="Times New Roman" w:eastAsia="宋体" w:cs="Times New Roman"/>
                <w:i/>
                <w:iCs/>
                <w:color w:val="auto"/>
                <w:sz w:val="24"/>
                <w:szCs w:val="24"/>
                <w:u w:val="single" w:color="auto"/>
                <w:lang w:val="en-US" w:eastAsia="zh-CN"/>
              </w:rPr>
              <w:t>Agr</w:t>
            </w:r>
            <w:r>
              <w:rPr>
                <w:rFonts w:hint="eastAsia" w:ascii="Times New Roman" w:hAnsi="Times New Roman" w:eastAsia="宋体" w:cs="Times New Roman"/>
                <w:color w:val="auto"/>
                <w:sz w:val="24"/>
                <w:szCs w:val="24"/>
                <w:u w:val="single" w:color="auto"/>
                <w:lang w:val="en-US" w:eastAsia="zh-CN"/>
              </w:rPr>
              <w:t>和其他多方面效应引起的倍频带衰减</w:t>
            </w:r>
            <w:r>
              <w:rPr>
                <w:rFonts w:hint="eastAsia" w:ascii="Times New Roman" w:hAnsi="Times New Roman" w:eastAsia="宋体" w:cs="Times New Roman"/>
                <w:i/>
                <w:iCs/>
                <w:color w:val="auto"/>
                <w:sz w:val="24"/>
                <w:szCs w:val="24"/>
                <w:u w:val="single" w:color="auto"/>
                <w:lang w:val="en-US" w:eastAsia="zh-CN"/>
              </w:rPr>
              <w:t>Amisc</w:t>
            </w:r>
            <w:r>
              <w:rPr>
                <w:rFonts w:hint="eastAsia" w:ascii="Times New Roman" w:hAnsi="Times New Roman" w:eastAsia="宋体" w:cs="Times New Roman"/>
                <w:color w:val="auto"/>
                <w:sz w:val="24"/>
                <w:szCs w:val="24"/>
                <w:u w:val="single" w:color="auto"/>
                <w:lang w:val="en-US" w:eastAsia="zh-CN"/>
              </w:rPr>
              <w:t>。</w:t>
            </w:r>
          </w:p>
          <w:p w14:paraId="686CFA1E">
            <w:pPr>
              <w:bidi w:val="0"/>
              <w:rPr>
                <w:color w:val="auto"/>
                <w:sz w:val="24"/>
                <w:szCs w:val="24"/>
                <w:u w:val="single" w:color="auto"/>
              </w:rPr>
            </w:pPr>
            <w:r>
              <w:rPr>
                <w:rFonts w:hint="eastAsia"/>
                <w:color w:val="auto"/>
                <w:sz w:val="24"/>
                <w:szCs w:val="24"/>
                <w:u w:val="single" w:color="auto"/>
                <w:lang w:val="en-US" w:eastAsia="zh-CN"/>
              </w:rPr>
              <w:t>①无指向性点声源几何发散衰减按下式计算：</w:t>
            </w:r>
          </w:p>
          <w:p w14:paraId="1AB40F39">
            <w:pPr>
              <w:bidi w:val="0"/>
              <w:ind w:left="0" w:leftChars="0" w:firstLine="0" w:firstLineChars="0"/>
              <w:jc w:val="center"/>
              <w:rPr>
                <w:color w:val="auto"/>
                <w:u w:val="single" w:color="auto"/>
              </w:rPr>
            </w:pPr>
            <w:r>
              <w:rPr>
                <w:color w:val="auto"/>
                <w:u w:val="single" w:color="auto"/>
              </w:rPr>
              <w:drawing>
                <wp:inline distT="0" distB="0" distL="114300" distR="114300">
                  <wp:extent cx="2181225" cy="314325"/>
                  <wp:effectExtent l="0" t="0" r="9525" b="952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16"/>
                          <a:stretch>
                            <a:fillRect/>
                          </a:stretch>
                        </pic:blipFill>
                        <pic:spPr>
                          <a:xfrm>
                            <a:off x="0" y="0"/>
                            <a:ext cx="2181225" cy="314325"/>
                          </a:xfrm>
                          <a:prstGeom prst="rect">
                            <a:avLst/>
                          </a:prstGeom>
                          <a:noFill/>
                          <a:ln>
                            <a:noFill/>
                          </a:ln>
                        </pic:spPr>
                      </pic:pic>
                    </a:graphicData>
                  </a:graphic>
                </wp:inline>
              </w:drawing>
            </w:r>
          </w:p>
          <w:p w14:paraId="582889EC">
            <w:pPr>
              <w:keepNext w:val="0"/>
              <w:keepLines w:val="0"/>
              <w:widowControl/>
              <w:suppressLineNumbers w:val="0"/>
              <w:jc w:val="left"/>
              <w:rPr>
                <w:color w:val="auto"/>
                <w:sz w:val="24"/>
                <w:szCs w:val="24"/>
                <w:u w:val="single" w:color="auto"/>
              </w:rPr>
            </w:pPr>
            <w:r>
              <w:rPr>
                <w:rFonts w:hint="eastAsia" w:ascii="宋体" w:hAnsi="宋体" w:eastAsia="宋体" w:cs="宋体"/>
                <w:color w:val="auto"/>
                <w:kern w:val="0"/>
                <w:sz w:val="24"/>
                <w:szCs w:val="24"/>
                <w:u w:val="single" w:color="auto"/>
                <w:lang w:val="en-US" w:eastAsia="zh-CN" w:bidi="ar"/>
              </w:rPr>
              <w:t>式中：</w:t>
            </w:r>
            <w:r>
              <w:rPr>
                <w:rFonts w:hint="default" w:ascii="Times New Roman" w:hAnsi="Times New Roman" w:eastAsia="宋体" w:cs="Times New Roman"/>
                <w:i/>
                <w:iCs/>
                <w:color w:val="auto"/>
                <w:kern w:val="0"/>
                <w:sz w:val="24"/>
                <w:szCs w:val="24"/>
                <w:u w:val="single" w:color="auto"/>
                <w:lang w:val="en-US" w:eastAsia="zh-CN" w:bidi="ar"/>
              </w:rPr>
              <w:t>Lp</w:t>
            </w:r>
            <w:r>
              <w:rPr>
                <w:rFonts w:hint="default" w:ascii="Times New Roman" w:hAnsi="Times New Roman" w:eastAsia="宋体" w:cs="Times New Roman"/>
                <w:color w:val="auto"/>
                <w:kern w:val="0"/>
                <w:sz w:val="24"/>
                <w:szCs w:val="24"/>
                <w:u w:val="single" w:color="auto"/>
                <w:lang w:val="en-US" w:eastAsia="zh-CN" w:bidi="ar"/>
              </w:rPr>
              <w:t>(</w:t>
            </w:r>
            <w:r>
              <w:rPr>
                <w:rFonts w:hint="default" w:ascii="Times New Roman" w:hAnsi="Times New Roman" w:eastAsia="宋体" w:cs="Times New Roman"/>
                <w:i/>
                <w:iCs/>
                <w:color w:val="auto"/>
                <w:kern w:val="0"/>
                <w:sz w:val="24"/>
                <w:szCs w:val="24"/>
                <w:u w:val="single" w:color="auto"/>
                <w:lang w:val="en-US" w:eastAsia="zh-CN" w:bidi="ar"/>
              </w:rPr>
              <w:t>r</w:t>
            </w:r>
            <w:r>
              <w:rPr>
                <w:rFonts w:hint="default" w:ascii="Times New Roman" w:hAnsi="Times New Roman" w:eastAsia="宋体" w:cs="Times New Roman"/>
                <w:color w:val="auto"/>
                <w:kern w:val="0"/>
                <w:sz w:val="24"/>
                <w:szCs w:val="24"/>
                <w:u w:val="single" w:color="auto"/>
                <w:lang w:val="en-US" w:eastAsia="zh-CN" w:bidi="ar"/>
              </w:rPr>
              <w:t>) ——</w:t>
            </w:r>
            <w:r>
              <w:rPr>
                <w:rFonts w:hint="eastAsia" w:ascii="宋体" w:hAnsi="宋体" w:eastAsia="宋体" w:cs="宋体"/>
                <w:color w:val="auto"/>
                <w:kern w:val="0"/>
                <w:sz w:val="24"/>
                <w:szCs w:val="24"/>
                <w:u w:val="single" w:color="auto"/>
                <w:lang w:val="en-US" w:eastAsia="zh-CN" w:bidi="ar"/>
              </w:rPr>
              <w:t>预测点处声压级，</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4540E2D5">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Lp</w:t>
            </w:r>
            <w:r>
              <w:rPr>
                <w:rFonts w:hint="default" w:ascii="Times New Roman" w:hAnsi="Times New Roman" w:eastAsia="宋体" w:cs="Times New Roman"/>
                <w:color w:val="auto"/>
                <w:kern w:val="0"/>
                <w:sz w:val="24"/>
                <w:szCs w:val="24"/>
                <w:u w:val="single" w:color="auto"/>
                <w:lang w:val="en-US" w:eastAsia="zh-CN" w:bidi="ar"/>
              </w:rPr>
              <w:t>(</w:t>
            </w:r>
            <w:r>
              <w:rPr>
                <w:rFonts w:hint="default" w:ascii="Times New Roman" w:hAnsi="Times New Roman" w:eastAsia="宋体" w:cs="Times New Roman"/>
                <w:i/>
                <w:iCs/>
                <w:color w:val="auto"/>
                <w:kern w:val="0"/>
                <w:sz w:val="24"/>
                <w:szCs w:val="24"/>
                <w:u w:val="single" w:color="auto"/>
                <w:lang w:val="en-US" w:eastAsia="zh-CN" w:bidi="ar"/>
              </w:rPr>
              <w:t>r</w:t>
            </w:r>
            <w:r>
              <w:rPr>
                <w:rFonts w:hint="default" w:ascii="Times New Roman" w:hAnsi="Times New Roman" w:eastAsia="宋体" w:cs="Times New Roman"/>
                <w:color w:val="auto"/>
                <w:kern w:val="0"/>
                <w:sz w:val="24"/>
                <w:szCs w:val="24"/>
                <w:u w:val="single" w:color="auto"/>
                <w:lang w:val="en-US" w:eastAsia="zh-CN" w:bidi="ar"/>
              </w:rPr>
              <w:t>0) ——</w:t>
            </w:r>
            <w:r>
              <w:rPr>
                <w:rFonts w:hint="eastAsia" w:ascii="宋体" w:hAnsi="宋体" w:eastAsia="宋体" w:cs="宋体"/>
                <w:color w:val="auto"/>
                <w:kern w:val="0"/>
                <w:sz w:val="24"/>
                <w:szCs w:val="24"/>
                <w:u w:val="single" w:color="auto"/>
                <w:lang w:val="en-US" w:eastAsia="zh-CN" w:bidi="ar"/>
              </w:rPr>
              <w:t>参考位置</w:t>
            </w:r>
            <w:r>
              <w:rPr>
                <w:rFonts w:hint="default" w:ascii="Times New Roman" w:hAnsi="Times New Roman" w:eastAsia="宋体" w:cs="Times New Roman"/>
                <w:i/>
                <w:iCs/>
                <w:color w:val="auto"/>
                <w:kern w:val="0"/>
                <w:sz w:val="24"/>
                <w:szCs w:val="24"/>
                <w:u w:val="single" w:color="auto"/>
                <w:lang w:val="en-US" w:eastAsia="zh-CN" w:bidi="ar"/>
              </w:rPr>
              <w:t>r</w:t>
            </w:r>
            <w:r>
              <w:rPr>
                <w:rFonts w:hint="default" w:ascii="Times New Roman" w:hAnsi="Times New Roman" w:eastAsia="宋体" w:cs="Times New Roman"/>
                <w:color w:val="auto"/>
                <w:kern w:val="0"/>
                <w:sz w:val="24"/>
                <w:szCs w:val="24"/>
                <w:u w:val="single" w:color="auto"/>
                <w:lang w:val="en-US" w:eastAsia="zh-CN" w:bidi="ar"/>
              </w:rPr>
              <w:t>0</w:t>
            </w:r>
            <w:r>
              <w:rPr>
                <w:rFonts w:hint="eastAsia" w:ascii="宋体" w:hAnsi="宋体" w:eastAsia="宋体" w:cs="宋体"/>
                <w:color w:val="auto"/>
                <w:kern w:val="0"/>
                <w:sz w:val="24"/>
                <w:szCs w:val="24"/>
                <w:u w:val="single" w:color="auto"/>
                <w:lang w:val="en-US" w:eastAsia="zh-CN" w:bidi="ar"/>
              </w:rPr>
              <w:t>处的声压级，</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1BE0E257">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 xml:space="preserve">r </w:t>
            </w:r>
            <w:r>
              <w:rPr>
                <w:rFonts w:hint="default" w:ascii="Times New Roman" w:hAnsi="Times New Roman" w:eastAsia="宋体" w:cs="Times New Roman"/>
                <w:color w:val="auto"/>
                <w:kern w:val="0"/>
                <w:sz w:val="24"/>
                <w:szCs w:val="24"/>
                <w:u w:val="single" w:color="auto"/>
                <w:lang w:val="en-US" w:eastAsia="zh-CN" w:bidi="ar"/>
              </w:rPr>
              <w:t>——</w:t>
            </w:r>
            <w:r>
              <w:rPr>
                <w:rFonts w:hint="eastAsia" w:ascii="宋体" w:hAnsi="宋体" w:eastAsia="宋体" w:cs="宋体"/>
                <w:color w:val="auto"/>
                <w:kern w:val="0"/>
                <w:sz w:val="24"/>
                <w:szCs w:val="24"/>
                <w:u w:val="single" w:color="auto"/>
                <w:lang w:val="en-US" w:eastAsia="zh-CN" w:bidi="ar"/>
              </w:rPr>
              <w:t xml:space="preserve">预测点距声源的距离； </w:t>
            </w:r>
          </w:p>
          <w:p w14:paraId="4C2994F8">
            <w:pPr>
              <w:keepNext w:val="0"/>
              <w:keepLines w:val="0"/>
              <w:widowControl/>
              <w:suppressLineNumbers w:val="0"/>
              <w:jc w:val="left"/>
              <w:rPr>
                <w:rFonts w:hint="eastAsia" w:ascii="宋体" w:hAnsi="宋体" w:eastAsia="宋体" w:cs="宋体"/>
                <w:color w:val="auto"/>
                <w:kern w:val="0"/>
                <w:sz w:val="24"/>
                <w:szCs w:val="24"/>
                <w:u w:val="single" w:color="auto"/>
                <w:lang w:val="en-US" w:eastAsia="zh-CN" w:bidi="ar"/>
              </w:rPr>
            </w:pPr>
            <w:r>
              <w:rPr>
                <w:rFonts w:hint="default" w:ascii="Times New Roman" w:hAnsi="Times New Roman" w:eastAsia="宋体" w:cs="Times New Roman"/>
                <w:i/>
                <w:iCs/>
                <w:color w:val="auto"/>
                <w:kern w:val="0"/>
                <w:sz w:val="24"/>
                <w:szCs w:val="24"/>
                <w:u w:val="single" w:color="auto"/>
                <w:lang w:val="en-US" w:eastAsia="zh-CN" w:bidi="ar"/>
              </w:rPr>
              <w:t>r</w:t>
            </w:r>
            <w:r>
              <w:rPr>
                <w:rFonts w:hint="default" w:ascii="Times New Roman" w:hAnsi="Times New Roman" w:eastAsia="宋体" w:cs="Times New Roman"/>
                <w:color w:val="auto"/>
                <w:kern w:val="0"/>
                <w:sz w:val="24"/>
                <w:szCs w:val="24"/>
                <w:u w:val="single" w:color="auto"/>
                <w:lang w:val="en-US" w:eastAsia="zh-CN" w:bidi="ar"/>
              </w:rPr>
              <w:t>0——</w:t>
            </w:r>
            <w:r>
              <w:rPr>
                <w:rFonts w:hint="eastAsia" w:ascii="宋体" w:hAnsi="宋体" w:eastAsia="宋体" w:cs="宋体"/>
                <w:color w:val="auto"/>
                <w:kern w:val="0"/>
                <w:sz w:val="24"/>
                <w:szCs w:val="24"/>
                <w:u w:val="single" w:color="auto"/>
                <w:lang w:val="en-US" w:eastAsia="zh-CN" w:bidi="ar"/>
              </w:rPr>
              <w:t>参考位置距声源的距离。</w:t>
            </w:r>
          </w:p>
          <w:p w14:paraId="7BACAC4A">
            <w:pPr>
              <w:ind w:firstLine="480"/>
              <w:rPr>
                <w:color w:val="auto"/>
                <w:u w:val="single" w:color="auto"/>
              </w:rPr>
            </w:pPr>
            <w:r>
              <w:rPr>
                <w:rFonts w:hint="eastAsia" w:ascii="Times New Roman" w:hAnsi="Times New Roman" w:eastAsia="宋体" w:cs="Times New Roman"/>
                <w:color w:val="auto"/>
                <w:sz w:val="24"/>
                <w:szCs w:val="24"/>
                <w:u w:val="single" w:color="auto"/>
                <w:lang w:val="en-US" w:eastAsia="zh-CN"/>
              </w:rPr>
              <w:t>②</w:t>
            </w:r>
            <w:r>
              <w:rPr>
                <w:color w:val="auto"/>
                <w:u w:val="single" w:color="auto"/>
              </w:rPr>
              <w:t>遮挡物引起的衰减量</w:t>
            </w:r>
            <w:r>
              <w:rPr>
                <w:i/>
                <w:iCs/>
                <w:color w:val="auto"/>
                <w:u w:val="single" w:color="auto"/>
              </w:rPr>
              <w:t>A</w:t>
            </w:r>
            <w:r>
              <w:rPr>
                <w:i/>
                <w:iCs/>
                <w:color w:val="auto"/>
                <w:u w:val="single" w:color="auto"/>
                <w:vertAlign w:val="subscript"/>
              </w:rPr>
              <w:t>bar</w:t>
            </w:r>
          </w:p>
          <w:p w14:paraId="2CCC823E">
            <w:pPr>
              <w:ind w:firstLine="480"/>
              <w:rPr>
                <w:color w:val="auto"/>
                <w:u w:val="single" w:color="auto"/>
              </w:rPr>
            </w:pPr>
            <w:r>
              <w:rPr>
                <w:color w:val="auto"/>
                <w:u w:val="single" w:color="auto"/>
              </w:rPr>
              <w:t>噪声在向外传播过程中将受到厂房或其它车间的阻挡影响，从而引起声能量的较大衰减，具体衰减根据不同声级的传播途径而定，一般取10~20dB(A)</w:t>
            </w:r>
            <w:r>
              <w:rPr>
                <w:rFonts w:hint="eastAsia"/>
                <w:color w:val="auto"/>
                <w:u w:val="single" w:color="auto"/>
                <w:lang w:eastAsia="zh-CN"/>
              </w:rPr>
              <w:t>，</w:t>
            </w:r>
            <w:r>
              <w:rPr>
                <w:rFonts w:hint="eastAsia"/>
                <w:color w:val="auto"/>
                <w:u w:val="single" w:color="auto"/>
                <w:lang w:val="en-US" w:eastAsia="zh-CN"/>
              </w:rPr>
              <w:t>本次</w:t>
            </w:r>
            <w:r>
              <w:rPr>
                <w:color w:val="auto"/>
                <w:u w:val="single" w:color="auto"/>
              </w:rPr>
              <w:t>遮挡物引起</w:t>
            </w:r>
            <w:r>
              <w:rPr>
                <w:rFonts w:hint="eastAsia"/>
                <w:color w:val="auto"/>
                <w:u w:val="single" w:color="auto"/>
                <w:lang w:val="en-US" w:eastAsia="zh-CN"/>
              </w:rPr>
              <w:t>的衰减取20</w:t>
            </w:r>
            <w:r>
              <w:rPr>
                <w:color w:val="auto"/>
                <w:u w:val="single" w:color="auto"/>
              </w:rPr>
              <w:t>dB(A)。</w:t>
            </w:r>
          </w:p>
          <w:p w14:paraId="5F159A88">
            <w:pPr>
              <w:keepNext w:val="0"/>
              <w:keepLines w:val="0"/>
              <w:widowControl/>
              <w:suppressLineNumbers w:val="0"/>
              <w:jc w:val="left"/>
              <w:rPr>
                <w:rFonts w:hint="eastAsia" w:ascii="Times New Roman" w:hAnsi="Times New Roman" w:eastAsia="宋体" w:cs="Times New Roman"/>
                <w:color w:val="auto"/>
                <w:u w:val="single" w:color="auto"/>
                <w:lang w:val="en-US" w:eastAsia="zh-CN"/>
              </w:rPr>
            </w:pPr>
            <w:r>
              <w:rPr>
                <w:rFonts w:hint="eastAsia"/>
                <w:color w:val="auto"/>
                <w:u w:val="single" w:color="auto"/>
                <w:lang w:eastAsia="zh-CN"/>
              </w:rPr>
              <w:t>（</w:t>
            </w:r>
            <w:r>
              <w:rPr>
                <w:rFonts w:hint="eastAsia"/>
                <w:color w:val="auto"/>
                <w:u w:val="single" w:color="auto"/>
                <w:lang w:val="en-US" w:eastAsia="zh-CN"/>
              </w:rPr>
              <w:t>2）</w:t>
            </w:r>
            <w:r>
              <w:rPr>
                <w:rFonts w:hint="eastAsia" w:ascii="Times New Roman" w:hAnsi="Times New Roman" w:eastAsia="宋体" w:cs="Times New Roman"/>
                <w:color w:val="auto"/>
                <w:u w:val="single" w:color="auto"/>
                <w:lang w:val="en-US" w:eastAsia="zh-CN"/>
              </w:rPr>
              <w:t>室内声源等效室外声源声功率级</w:t>
            </w:r>
          </w:p>
          <w:p w14:paraId="52CA6152">
            <w:pPr>
              <w:keepNext w:val="0"/>
              <w:keepLines w:val="0"/>
              <w:widowControl/>
              <w:suppressLineNumbers w:val="0"/>
              <w:jc w:val="left"/>
              <w:rPr>
                <w:color w:val="auto"/>
                <w:u w:val="single" w:color="auto"/>
              </w:rPr>
            </w:pPr>
            <w:r>
              <w:rPr>
                <w:rFonts w:hint="eastAsia" w:ascii="Times New Roman" w:hAnsi="Times New Roman" w:eastAsia="宋体" w:cs="Times New Roman"/>
                <w:color w:val="auto"/>
                <w:u w:val="single" w:color="auto"/>
                <w:lang w:val="en-US" w:eastAsia="zh-CN"/>
              </w:rPr>
              <w:t>根据《环境影响评价技术导则—声环境》（HJ2.4-2021）附录B，声源位于室内，室内声源可采用等效室外声源声功率级法进行计算。设靠近开口处（或窗户）室内、室外某倍频带的声压级或</w:t>
            </w:r>
            <w:r>
              <w:rPr>
                <w:rFonts w:hint="default" w:ascii="Times New Roman" w:hAnsi="Times New Roman" w:eastAsia="宋体" w:cs="Times New Roman"/>
                <w:i/>
                <w:iCs/>
                <w:color w:val="auto"/>
                <w:u w:val="single" w:color="auto"/>
                <w:lang w:val="en-US" w:eastAsia="zh-CN"/>
              </w:rPr>
              <w:t>A</w:t>
            </w:r>
            <w:r>
              <w:rPr>
                <w:rFonts w:hint="eastAsia" w:ascii="Times New Roman" w:hAnsi="Times New Roman" w:eastAsia="宋体" w:cs="Times New Roman"/>
                <w:color w:val="auto"/>
                <w:u w:val="single" w:color="auto"/>
                <w:lang w:val="en-US" w:eastAsia="zh-CN"/>
              </w:rPr>
              <w:t>声级分别为</w:t>
            </w:r>
            <w:r>
              <w:rPr>
                <w:rFonts w:hint="default" w:ascii="Times New Roman" w:hAnsi="Times New Roman" w:eastAsia="宋体" w:cs="Times New Roman"/>
                <w:i/>
                <w:iCs/>
                <w:color w:val="auto"/>
                <w:u w:val="single" w:color="auto"/>
                <w:lang w:val="en-US" w:eastAsia="zh-CN"/>
              </w:rPr>
              <w:t>Lp1</w:t>
            </w:r>
            <w:r>
              <w:rPr>
                <w:rFonts w:hint="eastAsia" w:ascii="Times New Roman" w:hAnsi="Times New Roman" w:eastAsia="宋体" w:cs="Times New Roman"/>
                <w:color w:val="auto"/>
                <w:u w:val="single" w:color="auto"/>
                <w:lang w:val="en-US" w:eastAsia="zh-CN"/>
              </w:rPr>
              <w:t>和</w:t>
            </w:r>
            <w:r>
              <w:rPr>
                <w:rFonts w:hint="default" w:ascii="Times New Roman" w:hAnsi="Times New Roman" w:eastAsia="宋体" w:cs="Times New Roman"/>
                <w:i/>
                <w:iCs/>
                <w:color w:val="auto"/>
                <w:u w:val="single" w:color="auto"/>
                <w:lang w:val="en-US" w:eastAsia="zh-CN"/>
              </w:rPr>
              <w:t>Lp2</w:t>
            </w:r>
            <w:r>
              <w:rPr>
                <w:rFonts w:hint="eastAsia" w:ascii="Times New Roman" w:hAnsi="Times New Roman" w:eastAsia="宋体" w:cs="Times New Roman"/>
                <w:color w:val="auto"/>
                <w:u w:val="single" w:color="auto"/>
                <w:lang w:val="en-US" w:eastAsia="zh-CN"/>
              </w:rPr>
              <w:t xml:space="preserve">。若声源所在室内声场为近似扩散声场，则室外的倍频带声压级可下式近似求出： </w:t>
            </w:r>
          </w:p>
          <w:p w14:paraId="4B74DF60">
            <w:pPr>
              <w:keepNext w:val="0"/>
              <w:keepLines w:val="0"/>
              <w:widowControl/>
              <w:suppressLineNumbers w:val="0"/>
              <w:ind w:left="0" w:leftChars="0" w:firstLine="0" w:firstLineChars="0"/>
              <w:jc w:val="center"/>
              <w:rPr>
                <w:color w:val="auto"/>
                <w:u w:val="single" w:color="auto"/>
              </w:rPr>
            </w:pPr>
            <w:r>
              <w:rPr>
                <w:color w:val="auto"/>
                <w:u w:val="single" w:color="auto"/>
              </w:rPr>
              <w:drawing>
                <wp:inline distT="0" distB="0" distL="114300" distR="114300">
                  <wp:extent cx="1581150" cy="304800"/>
                  <wp:effectExtent l="0" t="0" r="0" b="0"/>
                  <wp:docPr id="2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pic:cNvPicPr>
                            <a:picLocks noChangeAspect="1"/>
                          </pic:cNvPicPr>
                        </pic:nvPicPr>
                        <pic:blipFill>
                          <a:blip r:embed="rId17"/>
                          <a:stretch>
                            <a:fillRect/>
                          </a:stretch>
                        </pic:blipFill>
                        <pic:spPr>
                          <a:xfrm>
                            <a:off x="0" y="0"/>
                            <a:ext cx="1581150" cy="304800"/>
                          </a:xfrm>
                          <a:prstGeom prst="rect">
                            <a:avLst/>
                          </a:prstGeom>
                          <a:noFill/>
                          <a:ln>
                            <a:noFill/>
                          </a:ln>
                        </pic:spPr>
                      </pic:pic>
                    </a:graphicData>
                  </a:graphic>
                </wp:inline>
              </w:drawing>
            </w:r>
          </w:p>
          <w:p w14:paraId="1DECC925">
            <w:pPr>
              <w:keepNext w:val="0"/>
              <w:keepLines w:val="0"/>
              <w:widowControl/>
              <w:suppressLineNumbers w:val="0"/>
              <w:jc w:val="left"/>
              <w:rPr>
                <w:color w:val="auto"/>
                <w:sz w:val="24"/>
                <w:szCs w:val="24"/>
                <w:u w:val="single" w:color="auto"/>
              </w:rPr>
            </w:pPr>
            <w:r>
              <w:rPr>
                <w:rFonts w:hint="eastAsia" w:ascii="宋体" w:hAnsi="宋体" w:eastAsia="宋体" w:cs="宋体"/>
                <w:color w:val="auto"/>
                <w:kern w:val="0"/>
                <w:sz w:val="24"/>
                <w:szCs w:val="24"/>
                <w:u w:val="single" w:color="auto"/>
                <w:lang w:val="en-US" w:eastAsia="zh-CN" w:bidi="ar"/>
              </w:rPr>
              <w:t>式中：</w:t>
            </w:r>
            <w:r>
              <w:rPr>
                <w:rFonts w:hint="default" w:ascii="Times New Roman" w:hAnsi="Times New Roman" w:eastAsia="宋体" w:cs="Times New Roman"/>
                <w:i/>
                <w:iCs/>
                <w:color w:val="auto"/>
                <w:kern w:val="0"/>
                <w:sz w:val="24"/>
                <w:szCs w:val="24"/>
                <w:u w:val="single" w:color="auto"/>
                <w:lang w:val="en-US" w:eastAsia="zh-CN" w:bidi="ar"/>
              </w:rPr>
              <w:t>Lp</w:t>
            </w:r>
            <w:r>
              <w:rPr>
                <w:rFonts w:hint="default" w:ascii="Times New Roman" w:hAnsi="Times New Roman" w:eastAsia="宋体" w:cs="Times New Roman"/>
                <w:color w:val="auto"/>
                <w:kern w:val="0"/>
                <w:sz w:val="24"/>
                <w:szCs w:val="24"/>
                <w:u w:val="single" w:color="auto"/>
                <w:lang w:val="en-US" w:eastAsia="zh-CN" w:bidi="ar"/>
              </w:rPr>
              <w:t>1——</w:t>
            </w:r>
            <w:r>
              <w:rPr>
                <w:rFonts w:hint="eastAsia" w:ascii="宋体" w:hAnsi="宋体" w:eastAsia="宋体" w:cs="宋体"/>
                <w:color w:val="auto"/>
                <w:kern w:val="0"/>
                <w:sz w:val="24"/>
                <w:szCs w:val="24"/>
                <w:u w:val="single" w:color="auto"/>
                <w:lang w:val="en-US" w:eastAsia="zh-CN" w:bidi="ar"/>
              </w:rPr>
              <w:t>靠近开口处（或窗户）室内某倍频带的声压级或</w:t>
            </w:r>
            <w:r>
              <w:rPr>
                <w:rFonts w:hint="default" w:ascii="Times New Roman" w:hAnsi="Times New Roman" w:eastAsia="宋体" w:cs="Times New Roman"/>
                <w:i/>
                <w:iCs/>
                <w:color w:val="auto"/>
                <w:u w:val="single" w:color="auto"/>
                <w:lang w:val="en-US" w:eastAsia="zh-CN"/>
              </w:rPr>
              <w:t>A</w:t>
            </w:r>
            <w:r>
              <w:rPr>
                <w:rFonts w:hint="eastAsia" w:ascii="宋体" w:hAnsi="宋体" w:eastAsia="宋体" w:cs="宋体"/>
                <w:color w:val="auto"/>
                <w:kern w:val="0"/>
                <w:sz w:val="24"/>
                <w:szCs w:val="24"/>
                <w:u w:val="single" w:color="auto"/>
                <w:lang w:val="en-US" w:eastAsia="zh-CN" w:bidi="ar"/>
              </w:rPr>
              <w:t>声级，</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55255587">
            <w:pPr>
              <w:keepNext w:val="0"/>
              <w:keepLines w:val="0"/>
              <w:widowControl/>
              <w:suppressLineNumbers w:val="0"/>
              <w:jc w:val="left"/>
              <w:rPr>
                <w:color w:val="auto"/>
                <w:sz w:val="24"/>
                <w:szCs w:val="24"/>
                <w:u w:val="single" w:color="auto"/>
              </w:rPr>
            </w:pPr>
            <w:r>
              <w:rPr>
                <w:rFonts w:hint="default" w:ascii="Times New Roman" w:hAnsi="Times New Roman" w:eastAsia="宋体" w:cs="Times New Roman"/>
                <w:i/>
                <w:iCs/>
                <w:color w:val="auto"/>
                <w:kern w:val="0"/>
                <w:sz w:val="24"/>
                <w:szCs w:val="24"/>
                <w:u w:val="single" w:color="auto"/>
                <w:lang w:val="en-US" w:eastAsia="zh-CN" w:bidi="ar"/>
              </w:rPr>
              <w:t>Lp</w:t>
            </w:r>
            <w:r>
              <w:rPr>
                <w:rFonts w:hint="default" w:ascii="Times New Roman" w:hAnsi="Times New Roman" w:eastAsia="宋体" w:cs="Times New Roman"/>
                <w:color w:val="auto"/>
                <w:kern w:val="0"/>
                <w:sz w:val="24"/>
                <w:szCs w:val="24"/>
                <w:u w:val="single" w:color="auto"/>
                <w:lang w:val="en-US" w:eastAsia="zh-CN" w:bidi="ar"/>
              </w:rPr>
              <w:t>2——</w:t>
            </w:r>
            <w:r>
              <w:rPr>
                <w:rFonts w:hint="eastAsia" w:ascii="宋体" w:hAnsi="宋体" w:eastAsia="宋体" w:cs="宋体"/>
                <w:color w:val="auto"/>
                <w:kern w:val="0"/>
                <w:sz w:val="24"/>
                <w:szCs w:val="24"/>
                <w:u w:val="single" w:color="auto"/>
                <w:lang w:val="en-US" w:eastAsia="zh-CN" w:bidi="ar"/>
              </w:rPr>
              <w:t>靠近开口处（或窗户）室外某倍频带的声压级或</w:t>
            </w:r>
            <w:r>
              <w:rPr>
                <w:rFonts w:hint="default" w:ascii="Times New Roman" w:hAnsi="Times New Roman" w:eastAsia="宋体" w:cs="Times New Roman"/>
                <w:i/>
                <w:iCs/>
                <w:color w:val="auto"/>
                <w:u w:val="single" w:color="auto"/>
                <w:lang w:val="en-US" w:eastAsia="zh-CN"/>
              </w:rPr>
              <w:t>A</w:t>
            </w:r>
            <w:r>
              <w:rPr>
                <w:rFonts w:hint="eastAsia" w:ascii="宋体" w:hAnsi="宋体" w:eastAsia="宋体" w:cs="宋体"/>
                <w:color w:val="auto"/>
                <w:kern w:val="0"/>
                <w:sz w:val="24"/>
                <w:szCs w:val="24"/>
                <w:u w:val="single" w:color="auto"/>
                <w:lang w:val="en-US" w:eastAsia="zh-CN" w:bidi="ar"/>
              </w:rPr>
              <w:t>声级，</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1060EAF7">
            <w:pPr>
              <w:ind w:firstLine="480"/>
              <w:rPr>
                <w:color w:val="auto"/>
                <w:u w:val="single" w:color="auto"/>
                <w:vertAlign w:val="subscript"/>
              </w:rPr>
            </w:pPr>
            <w:r>
              <w:rPr>
                <w:rFonts w:hint="default" w:ascii="Times New Roman" w:hAnsi="Times New Roman" w:eastAsia="宋体" w:cs="Times New Roman"/>
                <w:i/>
                <w:iCs/>
                <w:color w:val="auto"/>
                <w:kern w:val="0"/>
                <w:sz w:val="24"/>
                <w:szCs w:val="24"/>
                <w:u w:val="single" w:color="auto"/>
                <w:lang w:val="en-US" w:eastAsia="zh-CN" w:bidi="ar"/>
              </w:rPr>
              <w:t>TL</w:t>
            </w:r>
            <w:r>
              <w:rPr>
                <w:rFonts w:hint="default" w:ascii="Times New Roman" w:hAnsi="Times New Roman" w:eastAsia="宋体" w:cs="Times New Roman"/>
                <w:color w:val="auto"/>
                <w:kern w:val="0"/>
                <w:sz w:val="24"/>
                <w:szCs w:val="24"/>
                <w:u w:val="single" w:color="auto"/>
                <w:lang w:val="en-US" w:eastAsia="zh-CN" w:bidi="ar"/>
              </w:rPr>
              <w:t>——</w:t>
            </w:r>
            <w:r>
              <w:rPr>
                <w:rFonts w:hint="eastAsia" w:ascii="宋体" w:hAnsi="宋体" w:eastAsia="宋体" w:cs="宋体"/>
                <w:color w:val="auto"/>
                <w:kern w:val="0"/>
                <w:sz w:val="24"/>
                <w:szCs w:val="24"/>
                <w:u w:val="single" w:color="auto"/>
                <w:lang w:val="en-US" w:eastAsia="zh-CN" w:bidi="ar"/>
              </w:rPr>
              <w:t>隔墙（或窗户）倍频带或</w:t>
            </w:r>
            <w:r>
              <w:rPr>
                <w:rFonts w:hint="default" w:ascii="Times New Roman" w:hAnsi="Times New Roman" w:eastAsia="宋体" w:cs="Times New Roman"/>
                <w:i/>
                <w:iCs/>
                <w:color w:val="auto"/>
                <w:u w:val="single" w:color="auto"/>
                <w:lang w:val="en-US" w:eastAsia="zh-CN"/>
              </w:rPr>
              <w:t>A</w:t>
            </w:r>
            <w:r>
              <w:rPr>
                <w:rFonts w:hint="eastAsia" w:ascii="宋体" w:hAnsi="宋体" w:eastAsia="宋体" w:cs="宋体"/>
                <w:color w:val="auto"/>
                <w:kern w:val="0"/>
                <w:sz w:val="24"/>
                <w:szCs w:val="24"/>
                <w:u w:val="single" w:color="auto"/>
                <w:lang w:val="en-US" w:eastAsia="zh-CN" w:bidi="ar"/>
              </w:rPr>
              <w:t>声级的隔声量，</w:t>
            </w:r>
            <w:r>
              <w:rPr>
                <w:rFonts w:hint="default" w:ascii="Times New Roman" w:hAnsi="Times New Roman" w:eastAsia="宋体" w:cs="Times New Roman"/>
                <w:color w:val="auto"/>
                <w:kern w:val="0"/>
                <w:sz w:val="24"/>
                <w:szCs w:val="24"/>
                <w:u w:val="single" w:color="auto"/>
                <w:lang w:val="en-US" w:eastAsia="zh-CN" w:bidi="ar"/>
              </w:rPr>
              <w:t>dB</w:t>
            </w:r>
            <w:r>
              <w:rPr>
                <w:rFonts w:hint="eastAsia" w:ascii="宋体" w:hAnsi="宋体" w:eastAsia="宋体" w:cs="宋体"/>
                <w:color w:val="auto"/>
                <w:kern w:val="0"/>
                <w:sz w:val="24"/>
                <w:szCs w:val="24"/>
                <w:u w:val="single" w:color="auto"/>
                <w:lang w:val="en-US" w:eastAsia="zh-CN" w:bidi="ar"/>
              </w:rPr>
              <w:t xml:space="preserve">。 </w:t>
            </w:r>
          </w:p>
          <w:p w14:paraId="2C750378">
            <w:pPr>
              <w:bidi w:val="0"/>
              <w:spacing w:line="240" w:lineRule="auto"/>
              <w:ind w:left="0" w:leftChars="0" w:firstLine="0" w:firstLineChars="0"/>
              <w:jc w:val="center"/>
              <w:rPr>
                <w:rFonts w:hint="default" w:eastAsia="宋体"/>
                <w:color w:val="auto"/>
                <w:u w:val="single" w:color="auto"/>
                <w:lang w:val="en-US" w:eastAsia="zh-CN"/>
              </w:rPr>
            </w:pPr>
            <w:r>
              <w:rPr>
                <w:color w:val="auto"/>
                <w:u w:val="single" w:color="auto"/>
              </w:rPr>
              <w:drawing>
                <wp:inline distT="0" distB="0" distL="114300" distR="114300">
                  <wp:extent cx="2649855" cy="1293495"/>
                  <wp:effectExtent l="0" t="0" r="17145" b="1905"/>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18"/>
                          <a:stretch>
                            <a:fillRect/>
                          </a:stretch>
                        </pic:blipFill>
                        <pic:spPr>
                          <a:xfrm>
                            <a:off x="0" y="0"/>
                            <a:ext cx="2649855" cy="1293495"/>
                          </a:xfrm>
                          <a:prstGeom prst="rect">
                            <a:avLst/>
                          </a:prstGeom>
                          <a:noFill/>
                          <a:ln>
                            <a:noFill/>
                          </a:ln>
                        </pic:spPr>
                      </pic:pic>
                    </a:graphicData>
                  </a:graphic>
                </wp:inline>
              </w:drawing>
            </w:r>
          </w:p>
          <w:p w14:paraId="4A53CE0C">
            <w:pPr>
              <w:bidi w:val="0"/>
              <w:spacing w:line="240" w:lineRule="auto"/>
              <w:ind w:left="0" w:leftChars="0" w:firstLine="0" w:firstLineChars="0"/>
              <w:jc w:val="center"/>
              <w:rPr>
                <w:b/>
                <w:bCs/>
                <w:color w:val="auto"/>
                <w:u w:val="single" w:color="auto"/>
              </w:rPr>
            </w:pPr>
            <w:r>
              <w:rPr>
                <w:b/>
                <w:bCs/>
                <w:color w:val="auto"/>
                <w:u w:val="single" w:color="auto"/>
                <w:lang w:val="en-US" w:eastAsia="zh-CN"/>
              </w:rPr>
              <w:t>图</w:t>
            </w:r>
            <w:r>
              <w:rPr>
                <w:rFonts w:hint="eastAsia"/>
                <w:b/>
                <w:bCs/>
                <w:color w:val="auto"/>
                <w:u w:val="single" w:color="auto"/>
                <w:lang w:val="en-US" w:eastAsia="zh-CN"/>
              </w:rPr>
              <w:t>4-1</w:t>
            </w:r>
            <w:r>
              <w:rPr>
                <w:b/>
                <w:bCs/>
                <w:color w:val="auto"/>
                <w:u w:val="single" w:color="auto"/>
                <w:lang w:val="en-US" w:eastAsia="zh-CN"/>
              </w:rPr>
              <w:t xml:space="preserve"> 室内声源等效为室外声源图例</w:t>
            </w:r>
          </w:p>
          <w:p w14:paraId="153D4758">
            <w:pPr>
              <w:bidi w:val="0"/>
              <w:rPr>
                <w:rFonts w:hint="default"/>
                <w:color w:val="auto"/>
                <w:u w:val="single" w:color="auto"/>
                <w:lang w:val="en-US" w:eastAsia="zh-CN"/>
              </w:rPr>
            </w:pPr>
            <w:r>
              <w:rPr>
                <w:rFonts w:hint="eastAsia"/>
                <w:color w:val="auto"/>
                <w:u w:val="single" w:color="auto"/>
                <w:lang w:eastAsia="zh-CN"/>
              </w:rPr>
              <w:t>（</w:t>
            </w:r>
            <w:r>
              <w:rPr>
                <w:rFonts w:hint="eastAsia"/>
                <w:color w:val="auto"/>
                <w:u w:val="single" w:color="auto"/>
                <w:lang w:val="en-US" w:eastAsia="zh-CN"/>
              </w:rPr>
              <w:t>3）预测点的等效</w:t>
            </w:r>
            <w:r>
              <w:rPr>
                <w:rFonts w:hint="default"/>
                <w:color w:val="auto"/>
                <w:u w:val="single" w:color="auto"/>
                <w:lang w:val="en-US" w:eastAsia="zh-CN"/>
              </w:rPr>
              <w:t>A</w:t>
            </w:r>
            <w:r>
              <w:rPr>
                <w:rFonts w:hint="eastAsia"/>
                <w:color w:val="auto"/>
                <w:u w:val="single" w:color="auto"/>
                <w:lang w:val="en-US" w:eastAsia="zh-CN"/>
              </w:rPr>
              <w:t>声级</w:t>
            </w:r>
            <w:r>
              <w:rPr>
                <w:rFonts w:hint="default"/>
                <w:i/>
                <w:iCs/>
                <w:color w:val="auto"/>
                <w:u w:val="single" w:color="auto"/>
                <w:lang w:val="en-US" w:eastAsia="zh-CN"/>
              </w:rPr>
              <w:t>L</w:t>
            </w:r>
            <w:r>
              <w:rPr>
                <w:rFonts w:hint="default"/>
                <w:i/>
                <w:iCs/>
                <w:color w:val="auto"/>
                <w:u w:val="single" w:color="auto"/>
                <w:vertAlign w:val="subscript"/>
                <w:lang w:val="en-US" w:eastAsia="zh-CN"/>
              </w:rPr>
              <w:t>A</w:t>
            </w:r>
            <w:r>
              <w:rPr>
                <w:rFonts w:hint="default"/>
                <w:i/>
                <w:iCs/>
                <w:color w:val="auto"/>
                <w:u w:val="single" w:color="auto"/>
                <w:lang w:val="en-US" w:eastAsia="zh-CN"/>
              </w:rPr>
              <w:t>(r)</w:t>
            </w:r>
          </w:p>
          <w:p w14:paraId="024D1E74">
            <w:pPr>
              <w:bidi w:val="0"/>
              <w:rPr>
                <w:color w:val="auto"/>
                <w:u w:val="single" w:color="auto"/>
              </w:rPr>
            </w:pPr>
            <w:r>
              <w:rPr>
                <w:rFonts w:hint="eastAsia"/>
                <w:color w:val="auto"/>
                <w:u w:val="single" w:color="auto"/>
                <w:lang w:val="en-US" w:eastAsia="zh-CN"/>
              </w:rPr>
              <w:t>将</w:t>
            </w:r>
            <w:r>
              <w:rPr>
                <w:rFonts w:hint="default"/>
                <w:color w:val="auto"/>
                <w:u w:val="single" w:color="auto"/>
                <w:lang w:val="en-US" w:eastAsia="zh-CN"/>
              </w:rPr>
              <w:t>8</w:t>
            </w:r>
            <w:r>
              <w:rPr>
                <w:rFonts w:hint="eastAsia"/>
                <w:color w:val="auto"/>
                <w:u w:val="single" w:color="auto"/>
                <w:lang w:val="en-US" w:eastAsia="zh-CN"/>
              </w:rPr>
              <w:t>个倍频带声压级合成，计算出预测点的</w:t>
            </w:r>
            <w:r>
              <w:rPr>
                <w:rFonts w:hint="default"/>
                <w:color w:val="auto"/>
                <w:u w:val="single" w:color="auto"/>
                <w:lang w:val="en-US" w:eastAsia="zh-CN"/>
              </w:rPr>
              <w:t>A</w:t>
            </w:r>
            <w:r>
              <w:rPr>
                <w:rFonts w:hint="eastAsia"/>
                <w:color w:val="auto"/>
                <w:u w:val="single" w:color="auto"/>
                <w:lang w:val="en-US" w:eastAsia="zh-CN"/>
              </w:rPr>
              <w:t>声级</w:t>
            </w:r>
            <w:r>
              <w:rPr>
                <w:rFonts w:hint="default"/>
                <w:color w:val="auto"/>
                <w:u w:val="single" w:color="auto"/>
                <w:lang w:val="en-US" w:eastAsia="zh-CN"/>
              </w:rPr>
              <w:t>[LA(r)]</w:t>
            </w:r>
            <w:r>
              <w:rPr>
                <w:rFonts w:hint="eastAsia"/>
                <w:color w:val="auto"/>
                <w:u w:val="single" w:color="auto"/>
                <w:lang w:val="en-US" w:eastAsia="zh-CN"/>
              </w:rPr>
              <w:t>。</w:t>
            </w:r>
          </w:p>
          <w:p w14:paraId="67070529">
            <w:pPr>
              <w:bidi w:val="0"/>
              <w:ind w:left="0" w:leftChars="0" w:firstLine="0" w:firstLineChars="0"/>
              <w:jc w:val="center"/>
              <w:rPr>
                <w:rFonts w:hint="default" w:eastAsia="宋体"/>
                <w:color w:val="auto"/>
                <w:u w:val="single" w:color="auto"/>
                <w:lang w:val="en-US" w:eastAsia="zh-CN"/>
              </w:rPr>
            </w:pPr>
            <w:r>
              <w:rPr>
                <w:color w:val="auto"/>
                <w:u w:val="single" w:color="auto"/>
              </w:rPr>
              <w:drawing>
                <wp:inline distT="0" distB="0" distL="114300" distR="114300">
                  <wp:extent cx="2576195" cy="709295"/>
                  <wp:effectExtent l="0" t="0" r="14605" b="1460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19"/>
                          <a:stretch>
                            <a:fillRect/>
                          </a:stretch>
                        </pic:blipFill>
                        <pic:spPr>
                          <a:xfrm>
                            <a:off x="0" y="0"/>
                            <a:ext cx="2576195" cy="709295"/>
                          </a:xfrm>
                          <a:prstGeom prst="rect">
                            <a:avLst/>
                          </a:prstGeom>
                          <a:noFill/>
                          <a:ln>
                            <a:noFill/>
                          </a:ln>
                        </pic:spPr>
                      </pic:pic>
                    </a:graphicData>
                  </a:graphic>
                </wp:inline>
              </w:drawing>
            </w:r>
          </w:p>
          <w:p w14:paraId="07FCA463">
            <w:pPr>
              <w:keepNext w:val="0"/>
              <w:keepLines w:val="0"/>
              <w:widowControl/>
              <w:suppressLineNumbers w:val="0"/>
              <w:jc w:val="left"/>
              <w:rPr>
                <w:color w:val="auto"/>
                <w:u w:val="single" w:color="auto"/>
              </w:rPr>
            </w:pPr>
            <w:r>
              <w:rPr>
                <w:rFonts w:hint="eastAsia" w:ascii="宋体" w:hAnsi="宋体" w:eastAsia="宋体" w:cs="宋体"/>
                <w:color w:val="auto"/>
                <w:kern w:val="0"/>
                <w:sz w:val="21"/>
                <w:szCs w:val="21"/>
                <w:u w:val="single" w:color="auto"/>
                <w:lang w:val="en-US" w:eastAsia="zh-CN" w:bidi="ar"/>
              </w:rPr>
              <w:t>式中：</w:t>
            </w:r>
            <w:r>
              <w:rPr>
                <w:rFonts w:hint="default" w:ascii="Times New Roman" w:hAnsi="Times New Roman" w:eastAsia="宋体" w:cs="Times New Roman"/>
                <w:i/>
                <w:iCs/>
                <w:color w:val="auto"/>
                <w:kern w:val="0"/>
                <w:sz w:val="21"/>
                <w:szCs w:val="21"/>
                <w:u w:val="single" w:color="auto"/>
                <w:lang w:val="en-US" w:eastAsia="zh-CN" w:bidi="ar"/>
              </w:rPr>
              <w:t>L</w:t>
            </w:r>
            <w:r>
              <w:rPr>
                <w:rFonts w:hint="default" w:ascii="Times New Roman" w:hAnsi="Times New Roman" w:eastAsia="宋体" w:cs="Times New Roman"/>
                <w:color w:val="auto"/>
                <w:kern w:val="0"/>
                <w:sz w:val="13"/>
                <w:szCs w:val="13"/>
                <w:u w:val="single" w:color="auto"/>
                <w:lang w:val="en-US" w:eastAsia="zh-CN" w:bidi="ar"/>
              </w:rPr>
              <w:t>A</w:t>
            </w:r>
            <w:r>
              <w:rPr>
                <w:rFonts w:hint="default" w:ascii="Times New Roman" w:hAnsi="Times New Roman" w:eastAsia="宋体" w:cs="Times New Roman"/>
                <w:color w:val="auto"/>
                <w:kern w:val="0"/>
                <w:sz w:val="21"/>
                <w:szCs w:val="21"/>
                <w:u w:val="single" w:color="auto"/>
                <w:lang w:val="en-US" w:eastAsia="zh-CN" w:bidi="ar"/>
              </w:rPr>
              <w:t>(</w:t>
            </w:r>
            <w:r>
              <w:rPr>
                <w:rFonts w:hint="default" w:ascii="Times New Roman" w:hAnsi="Times New Roman" w:eastAsia="宋体" w:cs="Times New Roman"/>
                <w:i/>
                <w:iCs/>
                <w:color w:val="auto"/>
                <w:kern w:val="0"/>
                <w:sz w:val="21"/>
                <w:szCs w:val="21"/>
                <w:u w:val="single" w:color="auto"/>
                <w:lang w:val="en-US" w:eastAsia="zh-CN" w:bidi="ar"/>
              </w:rPr>
              <w:t>r</w:t>
            </w:r>
            <w:r>
              <w:rPr>
                <w:rFonts w:hint="default" w:ascii="Times New Roman" w:hAnsi="Times New Roman" w:eastAsia="宋体" w:cs="Times New Roman"/>
                <w:color w:val="auto"/>
                <w:kern w:val="0"/>
                <w:sz w:val="21"/>
                <w:szCs w:val="21"/>
                <w:u w:val="single" w:color="auto"/>
                <w:lang w:val="en-US" w:eastAsia="zh-CN" w:bidi="ar"/>
              </w:rPr>
              <w:t>) ——</w:t>
            </w:r>
            <w:r>
              <w:rPr>
                <w:rFonts w:hint="eastAsia" w:ascii="宋体" w:hAnsi="宋体" w:eastAsia="宋体" w:cs="宋体"/>
                <w:color w:val="auto"/>
                <w:kern w:val="0"/>
                <w:sz w:val="21"/>
                <w:szCs w:val="21"/>
                <w:u w:val="single" w:color="auto"/>
                <w:lang w:val="en-US" w:eastAsia="zh-CN" w:bidi="ar"/>
              </w:rPr>
              <w:t xml:space="preserve">距声源 </w:t>
            </w:r>
            <w:r>
              <w:rPr>
                <w:rFonts w:hint="default" w:ascii="Times New Roman" w:hAnsi="Times New Roman" w:eastAsia="宋体" w:cs="Times New Roman"/>
                <w:i/>
                <w:iCs/>
                <w:color w:val="auto"/>
                <w:kern w:val="0"/>
                <w:sz w:val="21"/>
                <w:szCs w:val="21"/>
                <w:u w:val="single" w:color="auto"/>
                <w:lang w:val="en-US" w:eastAsia="zh-CN" w:bidi="ar"/>
              </w:rPr>
              <w:t xml:space="preserve">r </w:t>
            </w:r>
            <w:r>
              <w:rPr>
                <w:rFonts w:hint="eastAsia" w:ascii="宋体" w:hAnsi="宋体" w:eastAsia="宋体" w:cs="宋体"/>
                <w:color w:val="auto"/>
                <w:kern w:val="0"/>
                <w:sz w:val="21"/>
                <w:szCs w:val="21"/>
                <w:u w:val="single" w:color="auto"/>
                <w:lang w:val="en-US" w:eastAsia="zh-CN" w:bidi="ar"/>
              </w:rPr>
              <w:t xml:space="preserve">处的 </w:t>
            </w:r>
            <w:r>
              <w:rPr>
                <w:rFonts w:hint="default" w:ascii="Times New Roman" w:hAnsi="Times New Roman" w:eastAsia="宋体" w:cs="Times New Roman"/>
                <w:color w:val="auto"/>
                <w:kern w:val="0"/>
                <w:sz w:val="21"/>
                <w:szCs w:val="21"/>
                <w:u w:val="single" w:color="auto"/>
                <w:lang w:val="en-US" w:eastAsia="zh-CN" w:bidi="ar"/>
              </w:rPr>
              <w:t xml:space="preserve">A </w:t>
            </w:r>
            <w:r>
              <w:rPr>
                <w:rFonts w:hint="eastAsia" w:ascii="宋体" w:hAnsi="宋体" w:eastAsia="宋体" w:cs="宋体"/>
                <w:color w:val="auto"/>
                <w:kern w:val="0"/>
                <w:sz w:val="21"/>
                <w:szCs w:val="21"/>
                <w:u w:val="single" w:color="auto"/>
                <w:lang w:val="en-US" w:eastAsia="zh-CN" w:bidi="ar"/>
              </w:rPr>
              <w:t>声级，</w:t>
            </w:r>
            <w:r>
              <w:rPr>
                <w:rFonts w:hint="default" w:ascii="Times New Roman" w:hAnsi="Times New Roman" w:eastAsia="宋体" w:cs="Times New Roman"/>
                <w:color w:val="auto"/>
                <w:kern w:val="0"/>
                <w:sz w:val="21"/>
                <w:szCs w:val="21"/>
                <w:u w:val="single" w:color="auto"/>
                <w:lang w:val="en-US" w:eastAsia="zh-CN" w:bidi="ar"/>
              </w:rPr>
              <w:t>dB(A)</w:t>
            </w:r>
            <w:r>
              <w:rPr>
                <w:rFonts w:hint="eastAsia" w:ascii="宋体" w:hAnsi="宋体" w:eastAsia="宋体" w:cs="宋体"/>
                <w:color w:val="auto"/>
                <w:kern w:val="0"/>
                <w:sz w:val="21"/>
                <w:szCs w:val="21"/>
                <w:u w:val="single" w:color="auto"/>
                <w:lang w:val="en-US" w:eastAsia="zh-CN" w:bidi="ar"/>
              </w:rPr>
              <w:t xml:space="preserve">； </w:t>
            </w:r>
          </w:p>
          <w:p w14:paraId="7E1027F9">
            <w:pPr>
              <w:keepNext w:val="0"/>
              <w:keepLines w:val="0"/>
              <w:widowControl/>
              <w:suppressLineNumbers w:val="0"/>
              <w:jc w:val="left"/>
              <w:rPr>
                <w:color w:val="auto"/>
                <w:u w:val="single" w:color="auto"/>
              </w:rPr>
            </w:pPr>
            <w:r>
              <w:rPr>
                <w:rFonts w:hint="default" w:ascii="Times New Roman" w:hAnsi="Times New Roman" w:eastAsia="宋体" w:cs="Times New Roman"/>
                <w:i/>
                <w:iCs/>
                <w:color w:val="auto"/>
                <w:kern w:val="0"/>
                <w:sz w:val="21"/>
                <w:szCs w:val="21"/>
                <w:u w:val="single" w:color="auto"/>
                <w:lang w:val="en-US" w:eastAsia="zh-CN" w:bidi="ar"/>
              </w:rPr>
              <w:t>L</w:t>
            </w:r>
            <w:r>
              <w:rPr>
                <w:rFonts w:hint="default" w:ascii="Times New Roman" w:hAnsi="Times New Roman" w:eastAsia="宋体" w:cs="Times New Roman"/>
                <w:i/>
                <w:iCs/>
                <w:color w:val="auto"/>
                <w:kern w:val="0"/>
                <w:sz w:val="13"/>
                <w:szCs w:val="13"/>
                <w:u w:val="single" w:color="auto"/>
                <w:lang w:val="en-US" w:eastAsia="zh-CN" w:bidi="ar"/>
              </w:rPr>
              <w:t>pi</w:t>
            </w:r>
            <w:r>
              <w:rPr>
                <w:rFonts w:hint="default" w:ascii="Times New Roman" w:hAnsi="Times New Roman" w:eastAsia="宋体" w:cs="Times New Roman"/>
                <w:color w:val="auto"/>
                <w:kern w:val="0"/>
                <w:sz w:val="21"/>
                <w:szCs w:val="21"/>
                <w:u w:val="single" w:color="auto"/>
                <w:lang w:val="en-US" w:eastAsia="zh-CN" w:bidi="ar"/>
              </w:rPr>
              <w:t>(</w:t>
            </w:r>
            <w:r>
              <w:rPr>
                <w:rFonts w:hint="default" w:ascii="Times New Roman" w:hAnsi="Times New Roman" w:eastAsia="宋体" w:cs="Times New Roman"/>
                <w:i/>
                <w:iCs/>
                <w:color w:val="auto"/>
                <w:kern w:val="0"/>
                <w:sz w:val="21"/>
                <w:szCs w:val="21"/>
                <w:u w:val="single" w:color="auto"/>
                <w:lang w:val="en-US" w:eastAsia="zh-CN" w:bidi="ar"/>
              </w:rPr>
              <w:t>r</w:t>
            </w:r>
            <w:r>
              <w:rPr>
                <w:rFonts w:hint="default" w:ascii="Times New Roman" w:hAnsi="Times New Roman" w:eastAsia="宋体" w:cs="Times New Roman"/>
                <w:color w:val="auto"/>
                <w:kern w:val="0"/>
                <w:sz w:val="21"/>
                <w:szCs w:val="21"/>
                <w:u w:val="single" w:color="auto"/>
                <w:lang w:val="en-US" w:eastAsia="zh-CN" w:bidi="ar"/>
              </w:rPr>
              <w:t>) ——</w:t>
            </w:r>
            <w:r>
              <w:rPr>
                <w:rFonts w:hint="eastAsia" w:ascii="宋体" w:hAnsi="宋体" w:eastAsia="宋体" w:cs="宋体"/>
                <w:color w:val="auto"/>
                <w:kern w:val="0"/>
                <w:sz w:val="21"/>
                <w:szCs w:val="21"/>
                <w:u w:val="single" w:color="auto"/>
                <w:lang w:val="en-US" w:eastAsia="zh-CN" w:bidi="ar"/>
              </w:rPr>
              <w:t>预测点（</w:t>
            </w:r>
            <w:r>
              <w:rPr>
                <w:rFonts w:hint="default" w:ascii="Times New Roman" w:hAnsi="Times New Roman" w:eastAsia="宋体" w:cs="Times New Roman"/>
                <w:i/>
                <w:iCs/>
                <w:color w:val="auto"/>
                <w:kern w:val="0"/>
                <w:sz w:val="21"/>
                <w:szCs w:val="21"/>
                <w:u w:val="single" w:color="auto"/>
                <w:lang w:val="en-US" w:eastAsia="zh-CN" w:bidi="ar"/>
              </w:rPr>
              <w:t>r</w:t>
            </w:r>
            <w:r>
              <w:rPr>
                <w:rFonts w:hint="eastAsia" w:ascii="宋体" w:hAnsi="宋体" w:eastAsia="宋体" w:cs="宋体"/>
                <w:color w:val="auto"/>
                <w:kern w:val="0"/>
                <w:sz w:val="21"/>
                <w:szCs w:val="21"/>
                <w:u w:val="single" w:color="auto"/>
                <w:lang w:val="en-US" w:eastAsia="zh-CN" w:bidi="ar"/>
              </w:rPr>
              <w:t xml:space="preserve">）处，第 </w:t>
            </w:r>
            <w:r>
              <w:rPr>
                <w:rFonts w:hint="default" w:ascii="Times New Roman" w:hAnsi="Times New Roman" w:eastAsia="宋体" w:cs="Times New Roman"/>
                <w:i/>
                <w:iCs/>
                <w:color w:val="auto"/>
                <w:kern w:val="0"/>
                <w:sz w:val="21"/>
                <w:szCs w:val="21"/>
                <w:u w:val="single" w:color="auto"/>
                <w:lang w:val="en-US" w:eastAsia="zh-CN" w:bidi="ar"/>
              </w:rPr>
              <w:t xml:space="preserve">i </w:t>
            </w:r>
            <w:r>
              <w:rPr>
                <w:rFonts w:hint="eastAsia" w:ascii="宋体" w:hAnsi="宋体" w:eastAsia="宋体" w:cs="宋体"/>
                <w:color w:val="auto"/>
                <w:kern w:val="0"/>
                <w:sz w:val="21"/>
                <w:szCs w:val="21"/>
                <w:u w:val="single" w:color="auto"/>
                <w:lang w:val="en-US" w:eastAsia="zh-CN" w:bidi="ar"/>
              </w:rPr>
              <w:t>倍频带声压级，</w:t>
            </w:r>
            <w:r>
              <w:rPr>
                <w:rFonts w:hint="default" w:ascii="Times New Roman" w:hAnsi="Times New Roman" w:eastAsia="宋体" w:cs="Times New Roman"/>
                <w:color w:val="auto"/>
                <w:kern w:val="0"/>
                <w:sz w:val="21"/>
                <w:szCs w:val="21"/>
                <w:u w:val="single" w:color="auto"/>
                <w:lang w:val="en-US" w:eastAsia="zh-CN" w:bidi="ar"/>
              </w:rPr>
              <w:t>dB</w:t>
            </w:r>
            <w:r>
              <w:rPr>
                <w:rFonts w:hint="eastAsia" w:ascii="宋体" w:hAnsi="宋体" w:eastAsia="宋体" w:cs="宋体"/>
                <w:color w:val="auto"/>
                <w:kern w:val="0"/>
                <w:sz w:val="21"/>
                <w:szCs w:val="21"/>
                <w:u w:val="single" w:color="auto"/>
                <w:lang w:val="en-US" w:eastAsia="zh-CN" w:bidi="ar"/>
              </w:rPr>
              <w:t xml:space="preserve">； </w:t>
            </w:r>
          </w:p>
          <w:p w14:paraId="12CC5823">
            <w:pPr>
              <w:keepNext w:val="0"/>
              <w:keepLines w:val="0"/>
              <w:widowControl/>
              <w:suppressLineNumbers w:val="0"/>
              <w:jc w:val="left"/>
              <w:rPr>
                <w:color w:val="auto"/>
                <w:u w:val="single" w:color="auto"/>
              </w:rPr>
            </w:pPr>
            <w:r>
              <w:rPr>
                <w:rFonts w:hint="default" w:ascii="Times New Roman" w:hAnsi="Times New Roman" w:eastAsia="宋体" w:cs="Times New Roman"/>
                <w:color w:val="auto"/>
                <w:kern w:val="0"/>
                <w:sz w:val="21"/>
                <w:szCs w:val="21"/>
                <w:u w:val="single" w:color="auto"/>
                <w:lang w:val="en-US" w:eastAsia="zh-CN" w:bidi="ar"/>
              </w:rPr>
              <w:t>Δ</w:t>
            </w:r>
            <w:r>
              <w:rPr>
                <w:rFonts w:hint="default" w:ascii="Times New Roman" w:hAnsi="Times New Roman" w:eastAsia="宋体" w:cs="Times New Roman"/>
                <w:i/>
                <w:iCs/>
                <w:color w:val="auto"/>
                <w:kern w:val="0"/>
                <w:sz w:val="21"/>
                <w:szCs w:val="21"/>
                <w:u w:val="single" w:color="auto"/>
                <w:lang w:val="en-US" w:eastAsia="zh-CN" w:bidi="ar"/>
              </w:rPr>
              <w:t>L</w:t>
            </w:r>
            <w:r>
              <w:rPr>
                <w:rFonts w:hint="default" w:ascii="Times New Roman" w:hAnsi="Times New Roman" w:eastAsia="宋体" w:cs="Times New Roman"/>
                <w:i/>
                <w:iCs/>
                <w:color w:val="auto"/>
                <w:kern w:val="0"/>
                <w:sz w:val="13"/>
                <w:szCs w:val="13"/>
                <w:u w:val="single" w:color="auto"/>
                <w:lang w:val="en-US" w:eastAsia="zh-CN" w:bidi="ar"/>
              </w:rPr>
              <w:t xml:space="preserve">i </w:t>
            </w:r>
            <w:r>
              <w:rPr>
                <w:rFonts w:hint="default" w:ascii="Times New Roman" w:hAnsi="Times New Roman" w:eastAsia="宋体" w:cs="Times New Roman"/>
                <w:color w:val="auto"/>
                <w:kern w:val="0"/>
                <w:sz w:val="21"/>
                <w:szCs w:val="21"/>
                <w:u w:val="single" w:color="auto"/>
                <w:lang w:val="en-US" w:eastAsia="zh-CN" w:bidi="ar"/>
              </w:rPr>
              <w:t>——</w:t>
            </w:r>
            <w:r>
              <w:rPr>
                <w:rFonts w:hint="eastAsia" w:ascii="宋体" w:hAnsi="宋体" w:eastAsia="宋体" w:cs="宋体"/>
                <w:color w:val="auto"/>
                <w:kern w:val="0"/>
                <w:sz w:val="21"/>
                <w:szCs w:val="21"/>
                <w:u w:val="single" w:color="auto"/>
                <w:lang w:val="en-US" w:eastAsia="zh-CN" w:bidi="ar"/>
              </w:rPr>
              <w:t xml:space="preserve">第 </w:t>
            </w:r>
            <w:r>
              <w:rPr>
                <w:rFonts w:hint="default" w:ascii="Times New Roman" w:hAnsi="Times New Roman" w:eastAsia="宋体" w:cs="Times New Roman"/>
                <w:i/>
                <w:iCs/>
                <w:color w:val="auto"/>
                <w:kern w:val="0"/>
                <w:sz w:val="21"/>
                <w:szCs w:val="21"/>
                <w:u w:val="single" w:color="auto"/>
                <w:lang w:val="en-US" w:eastAsia="zh-CN" w:bidi="ar"/>
              </w:rPr>
              <w:t xml:space="preserve">i </w:t>
            </w:r>
            <w:r>
              <w:rPr>
                <w:rFonts w:hint="eastAsia" w:ascii="宋体" w:hAnsi="宋体" w:eastAsia="宋体" w:cs="宋体"/>
                <w:color w:val="auto"/>
                <w:kern w:val="0"/>
                <w:sz w:val="21"/>
                <w:szCs w:val="21"/>
                <w:u w:val="single" w:color="auto"/>
                <w:lang w:val="en-US" w:eastAsia="zh-CN" w:bidi="ar"/>
              </w:rPr>
              <w:t xml:space="preserve">倍频带的 </w:t>
            </w:r>
            <w:r>
              <w:rPr>
                <w:rFonts w:hint="default" w:ascii="Times New Roman" w:hAnsi="Times New Roman" w:eastAsia="宋体" w:cs="Times New Roman"/>
                <w:color w:val="auto"/>
                <w:kern w:val="0"/>
                <w:sz w:val="21"/>
                <w:szCs w:val="21"/>
                <w:u w:val="single" w:color="auto"/>
                <w:lang w:val="en-US" w:eastAsia="zh-CN" w:bidi="ar"/>
              </w:rPr>
              <w:t xml:space="preserve">A </w:t>
            </w:r>
            <w:r>
              <w:rPr>
                <w:rFonts w:hint="eastAsia" w:ascii="宋体" w:hAnsi="宋体" w:eastAsia="宋体" w:cs="宋体"/>
                <w:color w:val="auto"/>
                <w:kern w:val="0"/>
                <w:sz w:val="21"/>
                <w:szCs w:val="21"/>
                <w:u w:val="single" w:color="auto"/>
                <w:lang w:val="en-US" w:eastAsia="zh-CN" w:bidi="ar"/>
              </w:rPr>
              <w:t>计权网络修正值，</w:t>
            </w:r>
            <w:r>
              <w:rPr>
                <w:rFonts w:hint="default" w:ascii="Times New Roman" w:hAnsi="Times New Roman" w:eastAsia="宋体" w:cs="Times New Roman"/>
                <w:color w:val="auto"/>
                <w:kern w:val="0"/>
                <w:sz w:val="21"/>
                <w:szCs w:val="21"/>
                <w:u w:val="single" w:color="auto"/>
                <w:lang w:val="en-US" w:eastAsia="zh-CN" w:bidi="ar"/>
              </w:rPr>
              <w:t>dB</w:t>
            </w:r>
            <w:r>
              <w:rPr>
                <w:rFonts w:hint="eastAsia" w:ascii="宋体" w:hAnsi="宋体" w:eastAsia="宋体" w:cs="宋体"/>
                <w:color w:val="auto"/>
                <w:kern w:val="0"/>
                <w:sz w:val="21"/>
                <w:szCs w:val="21"/>
                <w:u w:val="single" w:color="auto"/>
                <w:lang w:val="en-US" w:eastAsia="zh-CN" w:bidi="ar"/>
              </w:rPr>
              <w:t>。</w:t>
            </w:r>
          </w:p>
          <w:p w14:paraId="78D8E87C">
            <w:pPr>
              <w:bidi w:val="0"/>
              <w:rPr>
                <w:color w:val="auto"/>
                <w:u w:val="single" w:color="auto"/>
              </w:rPr>
            </w:pPr>
            <w:r>
              <w:rPr>
                <w:rFonts w:hint="eastAsia"/>
                <w:color w:val="auto"/>
                <w:u w:val="single" w:color="auto"/>
                <w:lang w:eastAsia="zh-CN"/>
              </w:rPr>
              <w:t>（</w:t>
            </w:r>
            <w:r>
              <w:rPr>
                <w:rFonts w:hint="eastAsia"/>
                <w:color w:val="auto"/>
                <w:u w:val="single" w:color="auto"/>
                <w:lang w:val="en-US" w:eastAsia="zh-CN"/>
              </w:rPr>
              <w:t>4）</w:t>
            </w:r>
            <w:r>
              <w:rPr>
                <w:color w:val="auto"/>
                <w:u w:val="single" w:color="auto"/>
                <w:lang w:val="en-US" w:eastAsia="zh-CN"/>
              </w:rPr>
              <w:t>噪声贡献值</w:t>
            </w:r>
          </w:p>
          <w:p w14:paraId="40CCD9A4">
            <w:pPr>
              <w:bidi w:val="0"/>
              <w:rPr>
                <w:color w:val="auto"/>
                <w:u w:val="single" w:color="auto"/>
              </w:rPr>
            </w:pPr>
            <w:r>
              <w:rPr>
                <w:rFonts w:hint="eastAsia"/>
                <w:color w:val="auto"/>
                <w:u w:val="single" w:color="auto"/>
                <w:lang w:val="en-US" w:eastAsia="zh-CN"/>
              </w:rPr>
              <w:t>噪声贡献值（</w:t>
            </w:r>
            <w:r>
              <w:rPr>
                <w:rFonts w:hint="default"/>
                <w:i/>
                <w:iCs/>
                <w:color w:val="auto"/>
                <w:u w:val="single" w:color="auto"/>
                <w:lang w:val="en-US" w:eastAsia="zh-CN"/>
              </w:rPr>
              <w:t>Leqg</w:t>
            </w:r>
            <w:r>
              <w:rPr>
                <w:rFonts w:hint="eastAsia"/>
                <w:color w:val="auto"/>
                <w:u w:val="single" w:color="auto"/>
                <w:lang w:val="en-US" w:eastAsia="zh-CN"/>
              </w:rPr>
              <w:t>）计算公式为：</w:t>
            </w:r>
          </w:p>
          <w:p w14:paraId="05297813">
            <w:pPr>
              <w:bidi w:val="0"/>
              <w:ind w:left="0" w:leftChars="0" w:firstLine="0" w:firstLineChars="0"/>
              <w:jc w:val="center"/>
              <w:rPr>
                <w:rFonts w:hint="default" w:eastAsia="宋体"/>
                <w:color w:val="auto"/>
                <w:u w:val="single" w:color="auto"/>
                <w:lang w:val="en-US" w:eastAsia="zh-CN"/>
              </w:rPr>
            </w:pPr>
            <w:r>
              <w:rPr>
                <w:color w:val="auto"/>
                <w:u w:val="single" w:color="auto"/>
              </w:rPr>
              <w:drawing>
                <wp:inline distT="0" distB="0" distL="114300" distR="114300">
                  <wp:extent cx="2276475" cy="702945"/>
                  <wp:effectExtent l="0" t="0" r="9525" b="1905"/>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20"/>
                          <a:stretch>
                            <a:fillRect/>
                          </a:stretch>
                        </pic:blipFill>
                        <pic:spPr>
                          <a:xfrm>
                            <a:off x="0" y="0"/>
                            <a:ext cx="2276475" cy="702945"/>
                          </a:xfrm>
                          <a:prstGeom prst="rect">
                            <a:avLst/>
                          </a:prstGeom>
                          <a:noFill/>
                          <a:ln>
                            <a:noFill/>
                          </a:ln>
                        </pic:spPr>
                      </pic:pic>
                    </a:graphicData>
                  </a:graphic>
                </wp:inline>
              </w:drawing>
            </w:r>
          </w:p>
          <w:p w14:paraId="2B438312">
            <w:pPr>
              <w:bidi w:val="0"/>
              <w:rPr>
                <w:color w:val="auto"/>
                <w:u w:val="single" w:color="auto"/>
              </w:rPr>
            </w:pPr>
            <w:r>
              <w:rPr>
                <w:rFonts w:hint="eastAsia"/>
                <w:color w:val="auto"/>
                <w:u w:val="single" w:color="auto"/>
                <w:lang w:val="en-US" w:eastAsia="zh-CN"/>
              </w:rPr>
              <w:t xml:space="preserve">式中： </w:t>
            </w:r>
            <w:r>
              <w:rPr>
                <w:rFonts w:hint="default"/>
                <w:i/>
                <w:iCs/>
                <w:color w:val="auto"/>
                <w:u w:val="single" w:color="auto"/>
                <w:lang w:val="en-US" w:eastAsia="zh-CN"/>
              </w:rPr>
              <w:t>Leqg</w:t>
            </w:r>
            <w:r>
              <w:rPr>
                <w:rFonts w:hint="default"/>
                <w:color w:val="auto"/>
                <w:u w:val="single" w:color="auto"/>
                <w:lang w:val="en-US" w:eastAsia="zh-CN"/>
              </w:rPr>
              <w:t xml:space="preserve">—— </w:t>
            </w:r>
            <w:r>
              <w:rPr>
                <w:rFonts w:hint="eastAsia"/>
                <w:color w:val="auto"/>
                <w:u w:val="single" w:color="auto"/>
                <w:lang w:val="en-US" w:eastAsia="zh-CN"/>
              </w:rPr>
              <w:t>噪声贡献值，</w:t>
            </w:r>
            <w:r>
              <w:rPr>
                <w:rFonts w:hint="default"/>
                <w:color w:val="auto"/>
                <w:u w:val="single" w:color="auto"/>
                <w:lang w:val="en-US" w:eastAsia="zh-CN"/>
              </w:rPr>
              <w:t>dB</w:t>
            </w:r>
            <w:r>
              <w:rPr>
                <w:rFonts w:hint="eastAsia"/>
                <w:color w:val="auto"/>
                <w:u w:val="single" w:color="auto"/>
                <w:lang w:val="en-US" w:eastAsia="zh-CN"/>
              </w:rPr>
              <w:t xml:space="preserve">； </w:t>
            </w:r>
          </w:p>
          <w:p w14:paraId="45D44327">
            <w:pPr>
              <w:bidi w:val="0"/>
              <w:rPr>
                <w:color w:val="auto"/>
                <w:u w:val="single" w:color="auto"/>
              </w:rPr>
            </w:pPr>
            <w:r>
              <w:rPr>
                <w:rFonts w:hint="default"/>
                <w:i/>
                <w:iCs/>
                <w:color w:val="auto"/>
                <w:u w:val="single" w:color="auto"/>
                <w:lang w:val="en-US" w:eastAsia="zh-CN"/>
              </w:rPr>
              <w:t>T</w:t>
            </w:r>
            <w:r>
              <w:rPr>
                <w:rFonts w:hint="default"/>
                <w:color w:val="auto"/>
                <w:u w:val="single" w:color="auto"/>
                <w:lang w:val="en-US" w:eastAsia="zh-CN"/>
              </w:rPr>
              <w:t xml:space="preserve">—— </w:t>
            </w:r>
            <w:r>
              <w:rPr>
                <w:rFonts w:hint="eastAsia"/>
                <w:color w:val="auto"/>
                <w:u w:val="single" w:color="auto"/>
                <w:lang w:val="en-US" w:eastAsia="zh-CN"/>
              </w:rPr>
              <w:t>预测计算的时间段，</w:t>
            </w:r>
            <w:r>
              <w:rPr>
                <w:rFonts w:hint="default"/>
                <w:color w:val="auto"/>
                <w:u w:val="single" w:color="auto"/>
                <w:lang w:val="en-US" w:eastAsia="zh-CN"/>
              </w:rPr>
              <w:t>s</w:t>
            </w:r>
            <w:r>
              <w:rPr>
                <w:rFonts w:hint="eastAsia"/>
                <w:color w:val="auto"/>
                <w:u w:val="single" w:color="auto"/>
                <w:lang w:val="en-US" w:eastAsia="zh-CN"/>
              </w:rPr>
              <w:t xml:space="preserve">； </w:t>
            </w:r>
          </w:p>
          <w:p w14:paraId="17226D75">
            <w:pPr>
              <w:bidi w:val="0"/>
              <w:rPr>
                <w:color w:val="auto"/>
                <w:u w:val="single" w:color="auto"/>
              </w:rPr>
            </w:pPr>
            <w:r>
              <w:rPr>
                <w:rFonts w:hint="default"/>
                <w:i/>
                <w:iCs/>
                <w:color w:val="auto"/>
                <w:u w:val="single" w:color="auto"/>
                <w:lang w:val="en-US" w:eastAsia="zh-CN"/>
              </w:rPr>
              <w:t>t i</w:t>
            </w:r>
            <w:r>
              <w:rPr>
                <w:rFonts w:hint="default"/>
                <w:color w:val="auto"/>
                <w:u w:val="single" w:color="auto"/>
                <w:lang w:val="en-US" w:eastAsia="zh-CN"/>
              </w:rPr>
              <w:t>—— i</w:t>
            </w:r>
            <w:r>
              <w:rPr>
                <w:rFonts w:hint="eastAsia"/>
                <w:color w:val="auto"/>
                <w:u w:val="single" w:color="auto"/>
                <w:lang w:val="en-US" w:eastAsia="zh-CN"/>
              </w:rPr>
              <w:t>声源在</w:t>
            </w:r>
            <w:r>
              <w:rPr>
                <w:rFonts w:hint="default"/>
                <w:color w:val="auto"/>
                <w:u w:val="single" w:color="auto"/>
                <w:lang w:val="en-US" w:eastAsia="zh-CN"/>
              </w:rPr>
              <w:t>T</w:t>
            </w:r>
            <w:r>
              <w:rPr>
                <w:rFonts w:hint="eastAsia"/>
                <w:color w:val="auto"/>
                <w:u w:val="single" w:color="auto"/>
                <w:lang w:val="en-US" w:eastAsia="zh-CN"/>
              </w:rPr>
              <w:t>时段内的运行时间，</w:t>
            </w:r>
            <w:r>
              <w:rPr>
                <w:rFonts w:hint="default"/>
                <w:color w:val="auto"/>
                <w:u w:val="single" w:color="auto"/>
                <w:lang w:val="en-US" w:eastAsia="zh-CN"/>
              </w:rPr>
              <w:t>s</w:t>
            </w:r>
            <w:r>
              <w:rPr>
                <w:rFonts w:hint="eastAsia"/>
                <w:color w:val="auto"/>
                <w:u w:val="single" w:color="auto"/>
                <w:lang w:val="en-US" w:eastAsia="zh-CN"/>
              </w:rPr>
              <w:t xml:space="preserve">； </w:t>
            </w:r>
          </w:p>
          <w:p w14:paraId="5B91A676">
            <w:pPr>
              <w:bidi w:val="0"/>
              <w:rPr>
                <w:color w:val="auto"/>
                <w:u w:val="single" w:color="auto"/>
              </w:rPr>
            </w:pPr>
            <w:r>
              <w:rPr>
                <w:rFonts w:hint="default"/>
                <w:i/>
                <w:iCs/>
                <w:color w:val="auto"/>
                <w:u w:val="single" w:color="auto"/>
                <w:lang w:val="en-US" w:eastAsia="zh-CN"/>
              </w:rPr>
              <w:t>LAi</w:t>
            </w:r>
            <w:r>
              <w:rPr>
                <w:rFonts w:hint="default"/>
                <w:color w:val="auto"/>
                <w:u w:val="single" w:color="auto"/>
                <w:lang w:val="en-US" w:eastAsia="zh-CN"/>
              </w:rPr>
              <w:t xml:space="preserve"> ——i</w:t>
            </w:r>
            <w:r>
              <w:rPr>
                <w:rFonts w:hint="eastAsia"/>
                <w:color w:val="auto"/>
                <w:u w:val="single" w:color="auto"/>
                <w:lang w:val="en-US" w:eastAsia="zh-CN"/>
              </w:rPr>
              <w:t>声源在预测点产生的等效连续</w:t>
            </w:r>
            <w:r>
              <w:rPr>
                <w:rFonts w:hint="default"/>
                <w:color w:val="auto"/>
                <w:u w:val="single" w:color="auto"/>
                <w:lang w:val="en-US" w:eastAsia="zh-CN"/>
              </w:rPr>
              <w:t>A</w:t>
            </w:r>
            <w:r>
              <w:rPr>
                <w:rFonts w:hint="eastAsia"/>
                <w:color w:val="auto"/>
                <w:u w:val="single" w:color="auto"/>
                <w:lang w:val="en-US" w:eastAsia="zh-CN"/>
              </w:rPr>
              <w:t>声级，</w:t>
            </w:r>
            <w:r>
              <w:rPr>
                <w:rFonts w:hint="default"/>
                <w:color w:val="auto"/>
                <w:u w:val="single" w:color="auto"/>
                <w:lang w:val="en-US" w:eastAsia="zh-CN"/>
              </w:rPr>
              <w:t>dB</w:t>
            </w:r>
            <w:r>
              <w:rPr>
                <w:rFonts w:hint="eastAsia"/>
                <w:color w:val="auto"/>
                <w:u w:val="single" w:color="auto"/>
                <w:lang w:val="en-US" w:eastAsia="zh-CN"/>
              </w:rPr>
              <w:t>。</w:t>
            </w:r>
          </w:p>
          <w:p w14:paraId="7D308D28">
            <w:pPr>
              <w:bidi w:val="0"/>
              <w:rPr>
                <w:rFonts w:hint="default"/>
                <w:color w:val="auto"/>
                <w:u w:val="single" w:color="auto"/>
                <w:lang w:val="en-US" w:eastAsia="zh-CN"/>
              </w:rPr>
            </w:pPr>
            <w:r>
              <w:rPr>
                <w:rFonts w:hint="eastAsia"/>
                <w:color w:val="auto"/>
                <w:u w:val="single" w:color="auto"/>
                <w:lang w:eastAsia="zh-CN"/>
              </w:rPr>
              <w:t>（</w:t>
            </w:r>
            <w:r>
              <w:rPr>
                <w:rFonts w:hint="eastAsia"/>
                <w:color w:val="auto"/>
                <w:u w:val="single" w:color="auto"/>
                <w:lang w:val="en-US" w:eastAsia="zh-CN"/>
              </w:rPr>
              <w:t>5）噪声预测值</w:t>
            </w:r>
          </w:p>
          <w:p w14:paraId="7B15BA99">
            <w:pPr>
              <w:bidi w:val="0"/>
              <w:rPr>
                <w:color w:val="auto"/>
                <w:u w:val="single" w:color="auto"/>
              </w:rPr>
            </w:pPr>
            <w:r>
              <w:rPr>
                <w:rFonts w:hint="eastAsia"/>
                <w:color w:val="auto"/>
                <w:u w:val="single" w:color="auto"/>
                <w:lang w:val="en-US" w:eastAsia="zh-CN"/>
              </w:rPr>
              <w:t>噪声预测值（</w:t>
            </w:r>
            <w:r>
              <w:rPr>
                <w:rFonts w:hint="default"/>
                <w:i/>
                <w:iCs/>
                <w:color w:val="auto"/>
                <w:u w:val="single" w:color="auto"/>
                <w:lang w:val="en-US" w:eastAsia="zh-CN"/>
              </w:rPr>
              <w:t>Leq</w:t>
            </w:r>
            <w:r>
              <w:rPr>
                <w:rFonts w:hint="eastAsia"/>
                <w:color w:val="auto"/>
                <w:u w:val="single" w:color="auto"/>
                <w:lang w:val="en-US" w:eastAsia="zh-CN"/>
              </w:rPr>
              <w:t>）计算公式为：</w:t>
            </w:r>
          </w:p>
          <w:p w14:paraId="39BEE2A4">
            <w:pPr>
              <w:bidi w:val="0"/>
              <w:ind w:left="0" w:leftChars="0" w:firstLine="0" w:firstLineChars="0"/>
              <w:jc w:val="center"/>
              <w:rPr>
                <w:rFonts w:hint="default"/>
                <w:color w:val="auto"/>
                <w:u w:val="single" w:color="auto"/>
              </w:rPr>
            </w:pPr>
            <w:r>
              <w:rPr>
                <w:color w:val="auto"/>
                <w:u w:val="single" w:color="auto"/>
              </w:rPr>
              <w:drawing>
                <wp:inline distT="0" distB="0" distL="114300" distR="114300">
                  <wp:extent cx="2324735" cy="455295"/>
                  <wp:effectExtent l="0" t="0" r="18415" b="1905"/>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pic:cNvPicPr>
                            <a:picLocks noChangeAspect="1"/>
                          </pic:cNvPicPr>
                        </pic:nvPicPr>
                        <pic:blipFill>
                          <a:blip r:embed="rId21"/>
                          <a:stretch>
                            <a:fillRect/>
                          </a:stretch>
                        </pic:blipFill>
                        <pic:spPr>
                          <a:xfrm>
                            <a:off x="0" y="0"/>
                            <a:ext cx="2324735" cy="455295"/>
                          </a:xfrm>
                          <a:prstGeom prst="rect">
                            <a:avLst/>
                          </a:prstGeom>
                          <a:noFill/>
                          <a:ln>
                            <a:noFill/>
                          </a:ln>
                        </pic:spPr>
                      </pic:pic>
                    </a:graphicData>
                  </a:graphic>
                </wp:inline>
              </w:drawing>
            </w:r>
          </w:p>
          <w:p w14:paraId="50983E47">
            <w:pPr>
              <w:bidi w:val="0"/>
              <w:rPr>
                <w:color w:val="auto"/>
                <w:u w:val="single" w:color="auto"/>
              </w:rPr>
            </w:pPr>
            <w:r>
              <w:rPr>
                <w:rFonts w:hint="eastAsia"/>
                <w:color w:val="auto"/>
                <w:u w:val="single" w:color="auto"/>
                <w:lang w:val="en-US" w:eastAsia="zh-CN"/>
              </w:rPr>
              <w:t>式中：</w:t>
            </w:r>
            <w:r>
              <w:rPr>
                <w:rFonts w:hint="default"/>
                <w:i/>
                <w:iCs/>
                <w:color w:val="auto"/>
                <w:u w:val="single" w:color="auto"/>
                <w:lang w:val="en-US" w:eastAsia="zh-CN"/>
              </w:rPr>
              <w:t>Leq</w:t>
            </w:r>
            <w:r>
              <w:rPr>
                <w:rFonts w:hint="default"/>
                <w:color w:val="auto"/>
                <w:u w:val="single" w:color="auto"/>
                <w:lang w:val="en-US" w:eastAsia="zh-CN"/>
              </w:rPr>
              <w:t>——</w:t>
            </w:r>
            <w:r>
              <w:rPr>
                <w:rFonts w:hint="eastAsia"/>
                <w:color w:val="auto"/>
                <w:u w:val="single" w:color="auto"/>
                <w:lang w:val="en-US" w:eastAsia="zh-CN"/>
              </w:rPr>
              <w:t>预测点的噪声预测值，</w:t>
            </w:r>
            <w:r>
              <w:rPr>
                <w:rFonts w:hint="default"/>
                <w:color w:val="auto"/>
                <w:u w:val="single" w:color="auto"/>
                <w:lang w:val="en-US" w:eastAsia="zh-CN"/>
              </w:rPr>
              <w:t>dB</w:t>
            </w:r>
            <w:r>
              <w:rPr>
                <w:rFonts w:hint="eastAsia"/>
                <w:color w:val="auto"/>
                <w:u w:val="single" w:color="auto"/>
                <w:lang w:val="en-US" w:eastAsia="zh-CN"/>
              </w:rPr>
              <w:t>；</w:t>
            </w:r>
          </w:p>
          <w:p w14:paraId="17F24E40">
            <w:pPr>
              <w:bidi w:val="0"/>
              <w:rPr>
                <w:color w:val="auto"/>
                <w:u w:val="single" w:color="auto"/>
              </w:rPr>
            </w:pPr>
            <w:r>
              <w:rPr>
                <w:rFonts w:hint="default"/>
                <w:i/>
                <w:iCs/>
                <w:color w:val="auto"/>
                <w:u w:val="single" w:color="auto"/>
                <w:lang w:val="en-US" w:eastAsia="zh-CN"/>
              </w:rPr>
              <w:t>L</w:t>
            </w:r>
            <w:r>
              <w:rPr>
                <w:rFonts w:hint="default"/>
                <w:color w:val="auto"/>
                <w:u w:val="single" w:color="auto"/>
                <w:lang w:val="en-US" w:eastAsia="zh-CN"/>
              </w:rPr>
              <w:t>——</w:t>
            </w:r>
            <w:r>
              <w:rPr>
                <w:rFonts w:hint="eastAsia"/>
                <w:color w:val="auto"/>
                <w:u w:val="single" w:color="auto"/>
                <w:lang w:val="en-US" w:eastAsia="zh-CN"/>
              </w:rPr>
              <w:t>建设项目声源在预测点产生的噪声贡献值，</w:t>
            </w:r>
            <w:r>
              <w:rPr>
                <w:rFonts w:hint="default"/>
                <w:color w:val="auto"/>
                <w:u w:val="single" w:color="auto"/>
                <w:lang w:val="en-US" w:eastAsia="zh-CN"/>
              </w:rPr>
              <w:t>dB</w:t>
            </w:r>
            <w:r>
              <w:rPr>
                <w:rFonts w:hint="eastAsia"/>
                <w:color w:val="auto"/>
                <w:u w:val="single" w:color="auto"/>
                <w:lang w:val="en-US" w:eastAsia="zh-CN"/>
              </w:rPr>
              <w:t xml:space="preserve">； </w:t>
            </w:r>
          </w:p>
          <w:p w14:paraId="61718E92">
            <w:pPr>
              <w:bidi w:val="0"/>
              <w:rPr>
                <w:color w:val="auto"/>
                <w:u w:val="single" w:color="auto"/>
              </w:rPr>
            </w:pPr>
            <w:r>
              <w:rPr>
                <w:rFonts w:hint="default"/>
                <w:i/>
                <w:iCs/>
                <w:color w:val="auto"/>
                <w:u w:val="single" w:color="auto"/>
                <w:lang w:val="en-US" w:eastAsia="zh-CN"/>
              </w:rPr>
              <w:t>Leqb</w:t>
            </w:r>
            <w:r>
              <w:rPr>
                <w:rFonts w:hint="default"/>
                <w:color w:val="auto"/>
                <w:u w:val="single" w:color="auto"/>
                <w:lang w:val="en-US" w:eastAsia="zh-CN"/>
              </w:rPr>
              <w:t>——</w:t>
            </w:r>
            <w:r>
              <w:rPr>
                <w:rFonts w:hint="eastAsia"/>
                <w:color w:val="auto"/>
                <w:u w:val="single" w:color="auto"/>
                <w:lang w:val="en-US" w:eastAsia="zh-CN"/>
              </w:rPr>
              <w:t>预测点的背景噪声值，</w:t>
            </w:r>
            <w:r>
              <w:rPr>
                <w:rFonts w:hint="default"/>
                <w:color w:val="auto"/>
                <w:u w:val="single" w:color="auto"/>
                <w:lang w:val="en-US" w:eastAsia="zh-CN"/>
              </w:rPr>
              <w:t>dB</w:t>
            </w:r>
            <w:r>
              <w:rPr>
                <w:rFonts w:hint="eastAsia"/>
                <w:color w:val="auto"/>
                <w:u w:val="single" w:color="auto"/>
                <w:lang w:val="en-US" w:eastAsia="zh-CN"/>
              </w:rPr>
              <w:t>。</w:t>
            </w:r>
          </w:p>
          <w:p w14:paraId="2F0773C2">
            <w:pPr>
              <w:spacing w:line="360" w:lineRule="auto"/>
              <w:ind w:firstLine="480"/>
              <w:rPr>
                <w:rFonts w:hint="default" w:ascii="Times New Roman" w:hAnsi="Times New Roman" w:cs="Times New Roman"/>
                <w:color w:val="auto"/>
                <w:highlight w:val="none"/>
                <w:u w:val="single" w:color="auto"/>
              </w:rPr>
            </w:pPr>
            <w:r>
              <w:rPr>
                <w:rFonts w:hint="default" w:ascii="Times New Roman" w:hAnsi="Times New Roman" w:cs="Times New Roman"/>
                <w:color w:val="auto"/>
                <w:highlight w:val="none"/>
                <w:u w:val="single" w:color="auto"/>
              </w:rPr>
              <w:t>3、预测结果</w:t>
            </w:r>
          </w:p>
          <w:p w14:paraId="0F6247D1">
            <w:pPr>
              <w:spacing w:line="360" w:lineRule="auto"/>
              <w:ind w:firstLine="480"/>
              <w:rPr>
                <w:rFonts w:hint="default" w:ascii="Times New Roman" w:hAnsi="Times New Roman" w:cs="Times New Roman"/>
                <w:color w:val="auto"/>
                <w:highlight w:val="none"/>
                <w:u w:val="single" w:color="auto"/>
              </w:rPr>
            </w:pPr>
            <w:r>
              <w:rPr>
                <w:rFonts w:hint="default" w:ascii="Times New Roman" w:hAnsi="Times New Roman" w:cs="Times New Roman"/>
                <w:color w:val="auto"/>
                <w:highlight w:val="none"/>
                <w:u w:val="single" w:color="auto"/>
              </w:rPr>
              <w:t>项目营运期各设备噪声经采取相应的治理措施后，采用上述预测模式预测得出各厂界处的噪声贡献值详见下表：</w:t>
            </w:r>
          </w:p>
          <w:p w14:paraId="78766FC5">
            <w:pPr>
              <w:spacing w:line="240" w:lineRule="auto"/>
              <w:ind w:firstLine="0" w:firstLineChars="0"/>
              <w:jc w:val="center"/>
              <w:rPr>
                <w:rFonts w:hint="default" w:ascii="Times New Roman" w:hAnsi="Times New Roman" w:eastAsia="宋体" w:cs="Times New Roman"/>
                <w:b/>
                <w:bCs/>
                <w:color w:val="auto"/>
                <w:sz w:val="21"/>
                <w:szCs w:val="21"/>
                <w:highlight w:val="none"/>
                <w:u w:val="single" w:color="auto"/>
              </w:rPr>
            </w:pPr>
            <w:bookmarkStart w:id="27" w:name="_Ref496887213"/>
            <w:r>
              <w:rPr>
                <w:rFonts w:hint="default" w:ascii="Times New Roman" w:hAnsi="Times New Roman" w:eastAsia="宋体" w:cs="Times New Roman"/>
                <w:b/>
                <w:bCs/>
                <w:color w:val="auto"/>
                <w:sz w:val="21"/>
                <w:szCs w:val="21"/>
                <w:highlight w:val="none"/>
                <w:u w:val="single" w:color="auto"/>
              </w:rPr>
              <w:t>表4.2</w:t>
            </w:r>
            <w:bookmarkEnd w:id="27"/>
            <w:r>
              <w:rPr>
                <w:rFonts w:hint="default" w:ascii="Times New Roman" w:hAnsi="Times New Roman" w:eastAsia="宋体" w:cs="Times New Roman"/>
                <w:b/>
                <w:bCs/>
                <w:color w:val="auto"/>
                <w:sz w:val="21"/>
                <w:szCs w:val="21"/>
                <w:highlight w:val="none"/>
                <w:u w:val="single" w:color="auto"/>
              </w:rPr>
              <w:t>-</w:t>
            </w:r>
            <w:r>
              <w:rPr>
                <w:rFonts w:hint="eastAsia" w:cs="Times New Roman"/>
                <w:b/>
                <w:bCs/>
                <w:color w:val="auto"/>
                <w:sz w:val="21"/>
                <w:szCs w:val="21"/>
                <w:highlight w:val="none"/>
                <w:u w:val="single" w:color="auto"/>
                <w:lang w:val="en-US" w:eastAsia="zh-CN"/>
              </w:rPr>
              <w:t>22</w:t>
            </w:r>
            <w:r>
              <w:rPr>
                <w:rFonts w:hint="eastAsia" w:ascii="Times New Roman" w:hAnsi="Times New Roman" w:eastAsia="宋体" w:cs="Times New Roman"/>
                <w:b/>
                <w:bCs/>
                <w:color w:val="auto"/>
                <w:sz w:val="21"/>
                <w:szCs w:val="21"/>
                <w:highlight w:val="none"/>
                <w:u w:val="single" w:color="auto"/>
                <w:lang w:val="en-US" w:eastAsia="zh-CN"/>
              </w:rPr>
              <w:t xml:space="preserve">  </w:t>
            </w:r>
            <w:r>
              <w:rPr>
                <w:rFonts w:hint="default" w:ascii="Times New Roman" w:hAnsi="Times New Roman" w:eastAsia="宋体" w:cs="Times New Roman"/>
                <w:b/>
                <w:bCs/>
                <w:color w:val="auto"/>
                <w:sz w:val="21"/>
                <w:szCs w:val="21"/>
                <w:highlight w:val="none"/>
                <w:u w:val="single" w:color="auto"/>
              </w:rPr>
              <w:t>厂界噪声预测结果一览表单位：dB（A）</w:t>
            </w:r>
          </w:p>
          <w:tbl>
            <w:tblPr>
              <w:tblStyle w:val="29"/>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401"/>
              <w:gridCol w:w="529"/>
              <w:gridCol w:w="655"/>
              <w:gridCol w:w="691"/>
              <w:gridCol w:w="904"/>
              <w:gridCol w:w="1021"/>
              <w:gridCol w:w="945"/>
              <w:gridCol w:w="940"/>
              <w:gridCol w:w="631"/>
              <w:gridCol w:w="787"/>
              <w:gridCol w:w="948"/>
            </w:tblGrid>
            <w:tr w14:paraId="09EDB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237" w:type="pct"/>
                  <w:vMerge w:val="restart"/>
                  <w:tcBorders>
                    <w:tl2br w:val="nil"/>
                    <w:tr2bl w:val="nil"/>
                  </w:tcBorders>
                  <w:shd w:val="clear" w:color="auto" w:fill="auto"/>
                  <w:vAlign w:val="center"/>
                </w:tcPr>
                <w:p w14:paraId="0254684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序号</w:t>
                  </w:r>
                </w:p>
              </w:tc>
              <w:tc>
                <w:tcPr>
                  <w:tcW w:w="312" w:type="pct"/>
                  <w:vMerge w:val="restart"/>
                  <w:tcBorders>
                    <w:tl2br w:val="nil"/>
                    <w:tr2bl w:val="nil"/>
                  </w:tcBorders>
                  <w:shd w:val="clear" w:color="auto" w:fill="auto"/>
                  <w:vAlign w:val="center"/>
                </w:tcPr>
                <w:p w14:paraId="5FE3626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名称</w:t>
                  </w:r>
                </w:p>
              </w:tc>
              <w:tc>
                <w:tcPr>
                  <w:tcW w:w="387" w:type="pct"/>
                  <w:vMerge w:val="restart"/>
                  <w:tcBorders>
                    <w:tl2br w:val="nil"/>
                    <w:tr2bl w:val="nil"/>
                  </w:tcBorders>
                  <w:shd w:val="clear" w:color="auto" w:fill="auto"/>
                  <w:vAlign w:val="center"/>
                </w:tcPr>
                <w:p w14:paraId="6A11FD8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X(m)</w:t>
                  </w:r>
                </w:p>
              </w:tc>
              <w:tc>
                <w:tcPr>
                  <w:tcW w:w="408" w:type="pct"/>
                  <w:vMerge w:val="restart"/>
                  <w:tcBorders>
                    <w:tl2br w:val="nil"/>
                    <w:tr2bl w:val="nil"/>
                  </w:tcBorders>
                  <w:shd w:val="clear" w:color="auto" w:fill="auto"/>
                  <w:vAlign w:val="center"/>
                </w:tcPr>
                <w:p w14:paraId="100533D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Y(m)</w:t>
                  </w:r>
                </w:p>
              </w:tc>
              <w:tc>
                <w:tcPr>
                  <w:tcW w:w="534" w:type="pct"/>
                  <w:vMerge w:val="restart"/>
                  <w:tcBorders>
                    <w:tl2br w:val="nil"/>
                    <w:tr2bl w:val="nil"/>
                  </w:tcBorders>
                  <w:shd w:val="clear" w:color="auto" w:fill="auto"/>
                  <w:vAlign w:val="center"/>
                </w:tcPr>
                <w:p w14:paraId="2F21ED5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地面高程(m)</w:t>
                  </w:r>
                </w:p>
              </w:tc>
              <w:tc>
                <w:tcPr>
                  <w:tcW w:w="603" w:type="pct"/>
                  <w:vMerge w:val="restart"/>
                  <w:tcBorders>
                    <w:tl2br w:val="nil"/>
                    <w:tr2bl w:val="nil"/>
                  </w:tcBorders>
                  <w:shd w:val="clear" w:color="auto" w:fill="auto"/>
                  <w:vAlign w:val="center"/>
                </w:tcPr>
                <w:p w14:paraId="28F07CD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离地高度(m)</w:t>
                  </w:r>
                </w:p>
              </w:tc>
              <w:tc>
                <w:tcPr>
                  <w:tcW w:w="559" w:type="pct"/>
                  <w:vMerge w:val="restart"/>
                  <w:tcBorders>
                    <w:tl2br w:val="nil"/>
                    <w:tr2bl w:val="nil"/>
                  </w:tcBorders>
                  <w:shd w:val="clear" w:color="auto" w:fill="auto"/>
                  <w:vAlign w:val="center"/>
                </w:tcPr>
                <w:p w14:paraId="3B3CA5B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贡献值(dB)</w:t>
                  </w:r>
                </w:p>
              </w:tc>
              <w:tc>
                <w:tcPr>
                  <w:tcW w:w="556" w:type="pct"/>
                  <w:vMerge w:val="restart"/>
                  <w:tcBorders>
                    <w:tl2br w:val="nil"/>
                    <w:tr2bl w:val="nil"/>
                  </w:tcBorders>
                  <w:shd w:val="clear" w:color="auto" w:fill="auto"/>
                  <w:vAlign w:val="center"/>
                </w:tcPr>
                <w:p w14:paraId="5A182E9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功能区类型</w:t>
                  </w:r>
                </w:p>
              </w:tc>
              <w:tc>
                <w:tcPr>
                  <w:tcW w:w="373" w:type="pct"/>
                  <w:vMerge w:val="restart"/>
                  <w:tcBorders>
                    <w:tl2br w:val="nil"/>
                    <w:tr2bl w:val="nil"/>
                  </w:tcBorders>
                  <w:shd w:val="clear" w:color="auto" w:fill="auto"/>
                  <w:vAlign w:val="center"/>
                </w:tcPr>
                <w:p w14:paraId="7E01F4C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标准值</w:t>
                  </w:r>
                </w:p>
              </w:tc>
              <w:tc>
                <w:tcPr>
                  <w:tcW w:w="465" w:type="pct"/>
                  <w:vMerge w:val="restart"/>
                  <w:tcBorders>
                    <w:tl2br w:val="nil"/>
                    <w:tr2bl w:val="nil"/>
                  </w:tcBorders>
                  <w:shd w:val="clear" w:color="auto" w:fill="auto"/>
                  <w:vAlign w:val="center"/>
                </w:tcPr>
                <w:p w14:paraId="0AC29EC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是否达标</w:t>
                  </w:r>
                </w:p>
              </w:tc>
              <w:tc>
                <w:tcPr>
                  <w:tcW w:w="560" w:type="pct"/>
                  <w:vMerge w:val="restart"/>
                  <w:tcBorders>
                    <w:tl2br w:val="nil"/>
                    <w:tr2bl w:val="nil"/>
                  </w:tcBorders>
                  <w:shd w:val="clear" w:color="auto" w:fill="auto"/>
                  <w:vAlign w:val="center"/>
                </w:tcPr>
                <w:p w14:paraId="29858D6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与标准差值</w:t>
                  </w:r>
                </w:p>
              </w:tc>
            </w:tr>
            <w:tr w14:paraId="0829D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237" w:type="pct"/>
                  <w:vMerge w:val="continue"/>
                  <w:tcBorders>
                    <w:tl2br w:val="nil"/>
                    <w:tr2bl w:val="nil"/>
                  </w:tcBorders>
                  <w:shd w:val="clear" w:color="auto" w:fill="auto"/>
                  <w:vAlign w:val="center"/>
                </w:tcPr>
                <w:p w14:paraId="0A1736B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12" w:type="pct"/>
                  <w:vMerge w:val="continue"/>
                  <w:tcBorders>
                    <w:tl2br w:val="nil"/>
                    <w:tr2bl w:val="nil"/>
                  </w:tcBorders>
                  <w:shd w:val="clear" w:color="auto" w:fill="auto"/>
                  <w:vAlign w:val="center"/>
                </w:tcPr>
                <w:p w14:paraId="02096B6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87" w:type="pct"/>
                  <w:vMerge w:val="continue"/>
                  <w:tcBorders>
                    <w:tl2br w:val="nil"/>
                    <w:tr2bl w:val="nil"/>
                  </w:tcBorders>
                  <w:shd w:val="clear" w:color="auto" w:fill="auto"/>
                  <w:vAlign w:val="center"/>
                </w:tcPr>
                <w:p w14:paraId="62A6BC3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08" w:type="pct"/>
                  <w:vMerge w:val="continue"/>
                  <w:tcBorders>
                    <w:tl2br w:val="nil"/>
                    <w:tr2bl w:val="nil"/>
                  </w:tcBorders>
                  <w:shd w:val="clear" w:color="auto" w:fill="auto"/>
                  <w:vAlign w:val="center"/>
                </w:tcPr>
                <w:p w14:paraId="33CBBAF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34" w:type="pct"/>
                  <w:vMerge w:val="continue"/>
                  <w:tcBorders>
                    <w:tl2br w:val="nil"/>
                    <w:tr2bl w:val="nil"/>
                  </w:tcBorders>
                  <w:shd w:val="clear" w:color="auto" w:fill="auto"/>
                  <w:vAlign w:val="center"/>
                </w:tcPr>
                <w:p w14:paraId="47EBADD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603" w:type="pct"/>
                  <w:vMerge w:val="continue"/>
                  <w:tcBorders>
                    <w:tl2br w:val="nil"/>
                    <w:tr2bl w:val="nil"/>
                  </w:tcBorders>
                  <w:shd w:val="clear" w:color="auto" w:fill="auto"/>
                  <w:vAlign w:val="center"/>
                </w:tcPr>
                <w:p w14:paraId="4165260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59" w:type="pct"/>
                  <w:vMerge w:val="continue"/>
                  <w:tcBorders>
                    <w:tl2br w:val="nil"/>
                    <w:tr2bl w:val="nil"/>
                  </w:tcBorders>
                  <w:shd w:val="clear" w:color="auto" w:fill="auto"/>
                  <w:vAlign w:val="center"/>
                </w:tcPr>
                <w:p w14:paraId="0080C04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56" w:type="pct"/>
                  <w:vMerge w:val="continue"/>
                  <w:tcBorders>
                    <w:tl2br w:val="nil"/>
                    <w:tr2bl w:val="nil"/>
                  </w:tcBorders>
                  <w:shd w:val="clear" w:color="auto" w:fill="auto"/>
                  <w:vAlign w:val="center"/>
                </w:tcPr>
                <w:p w14:paraId="46117BC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73" w:type="pct"/>
                  <w:vMerge w:val="continue"/>
                  <w:tcBorders>
                    <w:tl2br w:val="nil"/>
                    <w:tr2bl w:val="nil"/>
                  </w:tcBorders>
                  <w:shd w:val="clear" w:color="auto" w:fill="auto"/>
                  <w:vAlign w:val="center"/>
                </w:tcPr>
                <w:p w14:paraId="0B62980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65" w:type="pct"/>
                  <w:vMerge w:val="continue"/>
                  <w:tcBorders>
                    <w:tl2br w:val="nil"/>
                    <w:tr2bl w:val="nil"/>
                  </w:tcBorders>
                  <w:shd w:val="clear" w:color="auto" w:fill="auto"/>
                  <w:vAlign w:val="center"/>
                </w:tcPr>
                <w:p w14:paraId="7A29F34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60" w:type="pct"/>
                  <w:vMerge w:val="continue"/>
                  <w:tcBorders>
                    <w:tl2br w:val="nil"/>
                    <w:tr2bl w:val="nil"/>
                  </w:tcBorders>
                  <w:shd w:val="clear" w:color="auto" w:fill="auto"/>
                  <w:vAlign w:val="center"/>
                </w:tcPr>
                <w:p w14:paraId="23F6CC0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r>
            <w:tr w14:paraId="5C12F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237" w:type="pct"/>
                  <w:vMerge w:val="restart"/>
                  <w:tcBorders>
                    <w:tl2br w:val="nil"/>
                    <w:tr2bl w:val="nil"/>
                  </w:tcBorders>
                  <w:shd w:val="clear" w:color="auto" w:fill="auto"/>
                  <w:vAlign w:val="center"/>
                </w:tcPr>
                <w:p w14:paraId="320BC32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w:t>
                  </w:r>
                </w:p>
              </w:tc>
              <w:tc>
                <w:tcPr>
                  <w:tcW w:w="312" w:type="pct"/>
                  <w:vMerge w:val="restart"/>
                  <w:tcBorders>
                    <w:tl2br w:val="nil"/>
                    <w:tr2bl w:val="nil"/>
                  </w:tcBorders>
                  <w:shd w:val="clear" w:color="auto" w:fill="auto"/>
                  <w:vAlign w:val="center"/>
                </w:tcPr>
                <w:p w14:paraId="1F53191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东侧</w:t>
                  </w:r>
                </w:p>
              </w:tc>
              <w:tc>
                <w:tcPr>
                  <w:tcW w:w="387" w:type="pct"/>
                  <w:vMerge w:val="restart"/>
                  <w:tcBorders>
                    <w:tl2br w:val="nil"/>
                    <w:tr2bl w:val="nil"/>
                  </w:tcBorders>
                  <w:shd w:val="clear" w:color="auto" w:fill="auto"/>
                  <w:vAlign w:val="center"/>
                </w:tcPr>
                <w:p w14:paraId="1239FA3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106.85</w:t>
                  </w:r>
                </w:p>
              </w:tc>
              <w:tc>
                <w:tcPr>
                  <w:tcW w:w="408" w:type="pct"/>
                  <w:vMerge w:val="restart"/>
                  <w:tcBorders>
                    <w:tl2br w:val="nil"/>
                    <w:tr2bl w:val="nil"/>
                  </w:tcBorders>
                  <w:shd w:val="clear" w:color="auto" w:fill="auto"/>
                  <w:vAlign w:val="center"/>
                </w:tcPr>
                <w:p w14:paraId="73F0841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43.25</w:t>
                  </w:r>
                </w:p>
              </w:tc>
              <w:tc>
                <w:tcPr>
                  <w:tcW w:w="534" w:type="pct"/>
                  <w:vMerge w:val="restart"/>
                  <w:tcBorders>
                    <w:tl2br w:val="nil"/>
                    <w:tr2bl w:val="nil"/>
                  </w:tcBorders>
                  <w:shd w:val="clear" w:color="auto" w:fill="auto"/>
                  <w:vAlign w:val="center"/>
                </w:tcPr>
                <w:p w14:paraId="6AFEDA9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0.00</w:t>
                  </w:r>
                </w:p>
              </w:tc>
              <w:tc>
                <w:tcPr>
                  <w:tcW w:w="603" w:type="pct"/>
                  <w:vMerge w:val="restart"/>
                  <w:tcBorders>
                    <w:tl2br w:val="nil"/>
                    <w:tr2bl w:val="nil"/>
                  </w:tcBorders>
                  <w:shd w:val="clear" w:color="auto" w:fill="auto"/>
                  <w:vAlign w:val="center"/>
                </w:tcPr>
                <w:p w14:paraId="1E2EC10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1.20</w:t>
                  </w:r>
                </w:p>
              </w:tc>
              <w:tc>
                <w:tcPr>
                  <w:tcW w:w="559" w:type="pct"/>
                  <w:tcBorders>
                    <w:bottom w:val="single" w:color="000000" w:sz="4" w:space="0"/>
                    <w:tl2br w:val="nil"/>
                    <w:tr2bl w:val="nil"/>
                  </w:tcBorders>
                  <w:shd w:val="clear" w:color="auto" w:fill="auto"/>
                  <w:vAlign w:val="center"/>
                </w:tcPr>
                <w:p w14:paraId="51BB6F9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52.89</w:t>
                  </w:r>
                </w:p>
              </w:tc>
              <w:tc>
                <w:tcPr>
                  <w:tcW w:w="556" w:type="pct"/>
                  <w:tcBorders>
                    <w:bottom w:val="single" w:color="000000" w:sz="4" w:space="0"/>
                    <w:tl2br w:val="nil"/>
                    <w:tr2bl w:val="nil"/>
                  </w:tcBorders>
                  <w:shd w:val="clear" w:color="auto" w:fill="auto"/>
                  <w:vAlign w:val="center"/>
                </w:tcPr>
                <w:p w14:paraId="2D97401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3类</w:t>
                  </w:r>
                </w:p>
              </w:tc>
              <w:tc>
                <w:tcPr>
                  <w:tcW w:w="373" w:type="pct"/>
                  <w:tcBorders>
                    <w:bottom w:val="single" w:color="000000" w:sz="4" w:space="0"/>
                    <w:tl2br w:val="nil"/>
                    <w:tr2bl w:val="nil"/>
                  </w:tcBorders>
                  <w:shd w:val="clear" w:color="auto" w:fill="auto"/>
                  <w:vAlign w:val="center"/>
                </w:tcPr>
                <w:p w14:paraId="7E6909C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65</w:t>
                  </w:r>
                </w:p>
              </w:tc>
              <w:tc>
                <w:tcPr>
                  <w:tcW w:w="465" w:type="pct"/>
                  <w:tcBorders>
                    <w:bottom w:val="single" w:color="000000" w:sz="4" w:space="0"/>
                    <w:tl2br w:val="nil"/>
                    <w:tr2bl w:val="nil"/>
                  </w:tcBorders>
                  <w:shd w:val="clear" w:color="auto" w:fill="auto"/>
                  <w:vAlign w:val="center"/>
                </w:tcPr>
                <w:p w14:paraId="4B15339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是</w:t>
                  </w:r>
                </w:p>
              </w:tc>
              <w:tc>
                <w:tcPr>
                  <w:tcW w:w="560" w:type="pct"/>
                  <w:tcBorders>
                    <w:bottom w:val="single" w:color="000000" w:sz="4" w:space="0"/>
                    <w:tl2br w:val="nil"/>
                    <w:tr2bl w:val="nil"/>
                  </w:tcBorders>
                  <w:shd w:val="clear" w:color="auto" w:fill="auto"/>
                  <w:vAlign w:val="center"/>
                </w:tcPr>
                <w:p w14:paraId="208107A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-12.11</w:t>
                  </w:r>
                </w:p>
              </w:tc>
            </w:tr>
            <w:tr w14:paraId="0DEFE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7" w:type="pct"/>
                  <w:vMerge w:val="continue"/>
                  <w:tcBorders>
                    <w:tl2br w:val="nil"/>
                    <w:tr2bl w:val="nil"/>
                  </w:tcBorders>
                  <w:shd w:val="clear" w:color="auto" w:fill="auto"/>
                  <w:vAlign w:val="center"/>
                </w:tcPr>
                <w:p w14:paraId="2F8E018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12" w:type="pct"/>
                  <w:vMerge w:val="continue"/>
                  <w:tcBorders>
                    <w:tl2br w:val="nil"/>
                    <w:tr2bl w:val="nil"/>
                  </w:tcBorders>
                  <w:shd w:val="clear" w:color="auto" w:fill="auto"/>
                  <w:vAlign w:val="center"/>
                </w:tcPr>
                <w:p w14:paraId="0C17C17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87" w:type="pct"/>
                  <w:vMerge w:val="continue"/>
                  <w:tcBorders>
                    <w:tl2br w:val="nil"/>
                    <w:tr2bl w:val="nil"/>
                  </w:tcBorders>
                  <w:shd w:val="clear" w:color="auto" w:fill="auto"/>
                  <w:vAlign w:val="center"/>
                </w:tcPr>
                <w:p w14:paraId="3E58132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08" w:type="pct"/>
                  <w:vMerge w:val="continue"/>
                  <w:tcBorders>
                    <w:tl2br w:val="nil"/>
                    <w:tr2bl w:val="nil"/>
                  </w:tcBorders>
                  <w:shd w:val="clear" w:color="auto" w:fill="auto"/>
                  <w:vAlign w:val="center"/>
                </w:tcPr>
                <w:p w14:paraId="0428774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34" w:type="pct"/>
                  <w:vMerge w:val="continue"/>
                  <w:tcBorders>
                    <w:tl2br w:val="nil"/>
                    <w:tr2bl w:val="nil"/>
                  </w:tcBorders>
                  <w:shd w:val="clear" w:color="auto" w:fill="auto"/>
                  <w:vAlign w:val="center"/>
                </w:tcPr>
                <w:p w14:paraId="657ED19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603" w:type="pct"/>
                  <w:vMerge w:val="continue"/>
                  <w:tcBorders>
                    <w:tl2br w:val="nil"/>
                    <w:tr2bl w:val="nil"/>
                  </w:tcBorders>
                  <w:shd w:val="clear" w:color="auto" w:fill="auto"/>
                  <w:vAlign w:val="center"/>
                </w:tcPr>
                <w:p w14:paraId="2B38465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59" w:type="pct"/>
                  <w:tcBorders>
                    <w:top w:val="single" w:color="000000" w:sz="4" w:space="0"/>
                    <w:tl2br w:val="nil"/>
                    <w:tr2bl w:val="nil"/>
                  </w:tcBorders>
                  <w:shd w:val="clear" w:color="auto" w:fill="auto"/>
                  <w:vAlign w:val="center"/>
                </w:tcPr>
                <w:p w14:paraId="329674E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52.89</w:t>
                  </w:r>
                </w:p>
              </w:tc>
              <w:tc>
                <w:tcPr>
                  <w:tcW w:w="556" w:type="pct"/>
                  <w:tcBorders>
                    <w:top w:val="single" w:color="000000" w:sz="4" w:space="0"/>
                    <w:tl2br w:val="nil"/>
                    <w:tr2bl w:val="nil"/>
                  </w:tcBorders>
                  <w:shd w:val="clear" w:color="auto" w:fill="auto"/>
                  <w:vAlign w:val="center"/>
                </w:tcPr>
                <w:p w14:paraId="04A3253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3类</w:t>
                  </w:r>
                </w:p>
              </w:tc>
              <w:tc>
                <w:tcPr>
                  <w:tcW w:w="373" w:type="pct"/>
                  <w:tcBorders>
                    <w:top w:val="single" w:color="000000" w:sz="4" w:space="0"/>
                    <w:tl2br w:val="nil"/>
                    <w:tr2bl w:val="nil"/>
                  </w:tcBorders>
                  <w:shd w:val="clear" w:color="auto" w:fill="auto"/>
                  <w:vAlign w:val="center"/>
                </w:tcPr>
                <w:p w14:paraId="7C675BF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55</w:t>
                  </w:r>
                </w:p>
              </w:tc>
              <w:tc>
                <w:tcPr>
                  <w:tcW w:w="465" w:type="pct"/>
                  <w:tcBorders>
                    <w:top w:val="single" w:color="000000" w:sz="4" w:space="0"/>
                    <w:tl2br w:val="nil"/>
                    <w:tr2bl w:val="nil"/>
                  </w:tcBorders>
                  <w:shd w:val="clear" w:color="auto" w:fill="auto"/>
                  <w:vAlign w:val="center"/>
                </w:tcPr>
                <w:p w14:paraId="5967981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是</w:t>
                  </w:r>
                </w:p>
              </w:tc>
              <w:tc>
                <w:tcPr>
                  <w:tcW w:w="560" w:type="pct"/>
                  <w:tcBorders>
                    <w:top w:val="single" w:color="000000" w:sz="4" w:space="0"/>
                    <w:tl2br w:val="nil"/>
                    <w:tr2bl w:val="nil"/>
                  </w:tcBorders>
                  <w:shd w:val="clear" w:color="auto" w:fill="auto"/>
                  <w:vAlign w:val="center"/>
                </w:tcPr>
                <w:p w14:paraId="486EC2C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-2.11</w:t>
                  </w:r>
                </w:p>
              </w:tc>
            </w:tr>
            <w:tr w14:paraId="05286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7" w:type="pct"/>
                  <w:vMerge w:val="restart"/>
                  <w:tcBorders>
                    <w:tl2br w:val="nil"/>
                    <w:tr2bl w:val="nil"/>
                  </w:tcBorders>
                  <w:shd w:val="clear" w:color="auto" w:fill="auto"/>
                  <w:vAlign w:val="center"/>
                </w:tcPr>
                <w:p w14:paraId="3D0E821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2</w:t>
                  </w:r>
                </w:p>
              </w:tc>
              <w:tc>
                <w:tcPr>
                  <w:tcW w:w="312" w:type="pct"/>
                  <w:vMerge w:val="restart"/>
                  <w:tcBorders>
                    <w:tl2br w:val="nil"/>
                    <w:tr2bl w:val="nil"/>
                  </w:tcBorders>
                  <w:shd w:val="clear" w:color="auto" w:fill="auto"/>
                  <w:vAlign w:val="center"/>
                </w:tcPr>
                <w:p w14:paraId="5084EDF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南侧</w:t>
                  </w:r>
                </w:p>
              </w:tc>
              <w:tc>
                <w:tcPr>
                  <w:tcW w:w="387" w:type="pct"/>
                  <w:vMerge w:val="restart"/>
                  <w:tcBorders>
                    <w:tl2br w:val="nil"/>
                    <w:tr2bl w:val="nil"/>
                  </w:tcBorders>
                  <w:shd w:val="clear" w:color="auto" w:fill="auto"/>
                  <w:vAlign w:val="center"/>
                </w:tcPr>
                <w:p w14:paraId="5F1B275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55.77</w:t>
                  </w:r>
                </w:p>
              </w:tc>
              <w:tc>
                <w:tcPr>
                  <w:tcW w:w="408" w:type="pct"/>
                  <w:vMerge w:val="restart"/>
                  <w:tcBorders>
                    <w:tl2br w:val="nil"/>
                    <w:tr2bl w:val="nil"/>
                  </w:tcBorders>
                  <w:shd w:val="clear" w:color="auto" w:fill="auto"/>
                  <w:vAlign w:val="center"/>
                </w:tcPr>
                <w:p w14:paraId="23371F8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-1.00</w:t>
                  </w:r>
                </w:p>
              </w:tc>
              <w:tc>
                <w:tcPr>
                  <w:tcW w:w="534" w:type="pct"/>
                  <w:vMerge w:val="restart"/>
                  <w:tcBorders>
                    <w:tl2br w:val="nil"/>
                    <w:tr2bl w:val="nil"/>
                  </w:tcBorders>
                  <w:shd w:val="clear" w:color="auto" w:fill="auto"/>
                  <w:vAlign w:val="center"/>
                </w:tcPr>
                <w:p w14:paraId="22BFDA7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0.00</w:t>
                  </w:r>
                </w:p>
              </w:tc>
              <w:tc>
                <w:tcPr>
                  <w:tcW w:w="603" w:type="pct"/>
                  <w:vMerge w:val="restart"/>
                  <w:tcBorders>
                    <w:tl2br w:val="nil"/>
                    <w:tr2bl w:val="nil"/>
                  </w:tcBorders>
                  <w:shd w:val="clear" w:color="auto" w:fill="auto"/>
                  <w:vAlign w:val="center"/>
                </w:tcPr>
                <w:p w14:paraId="691A808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1.20</w:t>
                  </w:r>
                </w:p>
              </w:tc>
              <w:tc>
                <w:tcPr>
                  <w:tcW w:w="559" w:type="pct"/>
                  <w:tcBorders>
                    <w:bottom w:val="single" w:color="000000" w:sz="4" w:space="0"/>
                    <w:tl2br w:val="nil"/>
                    <w:tr2bl w:val="nil"/>
                  </w:tcBorders>
                  <w:shd w:val="clear" w:color="auto" w:fill="auto"/>
                  <w:vAlign w:val="center"/>
                </w:tcPr>
                <w:p w14:paraId="077359F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51.72</w:t>
                  </w:r>
                </w:p>
              </w:tc>
              <w:tc>
                <w:tcPr>
                  <w:tcW w:w="556" w:type="pct"/>
                  <w:tcBorders>
                    <w:bottom w:val="single" w:color="000000" w:sz="4" w:space="0"/>
                    <w:tl2br w:val="nil"/>
                    <w:tr2bl w:val="nil"/>
                  </w:tcBorders>
                  <w:shd w:val="clear" w:color="auto" w:fill="auto"/>
                  <w:vAlign w:val="center"/>
                </w:tcPr>
                <w:p w14:paraId="1CE419E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3类</w:t>
                  </w:r>
                </w:p>
              </w:tc>
              <w:tc>
                <w:tcPr>
                  <w:tcW w:w="373" w:type="pct"/>
                  <w:tcBorders>
                    <w:bottom w:val="single" w:color="000000" w:sz="4" w:space="0"/>
                    <w:tl2br w:val="nil"/>
                    <w:tr2bl w:val="nil"/>
                  </w:tcBorders>
                  <w:shd w:val="clear" w:color="auto" w:fill="auto"/>
                  <w:vAlign w:val="center"/>
                </w:tcPr>
                <w:p w14:paraId="5DE6632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65</w:t>
                  </w:r>
                </w:p>
              </w:tc>
              <w:tc>
                <w:tcPr>
                  <w:tcW w:w="465" w:type="pct"/>
                  <w:tcBorders>
                    <w:bottom w:val="single" w:color="000000" w:sz="4" w:space="0"/>
                    <w:tl2br w:val="nil"/>
                    <w:tr2bl w:val="nil"/>
                  </w:tcBorders>
                  <w:shd w:val="clear" w:color="auto" w:fill="auto"/>
                  <w:vAlign w:val="center"/>
                </w:tcPr>
                <w:p w14:paraId="2C3B597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是</w:t>
                  </w:r>
                </w:p>
              </w:tc>
              <w:tc>
                <w:tcPr>
                  <w:tcW w:w="560" w:type="pct"/>
                  <w:tcBorders>
                    <w:bottom w:val="single" w:color="000000" w:sz="4" w:space="0"/>
                    <w:tl2br w:val="nil"/>
                    <w:tr2bl w:val="nil"/>
                  </w:tcBorders>
                  <w:shd w:val="clear" w:color="auto" w:fill="auto"/>
                  <w:vAlign w:val="center"/>
                </w:tcPr>
                <w:p w14:paraId="48B6D59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-13.28</w:t>
                  </w:r>
                </w:p>
              </w:tc>
            </w:tr>
            <w:tr w14:paraId="7ECB2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237" w:type="pct"/>
                  <w:vMerge w:val="continue"/>
                  <w:tcBorders>
                    <w:tl2br w:val="nil"/>
                    <w:tr2bl w:val="nil"/>
                  </w:tcBorders>
                  <w:shd w:val="clear" w:color="auto" w:fill="auto"/>
                  <w:vAlign w:val="center"/>
                </w:tcPr>
                <w:p w14:paraId="4166344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12" w:type="pct"/>
                  <w:vMerge w:val="continue"/>
                  <w:tcBorders>
                    <w:tl2br w:val="nil"/>
                    <w:tr2bl w:val="nil"/>
                  </w:tcBorders>
                  <w:shd w:val="clear" w:color="auto" w:fill="auto"/>
                  <w:vAlign w:val="center"/>
                </w:tcPr>
                <w:p w14:paraId="149BF04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87" w:type="pct"/>
                  <w:vMerge w:val="continue"/>
                  <w:tcBorders>
                    <w:tl2br w:val="nil"/>
                    <w:tr2bl w:val="nil"/>
                  </w:tcBorders>
                  <w:shd w:val="clear" w:color="auto" w:fill="auto"/>
                  <w:vAlign w:val="center"/>
                </w:tcPr>
                <w:p w14:paraId="7AD7F3F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08" w:type="pct"/>
                  <w:vMerge w:val="continue"/>
                  <w:tcBorders>
                    <w:tl2br w:val="nil"/>
                    <w:tr2bl w:val="nil"/>
                  </w:tcBorders>
                  <w:shd w:val="clear" w:color="auto" w:fill="auto"/>
                  <w:vAlign w:val="center"/>
                </w:tcPr>
                <w:p w14:paraId="18BE7F2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34" w:type="pct"/>
                  <w:vMerge w:val="continue"/>
                  <w:tcBorders>
                    <w:tl2br w:val="nil"/>
                    <w:tr2bl w:val="nil"/>
                  </w:tcBorders>
                  <w:shd w:val="clear" w:color="auto" w:fill="auto"/>
                  <w:vAlign w:val="center"/>
                </w:tcPr>
                <w:p w14:paraId="7941A39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603" w:type="pct"/>
                  <w:vMerge w:val="continue"/>
                  <w:tcBorders>
                    <w:tl2br w:val="nil"/>
                    <w:tr2bl w:val="nil"/>
                  </w:tcBorders>
                  <w:shd w:val="clear" w:color="auto" w:fill="auto"/>
                  <w:vAlign w:val="center"/>
                </w:tcPr>
                <w:p w14:paraId="5BDE423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59" w:type="pct"/>
                  <w:tcBorders>
                    <w:top w:val="single" w:color="000000" w:sz="4" w:space="0"/>
                    <w:tl2br w:val="nil"/>
                    <w:tr2bl w:val="nil"/>
                  </w:tcBorders>
                  <w:shd w:val="clear" w:color="auto" w:fill="auto"/>
                  <w:vAlign w:val="center"/>
                </w:tcPr>
                <w:p w14:paraId="2E7D620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51.72</w:t>
                  </w:r>
                </w:p>
              </w:tc>
              <w:tc>
                <w:tcPr>
                  <w:tcW w:w="556" w:type="pct"/>
                  <w:tcBorders>
                    <w:top w:val="single" w:color="000000" w:sz="4" w:space="0"/>
                    <w:tl2br w:val="nil"/>
                    <w:tr2bl w:val="nil"/>
                  </w:tcBorders>
                  <w:shd w:val="clear" w:color="auto" w:fill="auto"/>
                  <w:vAlign w:val="center"/>
                </w:tcPr>
                <w:p w14:paraId="4BA5837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3类</w:t>
                  </w:r>
                </w:p>
              </w:tc>
              <w:tc>
                <w:tcPr>
                  <w:tcW w:w="373" w:type="pct"/>
                  <w:tcBorders>
                    <w:top w:val="single" w:color="000000" w:sz="4" w:space="0"/>
                    <w:tl2br w:val="nil"/>
                    <w:tr2bl w:val="nil"/>
                  </w:tcBorders>
                  <w:shd w:val="clear" w:color="auto" w:fill="auto"/>
                  <w:vAlign w:val="center"/>
                </w:tcPr>
                <w:p w14:paraId="068D7A9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55</w:t>
                  </w:r>
                </w:p>
              </w:tc>
              <w:tc>
                <w:tcPr>
                  <w:tcW w:w="465" w:type="pct"/>
                  <w:tcBorders>
                    <w:top w:val="single" w:color="000000" w:sz="4" w:space="0"/>
                    <w:tl2br w:val="nil"/>
                    <w:tr2bl w:val="nil"/>
                  </w:tcBorders>
                  <w:shd w:val="clear" w:color="auto" w:fill="auto"/>
                  <w:vAlign w:val="center"/>
                </w:tcPr>
                <w:p w14:paraId="048B772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是</w:t>
                  </w:r>
                </w:p>
              </w:tc>
              <w:tc>
                <w:tcPr>
                  <w:tcW w:w="560" w:type="pct"/>
                  <w:tcBorders>
                    <w:top w:val="single" w:color="000000" w:sz="4" w:space="0"/>
                    <w:tl2br w:val="nil"/>
                    <w:tr2bl w:val="nil"/>
                  </w:tcBorders>
                  <w:shd w:val="clear" w:color="auto" w:fill="auto"/>
                  <w:vAlign w:val="center"/>
                </w:tcPr>
                <w:p w14:paraId="71CE147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-3.28</w:t>
                  </w:r>
                </w:p>
              </w:tc>
            </w:tr>
            <w:tr w14:paraId="1BAC9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7" w:type="pct"/>
                  <w:vMerge w:val="restart"/>
                  <w:tcBorders>
                    <w:tl2br w:val="nil"/>
                    <w:tr2bl w:val="nil"/>
                  </w:tcBorders>
                  <w:shd w:val="clear" w:color="auto" w:fill="auto"/>
                  <w:vAlign w:val="center"/>
                </w:tcPr>
                <w:p w14:paraId="39416D9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w:t>
                  </w:r>
                </w:p>
              </w:tc>
              <w:tc>
                <w:tcPr>
                  <w:tcW w:w="312" w:type="pct"/>
                  <w:vMerge w:val="restart"/>
                  <w:tcBorders>
                    <w:tl2br w:val="nil"/>
                    <w:tr2bl w:val="nil"/>
                  </w:tcBorders>
                  <w:shd w:val="clear" w:color="auto" w:fill="auto"/>
                  <w:vAlign w:val="center"/>
                </w:tcPr>
                <w:p w14:paraId="072D9B9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西侧</w:t>
                  </w:r>
                </w:p>
              </w:tc>
              <w:tc>
                <w:tcPr>
                  <w:tcW w:w="387" w:type="pct"/>
                  <w:vMerge w:val="restart"/>
                  <w:tcBorders>
                    <w:tl2br w:val="nil"/>
                    <w:tr2bl w:val="nil"/>
                  </w:tcBorders>
                  <w:shd w:val="clear" w:color="auto" w:fill="auto"/>
                  <w:vAlign w:val="center"/>
                </w:tcPr>
                <w:p w14:paraId="2661650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-1.00</w:t>
                  </w:r>
                </w:p>
              </w:tc>
              <w:tc>
                <w:tcPr>
                  <w:tcW w:w="408" w:type="pct"/>
                  <w:vMerge w:val="restart"/>
                  <w:tcBorders>
                    <w:tl2br w:val="nil"/>
                    <w:tr2bl w:val="nil"/>
                  </w:tcBorders>
                  <w:shd w:val="clear" w:color="auto" w:fill="auto"/>
                  <w:vAlign w:val="center"/>
                </w:tcPr>
                <w:p w14:paraId="260C3B9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43.25</w:t>
                  </w:r>
                </w:p>
              </w:tc>
              <w:tc>
                <w:tcPr>
                  <w:tcW w:w="534" w:type="pct"/>
                  <w:vMerge w:val="restart"/>
                  <w:tcBorders>
                    <w:tl2br w:val="nil"/>
                    <w:tr2bl w:val="nil"/>
                  </w:tcBorders>
                  <w:shd w:val="clear" w:color="auto" w:fill="auto"/>
                  <w:vAlign w:val="center"/>
                </w:tcPr>
                <w:p w14:paraId="7E4DD9F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0.00</w:t>
                  </w:r>
                </w:p>
              </w:tc>
              <w:tc>
                <w:tcPr>
                  <w:tcW w:w="603" w:type="pct"/>
                  <w:vMerge w:val="restart"/>
                  <w:tcBorders>
                    <w:tl2br w:val="nil"/>
                    <w:tr2bl w:val="nil"/>
                  </w:tcBorders>
                  <w:shd w:val="clear" w:color="auto" w:fill="auto"/>
                  <w:vAlign w:val="center"/>
                </w:tcPr>
                <w:p w14:paraId="581DA3C9">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1.20</w:t>
                  </w:r>
                </w:p>
              </w:tc>
              <w:tc>
                <w:tcPr>
                  <w:tcW w:w="559" w:type="pct"/>
                  <w:tcBorders>
                    <w:bottom w:val="single" w:color="000000" w:sz="4" w:space="0"/>
                    <w:tl2br w:val="nil"/>
                    <w:tr2bl w:val="nil"/>
                  </w:tcBorders>
                  <w:shd w:val="clear" w:color="auto" w:fill="auto"/>
                  <w:vAlign w:val="center"/>
                </w:tcPr>
                <w:p w14:paraId="17B6B78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52.89</w:t>
                  </w:r>
                </w:p>
              </w:tc>
              <w:tc>
                <w:tcPr>
                  <w:tcW w:w="556" w:type="pct"/>
                  <w:tcBorders>
                    <w:bottom w:val="single" w:color="000000" w:sz="4" w:space="0"/>
                    <w:tl2br w:val="nil"/>
                    <w:tr2bl w:val="nil"/>
                  </w:tcBorders>
                  <w:shd w:val="clear" w:color="auto" w:fill="auto"/>
                  <w:vAlign w:val="center"/>
                </w:tcPr>
                <w:p w14:paraId="3CEB386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3类</w:t>
                  </w:r>
                </w:p>
              </w:tc>
              <w:tc>
                <w:tcPr>
                  <w:tcW w:w="373" w:type="pct"/>
                  <w:tcBorders>
                    <w:bottom w:val="single" w:color="000000" w:sz="4" w:space="0"/>
                    <w:tl2br w:val="nil"/>
                    <w:tr2bl w:val="nil"/>
                  </w:tcBorders>
                  <w:shd w:val="clear" w:color="auto" w:fill="auto"/>
                  <w:vAlign w:val="center"/>
                </w:tcPr>
                <w:p w14:paraId="7F8F94F4">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65</w:t>
                  </w:r>
                </w:p>
              </w:tc>
              <w:tc>
                <w:tcPr>
                  <w:tcW w:w="465" w:type="pct"/>
                  <w:tcBorders>
                    <w:bottom w:val="single" w:color="000000" w:sz="4" w:space="0"/>
                    <w:tl2br w:val="nil"/>
                    <w:tr2bl w:val="nil"/>
                  </w:tcBorders>
                  <w:shd w:val="clear" w:color="auto" w:fill="auto"/>
                  <w:vAlign w:val="center"/>
                </w:tcPr>
                <w:p w14:paraId="02A2934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是</w:t>
                  </w:r>
                </w:p>
              </w:tc>
              <w:tc>
                <w:tcPr>
                  <w:tcW w:w="560" w:type="pct"/>
                  <w:tcBorders>
                    <w:bottom w:val="single" w:color="000000" w:sz="4" w:space="0"/>
                    <w:tl2br w:val="nil"/>
                    <w:tr2bl w:val="nil"/>
                  </w:tcBorders>
                  <w:shd w:val="clear" w:color="auto" w:fill="auto"/>
                  <w:vAlign w:val="center"/>
                </w:tcPr>
                <w:p w14:paraId="0A82246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-12.11</w:t>
                  </w:r>
                </w:p>
              </w:tc>
            </w:tr>
            <w:tr w14:paraId="2EFE4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237" w:type="pct"/>
                  <w:vMerge w:val="continue"/>
                  <w:tcBorders>
                    <w:tl2br w:val="nil"/>
                    <w:tr2bl w:val="nil"/>
                  </w:tcBorders>
                  <w:shd w:val="clear" w:color="auto" w:fill="auto"/>
                  <w:vAlign w:val="center"/>
                </w:tcPr>
                <w:p w14:paraId="5A41DC8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12" w:type="pct"/>
                  <w:vMerge w:val="continue"/>
                  <w:tcBorders>
                    <w:tl2br w:val="nil"/>
                    <w:tr2bl w:val="nil"/>
                  </w:tcBorders>
                  <w:shd w:val="clear" w:color="auto" w:fill="auto"/>
                  <w:vAlign w:val="center"/>
                </w:tcPr>
                <w:p w14:paraId="2000A17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87" w:type="pct"/>
                  <w:vMerge w:val="continue"/>
                  <w:tcBorders>
                    <w:tl2br w:val="nil"/>
                    <w:tr2bl w:val="nil"/>
                  </w:tcBorders>
                  <w:shd w:val="clear" w:color="auto" w:fill="auto"/>
                  <w:vAlign w:val="center"/>
                </w:tcPr>
                <w:p w14:paraId="31D9D41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08" w:type="pct"/>
                  <w:vMerge w:val="continue"/>
                  <w:tcBorders>
                    <w:tl2br w:val="nil"/>
                    <w:tr2bl w:val="nil"/>
                  </w:tcBorders>
                  <w:shd w:val="clear" w:color="auto" w:fill="auto"/>
                  <w:vAlign w:val="center"/>
                </w:tcPr>
                <w:p w14:paraId="0A4BC18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34" w:type="pct"/>
                  <w:vMerge w:val="continue"/>
                  <w:tcBorders>
                    <w:tl2br w:val="nil"/>
                    <w:tr2bl w:val="nil"/>
                  </w:tcBorders>
                  <w:shd w:val="clear" w:color="auto" w:fill="auto"/>
                  <w:vAlign w:val="center"/>
                </w:tcPr>
                <w:p w14:paraId="07FC9F7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603" w:type="pct"/>
                  <w:vMerge w:val="continue"/>
                  <w:tcBorders>
                    <w:tl2br w:val="nil"/>
                    <w:tr2bl w:val="nil"/>
                  </w:tcBorders>
                  <w:shd w:val="clear" w:color="auto" w:fill="auto"/>
                  <w:vAlign w:val="center"/>
                </w:tcPr>
                <w:p w14:paraId="3EB7DA1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59" w:type="pct"/>
                  <w:tcBorders>
                    <w:top w:val="single" w:color="000000" w:sz="4" w:space="0"/>
                    <w:tl2br w:val="nil"/>
                    <w:tr2bl w:val="nil"/>
                  </w:tcBorders>
                  <w:shd w:val="clear" w:color="auto" w:fill="auto"/>
                  <w:vAlign w:val="center"/>
                </w:tcPr>
                <w:p w14:paraId="5B25156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52.89</w:t>
                  </w:r>
                </w:p>
              </w:tc>
              <w:tc>
                <w:tcPr>
                  <w:tcW w:w="556" w:type="pct"/>
                  <w:tcBorders>
                    <w:top w:val="single" w:color="000000" w:sz="4" w:space="0"/>
                    <w:tl2br w:val="nil"/>
                    <w:tr2bl w:val="nil"/>
                  </w:tcBorders>
                  <w:shd w:val="clear" w:color="auto" w:fill="auto"/>
                  <w:vAlign w:val="center"/>
                </w:tcPr>
                <w:p w14:paraId="2FA3FE7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3类</w:t>
                  </w:r>
                </w:p>
              </w:tc>
              <w:tc>
                <w:tcPr>
                  <w:tcW w:w="373" w:type="pct"/>
                  <w:tcBorders>
                    <w:top w:val="single" w:color="000000" w:sz="4" w:space="0"/>
                    <w:tl2br w:val="nil"/>
                    <w:tr2bl w:val="nil"/>
                  </w:tcBorders>
                  <w:shd w:val="clear" w:color="auto" w:fill="auto"/>
                  <w:vAlign w:val="center"/>
                </w:tcPr>
                <w:p w14:paraId="5093FFA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55</w:t>
                  </w:r>
                </w:p>
              </w:tc>
              <w:tc>
                <w:tcPr>
                  <w:tcW w:w="465" w:type="pct"/>
                  <w:tcBorders>
                    <w:top w:val="single" w:color="000000" w:sz="4" w:space="0"/>
                    <w:tl2br w:val="nil"/>
                    <w:tr2bl w:val="nil"/>
                  </w:tcBorders>
                  <w:shd w:val="clear" w:color="auto" w:fill="auto"/>
                  <w:vAlign w:val="center"/>
                </w:tcPr>
                <w:p w14:paraId="39DF639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是</w:t>
                  </w:r>
                </w:p>
              </w:tc>
              <w:tc>
                <w:tcPr>
                  <w:tcW w:w="560" w:type="pct"/>
                  <w:tcBorders>
                    <w:top w:val="single" w:color="000000" w:sz="4" w:space="0"/>
                    <w:tl2br w:val="nil"/>
                    <w:tr2bl w:val="nil"/>
                  </w:tcBorders>
                  <w:shd w:val="clear" w:color="auto" w:fill="auto"/>
                  <w:vAlign w:val="center"/>
                </w:tcPr>
                <w:p w14:paraId="5B34524B">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-2.11</w:t>
                  </w:r>
                </w:p>
              </w:tc>
            </w:tr>
            <w:tr w14:paraId="569EB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237" w:type="pct"/>
                  <w:vMerge w:val="restart"/>
                  <w:tcBorders>
                    <w:tl2br w:val="nil"/>
                    <w:tr2bl w:val="nil"/>
                  </w:tcBorders>
                  <w:shd w:val="clear" w:color="auto" w:fill="auto"/>
                  <w:vAlign w:val="center"/>
                </w:tcPr>
                <w:p w14:paraId="230BDF5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4</w:t>
                  </w:r>
                </w:p>
              </w:tc>
              <w:tc>
                <w:tcPr>
                  <w:tcW w:w="312" w:type="pct"/>
                  <w:vMerge w:val="restart"/>
                  <w:tcBorders>
                    <w:tl2br w:val="nil"/>
                    <w:tr2bl w:val="nil"/>
                  </w:tcBorders>
                  <w:shd w:val="clear" w:color="auto" w:fill="auto"/>
                  <w:vAlign w:val="center"/>
                </w:tcPr>
                <w:p w14:paraId="269E42A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北侧</w:t>
                  </w:r>
                </w:p>
              </w:tc>
              <w:tc>
                <w:tcPr>
                  <w:tcW w:w="387" w:type="pct"/>
                  <w:vMerge w:val="restart"/>
                  <w:tcBorders>
                    <w:tl2br w:val="nil"/>
                    <w:tr2bl w:val="nil"/>
                  </w:tcBorders>
                  <w:shd w:val="clear" w:color="auto" w:fill="auto"/>
                  <w:vAlign w:val="center"/>
                </w:tcPr>
                <w:p w14:paraId="05259C3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55.77</w:t>
                  </w:r>
                </w:p>
              </w:tc>
              <w:tc>
                <w:tcPr>
                  <w:tcW w:w="408" w:type="pct"/>
                  <w:vMerge w:val="restart"/>
                  <w:tcBorders>
                    <w:tl2br w:val="nil"/>
                    <w:tr2bl w:val="nil"/>
                  </w:tcBorders>
                  <w:shd w:val="clear" w:color="auto" w:fill="auto"/>
                  <w:vAlign w:val="center"/>
                </w:tcPr>
                <w:p w14:paraId="048B882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75.00</w:t>
                  </w:r>
                </w:p>
              </w:tc>
              <w:tc>
                <w:tcPr>
                  <w:tcW w:w="534" w:type="pct"/>
                  <w:vMerge w:val="restart"/>
                  <w:tcBorders>
                    <w:tl2br w:val="nil"/>
                    <w:tr2bl w:val="nil"/>
                  </w:tcBorders>
                  <w:shd w:val="clear" w:color="auto" w:fill="auto"/>
                  <w:vAlign w:val="center"/>
                </w:tcPr>
                <w:p w14:paraId="1C40656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0.00</w:t>
                  </w:r>
                </w:p>
              </w:tc>
              <w:tc>
                <w:tcPr>
                  <w:tcW w:w="603" w:type="pct"/>
                  <w:vMerge w:val="restart"/>
                  <w:tcBorders>
                    <w:tl2br w:val="nil"/>
                    <w:tr2bl w:val="nil"/>
                  </w:tcBorders>
                  <w:shd w:val="clear" w:color="auto" w:fill="auto"/>
                  <w:vAlign w:val="center"/>
                </w:tcPr>
                <w:p w14:paraId="443D547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1.20</w:t>
                  </w:r>
                </w:p>
              </w:tc>
              <w:tc>
                <w:tcPr>
                  <w:tcW w:w="559" w:type="pct"/>
                  <w:tcBorders>
                    <w:bottom w:val="single" w:color="000000" w:sz="4" w:space="0"/>
                    <w:tl2br w:val="nil"/>
                    <w:tr2bl w:val="nil"/>
                  </w:tcBorders>
                  <w:shd w:val="clear" w:color="auto" w:fill="auto"/>
                  <w:vAlign w:val="center"/>
                </w:tcPr>
                <w:p w14:paraId="291D2C9F">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51.72</w:t>
                  </w:r>
                </w:p>
              </w:tc>
              <w:tc>
                <w:tcPr>
                  <w:tcW w:w="556" w:type="pct"/>
                  <w:tcBorders>
                    <w:bottom w:val="single" w:color="000000" w:sz="4" w:space="0"/>
                    <w:tl2br w:val="nil"/>
                    <w:tr2bl w:val="nil"/>
                  </w:tcBorders>
                  <w:shd w:val="clear" w:color="auto" w:fill="auto"/>
                  <w:vAlign w:val="center"/>
                </w:tcPr>
                <w:p w14:paraId="2A2A759C">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3类</w:t>
                  </w:r>
                </w:p>
              </w:tc>
              <w:tc>
                <w:tcPr>
                  <w:tcW w:w="373" w:type="pct"/>
                  <w:tcBorders>
                    <w:bottom w:val="single" w:color="000000" w:sz="4" w:space="0"/>
                    <w:tl2br w:val="nil"/>
                    <w:tr2bl w:val="nil"/>
                  </w:tcBorders>
                  <w:shd w:val="clear" w:color="auto" w:fill="auto"/>
                  <w:vAlign w:val="center"/>
                </w:tcPr>
                <w:p w14:paraId="695E6DE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65</w:t>
                  </w:r>
                </w:p>
              </w:tc>
              <w:tc>
                <w:tcPr>
                  <w:tcW w:w="465" w:type="pct"/>
                  <w:tcBorders>
                    <w:bottom w:val="single" w:color="000000" w:sz="4" w:space="0"/>
                    <w:tl2br w:val="nil"/>
                    <w:tr2bl w:val="nil"/>
                  </w:tcBorders>
                  <w:shd w:val="clear" w:color="auto" w:fill="auto"/>
                  <w:vAlign w:val="center"/>
                </w:tcPr>
                <w:p w14:paraId="0A8A7038">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是</w:t>
                  </w:r>
                </w:p>
              </w:tc>
              <w:tc>
                <w:tcPr>
                  <w:tcW w:w="560" w:type="pct"/>
                  <w:tcBorders>
                    <w:bottom w:val="single" w:color="000000" w:sz="4" w:space="0"/>
                    <w:tl2br w:val="nil"/>
                    <w:tr2bl w:val="nil"/>
                  </w:tcBorders>
                  <w:shd w:val="clear" w:color="auto" w:fill="auto"/>
                  <w:vAlign w:val="center"/>
                </w:tcPr>
                <w:p w14:paraId="7BF3D322">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-13.28</w:t>
                  </w:r>
                </w:p>
              </w:tc>
            </w:tr>
            <w:tr w14:paraId="24B6E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237" w:type="pct"/>
                  <w:vMerge w:val="continue"/>
                  <w:tcBorders>
                    <w:tl2br w:val="nil"/>
                    <w:tr2bl w:val="nil"/>
                  </w:tcBorders>
                  <w:shd w:val="clear" w:color="auto" w:fill="auto"/>
                  <w:vAlign w:val="center"/>
                </w:tcPr>
                <w:p w14:paraId="557FB3DD">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12" w:type="pct"/>
                  <w:vMerge w:val="continue"/>
                  <w:tcBorders>
                    <w:tl2br w:val="nil"/>
                    <w:tr2bl w:val="nil"/>
                  </w:tcBorders>
                  <w:shd w:val="clear" w:color="auto" w:fill="auto"/>
                  <w:vAlign w:val="center"/>
                </w:tcPr>
                <w:p w14:paraId="04AE4C8E">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387" w:type="pct"/>
                  <w:vMerge w:val="continue"/>
                  <w:tcBorders>
                    <w:tl2br w:val="nil"/>
                    <w:tr2bl w:val="nil"/>
                  </w:tcBorders>
                  <w:shd w:val="clear" w:color="auto" w:fill="auto"/>
                  <w:vAlign w:val="center"/>
                </w:tcPr>
                <w:p w14:paraId="70544F3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408" w:type="pct"/>
                  <w:vMerge w:val="continue"/>
                  <w:tcBorders>
                    <w:tl2br w:val="nil"/>
                    <w:tr2bl w:val="nil"/>
                  </w:tcBorders>
                  <w:shd w:val="clear" w:color="auto" w:fill="auto"/>
                  <w:vAlign w:val="center"/>
                </w:tcPr>
                <w:p w14:paraId="48A47235">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34" w:type="pct"/>
                  <w:vMerge w:val="continue"/>
                  <w:tcBorders>
                    <w:tl2br w:val="nil"/>
                    <w:tr2bl w:val="nil"/>
                  </w:tcBorders>
                  <w:shd w:val="clear" w:color="auto" w:fill="auto"/>
                  <w:vAlign w:val="center"/>
                </w:tcPr>
                <w:p w14:paraId="36A47EC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603" w:type="pct"/>
                  <w:vMerge w:val="continue"/>
                  <w:tcBorders>
                    <w:tl2br w:val="nil"/>
                    <w:tr2bl w:val="nil"/>
                  </w:tcBorders>
                  <w:shd w:val="clear" w:color="auto" w:fill="auto"/>
                  <w:vAlign w:val="center"/>
                </w:tcPr>
                <w:p w14:paraId="4526E98A">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p>
              </w:tc>
              <w:tc>
                <w:tcPr>
                  <w:tcW w:w="559" w:type="pct"/>
                  <w:tcBorders>
                    <w:top w:val="single" w:color="000000" w:sz="4" w:space="0"/>
                    <w:tl2br w:val="nil"/>
                    <w:tr2bl w:val="nil"/>
                  </w:tcBorders>
                  <w:shd w:val="clear" w:color="auto" w:fill="auto"/>
                  <w:vAlign w:val="center"/>
                </w:tcPr>
                <w:p w14:paraId="4B35FF20">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51.72</w:t>
                  </w:r>
                </w:p>
              </w:tc>
              <w:tc>
                <w:tcPr>
                  <w:tcW w:w="556" w:type="pct"/>
                  <w:tcBorders>
                    <w:top w:val="single" w:color="000000" w:sz="4" w:space="0"/>
                    <w:tl2br w:val="nil"/>
                    <w:tr2bl w:val="nil"/>
                  </w:tcBorders>
                  <w:shd w:val="clear" w:color="auto" w:fill="auto"/>
                  <w:vAlign w:val="center"/>
                </w:tcPr>
                <w:p w14:paraId="497774A3">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3类</w:t>
                  </w:r>
                </w:p>
              </w:tc>
              <w:tc>
                <w:tcPr>
                  <w:tcW w:w="373" w:type="pct"/>
                  <w:tcBorders>
                    <w:top w:val="single" w:color="000000" w:sz="4" w:space="0"/>
                    <w:tl2br w:val="nil"/>
                    <w:tr2bl w:val="nil"/>
                  </w:tcBorders>
                  <w:shd w:val="clear" w:color="auto" w:fill="auto"/>
                  <w:vAlign w:val="center"/>
                </w:tcPr>
                <w:p w14:paraId="3DF16AE1">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55</w:t>
                  </w:r>
                </w:p>
              </w:tc>
              <w:tc>
                <w:tcPr>
                  <w:tcW w:w="465" w:type="pct"/>
                  <w:tcBorders>
                    <w:top w:val="single" w:color="000000" w:sz="4" w:space="0"/>
                    <w:tl2br w:val="nil"/>
                    <w:tr2bl w:val="nil"/>
                  </w:tcBorders>
                  <w:shd w:val="clear" w:color="auto" w:fill="auto"/>
                  <w:vAlign w:val="center"/>
                </w:tcPr>
                <w:p w14:paraId="496948D6">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是</w:t>
                  </w:r>
                </w:p>
              </w:tc>
              <w:tc>
                <w:tcPr>
                  <w:tcW w:w="560" w:type="pct"/>
                  <w:tcBorders>
                    <w:top w:val="single" w:color="000000" w:sz="4" w:space="0"/>
                    <w:tl2br w:val="nil"/>
                    <w:tr2bl w:val="nil"/>
                  </w:tcBorders>
                  <w:shd w:val="clear" w:color="auto" w:fill="auto"/>
                  <w:vAlign w:val="center"/>
                </w:tcPr>
                <w:p w14:paraId="2825EC67">
                  <w:pPr>
                    <w:keepNext w:val="0"/>
                    <w:keepLines w:val="0"/>
                    <w:pageBreakBefore w:val="0"/>
                    <w:widowControl w:val="0"/>
                    <w:kinsoku/>
                    <w:wordWrap/>
                    <w:overflowPunct/>
                    <w:topLinePunct w:val="0"/>
                    <w:autoSpaceDE/>
                    <w:autoSpaceDN/>
                    <w:bidi w:val="0"/>
                    <w:adjustRightInd w:val="0"/>
                    <w:snapToGrid w:val="0"/>
                    <w:spacing w:before="0" w:beforeLines="-2147483648" w:line="240" w:lineRule="auto"/>
                    <w:ind w:firstLine="0" w:firstLineChars="0"/>
                    <w:jc w:val="center"/>
                    <w:textAlignment w:val="auto"/>
                    <w:rPr>
                      <w:rFonts w:hint="eastAsia" w:ascii="Times New Roman" w:hAnsi="Times New Roman" w:eastAsia="宋体" w:cs="Times New Roman"/>
                      <w:snapToGrid/>
                      <w:color w:val="auto"/>
                      <w:kern w:val="2"/>
                      <w:sz w:val="18"/>
                      <w:szCs w:val="18"/>
                      <w:highlight w:val="none"/>
                      <w:u w:val="single" w:color="auto"/>
                      <w:lang w:val="en-US" w:eastAsia="zh-CN"/>
                    </w:rPr>
                  </w:pPr>
                  <w:r>
                    <w:rPr>
                      <w:rFonts w:hint="eastAsia" w:ascii="Times New Roman" w:hAnsi="Times New Roman" w:eastAsia="宋体" w:cs="Times New Roman"/>
                      <w:snapToGrid/>
                      <w:color w:val="auto"/>
                      <w:kern w:val="2"/>
                      <w:sz w:val="18"/>
                      <w:szCs w:val="18"/>
                      <w:highlight w:val="none"/>
                      <w:u w:val="single" w:color="auto"/>
                      <w:lang w:val="en-US" w:eastAsia="zh-CN"/>
                    </w:rPr>
                    <w:t>-3.28</w:t>
                  </w:r>
                </w:p>
              </w:tc>
            </w:tr>
          </w:tbl>
          <w:p w14:paraId="52FC1DBD">
            <w:pPr>
              <w:bidi w:val="0"/>
              <w:rPr>
                <w:rFonts w:hint="eastAsia" w:eastAsia="宋体"/>
                <w:color w:val="auto"/>
                <w:u w:val="single" w:color="auto"/>
                <w:lang w:eastAsia="zh-CN"/>
              </w:rPr>
            </w:pPr>
            <w:r>
              <w:rPr>
                <w:rFonts w:hint="default"/>
                <w:color w:val="auto"/>
                <w:u w:val="single" w:color="auto"/>
              </w:rPr>
              <w:t>由预测结果可知，项目</w:t>
            </w:r>
            <w:r>
              <w:rPr>
                <w:rFonts w:hint="eastAsia"/>
                <w:color w:val="auto"/>
                <w:u w:val="single" w:color="auto"/>
                <w:lang w:eastAsia="zh-CN"/>
              </w:rPr>
              <w:t>运营</w:t>
            </w:r>
            <w:r>
              <w:rPr>
                <w:rFonts w:hint="default"/>
                <w:color w:val="auto"/>
                <w:u w:val="single" w:color="auto"/>
              </w:rPr>
              <w:t>期间各厂界噪声</w:t>
            </w:r>
            <w:r>
              <w:rPr>
                <w:rFonts w:hint="eastAsia"/>
                <w:color w:val="auto"/>
                <w:u w:val="single" w:color="auto"/>
                <w:lang w:val="en-US" w:eastAsia="zh-CN"/>
              </w:rPr>
              <w:t>预测</w:t>
            </w:r>
            <w:r>
              <w:rPr>
                <w:rFonts w:hint="default"/>
                <w:color w:val="auto"/>
                <w:u w:val="single" w:color="auto"/>
              </w:rPr>
              <w:t>值均能达到《工业企业厂界环境噪声排放标准》（GB12348-2008）中的</w:t>
            </w:r>
            <w:r>
              <w:rPr>
                <w:rFonts w:hint="eastAsia"/>
                <w:color w:val="auto"/>
                <w:u w:val="single" w:color="auto"/>
                <w:lang w:val="en-US" w:eastAsia="zh-CN"/>
              </w:rPr>
              <w:t>3</w:t>
            </w:r>
            <w:r>
              <w:rPr>
                <w:rFonts w:hint="default"/>
                <w:color w:val="auto"/>
                <w:u w:val="single" w:color="auto"/>
              </w:rPr>
              <w:t>类标准</w:t>
            </w:r>
            <w:r>
              <w:rPr>
                <w:rFonts w:hint="eastAsia"/>
                <w:color w:val="auto"/>
                <w:u w:val="single" w:color="auto"/>
                <w:lang w:eastAsia="zh-CN"/>
              </w:rPr>
              <w:t>；项目区厂界外声环境评价范围</w:t>
            </w:r>
            <w:r>
              <w:rPr>
                <w:rFonts w:hint="eastAsia"/>
                <w:color w:val="auto"/>
                <w:u w:val="single" w:color="auto"/>
                <w:lang w:val="en-US" w:eastAsia="zh-CN"/>
              </w:rPr>
              <w:t>内无敏感点，</w:t>
            </w:r>
            <w:r>
              <w:rPr>
                <w:rFonts w:hint="default"/>
                <w:color w:val="auto"/>
                <w:u w:val="single" w:color="auto"/>
              </w:rPr>
              <w:t>因此，项目对周边声环境影响较小</w:t>
            </w:r>
            <w:r>
              <w:rPr>
                <w:rFonts w:hint="eastAsia"/>
                <w:color w:val="auto"/>
                <w:u w:val="single" w:color="auto"/>
                <w:lang w:eastAsia="zh-CN"/>
              </w:rPr>
              <w:t>。</w:t>
            </w:r>
          </w:p>
          <w:p w14:paraId="03008894">
            <w:pPr>
              <w:bidi w:val="0"/>
              <w:rPr>
                <w:rFonts w:hint="eastAsia"/>
                <w:color w:val="auto"/>
                <w:u w:val="single" w:color="auto"/>
                <w:lang w:val="en-GB" w:eastAsia="zh-CN"/>
              </w:rPr>
            </w:pPr>
            <w:r>
              <w:rPr>
                <w:rFonts w:hint="eastAsia"/>
                <w:color w:val="auto"/>
                <w:u w:val="single" w:color="auto"/>
                <w:lang w:val="en-US" w:eastAsia="zh-CN"/>
              </w:rPr>
              <w:t>4、</w:t>
            </w:r>
            <w:r>
              <w:rPr>
                <w:rFonts w:hint="eastAsia"/>
                <w:color w:val="auto"/>
                <w:u w:val="single" w:color="auto"/>
                <w:lang w:val="en-GB" w:eastAsia="zh-CN"/>
              </w:rPr>
              <w:t>监测要求</w:t>
            </w:r>
          </w:p>
          <w:p w14:paraId="1FA6BFF3">
            <w:pPr>
              <w:bidi w:val="0"/>
              <w:rPr>
                <w:rFonts w:hint="default"/>
                <w:color w:val="auto"/>
                <w:u w:val="single" w:color="auto"/>
                <w:lang w:val="en-US" w:eastAsia="zh-CN"/>
              </w:rPr>
            </w:pPr>
            <w:r>
              <w:rPr>
                <w:rFonts w:hint="eastAsia"/>
                <w:color w:val="auto"/>
                <w:u w:val="single" w:color="auto"/>
                <w:lang w:val="en-US" w:eastAsia="zh-CN"/>
              </w:rPr>
              <w:t>根据《排污许可证申请与核发技术规范 工业噪声（HJ 1301-2023）》</w:t>
            </w:r>
            <w:r>
              <w:rPr>
                <w:color w:val="auto"/>
                <w:u w:val="single" w:color="auto"/>
              </w:rPr>
              <w:t>，</w:t>
            </w:r>
            <w:r>
              <w:rPr>
                <w:rFonts w:hint="eastAsia"/>
                <w:color w:val="auto"/>
                <w:u w:val="single" w:color="auto"/>
              </w:rPr>
              <w:t>运营期项目噪声自行监测要求如下</w:t>
            </w:r>
            <w:r>
              <w:rPr>
                <w:color w:val="auto"/>
                <w:u w:val="single" w:color="auto"/>
              </w:rPr>
              <w:t>。</w:t>
            </w:r>
          </w:p>
          <w:p w14:paraId="54E87377">
            <w:pPr>
              <w:pStyle w:val="8"/>
              <w:spacing w:after="0"/>
              <w:jc w:val="center"/>
              <w:rPr>
                <w:rFonts w:hint="eastAsia"/>
                <w:b/>
                <w:bCs/>
                <w:color w:val="auto"/>
                <w:sz w:val="21"/>
                <w:highlight w:val="none"/>
                <w:u w:val="single" w:color="auto"/>
              </w:rPr>
            </w:pPr>
            <w:r>
              <w:rPr>
                <w:rFonts w:hint="eastAsia"/>
                <w:b/>
                <w:bCs/>
                <w:color w:val="auto"/>
                <w:sz w:val="21"/>
                <w:highlight w:val="none"/>
                <w:u w:val="single" w:color="auto"/>
                <w:lang w:val="en-GB"/>
              </w:rPr>
              <w:t>表</w:t>
            </w:r>
            <w:r>
              <w:rPr>
                <w:rFonts w:hint="eastAsia"/>
                <w:b/>
                <w:bCs/>
                <w:color w:val="auto"/>
                <w:sz w:val="21"/>
                <w:highlight w:val="none"/>
                <w:u w:val="single" w:color="auto"/>
              </w:rPr>
              <w:t>4-</w:t>
            </w:r>
            <w:r>
              <w:rPr>
                <w:rFonts w:hint="eastAsia"/>
                <w:b/>
                <w:bCs/>
                <w:color w:val="auto"/>
                <w:sz w:val="21"/>
                <w:highlight w:val="none"/>
                <w:u w:val="single" w:color="auto"/>
                <w:lang w:val="en-US" w:eastAsia="zh-CN"/>
              </w:rPr>
              <w:t>6</w:t>
            </w:r>
            <w:r>
              <w:rPr>
                <w:rFonts w:hint="eastAsia"/>
                <w:b/>
                <w:bCs/>
                <w:color w:val="auto"/>
                <w:sz w:val="21"/>
                <w:highlight w:val="none"/>
                <w:u w:val="single" w:color="auto"/>
              </w:rPr>
              <w:t xml:space="preserve">  噪声监测要求一览表</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8"/>
              <w:gridCol w:w="1792"/>
              <w:gridCol w:w="1149"/>
              <w:gridCol w:w="1333"/>
              <w:gridCol w:w="2975"/>
            </w:tblGrid>
            <w:tr w14:paraId="7C3A8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4" w:type="pct"/>
                  <w:noWrap w:val="0"/>
                  <w:vAlign w:val="center"/>
                </w:tcPr>
                <w:p w14:paraId="3CA92B37">
                  <w:pPr>
                    <w:pStyle w:val="109"/>
                    <w:rPr>
                      <w:rFonts w:hint="eastAsia"/>
                      <w:color w:val="auto"/>
                      <w:u w:val="single" w:color="auto"/>
                    </w:rPr>
                  </w:pPr>
                  <w:r>
                    <w:rPr>
                      <w:rFonts w:hint="eastAsia"/>
                      <w:color w:val="auto"/>
                      <w:u w:val="single" w:color="auto"/>
                    </w:rPr>
                    <w:t>监测点</w:t>
                  </w:r>
                </w:p>
              </w:tc>
              <w:tc>
                <w:tcPr>
                  <w:tcW w:w="1059" w:type="pct"/>
                  <w:noWrap w:val="0"/>
                  <w:vAlign w:val="center"/>
                </w:tcPr>
                <w:p w14:paraId="316FC7E8">
                  <w:pPr>
                    <w:pStyle w:val="109"/>
                    <w:rPr>
                      <w:rFonts w:hint="eastAsia"/>
                      <w:color w:val="auto"/>
                      <w:u w:val="single" w:color="auto"/>
                    </w:rPr>
                  </w:pPr>
                  <w:r>
                    <w:rPr>
                      <w:rFonts w:hint="eastAsia"/>
                      <w:color w:val="auto"/>
                      <w:u w:val="single" w:color="auto"/>
                    </w:rPr>
                    <w:t>监测因子</w:t>
                  </w:r>
                </w:p>
              </w:tc>
              <w:tc>
                <w:tcPr>
                  <w:tcW w:w="679" w:type="pct"/>
                  <w:tcBorders>
                    <w:right w:val="single" w:color="000000" w:sz="4" w:space="0"/>
                  </w:tcBorders>
                  <w:noWrap w:val="0"/>
                  <w:vAlign w:val="center"/>
                </w:tcPr>
                <w:p w14:paraId="105B1B0A">
                  <w:pPr>
                    <w:pStyle w:val="109"/>
                    <w:rPr>
                      <w:rFonts w:hint="eastAsia"/>
                      <w:color w:val="auto"/>
                      <w:u w:val="single" w:color="auto"/>
                    </w:rPr>
                  </w:pPr>
                  <w:r>
                    <w:rPr>
                      <w:rFonts w:hint="eastAsia"/>
                      <w:color w:val="auto"/>
                      <w:kern w:val="0"/>
                      <w:szCs w:val="21"/>
                      <w:u w:val="single" w:color="auto"/>
                    </w:rPr>
                    <w:t>监测频次</w:t>
                  </w:r>
                </w:p>
              </w:tc>
              <w:tc>
                <w:tcPr>
                  <w:tcW w:w="788" w:type="pct"/>
                  <w:tcBorders>
                    <w:left w:val="single" w:color="000000" w:sz="4" w:space="0"/>
                  </w:tcBorders>
                  <w:noWrap w:val="0"/>
                  <w:vAlign w:val="center"/>
                </w:tcPr>
                <w:p w14:paraId="39D71A41">
                  <w:pPr>
                    <w:pStyle w:val="109"/>
                    <w:rPr>
                      <w:rFonts w:hint="eastAsia" w:eastAsia="宋体"/>
                      <w:color w:val="auto"/>
                      <w:kern w:val="0"/>
                      <w:szCs w:val="21"/>
                      <w:u w:val="single" w:color="auto"/>
                      <w:lang w:eastAsia="zh-CN"/>
                    </w:rPr>
                  </w:pPr>
                  <w:r>
                    <w:rPr>
                      <w:rFonts w:hint="eastAsia"/>
                      <w:color w:val="auto"/>
                      <w:kern w:val="0"/>
                      <w:szCs w:val="21"/>
                      <w:u w:val="single" w:color="auto"/>
                      <w:lang w:eastAsia="zh-CN"/>
                    </w:rPr>
                    <w:t>监测时段</w:t>
                  </w:r>
                </w:p>
              </w:tc>
              <w:tc>
                <w:tcPr>
                  <w:tcW w:w="1758" w:type="pct"/>
                  <w:noWrap w:val="0"/>
                  <w:vAlign w:val="center"/>
                </w:tcPr>
                <w:p w14:paraId="57F85CB0">
                  <w:pPr>
                    <w:spacing w:line="240" w:lineRule="auto"/>
                    <w:ind w:firstLine="0" w:firstLineChars="0"/>
                    <w:jc w:val="center"/>
                    <w:rPr>
                      <w:rFonts w:hint="eastAsia"/>
                      <w:color w:val="auto"/>
                      <w:u w:val="single" w:color="auto"/>
                    </w:rPr>
                  </w:pPr>
                  <w:r>
                    <w:rPr>
                      <w:rFonts w:hint="eastAsia"/>
                      <w:color w:val="auto"/>
                      <w:kern w:val="0"/>
                      <w:sz w:val="21"/>
                      <w:szCs w:val="21"/>
                      <w:u w:val="single" w:color="auto"/>
                    </w:rPr>
                    <w:t>执行标准</w:t>
                  </w:r>
                </w:p>
              </w:tc>
            </w:tr>
            <w:tr w14:paraId="1AA44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4" w:type="pct"/>
                  <w:noWrap w:val="0"/>
                  <w:vAlign w:val="center"/>
                </w:tcPr>
                <w:p w14:paraId="0C427AED">
                  <w:pPr>
                    <w:pStyle w:val="109"/>
                    <w:rPr>
                      <w:rFonts w:hint="eastAsia"/>
                      <w:color w:val="auto"/>
                      <w:u w:val="single" w:color="auto"/>
                    </w:rPr>
                  </w:pPr>
                  <w:r>
                    <w:rPr>
                      <w:rFonts w:hint="eastAsia"/>
                      <w:color w:val="auto"/>
                      <w:u w:val="single" w:color="auto"/>
                    </w:rPr>
                    <w:t>四周厂界</w:t>
                  </w:r>
                </w:p>
              </w:tc>
              <w:tc>
                <w:tcPr>
                  <w:tcW w:w="1059" w:type="pct"/>
                  <w:noWrap w:val="0"/>
                  <w:vAlign w:val="center"/>
                </w:tcPr>
                <w:p w14:paraId="45C8FF23">
                  <w:pPr>
                    <w:pStyle w:val="109"/>
                    <w:rPr>
                      <w:rFonts w:hint="eastAsia"/>
                      <w:color w:val="auto"/>
                      <w:u w:val="single" w:color="auto"/>
                    </w:rPr>
                  </w:pPr>
                  <w:r>
                    <w:rPr>
                      <w:rFonts w:hint="eastAsia"/>
                      <w:color w:val="auto"/>
                      <w:kern w:val="0"/>
                      <w:szCs w:val="21"/>
                      <w:u w:val="single" w:color="auto"/>
                    </w:rPr>
                    <w:t>等效连续A声级</w:t>
                  </w:r>
                </w:p>
              </w:tc>
              <w:tc>
                <w:tcPr>
                  <w:tcW w:w="679" w:type="pct"/>
                  <w:tcBorders>
                    <w:right w:val="single" w:color="000000" w:sz="4" w:space="0"/>
                  </w:tcBorders>
                  <w:noWrap w:val="0"/>
                  <w:vAlign w:val="center"/>
                </w:tcPr>
                <w:p w14:paraId="4C1580B1">
                  <w:pPr>
                    <w:pStyle w:val="109"/>
                    <w:rPr>
                      <w:rFonts w:hint="eastAsia" w:eastAsia="宋体"/>
                      <w:color w:val="auto"/>
                      <w:u w:val="single" w:color="auto"/>
                      <w:lang w:eastAsia="zh-CN"/>
                    </w:rPr>
                  </w:pPr>
                  <w:r>
                    <w:rPr>
                      <w:rFonts w:hint="eastAsia"/>
                      <w:color w:val="auto"/>
                      <w:u w:val="single" w:color="auto"/>
                    </w:rPr>
                    <w:t>1次/</w:t>
                  </w:r>
                  <w:r>
                    <w:rPr>
                      <w:rFonts w:hint="eastAsia"/>
                      <w:color w:val="auto"/>
                      <w:u w:val="single" w:color="auto"/>
                      <w:lang w:eastAsia="zh-CN"/>
                    </w:rPr>
                    <w:t>季</w:t>
                  </w:r>
                </w:p>
              </w:tc>
              <w:tc>
                <w:tcPr>
                  <w:tcW w:w="788" w:type="pct"/>
                  <w:tcBorders>
                    <w:left w:val="single" w:color="000000" w:sz="4" w:space="0"/>
                  </w:tcBorders>
                  <w:noWrap w:val="0"/>
                  <w:vAlign w:val="center"/>
                </w:tcPr>
                <w:p w14:paraId="40DA8C3A">
                  <w:pPr>
                    <w:pStyle w:val="109"/>
                    <w:rPr>
                      <w:rFonts w:hint="eastAsia" w:eastAsia="宋体"/>
                      <w:color w:val="auto"/>
                      <w:u w:val="single" w:color="auto"/>
                      <w:lang w:eastAsia="zh-CN"/>
                    </w:rPr>
                  </w:pPr>
                  <w:r>
                    <w:rPr>
                      <w:rFonts w:hint="eastAsia"/>
                      <w:color w:val="auto"/>
                      <w:u w:val="single" w:color="auto"/>
                      <w:lang w:eastAsia="zh-CN"/>
                    </w:rPr>
                    <w:t>昼、夜间</w:t>
                  </w:r>
                </w:p>
              </w:tc>
              <w:tc>
                <w:tcPr>
                  <w:tcW w:w="1758" w:type="pct"/>
                  <w:noWrap w:val="0"/>
                  <w:vAlign w:val="center"/>
                </w:tcPr>
                <w:p w14:paraId="1D62D551">
                  <w:pPr>
                    <w:spacing w:line="240" w:lineRule="auto"/>
                    <w:ind w:firstLine="0" w:firstLineChars="0"/>
                    <w:jc w:val="center"/>
                    <w:rPr>
                      <w:rFonts w:hint="eastAsia"/>
                      <w:color w:val="auto"/>
                      <w:u w:val="single" w:color="auto"/>
                    </w:rPr>
                  </w:pPr>
                  <w:r>
                    <w:rPr>
                      <w:rFonts w:hint="eastAsia"/>
                      <w:color w:val="auto"/>
                      <w:kern w:val="0"/>
                      <w:sz w:val="21"/>
                      <w:szCs w:val="21"/>
                      <w:u w:val="single" w:color="auto"/>
                    </w:rPr>
                    <w:t>《工业企业厂界噪声排放标准》（GB12348-2008）中的</w:t>
                  </w:r>
                  <w:r>
                    <w:rPr>
                      <w:rFonts w:hint="eastAsia"/>
                      <w:color w:val="auto"/>
                      <w:kern w:val="0"/>
                      <w:sz w:val="21"/>
                      <w:szCs w:val="21"/>
                      <w:u w:val="single" w:color="auto"/>
                      <w:lang w:val="en-US" w:eastAsia="zh-CN"/>
                    </w:rPr>
                    <w:t>3</w:t>
                  </w:r>
                  <w:r>
                    <w:rPr>
                      <w:rFonts w:hint="eastAsia"/>
                      <w:color w:val="auto"/>
                      <w:kern w:val="0"/>
                      <w:sz w:val="21"/>
                      <w:szCs w:val="21"/>
                      <w:u w:val="single" w:color="auto"/>
                    </w:rPr>
                    <w:t>类标准</w:t>
                  </w:r>
                </w:p>
              </w:tc>
            </w:tr>
          </w:tbl>
          <w:p w14:paraId="6FF293A6">
            <w:pPr>
              <w:ind w:firstLine="482"/>
              <w:rPr>
                <w:rFonts w:hint="eastAsia"/>
                <w:b/>
                <w:bCs/>
                <w:color w:val="auto"/>
                <w:u w:val="single" w:color="auto"/>
              </w:rPr>
            </w:pPr>
            <w:r>
              <w:rPr>
                <w:rFonts w:hint="eastAsia"/>
                <w:b/>
                <w:bCs/>
                <w:color w:val="auto"/>
                <w:u w:val="single" w:color="auto"/>
              </w:rPr>
              <w:t>（</w:t>
            </w:r>
            <w:r>
              <w:rPr>
                <w:rFonts w:hint="eastAsia"/>
                <w:b/>
                <w:bCs/>
                <w:color w:val="auto"/>
                <w:u w:val="single" w:color="auto"/>
                <w:lang w:val="en-US" w:eastAsia="zh-CN"/>
              </w:rPr>
              <w:t>四</w:t>
            </w:r>
            <w:r>
              <w:rPr>
                <w:rFonts w:hint="eastAsia"/>
                <w:b/>
                <w:bCs/>
                <w:color w:val="auto"/>
                <w:u w:val="single" w:color="auto"/>
              </w:rPr>
              <w:t>）运营期</w:t>
            </w:r>
            <w:r>
              <w:rPr>
                <w:b/>
                <w:bCs/>
                <w:color w:val="auto"/>
                <w:u w:val="single" w:color="auto"/>
              </w:rPr>
              <w:t>固体废物</w:t>
            </w:r>
            <w:r>
              <w:rPr>
                <w:rFonts w:hint="eastAsia"/>
                <w:b/>
                <w:bCs/>
                <w:color w:val="auto"/>
                <w:u w:val="single" w:color="auto"/>
              </w:rPr>
              <w:t>环境影响和保护措施</w:t>
            </w:r>
          </w:p>
          <w:p w14:paraId="5F746FC2">
            <w:pPr>
              <w:bidi w:val="0"/>
              <w:rPr>
                <w:rFonts w:hint="eastAsia"/>
                <w:color w:val="auto"/>
                <w:u w:val="single" w:color="auto"/>
                <w:lang w:val="en-US" w:eastAsia="zh-CN"/>
              </w:rPr>
            </w:pPr>
            <w:r>
              <w:rPr>
                <w:rFonts w:hint="eastAsia"/>
                <w:color w:val="auto"/>
                <w:u w:val="single" w:color="auto"/>
                <w:lang w:val="en-US" w:eastAsia="zh-CN"/>
              </w:rPr>
              <w:t>1、固体废物产生及去向</w:t>
            </w:r>
          </w:p>
          <w:p w14:paraId="39F79392">
            <w:pPr>
              <w:bidi w:val="0"/>
              <w:rPr>
                <w:rFonts w:hint="eastAsia"/>
                <w:color w:val="auto"/>
                <w:u w:val="single" w:color="auto"/>
                <w:lang w:val="en-US" w:eastAsia="zh-CN"/>
              </w:rPr>
            </w:pPr>
            <w:r>
              <w:rPr>
                <w:rFonts w:hint="eastAsia"/>
                <w:color w:val="auto"/>
                <w:u w:val="single" w:color="auto"/>
                <w:lang w:val="en-US" w:eastAsia="zh-CN"/>
              </w:rPr>
              <w:t>本项目营运期固体废物主要为金属废屑、废砂芯、废钢丸、废润滑油、废液压油、铝屑切削油混合物、除尘铝灰废包装袋和生活垃圾等。</w:t>
            </w:r>
          </w:p>
          <w:p w14:paraId="76FA638F">
            <w:pPr>
              <w:bidi w:val="0"/>
              <w:rPr>
                <w:color w:val="auto"/>
                <w:u w:val="single" w:color="auto"/>
              </w:rPr>
            </w:pPr>
            <w:r>
              <w:rPr>
                <w:rFonts w:hint="eastAsia"/>
                <w:color w:val="auto"/>
                <w:u w:val="single" w:color="auto"/>
                <w:lang w:val="en-US" w:eastAsia="zh-CN"/>
              </w:rPr>
              <w:t>（1）</w:t>
            </w:r>
            <w:r>
              <w:rPr>
                <w:rFonts w:hint="eastAsia"/>
                <w:color w:val="auto"/>
                <w:u w:val="single" w:color="auto"/>
              </w:rPr>
              <w:t>一般固废</w:t>
            </w:r>
          </w:p>
          <w:p w14:paraId="57E36646">
            <w:pPr>
              <w:bidi w:val="0"/>
              <w:rPr>
                <w:color w:val="auto"/>
                <w:u w:val="single" w:color="auto"/>
                <w:lang w:val="en-US"/>
              </w:rPr>
            </w:pPr>
            <w:r>
              <w:rPr>
                <w:color w:val="auto"/>
                <w:u w:val="single" w:color="auto"/>
              </w:rPr>
              <w:t>①</w:t>
            </w:r>
            <w:r>
              <w:rPr>
                <w:rFonts w:hint="eastAsia"/>
                <w:color w:val="auto"/>
                <w:u w:val="single" w:color="auto"/>
                <w:lang w:val="en-US" w:eastAsia="zh-CN"/>
              </w:rPr>
              <w:t>金属废屑</w:t>
            </w:r>
          </w:p>
          <w:p w14:paraId="64921E09">
            <w:pPr>
              <w:bidi w:val="0"/>
              <w:rPr>
                <w:rFonts w:hint="eastAsia"/>
                <w:color w:val="auto"/>
                <w:u w:val="single" w:color="auto"/>
                <w:lang w:val="en-US" w:eastAsia="zh-CN"/>
              </w:rPr>
            </w:pPr>
            <w:r>
              <w:rPr>
                <w:rFonts w:hint="eastAsia"/>
                <w:color w:val="auto"/>
                <w:u w:val="single" w:color="auto"/>
                <w:lang w:eastAsia="zh-CN"/>
              </w:rPr>
              <w:t>本项目铣浇口、去毛刺等加工</w:t>
            </w:r>
            <w:r>
              <w:rPr>
                <w:rFonts w:hint="eastAsia"/>
                <w:color w:val="auto"/>
                <w:u w:val="single" w:color="auto"/>
                <w:lang w:val="en-US" w:eastAsia="zh-CN"/>
              </w:rPr>
              <w:t>过程中产生一定量的金属废屑，按照铝铸件的1%计，</w:t>
            </w:r>
            <w:r>
              <w:rPr>
                <w:rFonts w:hint="eastAsia"/>
                <w:color w:val="auto"/>
                <w:u w:val="single" w:color="auto"/>
                <w:lang w:eastAsia="zh-CN"/>
              </w:rPr>
              <w:t>产生量约</w:t>
            </w:r>
            <w:r>
              <w:rPr>
                <w:rFonts w:hint="eastAsia"/>
                <w:color w:val="auto"/>
                <w:u w:val="single" w:color="auto"/>
                <w:lang w:val="en-US" w:eastAsia="zh-CN"/>
              </w:rPr>
              <w:t>24</w:t>
            </w:r>
            <w:r>
              <w:rPr>
                <w:rFonts w:hint="eastAsia"/>
                <w:color w:val="auto"/>
                <w:u w:val="single" w:color="auto"/>
                <w:lang w:eastAsia="zh-CN"/>
              </w:rPr>
              <w:t>t/a，金属</w:t>
            </w:r>
            <w:r>
              <w:rPr>
                <w:rFonts w:hint="eastAsia"/>
                <w:color w:val="auto"/>
                <w:u w:val="single" w:color="auto"/>
                <w:lang w:val="en-US" w:eastAsia="zh-CN"/>
              </w:rPr>
              <w:t>废屑</w:t>
            </w:r>
            <w:r>
              <w:rPr>
                <w:rFonts w:hint="eastAsia"/>
                <w:color w:val="auto"/>
                <w:u w:val="single" w:color="auto"/>
                <w:lang w:eastAsia="zh-CN"/>
              </w:rPr>
              <w:t>属一般固体废物，收集后外售综合利用</w:t>
            </w:r>
            <w:r>
              <w:rPr>
                <w:rFonts w:hint="eastAsia"/>
                <w:color w:val="auto"/>
                <w:u w:val="single" w:color="auto"/>
                <w:lang w:val="en-US" w:eastAsia="zh-CN"/>
              </w:rPr>
              <w:t>。</w:t>
            </w:r>
          </w:p>
          <w:p w14:paraId="41C3F1E0">
            <w:pPr>
              <w:bidi w:val="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②废砂芯</w:t>
            </w:r>
          </w:p>
          <w:p w14:paraId="790E0F01">
            <w:pPr>
              <w:bidi w:val="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eastAsia="zh-CN"/>
              </w:rPr>
              <w:t>本项目砂芯制作用覆膜砂</w:t>
            </w:r>
            <w:r>
              <w:rPr>
                <w:rFonts w:hint="eastAsia" w:ascii="Times New Roman" w:hAnsi="Times New Roman" w:eastAsia="宋体" w:cs="Times New Roman"/>
                <w:color w:val="auto"/>
                <w:u w:val="single" w:color="auto"/>
                <w:lang w:val="en-US" w:eastAsia="zh-CN"/>
              </w:rPr>
              <w:t>50t/a，覆膜砂为外购，浇注之后全部成为废砂芯，产生量约为50t/a，废砂芯</w:t>
            </w:r>
            <w:r>
              <w:rPr>
                <w:rFonts w:hint="eastAsia" w:ascii="Times New Roman" w:hAnsi="Times New Roman" w:eastAsia="宋体" w:cs="Times New Roman"/>
                <w:color w:val="auto"/>
                <w:u w:val="single" w:color="auto"/>
                <w:lang w:eastAsia="zh-CN"/>
              </w:rPr>
              <w:t>属一般固体废物，收集后交原厂家回收</w:t>
            </w:r>
            <w:r>
              <w:rPr>
                <w:rFonts w:hint="eastAsia" w:ascii="Times New Roman" w:hAnsi="Times New Roman" w:eastAsia="宋体" w:cs="Times New Roman"/>
                <w:color w:val="auto"/>
                <w:u w:val="single" w:color="auto"/>
                <w:lang w:val="en-US" w:eastAsia="zh-CN"/>
              </w:rPr>
              <w:t>。</w:t>
            </w:r>
          </w:p>
          <w:p w14:paraId="1B138184">
            <w:pPr>
              <w:rPr>
                <w:rFonts w:hint="default" w:ascii="Times New Roman" w:hAnsi="Times New Roman" w:eastAsia="宋体" w:cs="Times New Roman"/>
                <w:color w:val="auto"/>
                <w:u w:val="single" w:color="auto"/>
                <w:lang w:val="en-US" w:eastAsia="zh-CN"/>
              </w:rPr>
            </w:pPr>
            <w:r>
              <w:rPr>
                <w:rFonts w:hint="default" w:ascii="Times New Roman" w:hAnsi="Times New Roman" w:eastAsia="宋体" w:cs="Times New Roman"/>
                <w:color w:val="auto"/>
                <w:u w:val="single" w:color="auto"/>
                <w:lang w:val="en-US" w:eastAsia="zh-CN"/>
              </w:rPr>
              <w:t>③废钢丸</w:t>
            </w:r>
          </w:p>
          <w:p w14:paraId="32556CD7">
            <w:pPr>
              <w:rPr>
                <w:rFonts w:hint="default" w:ascii="Times New Roman" w:hAnsi="Times New Roman" w:eastAsia="宋体" w:cs="Times New Roman"/>
                <w:color w:val="auto"/>
                <w:u w:val="single" w:color="auto"/>
                <w:lang w:val="en-US" w:eastAsia="zh-CN"/>
              </w:rPr>
            </w:pPr>
            <w:r>
              <w:rPr>
                <w:rFonts w:hint="default" w:ascii="Times New Roman" w:hAnsi="Times New Roman" w:eastAsia="宋体" w:cs="Times New Roman"/>
                <w:color w:val="auto"/>
                <w:u w:val="single" w:color="auto"/>
                <w:lang w:val="en-US" w:eastAsia="zh-CN"/>
              </w:rPr>
              <w:t>项目抛丸年用钢丸50吨，使用后产生废钢丸50t/a，</w:t>
            </w:r>
            <w:r>
              <w:rPr>
                <w:rFonts w:hint="eastAsia" w:ascii="Times New Roman" w:hAnsi="Times New Roman" w:eastAsia="宋体" w:cs="Times New Roman"/>
                <w:color w:val="auto"/>
                <w:u w:val="single" w:color="auto"/>
                <w:lang w:val="en-US" w:eastAsia="zh-CN"/>
              </w:rPr>
              <w:t>废钢丸</w:t>
            </w:r>
            <w:r>
              <w:rPr>
                <w:rFonts w:hint="eastAsia" w:ascii="Times New Roman" w:hAnsi="Times New Roman" w:eastAsia="宋体" w:cs="Times New Roman"/>
                <w:color w:val="auto"/>
                <w:u w:val="single" w:color="auto"/>
                <w:lang w:eastAsia="zh-CN"/>
              </w:rPr>
              <w:t>属一般固体废物，收集后外售</w:t>
            </w:r>
            <w:r>
              <w:rPr>
                <w:rFonts w:hint="eastAsia" w:ascii="Times New Roman" w:hAnsi="Times New Roman" w:eastAsia="宋体" w:cs="Times New Roman"/>
                <w:color w:val="auto"/>
                <w:u w:val="single" w:color="auto"/>
                <w:lang w:val="en-US" w:eastAsia="zh-CN"/>
              </w:rPr>
              <w:t>。</w:t>
            </w:r>
          </w:p>
          <w:p w14:paraId="62A07A46">
            <w:pPr>
              <w:bidi w:val="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④包装废弃物</w:t>
            </w:r>
          </w:p>
          <w:p w14:paraId="1F2854EC">
            <w:pPr>
              <w:bidi w:val="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项目原辅材料拆装中会产生一定量的包装废弃物，其产生量约为0.5t/a，此类废弃物作为废品外售废品回收站。</w:t>
            </w:r>
          </w:p>
          <w:p w14:paraId="6C40ADDD">
            <w:pPr>
              <w:bidi w:val="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⑤生活垃圾</w:t>
            </w:r>
          </w:p>
          <w:p w14:paraId="30539053">
            <w:pPr>
              <w:bidi w:val="0"/>
              <w:rPr>
                <w:rFonts w:hint="eastAsia"/>
                <w:color w:val="auto"/>
                <w:u w:val="single" w:color="auto"/>
                <w:lang w:val="en-US" w:eastAsia="zh-CN"/>
              </w:rPr>
            </w:pPr>
            <w:r>
              <w:rPr>
                <w:rFonts w:hint="eastAsia"/>
                <w:color w:val="auto"/>
                <w:u w:val="single" w:color="auto"/>
                <w:lang w:val="en-US" w:eastAsia="zh-CN"/>
              </w:rPr>
              <w:t>本项目运营期生活垃圾主要来自员工产生的生活垃圾，厂区员工人数为35人，年工作260天，员工生活垃圾产生量按每人0.5kg/d计，则员工生活垃圾量为17.5kg/d（4.55t/a），经统一收集，委托环卫部门处理。</w:t>
            </w:r>
          </w:p>
          <w:p w14:paraId="25E74820">
            <w:pPr>
              <w:bidi w:val="0"/>
              <w:rPr>
                <w:rFonts w:hint="eastAsia"/>
                <w:color w:val="auto"/>
                <w:u w:val="single" w:color="auto"/>
                <w:lang w:val="en-US" w:eastAsia="zh-CN"/>
              </w:rPr>
            </w:pPr>
            <w:r>
              <w:rPr>
                <w:rFonts w:hint="eastAsia"/>
                <w:color w:val="auto"/>
                <w:u w:val="single" w:color="auto"/>
                <w:lang w:val="en-US" w:eastAsia="zh-CN"/>
              </w:rPr>
              <w:t>（2）危险固废</w:t>
            </w:r>
          </w:p>
          <w:p w14:paraId="24BB3058">
            <w:pPr>
              <w:bidi w:val="0"/>
              <w:rPr>
                <w:rFonts w:hint="eastAsia"/>
                <w:color w:val="auto"/>
                <w:u w:val="single" w:color="auto"/>
                <w:lang w:val="en-US" w:eastAsia="zh-CN"/>
              </w:rPr>
            </w:pPr>
            <w:r>
              <w:rPr>
                <w:rFonts w:hint="eastAsia"/>
                <w:color w:val="auto"/>
                <w:u w:val="single" w:color="auto"/>
                <w:lang w:val="en-US" w:eastAsia="zh-CN"/>
              </w:rPr>
              <w:t>①废液压油和润滑油</w:t>
            </w:r>
          </w:p>
          <w:p w14:paraId="196DA8B0">
            <w:pPr>
              <w:bidi w:val="0"/>
              <w:ind w:firstLine="72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本项目生产设备日常检修、保养过程需定期加润滑油和液压油进行保养，保养过程中会产生约0.05t/a废润滑油和0.05t/a废液压油，根据查询《国家危险废物名录》（2025版），废润滑油属于HW08废矿物油与含矿物油废物，</w:t>
            </w:r>
            <w:r>
              <w:rPr>
                <w:rFonts w:hint="eastAsia" w:cs="Times New Roman"/>
                <w:color w:val="auto"/>
                <w:u w:val="single" w:color="auto"/>
                <w:lang w:val="en-US" w:eastAsia="zh-CN"/>
              </w:rPr>
              <w:t>废物代码</w:t>
            </w:r>
            <w:r>
              <w:rPr>
                <w:rFonts w:hint="eastAsia" w:ascii="Times New Roman" w:hAnsi="Times New Roman" w:eastAsia="宋体" w:cs="Times New Roman"/>
                <w:color w:val="auto"/>
                <w:u w:val="single" w:color="auto"/>
                <w:lang w:val="en-US" w:eastAsia="zh-CN"/>
              </w:rPr>
              <w:t>为900-217-08使用工业齿轮油进行机械设备润滑过程中产生的废润滑油，废液压油属于HW08废矿物油与含矿物油废物，</w:t>
            </w:r>
            <w:r>
              <w:rPr>
                <w:rFonts w:hint="eastAsia" w:cs="Times New Roman"/>
                <w:color w:val="auto"/>
                <w:u w:val="single" w:color="auto"/>
                <w:lang w:val="en-US" w:eastAsia="zh-CN"/>
              </w:rPr>
              <w:t>废物代码</w:t>
            </w:r>
            <w:r>
              <w:rPr>
                <w:rFonts w:hint="eastAsia" w:ascii="Times New Roman" w:hAnsi="Times New Roman" w:eastAsia="宋体" w:cs="Times New Roman"/>
                <w:color w:val="auto"/>
                <w:u w:val="single" w:color="auto"/>
                <w:lang w:val="en-US" w:eastAsia="zh-CN"/>
              </w:rPr>
              <w:t xml:space="preserve">900-218-08液压设备维护、更换和拆解过程中产生的废液压油，经专门的收集桶收集后放置在危废暂存间中暂存，须按危险废物管理有关规定送至有资质的单位进行无害化处理。 </w:t>
            </w:r>
          </w:p>
          <w:p w14:paraId="4CC8B2F7">
            <w:pPr>
              <w:bidi w:val="0"/>
              <w:rPr>
                <w:rFonts w:hint="eastAsia"/>
                <w:color w:val="auto"/>
                <w:u w:val="single" w:color="auto"/>
                <w:lang w:val="en-US" w:eastAsia="zh-CN"/>
              </w:rPr>
            </w:pPr>
            <w:r>
              <w:rPr>
                <w:rFonts w:hint="eastAsia"/>
                <w:color w:val="auto"/>
                <w:u w:val="single" w:color="auto"/>
                <w:lang w:val="en-US" w:eastAsia="zh-CN"/>
              </w:rPr>
              <w:t>②铝屑切削油混合物</w:t>
            </w:r>
          </w:p>
          <w:p w14:paraId="191F32C2">
            <w:pPr>
              <w:bidi w:val="0"/>
              <w:rPr>
                <w:rFonts w:hint="eastAsia"/>
                <w:color w:val="auto"/>
                <w:u w:val="single" w:color="auto"/>
                <w:lang w:val="en-US" w:eastAsia="zh-CN"/>
              </w:rPr>
            </w:pPr>
            <w:r>
              <w:rPr>
                <w:rFonts w:hint="eastAsia"/>
                <w:color w:val="auto"/>
                <w:u w:val="single" w:color="auto"/>
                <w:lang w:val="en-US" w:eastAsia="zh-CN"/>
              </w:rPr>
              <w:t>本项目铝铸件精加工等切削加工过程中的切削液循环使用，无废切削油产生；根据查询《国家危险废物名录》（2025版），铝铸件切削过程产生的</w:t>
            </w:r>
            <w:r>
              <w:rPr>
                <w:rFonts w:hint="eastAsia"/>
                <w:color w:val="auto"/>
                <w:u w:val="single" w:color="auto"/>
                <w:lang w:eastAsia="zh-CN"/>
              </w:rPr>
              <w:t>金属屑与切削液混合</w:t>
            </w:r>
            <w:r>
              <w:rPr>
                <w:rFonts w:hint="eastAsia"/>
                <w:color w:val="auto"/>
                <w:u w:val="single" w:color="auto"/>
                <w:lang w:val="en-US" w:eastAsia="zh-CN"/>
              </w:rPr>
              <w:t xml:space="preserve">属于危险废物，废物类别HW09油/水、烃/水混合物或乳化液，废物代码900-006-09，按铝铸件千分之一计，产生量约2.4t/a，根据危险废物豁免管理清单，铝屑切削油混合物经压榨、压滤、过滤或者离心等除油达到静置无滴漏后打包或者压块，符合生态环境相关标准要求，作为生产原料用于金属冶炼，利用过程不按危险废物管理。 </w:t>
            </w:r>
          </w:p>
          <w:p w14:paraId="0A91A046">
            <w:pPr>
              <w:bidi w:val="0"/>
              <w:rPr>
                <w:rFonts w:hint="eastAsia"/>
                <w:color w:val="auto"/>
                <w:u w:val="single" w:color="auto"/>
                <w:lang w:val="en-US" w:eastAsia="zh-CN"/>
              </w:rPr>
            </w:pPr>
            <w:r>
              <w:rPr>
                <w:rFonts w:hint="eastAsia"/>
                <w:color w:val="auto"/>
                <w:u w:val="single" w:color="auto"/>
                <w:lang w:val="en-US" w:eastAsia="zh-CN"/>
              </w:rPr>
              <w:t>③除尘铝灰</w:t>
            </w:r>
          </w:p>
          <w:p w14:paraId="713BDB37">
            <w:pPr>
              <w:spacing w:line="360" w:lineRule="auto"/>
              <w:ind w:firstLine="480" w:firstLineChars="200"/>
              <w:rPr>
                <w:rFonts w:hint="eastAsia"/>
                <w:b/>
                <w:color w:val="auto"/>
                <w:sz w:val="24"/>
                <w:highlight w:val="none"/>
                <w:u w:val="single" w:color="auto"/>
              </w:rPr>
            </w:pPr>
            <w:r>
              <w:rPr>
                <w:rFonts w:hint="eastAsia"/>
                <w:color w:val="auto"/>
                <w:u w:val="single" w:color="auto"/>
                <w:lang w:val="en-US" w:eastAsia="zh-CN"/>
              </w:rPr>
              <w:t>铝合金锭熔化、浇注过程产生粉尘经布袋除尘器处理后排放，布袋除尘器收集的粉尘为3.5625t/a，</w:t>
            </w:r>
            <w:r>
              <w:rPr>
                <w:rFonts w:hint="default" w:ascii="Times New Roman" w:hAnsi="Times New Roman" w:eastAsia="宋体" w:cs="Times New Roman"/>
                <w:color w:val="auto"/>
                <w:kern w:val="2"/>
                <w:sz w:val="24"/>
                <w:szCs w:val="24"/>
                <w:highlight w:val="none"/>
                <w:u w:val="single" w:color="auto"/>
                <w:lang w:val="en-US" w:eastAsia="zh-CN" w:bidi="ar-SA"/>
              </w:rPr>
              <w:t>根据《国家危险废物名录（2025年版）》铝灰热回收铝过程烟气处理集（除）</w:t>
            </w:r>
            <w:r>
              <w:rPr>
                <w:rFonts w:hint="default" w:ascii="Times New Roman" w:hAnsi="Times New Roman" w:eastAsia="宋体" w:cs="Times New Roman"/>
                <w:color w:val="auto"/>
                <w:kern w:val="0"/>
                <w:sz w:val="24"/>
                <w:szCs w:val="24"/>
                <w:highlight w:val="none"/>
                <w:u w:val="single" w:color="auto"/>
                <w:lang w:val="en-US" w:eastAsia="zh-CN" w:bidi="ar-SA"/>
              </w:rPr>
              <w:t>尘装置收集的粉尘，铝冶炼和再生过程烟气（包括：再生铝熔炼烟气、铝液熔体净化、除杂、合金化、铸造烟气）处理集（除）尘装置收集的粉尘，属于危险废物，其类别为HW48有色金属采选和冶炼废物，代码321-034-48。铝灰经收集后暂存至危废暂存间，交由有危废处理资质单位处理</w:t>
            </w:r>
            <w:r>
              <w:rPr>
                <w:rFonts w:hint="eastAsia" w:ascii="Times New Roman" w:hAnsi="Times New Roman" w:eastAsia="宋体" w:cs="Times New Roman"/>
                <w:color w:val="auto"/>
                <w:kern w:val="0"/>
                <w:sz w:val="24"/>
                <w:szCs w:val="24"/>
                <w:highlight w:val="none"/>
                <w:u w:val="single" w:color="auto"/>
                <w:lang w:val="en-US" w:eastAsia="zh-CN" w:bidi="ar-SA"/>
              </w:rPr>
              <w:t>。</w:t>
            </w:r>
          </w:p>
          <w:p w14:paraId="08B734BD">
            <w:pPr>
              <w:spacing w:line="240" w:lineRule="auto"/>
              <w:ind w:firstLine="422"/>
              <w:jc w:val="center"/>
              <w:rPr>
                <w:b/>
                <w:bCs/>
                <w:color w:val="auto"/>
                <w:sz w:val="21"/>
                <w:szCs w:val="21"/>
                <w:u w:val="single" w:color="auto"/>
              </w:rPr>
            </w:pPr>
            <w:r>
              <w:rPr>
                <w:rFonts w:hint="eastAsia"/>
                <w:b/>
                <w:bCs/>
                <w:color w:val="auto"/>
                <w:sz w:val="21"/>
                <w:szCs w:val="21"/>
                <w:u w:val="single" w:color="auto"/>
              </w:rPr>
              <w:t>表4-</w:t>
            </w:r>
            <w:r>
              <w:rPr>
                <w:rFonts w:hint="eastAsia"/>
                <w:b/>
                <w:bCs/>
                <w:color w:val="auto"/>
                <w:sz w:val="21"/>
                <w:szCs w:val="21"/>
                <w:u w:val="single" w:color="auto"/>
                <w:lang w:val="en-US" w:eastAsia="zh-CN"/>
              </w:rPr>
              <w:t xml:space="preserve">7  </w:t>
            </w:r>
            <w:r>
              <w:rPr>
                <w:rFonts w:hint="eastAsia"/>
                <w:b/>
                <w:bCs/>
                <w:color w:val="auto"/>
                <w:sz w:val="21"/>
                <w:szCs w:val="21"/>
                <w:u w:val="single" w:color="auto"/>
              </w:rPr>
              <w:t>固废产生及处置情况</w:t>
            </w:r>
          </w:p>
          <w:tbl>
            <w:tblPr>
              <w:tblStyle w:val="2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
              <w:gridCol w:w="1384"/>
              <w:gridCol w:w="933"/>
              <w:gridCol w:w="1100"/>
              <w:gridCol w:w="1508"/>
              <w:gridCol w:w="2093"/>
              <w:gridCol w:w="948"/>
            </w:tblGrid>
            <w:tr w14:paraId="4CF11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0" w:type="pct"/>
                  <w:vAlign w:val="center"/>
                </w:tcPr>
                <w:p w14:paraId="2C7EEDAA">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序号</w:t>
                  </w:r>
                </w:p>
              </w:tc>
              <w:tc>
                <w:tcPr>
                  <w:tcW w:w="818" w:type="pct"/>
                  <w:vAlign w:val="center"/>
                </w:tcPr>
                <w:p w14:paraId="57AB9D5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名称</w:t>
                  </w:r>
                </w:p>
              </w:tc>
              <w:tc>
                <w:tcPr>
                  <w:tcW w:w="551" w:type="pct"/>
                  <w:vAlign w:val="center"/>
                </w:tcPr>
                <w:p w14:paraId="3D832AC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产生量（t/a）</w:t>
                  </w:r>
                </w:p>
              </w:tc>
              <w:tc>
                <w:tcPr>
                  <w:tcW w:w="650" w:type="pct"/>
                  <w:vAlign w:val="center"/>
                </w:tcPr>
                <w:p w14:paraId="56799CC0">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分类编号</w:t>
                  </w:r>
                </w:p>
              </w:tc>
              <w:tc>
                <w:tcPr>
                  <w:tcW w:w="891" w:type="pct"/>
                  <w:vAlign w:val="center"/>
                </w:tcPr>
                <w:p w14:paraId="09F1D5B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固废代码</w:t>
                  </w:r>
                </w:p>
              </w:tc>
              <w:tc>
                <w:tcPr>
                  <w:tcW w:w="1237" w:type="pct"/>
                  <w:vAlign w:val="center"/>
                </w:tcPr>
                <w:p w14:paraId="5DD31A3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处理处置方式</w:t>
                  </w:r>
                </w:p>
              </w:tc>
              <w:tc>
                <w:tcPr>
                  <w:tcW w:w="560" w:type="pct"/>
                  <w:vAlign w:val="center"/>
                </w:tcPr>
                <w:p w14:paraId="120331E5">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排放量（t/a）</w:t>
                  </w:r>
                </w:p>
              </w:tc>
            </w:tr>
            <w:tr w14:paraId="75285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0" w:type="pct"/>
                  <w:vAlign w:val="center"/>
                </w:tcPr>
                <w:p w14:paraId="01007767">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1</w:t>
                  </w:r>
                </w:p>
              </w:tc>
              <w:tc>
                <w:tcPr>
                  <w:tcW w:w="818" w:type="pct"/>
                  <w:vAlign w:val="center"/>
                </w:tcPr>
                <w:p w14:paraId="71A5F637">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金属废屑</w:t>
                  </w:r>
                </w:p>
              </w:tc>
              <w:tc>
                <w:tcPr>
                  <w:tcW w:w="551" w:type="pct"/>
                  <w:vAlign w:val="center"/>
                </w:tcPr>
                <w:p w14:paraId="0443EAE3">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cs="Times New Roman"/>
                      <w:color w:val="auto"/>
                      <w:kern w:val="0"/>
                      <w:sz w:val="21"/>
                      <w:szCs w:val="21"/>
                      <w:u w:val="single" w:color="auto"/>
                      <w:lang w:val="en-US" w:eastAsia="zh-CN"/>
                    </w:rPr>
                    <w:t>24</w:t>
                  </w:r>
                </w:p>
              </w:tc>
              <w:tc>
                <w:tcPr>
                  <w:tcW w:w="650" w:type="pct"/>
                  <w:vMerge w:val="restart"/>
                  <w:vAlign w:val="center"/>
                </w:tcPr>
                <w:p w14:paraId="37226030">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一般固体废物</w:t>
                  </w:r>
                </w:p>
              </w:tc>
              <w:tc>
                <w:tcPr>
                  <w:tcW w:w="891" w:type="pct"/>
                  <w:vAlign w:val="center"/>
                </w:tcPr>
                <w:p w14:paraId="13B4EFB9">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325-001-S01</w:t>
                  </w:r>
                </w:p>
              </w:tc>
              <w:tc>
                <w:tcPr>
                  <w:tcW w:w="1237" w:type="pct"/>
                  <w:vAlign w:val="center"/>
                </w:tcPr>
                <w:p w14:paraId="1EB3C44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收集后外售</w:t>
                  </w:r>
                </w:p>
              </w:tc>
              <w:tc>
                <w:tcPr>
                  <w:tcW w:w="560" w:type="pct"/>
                  <w:vAlign w:val="center"/>
                </w:tcPr>
                <w:p w14:paraId="151D01C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w:t>
                  </w:r>
                </w:p>
              </w:tc>
            </w:tr>
            <w:tr w14:paraId="4B9AB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0" w:type="pct"/>
                  <w:vAlign w:val="center"/>
                </w:tcPr>
                <w:p w14:paraId="11C834A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cs="Times New Roman"/>
                      <w:color w:val="auto"/>
                      <w:kern w:val="0"/>
                      <w:sz w:val="21"/>
                      <w:szCs w:val="21"/>
                      <w:u w:val="single" w:color="auto"/>
                      <w:lang w:val="en-US" w:eastAsia="zh-CN"/>
                    </w:rPr>
                    <w:t>2</w:t>
                  </w:r>
                </w:p>
              </w:tc>
              <w:tc>
                <w:tcPr>
                  <w:tcW w:w="818" w:type="pct"/>
                  <w:vAlign w:val="center"/>
                </w:tcPr>
                <w:p w14:paraId="56BE9E1A">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包装废弃物</w:t>
                  </w:r>
                </w:p>
              </w:tc>
              <w:tc>
                <w:tcPr>
                  <w:tcW w:w="551" w:type="pct"/>
                  <w:vAlign w:val="center"/>
                </w:tcPr>
                <w:p w14:paraId="467FF41E">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cs="Times New Roman"/>
                      <w:color w:val="auto"/>
                      <w:kern w:val="0"/>
                      <w:sz w:val="21"/>
                      <w:szCs w:val="21"/>
                      <w:u w:val="single" w:color="auto"/>
                      <w:lang w:val="en-US" w:eastAsia="zh-CN"/>
                    </w:rPr>
                    <w:t>0.5</w:t>
                  </w:r>
                </w:p>
              </w:tc>
              <w:tc>
                <w:tcPr>
                  <w:tcW w:w="650" w:type="pct"/>
                  <w:vMerge w:val="continue"/>
                  <w:vAlign w:val="center"/>
                </w:tcPr>
                <w:p w14:paraId="733A528F">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p>
              </w:tc>
              <w:tc>
                <w:tcPr>
                  <w:tcW w:w="891" w:type="pct"/>
                  <w:vAlign w:val="center"/>
                </w:tcPr>
                <w:p w14:paraId="739CDA0A">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900-009-S59</w:t>
                  </w:r>
                </w:p>
              </w:tc>
              <w:tc>
                <w:tcPr>
                  <w:tcW w:w="1237" w:type="pct"/>
                  <w:vAlign w:val="center"/>
                </w:tcPr>
                <w:p w14:paraId="3CC48DC3">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收集后外售</w:t>
                  </w:r>
                </w:p>
              </w:tc>
              <w:tc>
                <w:tcPr>
                  <w:tcW w:w="560" w:type="pct"/>
                  <w:vAlign w:val="center"/>
                </w:tcPr>
                <w:p w14:paraId="4A138ED2">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w:t>
                  </w:r>
                </w:p>
              </w:tc>
            </w:tr>
            <w:tr w14:paraId="0886A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0" w:type="pct"/>
                  <w:shd w:val="clear" w:color="auto" w:fill="auto"/>
                  <w:vAlign w:val="center"/>
                </w:tcPr>
                <w:p w14:paraId="2EC6A4D3">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bidi="ar-SA"/>
                    </w:rPr>
                  </w:pPr>
                  <w:r>
                    <w:rPr>
                      <w:rFonts w:hint="eastAsia" w:ascii="Times New Roman" w:hAnsi="Times New Roman" w:cs="Times New Roman"/>
                      <w:color w:val="auto"/>
                      <w:kern w:val="0"/>
                      <w:sz w:val="21"/>
                      <w:szCs w:val="21"/>
                      <w:u w:val="single" w:color="auto"/>
                      <w:lang w:val="en-US" w:eastAsia="zh-CN"/>
                    </w:rPr>
                    <w:t>3</w:t>
                  </w:r>
                </w:p>
              </w:tc>
              <w:tc>
                <w:tcPr>
                  <w:tcW w:w="818" w:type="pct"/>
                  <w:vAlign w:val="center"/>
                </w:tcPr>
                <w:p w14:paraId="11A172FF">
                  <w:pPr>
                    <w:widowControl/>
                    <w:spacing w:line="240" w:lineRule="auto"/>
                    <w:ind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废砂芯</w:t>
                  </w:r>
                </w:p>
              </w:tc>
              <w:tc>
                <w:tcPr>
                  <w:tcW w:w="551" w:type="pct"/>
                  <w:vAlign w:val="center"/>
                </w:tcPr>
                <w:p w14:paraId="54036EA9">
                  <w:pPr>
                    <w:widowControl/>
                    <w:spacing w:line="240" w:lineRule="auto"/>
                    <w:ind w:firstLine="0" w:firstLineChars="0"/>
                    <w:jc w:val="center"/>
                    <w:rPr>
                      <w:rFonts w:hint="default" w:ascii="Times New Roman" w:hAnsi="Times New Roman"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50</w:t>
                  </w:r>
                </w:p>
              </w:tc>
              <w:tc>
                <w:tcPr>
                  <w:tcW w:w="650" w:type="pct"/>
                  <w:vMerge w:val="continue"/>
                  <w:vAlign w:val="center"/>
                </w:tcPr>
                <w:p w14:paraId="17A670C3">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p>
              </w:tc>
              <w:tc>
                <w:tcPr>
                  <w:tcW w:w="891" w:type="pct"/>
                  <w:vAlign w:val="center"/>
                </w:tcPr>
                <w:p w14:paraId="220C6AD3">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bidi="ar"/>
                    </w:rPr>
                    <w:t>900-001-S59</w:t>
                  </w:r>
                </w:p>
              </w:tc>
              <w:tc>
                <w:tcPr>
                  <w:tcW w:w="1237" w:type="pct"/>
                  <w:vAlign w:val="center"/>
                </w:tcPr>
                <w:p w14:paraId="666DD186">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收集后交原厂家</w:t>
                  </w:r>
                </w:p>
              </w:tc>
              <w:tc>
                <w:tcPr>
                  <w:tcW w:w="560" w:type="pct"/>
                  <w:vAlign w:val="center"/>
                </w:tcPr>
                <w:p w14:paraId="2BDF64CB">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w:t>
                  </w:r>
                </w:p>
              </w:tc>
            </w:tr>
            <w:tr w14:paraId="1A75F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0" w:type="pct"/>
                  <w:shd w:val="clear" w:color="auto" w:fill="auto"/>
                  <w:vAlign w:val="center"/>
                </w:tcPr>
                <w:p w14:paraId="581B1002">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bidi="ar-SA"/>
                    </w:rPr>
                  </w:pPr>
                  <w:r>
                    <w:rPr>
                      <w:rFonts w:hint="eastAsia" w:ascii="Times New Roman" w:hAnsi="Times New Roman" w:cs="Times New Roman"/>
                      <w:color w:val="auto"/>
                      <w:kern w:val="0"/>
                      <w:sz w:val="21"/>
                      <w:szCs w:val="21"/>
                      <w:u w:val="single" w:color="auto"/>
                      <w:lang w:val="en-US" w:eastAsia="zh-CN"/>
                    </w:rPr>
                    <w:t>4</w:t>
                  </w:r>
                </w:p>
              </w:tc>
              <w:tc>
                <w:tcPr>
                  <w:tcW w:w="818" w:type="pct"/>
                  <w:vAlign w:val="center"/>
                </w:tcPr>
                <w:p w14:paraId="16C79A96">
                  <w:pPr>
                    <w:widowControl/>
                    <w:spacing w:line="240" w:lineRule="auto"/>
                    <w:ind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废钢丸</w:t>
                  </w:r>
                </w:p>
              </w:tc>
              <w:tc>
                <w:tcPr>
                  <w:tcW w:w="551" w:type="pct"/>
                  <w:vAlign w:val="center"/>
                </w:tcPr>
                <w:p w14:paraId="4CC16A95">
                  <w:pPr>
                    <w:widowControl/>
                    <w:spacing w:line="240" w:lineRule="auto"/>
                    <w:ind w:firstLine="0" w:firstLineChars="0"/>
                    <w:jc w:val="center"/>
                    <w:rPr>
                      <w:rFonts w:hint="default" w:ascii="Times New Roman" w:hAnsi="Times New Roman"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50</w:t>
                  </w:r>
                </w:p>
              </w:tc>
              <w:tc>
                <w:tcPr>
                  <w:tcW w:w="650" w:type="pct"/>
                  <w:vMerge w:val="continue"/>
                  <w:vAlign w:val="center"/>
                </w:tcPr>
                <w:p w14:paraId="2529AB27">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p>
              </w:tc>
              <w:tc>
                <w:tcPr>
                  <w:tcW w:w="891" w:type="pct"/>
                  <w:vAlign w:val="center"/>
                </w:tcPr>
                <w:p w14:paraId="76DACD16">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bidi="ar"/>
                    </w:rPr>
                    <w:t>900-001-S17</w:t>
                  </w:r>
                </w:p>
              </w:tc>
              <w:tc>
                <w:tcPr>
                  <w:tcW w:w="1237" w:type="pct"/>
                  <w:vAlign w:val="center"/>
                </w:tcPr>
                <w:p w14:paraId="5DE7EA74">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收集后外售</w:t>
                  </w:r>
                </w:p>
              </w:tc>
              <w:tc>
                <w:tcPr>
                  <w:tcW w:w="560" w:type="pct"/>
                  <w:vAlign w:val="center"/>
                </w:tcPr>
                <w:p w14:paraId="317B0EDA">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w:t>
                  </w:r>
                </w:p>
              </w:tc>
            </w:tr>
            <w:tr w14:paraId="0C1C8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90" w:type="pct"/>
                  <w:shd w:val="clear" w:color="auto" w:fill="auto"/>
                  <w:vAlign w:val="center"/>
                </w:tcPr>
                <w:p w14:paraId="1B5DE771">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bidi="ar-SA"/>
                    </w:rPr>
                  </w:pPr>
                  <w:r>
                    <w:rPr>
                      <w:rFonts w:hint="eastAsia" w:ascii="Times New Roman" w:hAnsi="Times New Roman" w:cs="Times New Roman"/>
                      <w:color w:val="auto"/>
                      <w:kern w:val="0"/>
                      <w:sz w:val="21"/>
                      <w:szCs w:val="21"/>
                      <w:u w:val="single" w:color="auto"/>
                      <w:lang w:val="en-US" w:eastAsia="zh-CN"/>
                    </w:rPr>
                    <w:t>5</w:t>
                  </w:r>
                </w:p>
              </w:tc>
              <w:tc>
                <w:tcPr>
                  <w:tcW w:w="818" w:type="pct"/>
                  <w:vAlign w:val="center"/>
                </w:tcPr>
                <w:p w14:paraId="685FCBBD">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生活垃圾</w:t>
                  </w:r>
                </w:p>
              </w:tc>
              <w:tc>
                <w:tcPr>
                  <w:tcW w:w="551" w:type="pct"/>
                  <w:vAlign w:val="center"/>
                </w:tcPr>
                <w:p w14:paraId="5F4DC079">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cs="Times New Roman"/>
                      <w:color w:val="auto"/>
                      <w:kern w:val="0"/>
                      <w:sz w:val="21"/>
                      <w:szCs w:val="21"/>
                      <w:u w:val="single" w:color="auto"/>
                      <w:lang w:val="en-US" w:eastAsia="zh-CN"/>
                    </w:rPr>
                    <w:t>4.55</w:t>
                  </w:r>
                </w:p>
              </w:tc>
              <w:tc>
                <w:tcPr>
                  <w:tcW w:w="650" w:type="pct"/>
                  <w:vAlign w:val="center"/>
                </w:tcPr>
                <w:p w14:paraId="0CF3E8DC">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w:t>
                  </w:r>
                </w:p>
              </w:tc>
              <w:tc>
                <w:tcPr>
                  <w:tcW w:w="891" w:type="pct"/>
                  <w:vAlign w:val="center"/>
                </w:tcPr>
                <w:p w14:paraId="2C6C06A7">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w:t>
                  </w:r>
                </w:p>
              </w:tc>
              <w:tc>
                <w:tcPr>
                  <w:tcW w:w="1237" w:type="pct"/>
                  <w:vAlign w:val="center"/>
                </w:tcPr>
                <w:p w14:paraId="1D89C25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委托当地环卫部门进行清运处理</w:t>
                  </w:r>
                </w:p>
              </w:tc>
              <w:tc>
                <w:tcPr>
                  <w:tcW w:w="560" w:type="pct"/>
                  <w:vAlign w:val="center"/>
                </w:tcPr>
                <w:p w14:paraId="5A6A6719">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w:t>
                  </w:r>
                </w:p>
              </w:tc>
            </w:tr>
            <w:tr w14:paraId="20B9C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90" w:type="pct"/>
                  <w:shd w:val="clear" w:color="auto" w:fill="auto"/>
                  <w:vAlign w:val="center"/>
                </w:tcPr>
                <w:p w14:paraId="5891D07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bidi="ar-SA"/>
                    </w:rPr>
                  </w:pPr>
                  <w:r>
                    <w:rPr>
                      <w:rFonts w:hint="eastAsia" w:ascii="Times New Roman" w:hAnsi="Times New Roman" w:cs="Times New Roman"/>
                      <w:color w:val="auto"/>
                      <w:kern w:val="0"/>
                      <w:sz w:val="21"/>
                      <w:szCs w:val="21"/>
                      <w:u w:val="single" w:color="auto"/>
                      <w:lang w:val="en-US" w:eastAsia="zh-CN"/>
                    </w:rPr>
                    <w:t>6</w:t>
                  </w:r>
                </w:p>
              </w:tc>
              <w:tc>
                <w:tcPr>
                  <w:tcW w:w="818" w:type="pct"/>
                  <w:vAlign w:val="center"/>
                </w:tcPr>
                <w:p w14:paraId="2A8D01ED">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废液压油</w:t>
                  </w:r>
                </w:p>
              </w:tc>
              <w:tc>
                <w:tcPr>
                  <w:tcW w:w="551" w:type="pct"/>
                  <w:vAlign w:val="center"/>
                </w:tcPr>
                <w:p w14:paraId="05190E3F">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0.05</w:t>
                  </w:r>
                </w:p>
              </w:tc>
              <w:tc>
                <w:tcPr>
                  <w:tcW w:w="650" w:type="pct"/>
                  <w:vAlign w:val="center"/>
                </w:tcPr>
                <w:p w14:paraId="1EC7B4CB">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危险废物</w:t>
                  </w:r>
                </w:p>
              </w:tc>
              <w:tc>
                <w:tcPr>
                  <w:tcW w:w="891" w:type="pct"/>
                  <w:vAlign w:val="center"/>
                </w:tcPr>
                <w:p w14:paraId="7910E96C">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sz w:val="21"/>
                      <w:szCs w:val="21"/>
                      <w:u w:val="single" w:color="auto"/>
                      <w:lang w:val="en-US" w:eastAsia="zh-CN"/>
                    </w:rPr>
                    <w:t>900-218-08</w:t>
                  </w:r>
                </w:p>
              </w:tc>
              <w:tc>
                <w:tcPr>
                  <w:tcW w:w="1237" w:type="pct"/>
                  <w:vMerge w:val="restart"/>
                  <w:vAlign w:val="center"/>
                </w:tcPr>
                <w:p w14:paraId="5F18DEBA">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定期交有危险废物处理资质的单位处理</w:t>
                  </w:r>
                </w:p>
              </w:tc>
              <w:tc>
                <w:tcPr>
                  <w:tcW w:w="560" w:type="pct"/>
                  <w:vAlign w:val="center"/>
                </w:tcPr>
                <w:p w14:paraId="638504C6">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w:t>
                  </w:r>
                </w:p>
              </w:tc>
            </w:tr>
            <w:tr w14:paraId="104BB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trPr>
              <w:tc>
                <w:tcPr>
                  <w:tcW w:w="290" w:type="pct"/>
                  <w:shd w:val="clear" w:color="auto" w:fill="auto"/>
                  <w:vAlign w:val="center"/>
                </w:tcPr>
                <w:p w14:paraId="791866FF">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bidi="ar-SA"/>
                    </w:rPr>
                  </w:pPr>
                  <w:r>
                    <w:rPr>
                      <w:rFonts w:hint="eastAsia" w:cs="Times New Roman"/>
                      <w:color w:val="auto"/>
                      <w:kern w:val="0"/>
                      <w:sz w:val="21"/>
                      <w:szCs w:val="21"/>
                      <w:u w:val="single" w:color="auto"/>
                      <w:lang w:val="en-US" w:eastAsia="zh-CN"/>
                    </w:rPr>
                    <w:t>7</w:t>
                  </w:r>
                </w:p>
              </w:tc>
              <w:tc>
                <w:tcPr>
                  <w:tcW w:w="818" w:type="pct"/>
                  <w:vAlign w:val="center"/>
                </w:tcPr>
                <w:p w14:paraId="30A36181">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废润滑油</w:t>
                  </w:r>
                </w:p>
              </w:tc>
              <w:tc>
                <w:tcPr>
                  <w:tcW w:w="551" w:type="pct"/>
                  <w:vAlign w:val="center"/>
                </w:tcPr>
                <w:p w14:paraId="57E2924C">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0.05</w:t>
                  </w:r>
                </w:p>
              </w:tc>
              <w:tc>
                <w:tcPr>
                  <w:tcW w:w="650" w:type="pct"/>
                  <w:vAlign w:val="center"/>
                </w:tcPr>
                <w:p w14:paraId="3EC05D4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危险废物</w:t>
                  </w:r>
                </w:p>
              </w:tc>
              <w:tc>
                <w:tcPr>
                  <w:tcW w:w="891" w:type="pct"/>
                  <w:vAlign w:val="center"/>
                </w:tcPr>
                <w:p w14:paraId="5AFEFE49">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sz w:val="21"/>
                      <w:szCs w:val="21"/>
                      <w:u w:val="single" w:color="auto"/>
                      <w:lang w:val="en-US" w:eastAsia="zh-CN"/>
                    </w:rPr>
                    <w:t>900-217-08</w:t>
                  </w:r>
                </w:p>
              </w:tc>
              <w:tc>
                <w:tcPr>
                  <w:tcW w:w="1237" w:type="pct"/>
                  <w:vMerge w:val="continue"/>
                  <w:vAlign w:val="center"/>
                </w:tcPr>
                <w:p w14:paraId="60628DD9">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p>
              </w:tc>
              <w:tc>
                <w:tcPr>
                  <w:tcW w:w="560" w:type="pct"/>
                  <w:vAlign w:val="center"/>
                </w:tcPr>
                <w:p w14:paraId="2AABC104">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w:t>
                  </w:r>
                </w:p>
              </w:tc>
            </w:tr>
            <w:tr w14:paraId="224FA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90" w:type="pct"/>
                  <w:shd w:val="clear" w:color="auto" w:fill="auto"/>
                  <w:vAlign w:val="center"/>
                </w:tcPr>
                <w:p w14:paraId="57ADD119">
                  <w:pPr>
                    <w:widowControl/>
                    <w:spacing w:line="240" w:lineRule="auto"/>
                    <w:ind w:firstLine="0" w:firstLineChars="0"/>
                    <w:jc w:val="center"/>
                    <w:rPr>
                      <w:rFonts w:hint="default" w:ascii="Times New Roman" w:hAnsi="Times New Roman"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8</w:t>
                  </w:r>
                </w:p>
              </w:tc>
              <w:tc>
                <w:tcPr>
                  <w:tcW w:w="818" w:type="pct"/>
                  <w:vAlign w:val="center"/>
                </w:tcPr>
                <w:p w14:paraId="0C0C4900">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color w:val="auto"/>
                      <w:sz w:val="21"/>
                      <w:szCs w:val="21"/>
                      <w:u w:val="single" w:color="auto"/>
                      <w:lang w:val="en-US" w:eastAsia="zh-CN"/>
                    </w:rPr>
                    <w:t>铝屑切削油混合物</w:t>
                  </w:r>
                </w:p>
              </w:tc>
              <w:tc>
                <w:tcPr>
                  <w:tcW w:w="551" w:type="pct"/>
                  <w:vAlign w:val="center"/>
                </w:tcPr>
                <w:p w14:paraId="2B7B1F76">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2.4</w:t>
                  </w:r>
                </w:p>
              </w:tc>
              <w:tc>
                <w:tcPr>
                  <w:tcW w:w="650" w:type="pct"/>
                  <w:vAlign w:val="center"/>
                </w:tcPr>
                <w:p w14:paraId="36075D2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危险废物</w:t>
                  </w:r>
                </w:p>
              </w:tc>
              <w:tc>
                <w:tcPr>
                  <w:tcW w:w="891" w:type="pct"/>
                  <w:vAlign w:val="center"/>
                </w:tcPr>
                <w:p w14:paraId="001D916A">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color w:val="auto"/>
                      <w:sz w:val="21"/>
                      <w:szCs w:val="21"/>
                      <w:u w:val="single" w:color="auto"/>
                      <w:lang w:val="en-US" w:eastAsia="zh-CN"/>
                    </w:rPr>
                    <w:t>900-006-09</w:t>
                  </w:r>
                </w:p>
              </w:tc>
              <w:tc>
                <w:tcPr>
                  <w:tcW w:w="1237" w:type="pct"/>
                  <w:vAlign w:val="center"/>
                </w:tcPr>
                <w:p w14:paraId="287EC231">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作为生产原料用于金属冶炼，利用过程不</w:t>
                  </w:r>
                  <w:r>
                    <w:rPr>
                      <w:rFonts w:hint="eastAsia" w:cs="Times New Roman"/>
                      <w:color w:val="auto"/>
                      <w:kern w:val="0"/>
                      <w:sz w:val="21"/>
                      <w:szCs w:val="21"/>
                      <w:u w:val="single" w:color="auto"/>
                      <w:lang w:val="en-US" w:eastAsia="zh-CN"/>
                    </w:rPr>
                    <w:t>按</w:t>
                  </w:r>
                  <w:r>
                    <w:rPr>
                      <w:rFonts w:hint="eastAsia" w:ascii="Times New Roman" w:hAnsi="Times New Roman" w:eastAsia="宋体" w:cs="Times New Roman"/>
                      <w:color w:val="auto"/>
                      <w:kern w:val="0"/>
                      <w:sz w:val="21"/>
                      <w:szCs w:val="21"/>
                      <w:u w:val="single" w:color="auto"/>
                      <w:lang w:val="en-US" w:eastAsia="zh-CN"/>
                    </w:rPr>
                    <w:t>危险废物管理</w:t>
                  </w:r>
                </w:p>
              </w:tc>
              <w:tc>
                <w:tcPr>
                  <w:tcW w:w="560" w:type="pct"/>
                  <w:vAlign w:val="center"/>
                </w:tcPr>
                <w:p w14:paraId="1500F586">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w:t>
                  </w:r>
                </w:p>
              </w:tc>
            </w:tr>
            <w:tr w14:paraId="5EF7C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90" w:type="pct"/>
                  <w:shd w:val="clear" w:color="auto" w:fill="auto"/>
                  <w:vAlign w:val="center"/>
                </w:tcPr>
                <w:p w14:paraId="6AD9B0B3">
                  <w:pPr>
                    <w:widowControl/>
                    <w:spacing w:line="240" w:lineRule="auto"/>
                    <w:ind w:firstLine="0" w:firstLineChars="0"/>
                    <w:jc w:val="center"/>
                    <w:rPr>
                      <w:rFonts w:hint="default" w:ascii="Times New Roman" w:hAnsi="Times New Roman"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9</w:t>
                  </w:r>
                </w:p>
              </w:tc>
              <w:tc>
                <w:tcPr>
                  <w:tcW w:w="818" w:type="pct"/>
                  <w:vAlign w:val="center"/>
                </w:tcPr>
                <w:p w14:paraId="04075C64">
                  <w:pPr>
                    <w:widowControl/>
                    <w:spacing w:line="240" w:lineRule="auto"/>
                    <w:ind w:firstLine="0" w:firstLineChars="0"/>
                    <w:jc w:val="center"/>
                    <w:rPr>
                      <w:rFonts w:hint="eastAsia"/>
                      <w:color w:val="auto"/>
                      <w:sz w:val="21"/>
                      <w:szCs w:val="21"/>
                      <w:u w:val="single" w:color="auto"/>
                      <w:lang w:val="en-US" w:eastAsia="zh-CN"/>
                    </w:rPr>
                  </w:pPr>
                  <w:r>
                    <w:rPr>
                      <w:rFonts w:hint="eastAsia"/>
                      <w:color w:val="auto"/>
                      <w:sz w:val="21"/>
                      <w:szCs w:val="21"/>
                      <w:u w:val="single" w:color="auto"/>
                      <w:lang w:val="en-US" w:eastAsia="zh-CN"/>
                    </w:rPr>
                    <w:t>除尘铝灰</w:t>
                  </w:r>
                </w:p>
              </w:tc>
              <w:tc>
                <w:tcPr>
                  <w:tcW w:w="551" w:type="pct"/>
                  <w:vAlign w:val="center"/>
                </w:tcPr>
                <w:p w14:paraId="65E330FC">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3.5625</w:t>
                  </w:r>
                </w:p>
              </w:tc>
              <w:tc>
                <w:tcPr>
                  <w:tcW w:w="650" w:type="pct"/>
                  <w:vAlign w:val="center"/>
                </w:tcPr>
                <w:p w14:paraId="3705498F">
                  <w:pPr>
                    <w:widowControl/>
                    <w:spacing w:line="240" w:lineRule="auto"/>
                    <w:ind w:firstLine="0" w:firstLineChars="0"/>
                    <w:jc w:val="center"/>
                    <w:rPr>
                      <w:rFonts w:hint="eastAsia" w:ascii="Times New Roman" w:hAnsi="Times New Roman" w:eastAsia="宋体" w:cs="Times New Roman"/>
                      <w:color w:val="auto"/>
                      <w:kern w:val="2"/>
                      <w:sz w:val="21"/>
                      <w:szCs w:val="21"/>
                      <w:u w:val="single" w:color="auto"/>
                      <w:lang w:val="en-US" w:eastAsia="zh-CN"/>
                    </w:rPr>
                  </w:pPr>
                  <w:r>
                    <w:rPr>
                      <w:rFonts w:hint="eastAsia" w:ascii="Times New Roman" w:hAnsi="Times New Roman" w:eastAsia="宋体" w:cs="Times New Roman"/>
                      <w:color w:val="auto"/>
                      <w:kern w:val="2"/>
                      <w:sz w:val="21"/>
                      <w:szCs w:val="21"/>
                      <w:u w:val="single" w:color="auto"/>
                      <w:lang w:val="en-US" w:eastAsia="zh-CN"/>
                    </w:rPr>
                    <w:t>危险废物</w:t>
                  </w:r>
                </w:p>
              </w:tc>
              <w:tc>
                <w:tcPr>
                  <w:tcW w:w="891" w:type="pct"/>
                  <w:vAlign w:val="center"/>
                </w:tcPr>
                <w:p w14:paraId="5AC9C3B0">
                  <w:pPr>
                    <w:widowControl/>
                    <w:spacing w:line="240" w:lineRule="auto"/>
                    <w:ind w:firstLine="0" w:firstLineChars="0"/>
                    <w:jc w:val="center"/>
                    <w:rPr>
                      <w:rFonts w:hint="eastAsia" w:ascii="Times New Roman" w:hAnsi="Times New Roman" w:eastAsia="宋体" w:cs="Times New Roman"/>
                      <w:color w:val="auto"/>
                      <w:sz w:val="21"/>
                      <w:szCs w:val="21"/>
                      <w:u w:val="single" w:color="auto"/>
                      <w:lang w:val="en-US" w:eastAsia="zh-CN"/>
                    </w:rPr>
                  </w:pPr>
                  <w:r>
                    <w:rPr>
                      <w:rFonts w:hint="eastAsia" w:ascii="Times New Roman" w:hAnsi="Times New Roman" w:eastAsia="宋体" w:cs="Times New Roman"/>
                      <w:color w:val="auto"/>
                      <w:kern w:val="2"/>
                      <w:sz w:val="21"/>
                      <w:szCs w:val="21"/>
                      <w:u w:val="single" w:color="auto"/>
                      <w:lang w:val="en-US" w:eastAsia="zh-CN" w:bidi="ar-SA"/>
                    </w:rPr>
                    <w:t>321-034-48</w:t>
                  </w:r>
                </w:p>
              </w:tc>
              <w:tc>
                <w:tcPr>
                  <w:tcW w:w="1237" w:type="pct"/>
                  <w:vAlign w:val="center"/>
                </w:tcPr>
                <w:p w14:paraId="51024A17">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定期交有危险废物处理资质的单位处理</w:t>
                  </w:r>
                </w:p>
              </w:tc>
              <w:tc>
                <w:tcPr>
                  <w:tcW w:w="560" w:type="pct"/>
                  <w:vAlign w:val="center"/>
                </w:tcPr>
                <w:p w14:paraId="1AF37AD1">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w:t>
                  </w:r>
                </w:p>
              </w:tc>
            </w:tr>
          </w:tbl>
          <w:p w14:paraId="43E7FEAA">
            <w:pPr>
              <w:spacing w:line="240" w:lineRule="auto"/>
              <w:ind w:firstLine="422"/>
              <w:jc w:val="center"/>
              <w:rPr>
                <w:rFonts w:hint="eastAsia"/>
                <w:b/>
                <w:bCs/>
                <w:color w:val="auto"/>
                <w:sz w:val="21"/>
                <w:szCs w:val="21"/>
                <w:u w:val="single" w:color="auto"/>
              </w:rPr>
            </w:pPr>
            <w:r>
              <w:rPr>
                <w:rFonts w:hint="eastAsia"/>
                <w:b/>
                <w:bCs/>
                <w:color w:val="auto"/>
                <w:sz w:val="21"/>
                <w:szCs w:val="21"/>
                <w:u w:val="single" w:color="auto"/>
              </w:rPr>
              <w:t>表4-</w:t>
            </w:r>
            <w:r>
              <w:rPr>
                <w:rFonts w:hint="eastAsia"/>
                <w:b/>
                <w:bCs/>
                <w:color w:val="auto"/>
                <w:sz w:val="21"/>
                <w:szCs w:val="21"/>
                <w:u w:val="single" w:color="auto"/>
                <w:lang w:val="en-US" w:eastAsia="zh-CN"/>
              </w:rPr>
              <w:t>8</w:t>
            </w:r>
            <w:r>
              <w:rPr>
                <w:rFonts w:hint="eastAsia"/>
                <w:b/>
                <w:bCs/>
                <w:color w:val="auto"/>
                <w:sz w:val="21"/>
                <w:szCs w:val="21"/>
                <w:u w:val="single" w:color="auto"/>
              </w:rPr>
              <w:t xml:space="preserve">   建设项目危险废物产生及处置情况汇总表</w:t>
            </w:r>
          </w:p>
          <w:tbl>
            <w:tblPr>
              <w:tblStyle w:val="29"/>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987"/>
              <w:gridCol w:w="791"/>
              <w:gridCol w:w="807"/>
              <w:gridCol w:w="657"/>
              <w:gridCol w:w="686"/>
              <w:gridCol w:w="670"/>
              <w:gridCol w:w="442"/>
              <w:gridCol w:w="657"/>
              <w:gridCol w:w="686"/>
              <w:gridCol w:w="650"/>
              <w:gridCol w:w="738"/>
            </w:tblGrid>
            <w:tr w14:paraId="4544C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3" w:type="pct"/>
                  <w:noWrap w:val="0"/>
                  <w:vAlign w:val="center"/>
                </w:tcPr>
                <w:p w14:paraId="12F040DA">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贮存场所名称</w:t>
                  </w:r>
                </w:p>
              </w:tc>
              <w:tc>
                <w:tcPr>
                  <w:tcW w:w="583" w:type="pct"/>
                  <w:noWrap w:val="0"/>
                  <w:vAlign w:val="center"/>
                </w:tcPr>
                <w:p w14:paraId="43F76654">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危险废物名称</w:t>
                  </w:r>
                </w:p>
              </w:tc>
              <w:tc>
                <w:tcPr>
                  <w:tcW w:w="467" w:type="pct"/>
                  <w:noWrap w:val="0"/>
                  <w:vAlign w:val="center"/>
                </w:tcPr>
                <w:p w14:paraId="1E889647">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危险废物类别</w:t>
                  </w:r>
                </w:p>
              </w:tc>
              <w:tc>
                <w:tcPr>
                  <w:tcW w:w="477" w:type="pct"/>
                  <w:noWrap w:val="0"/>
                  <w:vAlign w:val="center"/>
                </w:tcPr>
                <w:p w14:paraId="49A4EEB9">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危险废物代码</w:t>
                  </w:r>
                </w:p>
              </w:tc>
              <w:tc>
                <w:tcPr>
                  <w:tcW w:w="388" w:type="pct"/>
                  <w:noWrap w:val="0"/>
                  <w:vAlign w:val="center"/>
                </w:tcPr>
                <w:p w14:paraId="26CA6D52">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产生量t/a</w:t>
                  </w:r>
                </w:p>
              </w:tc>
              <w:tc>
                <w:tcPr>
                  <w:tcW w:w="405" w:type="pct"/>
                  <w:noWrap w:val="0"/>
                  <w:vAlign w:val="center"/>
                </w:tcPr>
                <w:p w14:paraId="18222A9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产生工序及装置</w:t>
                  </w:r>
                </w:p>
              </w:tc>
              <w:tc>
                <w:tcPr>
                  <w:tcW w:w="396" w:type="pct"/>
                  <w:noWrap w:val="0"/>
                  <w:vAlign w:val="center"/>
                </w:tcPr>
                <w:p w14:paraId="63845A22">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有害成分</w:t>
                  </w:r>
                </w:p>
              </w:tc>
              <w:tc>
                <w:tcPr>
                  <w:tcW w:w="261" w:type="pct"/>
                  <w:noWrap w:val="0"/>
                  <w:vAlign w:val="center"/>
                </w:tcPr>
                <w:p w14:paraId="3FB4C87B">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形态</w:t>
                  </w:r>
                </w:p>
              </w:tc>
              <w:tc>
                <w:tcPr>
                  <w:tcW w:w="388" w:type="pct"/>
                  <w:noWrap w:val="0"/>
                  <w:vAlign w:val="center"/>
                </w:tcPr>
                <w:p w14:paraId="1578DF5D">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贮存方式</w:t>
                  </w:r>
                </w:p>
              </w:tc>
              <w:tc>
                <w:tcPr>
                  <w:tcW w:w="405" w:type="pct"/>
                  <w:noWrap w:val="0"/>
                  <w:vAlign w:val="center"/>
                </w:tcPr>
                <w:p w14:paraId="2EAE45C3">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产废周期</w:t>
                  </w:r>
                </w:p>
              </w:tc>
              <w:tc>
                <w:tcPr>
                  <w:tcW w:w="384" w:type="pct"/>
                  <w:noWrap w:val="0"/>
                  <w:vAlign w:val="center"/>
                </w:tcPr>
                <w:p w14:paraId="4F5CF13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危险特性</w:t>
                  </w:r>
                </w:p>
              </w:tc>
              <w:tc>
                <w:tcPr>
                  <w:tcW w:w="436" w:type="pct"/>
                  <w:noWrap w:val="0"/>
                  <w:vAlign w:val="center"/>
                </w:tcPr>
                <w:p w14:paraId="4403664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治理措施</w:t>
                  </w:r>
                </w:p>
              </w:tc>
            </w:tr>
            <w:tr w14:paraId="3A5EE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3" w:type="pct"/>
                  <w:vMerge w:val="restart"/>
                  <w:noWrap w:val="0"/>
                  <w:vAlign w:val="center"/>
                </w:tcPr>
                <w:p w14:paraId="08F218A1">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危废暂存间</w:t>
                  </w:r>
                </w:p>
              </w:tc>
              <w:tc>
                <w:tcPr>
                  <w:tcW w:w="583" w:type="pct"/>
                  <w:noWrap w:val="0"/>
                  <w:vAlign w:val="center"/>
                </w:tcPr>
                <w:p w14:paraId="057009D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废润滑油</w:t>
                  </w:r>
                </w:p>
              </w:tc>
              <w:tc>
                <w:tcPr>
                  <w:tcW w:w="467" w:type="pct"/>
                  <w:noWrap w:val="0"/>
                  <w:vAlign w:val="center"/>
                </w:tcPr>
                <w:p w14:paraId="5103C512">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zh-CN" w:eastAsia="zh-CN"/>
                    </w:rPr>
                  </w:pPr>
                  <w:r>
                    <w:rPr>
                      <w:rFonts w:hint="eastAsia" w:ascii="Times New Roman" w:hAnsi="Times New Roman" w:eastAsia="宋体" w:cs="Times New Roman"/>
                      <w:color w:val="auto"/>
                      <w:kern w:val="0"/>
                      <w:sz w:val="21"/>
                      <w:szCs w:val="21"/>
                      <w:u w:val="single" w:color="auto"/>
                      <w:lang w:val="zh-CN" w:eastAsia="zh-CN"/>
                    </w:rPr>
                    <w:t>HW08</w:t>
                  </w:r>
                </w:p>
              </w:tc>
              <w:tc>
                <w:tcPr>
                  <w:tcW w:w="477" w:type="pct"/>
                  <w:noWrap w:val="0"/>
                  <w:vAlign w:val="center"/>
                </w:tcPr>
                <w:p w14:paraId="064EC22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900-217-08</w:t>
                  </w:r>
                </w:p>
              </w:tc>
              <w:tc>
                <w:tcPr>
                  <w:tcW w:w="388" w:type="pct"/>
                  <w:noWrap w:val="0"/>
                  <w:vAlign w:val="center"/>
                </w:tcPr>
                <w:p w14:paraId="6561B202">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0.05</w:t>
                  </w:r>
                </w:p>
              </w:tc>
              <w:tc>
                <w:tcPr>
                  <w:tcW w:w="405" w:type="pct"/>
                  <w:noWrap w:val="0"/>
                  <w:vAlign w:val="center"/>
                </w:tcPr>
                <w:p w14:paraId="5A356D54">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机械维修</w:t>
                  </w:r>
                </w:p>
              </w:tc>
              <w:tc>
                <w:tcPr>
                  <w:tcW w:w="396" w:type="pct"/>
                  <w:noWrap w:val="0"/>
                  <w:vAlign w:val="center"/>
                </w:tcPr>
                <w:p w14:paraId="51942AB7">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废矿物油</w:t>
                  </w:r>
                </w:p>
              </w:tc>
              <w:tc>
                <w:tcPr>
                  <w:tcW w:w="261" w:type="pct"/>
                  <w:noWrap w:val="0"/>
                  <w:vAlign w:val="center"/>
                </w:tcPr>
                <w:p w14:paraId="1F8C70BD">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液态</w:t>
                  </w:r>
                </w:p>
              </w:tc>
              <w:tc>
                <w:tcPr>
                  <w:tcW w:w="388" w:type="pct"/>
                  <w:noWrap w:val="0"/>
                  <w:vAlign w:val="center"/>
                </w:tcPr>
                <w:p w14:paraId="1F5A29B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桶装</w:t>
                  </w:r>
                </w:p>
              </w:tc>
              <w:tc>
                <w:tcPr>
                  <w:tcW w:w="405" w:type="pct"/>
                  <w:noWrap w:val="0"/>
                  <w:vAlign w:val="center"/>
                </w:tcPr>
                <w:p w14:paraId="027A2629">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1年/次</w:t>
                  </w:r>
                </w:p>
              </w:tc>
              <w:tc>
                <w:tcPr>
                  <w:tcW w:w="384" w:type="pct"/>
                  <w:noWrap w:val="0"/>
                  <w:vAlign w:val="center"/>
                </w:tcPr>
                <w:p w14:paraId="6BC8FDB1">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T</w:t>
                  </w:r>
                  <w:r>
                    <w:rPr>
                      <w:rFonts w:hint="eastAsia" w:cs="Times New Roman"/>
                      <w:color w:val="auto"/>
                      <w:kern w:val="0"/>
                      <w:sz w:val="21"/>
                      <w:szCs w:val="21"/>
                      <w:u w:val="single" w:color="auto"/>
                      <w:lang w:val="en-US" w:eastAsia="zh-CN"/>
                    </w:rPr>
                    <w:t xml:space="preserve">, </w:t>
                  </w:r>
                  <w:r>
                    <w:rPr>
                      <w:rFonts w:hint="eastAsia" w:ascii="Times New Roman" w:hAnsi="Times New Roman" w:eastAsia="宋体" w:cs="Times New Roman"/>
                      <w:color w:val="auto"/>
                      <w:kern w:val="0"/>
                      <w:sz w:val="21"/>
                      <w:szCs w:val="21"/>
                      <w:u w:val="single" w:color="auto"/>
                      <w:lang w:val="en-US" w:eastAsia="zh-CN"/>
                    </w:rPr>
                    <w:t>I</w:t>
                  </w:r>
                </w:p>
              </w:tc>
              <w:tc>
                <w:tcPr>
                  <w:tcW w:w="436" w:type="pct"/>
                  <w:vMerge w:val="restart"/>
                  <w:noWrap w:val="0"/>
                  <w:vAlign w:val="center"/>
                </w:tcPr>
                <w:p w14:paraId="0C5680AF">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委托有资质单位处理</w:t>
                  </w:r>
                </w:p>
              </w:tc>
            </w:tr>
            <w:tr w14:paraId="79B6E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403" w:type="pct"/>
                  <w:vMerge w:val="continue"/>
                  <w:noWrap w:val="0"/>
                  <w:vAlign w:val="center"/>
                </w:tcPr>
                <w:p w14:paraId="0EEBCEA2">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p>
              </w:tc>
              <w:tc>
                <w:tcPr>
                  <w:tcW w:w="583" w:type="pct"/>
                  <w:tcBorders>
                    <w:bottom w:val="single" w:color="000000" w:sz="4" w:space="0"/>
                  </w:tcBorders>
                  <w:noWrap w:val="0"/>
                  <w:vAlign w:val="center"/>
                </w:tcPr>
                <w:p w14:paraId="7A803512">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废液压油</w:t>
                  </w:r>
                </w:p>
              </w:tc>
              <w:tc>
                <w:tcPr>
                  <w:tcW w:w="467" w:type="pct"/>
                  <w:tcBorders>
                    <w:bottom w:val="single" w:color="000000" w:sz="4" w:space="0"/>
                  </w:tcBorders>
                  <w:noWrap w:val="0"/>
                  <w:vAlign w:val="center"/>
                </w:tcPr>
                <w:p w14:paraId="0258E7A9">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zh-CN" w:eastAsia="zh-CN"/>
                    </w:rPr>
                  </w:pPr>
                  <w:r>
                    <w:rPr>
                      <w:rFonts w:hint="eastAsia" w:ascii="Times New Roman" w:hAnsi="Times New Roman" w:eastAsia="宋体" w:cs="Times New Roman"/>
                      <w:color w:val="auto"/>
                      <w:kern w:val="0"/>
                      <w:sz w:val="21"/>
                      <w:szCs w:val="21"/>
                      <w:u w:val="single" w:color="auto"/>
                      <w:lang w:val="zh-CN" w:eastAsia="zh-CN"/>
                    </w:rPr>
                    <w:t>HW08</w:t>
                  </w:r>
                </w:p>
              </w:tc>
              <w:tc>
                <w:tcPr>
                  <w:tcW w:w="477" w:type="pct"/>
                  <w:tcBorders>
                    <w:bottom w:val="single" w:color="000000" w:sz="4" w:space="0"/>
                  </w:tcBorders>
                  <w:noWrap w:val="0"/>
                  <w:vAlign w:val="center"/>
                </w:tcPr>
                <w:p w14:paraId="5AF15064">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sz w:val="21"/>
                      <w:szCs w:val="21"/>
                      <w:u w:val="single" w:color="auto"/>
                      <w:lang w:val="en-US" w:eastAsia="zh-CN"/>
                    </w:rPr>
                    <w:t>900-218-08</w:t>
                  </w:r>
                </w:p>
              </w:tc>
              <w:tc>
                <w:tcPr>
                  <w:tcW w:w="388" w:type="pct"/>
                  <w:tcBorders>
                    <w:bottom w:val="single" w:color="000000" w:sz="4" w:space="0"/>
                  </w:tcBorders>
                  <w:noWrap w:val="0"/>
                  <w:vAlign w:val="center"/>
                </w:tcPr>
                <w:p w14:paraId="76AFE092">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0.05</w:t>
                  </w:r>
                </w:p>
              </w:tc>
              <w:tc>
                <w:tcPr>
                  <w:tcW w:w="405" w:type="pct"/>
                  <w:tcBorders>
                    <w:bottom w:val="single" w:color="000000" w:sz="4" w:space="0"/>
                  </w:tcBorders>
                  <w:noWrap w:val="0"/>
                  <w:vAlign w:val="center"/>
                </w:tcPr>
                <w:p w14:paraId="60F14C15">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机械维修</w:t>
                  </w:r>
                </w:p>
              </w:tc>
              <w:tc>
                <w:tcPr>
                  <w:tcW w:w="396" w:type="pct"/>
                  <w:tcBorders>
                    <w:bottom w:val="single" w:color="000000" w:sz="4" w:space="0"/>
                  </w:tcBorders>
                  <w:noWrap w:val="0"/>
                  <w:vAlign w:val="center"/>
                </w:tcPr>
                <w:p w14:paraId="0A8906A5">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废矿物油</w:t>
                  </w:r>
                </w:p>
              </w:tc>
              <w:tc>
                <w:tcPr>
                  <w:tcW w:w="261" w:type="pct"/>
                  <w:tcBorders>
                    <w:bottom w:val="single" w:color="000000" w:sz="4" w:space="0"/>
                  </w:tcBorders>
                  <w:noWrap w:val="0"/>
                  <w:vAlign w:val="center"/>
                </w:tcPr>
                <w:p w14:paraId="1F646FBC">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液态</w:t>
                  </w:r>
                </w:p>
              </w:tc>
              <w:tc>
                <w:tcPr>
                  <w:tcW w:w="388" w:type="pct"/>
                  <w:tcBorders>
                    <w:bottom w:val="single" w:color="000000" w:sz="4" w:space="0"/>
                  </w:tcBorders>
                  <w:shd w:val="clear" w:color="auto" w:fill="auto"/>
                  <w:noWrap w:val="0"/>
                  <w:vAlign w:val="center"/>
                </w:tcPr>
                <w:p w14:paraId="66EC5059">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bidi="ar-SA"/>
                    </w:rPr>
                  </w:pPr>
                  <w:r>
                    <w:rPr>
                      <w:rFonts w:hint="eastAsia" w:ascii="Times New Roman" w:hAnsi="Times New Roman" w:eastAsia="宋体" w:cs="Times New Roman"/>
                      <w:color w:val="auto"/>
                      <w:kern w:val="0"/>
                      <w:sz w:val="21"/>
                      <w:szCs w:val="21"/>
                      <w:u w:val="single" w:color="auto"/>
                      <w:lang w:val="en-US" w:eastAsia="zh-CN"/>
                    </w:rPr>
                    <w:t>桶装</w:t>
                  </w:r>
                </w:p>
              </w:tc>
              <w:tc>
                <w:tcPr>
                  <w:tcW w:w="405" w:type="pct"/>
                  <w:tcBorders>
                    <w:bottom w:val="single" w:color="000000" w:sz="4" w:space="0"/>
                  </w:tcBorders>
                  <w:shd w:val="clear" w:color="auto" w:fill="auto"/>
                  <w:noWrap w:val="0"/>
                  <w:vAlign w:val="center"/>
                </w:tcPr>
                <w:p w14:paraId="218B77A2">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bidi="ar-SA"/>
                    </w:rPr>
                  </w:pPr>
                  <w:r>
                    <w:rPr>
                      <w:rFonts w:hint="eastAsia" w:ascii="Times New Roman" w:hAnsi="Times New Roman" w:eastAsia="宋体" w:cs="Times New Roman"/>
                      <w:color w:val="auto"/>
                      <w:kern w:val="0"/>
                      <w:sz w:val="21"/>
                      <w:szCs w:val="21"/>
                      <w:u w:val="single" w:color="auto"/>
                      <w:lang w:val="en-US" w:eastAsia="zh-CN"/>
                    </w:rPr>
                    <w:t>1年/次</w:t>
                  </w:r>
                </w:p>
              </w:tc>
              <w:tc>
                <w:tcPr>
                  <w:tcW w:w="384" w:type="pct"/>
                  <w:tcBorders>
                    <w:bottom w:val="single" w:color="000000" w:sz="4" w:space="0"/>
                  </w:tcBorders>
                  <w:shd w:val="clear" w:color="auto" w:fill="auto"/>
                  <w:noWrap w:val="0"/>
                  <w:vAlign w:val="center"/>
                </w:tcPr>
                <w:p w14:paraId="3D7C2A7C">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bidi="ar-SA"/>
                    </w:rPr>
                  </w:pPr>
                  <w:r>
                    <w:rPr>
                      <w:rFonts w:hint="eastAsia" w:ascii="Times New Roman" w:hAnsi="Times New Roman" w:eastAsia="宋体" w:cs="Times New Roman"/>
                      <w:color w:val="auto"/>
                      <w:kern w:val="0"/>
                      <w:sz w:val="21"/>
                      <w:szCs w:val="21"/>
                      <w:u w:val="single" w:color="auto"/>
                      <w:lang w:val="en-US" w:eastAsia="zh-CN"/>
                    </w:rPr>
                    <w:t>T</w:t>
                  </w:r>
                  <w:r>
                    <w:rPr>
                      <w:rFonts w:hint="eastAsia" w:cs="Times New Roman"/>
                      <w:color w:val="auto"/>
                      <w:kern w:val="0"/>
                      <w:sz w:val="21"/>
                      <w:szCs w:val="21"/>
                      <w:u w:val="single" w:color="auto"/>
                      <w:lang w:val="en-US" w:eastAsia="zh-CN"/>
                    </w:rPr>
                    <w:t xml:space="preserve">, </w:t>
                  </w:r>
                  <w:r>
                    <w:rPr>
                      <w:rFonts w:hint="eastAsia" w:ascii="Times New Roman" w:hAnsi="Times New Roman" w:eastAsia="宋体" w:cs="Times New Roman"/>
                      <w:color w:val="auto"/>
                      <w:kern w:val="0"/>
                      <w:sz w:val="21"/>
                      <w:szCs w:val="21"/>
                      <w:u w:val="single" w:color="auto"/>
                      <w:lang w:val="en-US" w:eastAsia="zh-CN"/>
                    </w:rPr>
                    <w:t>I</w:t>
                  </w:r>
                </w:p>
              </w:tc>
              <w:tc>
                <w:tcPr>
                  <w:tcW w:w="436" w:type="pct"/>
                  <w:vMerge w:val="continue"/>
                  <w:noWrap w:val="0"/>
                  <w:vAlign w:val="center"/>
                </w:tcPr>
                <w:p w14:paraId="555C4484">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p>
              </w:tc>
            </w:tr>
            <w:tr w14:paraId="61857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403" w:type="pct"/>
                  <w:vMerge w:val="continue"/>
                  <w:noWrap w:val="0"/>
                  <w:vAlign w:val="center"/>
                </w:tcPr>
                <w:p w14:paraId="68E12935">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p>
              </w:tc>
              <w:tc>
                <w:tcPr>
                  <w:tcW w:w="583" w:type="pct"/>
                  <w:tcBorders>
                    <w:top w:val="single" w:color="000000" w:sz="4" w:space="0"/>
                  </w:tcBorders>
                  <w:noWrap w:val="0"/>
                  <w:vAlign w:val="center"/>
                </w:tcPr>
                <w:p w14:paraId="16DDF2D3">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铝灰</w:t>
                  </w:r>
                </w:p>
              </w:tc>
              <w:tc>
                <w:tcPr>
                  <w:tcW w:w="467" w:type="pct"/>
                  <w:tcBorders>
                    <w:top w:val="single" w:color="000000" w:sz="4" w:space="0"/>
                  </w:tcBorders>
                  <w:noWrap w:val="0"/>
                  <w:vAlign w:val="center"/>
                </w:tcPr>
                <w:p w14:paraId="1944B4FF">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HW48</w:t>
                  </w:r>
                </w:p>
              </w:tc>
              <w:tc>
                <w:tcPr>
                  <w:tcW w:w="477" w:type="pct"/>
                  <w:tcBorders>
                    <w:top w:val="single" w:color="000000" w:sz="4" w:space="0"/>
                  </w:tcBorders>
                  <w:noWrap w:val="0"/>
                  <w:vAlign w:val="center"/>
                </w:tcPr>
                <w:p w14:paraId="64B4B732">
                  <w:pPr>
                    <w:widowControl/>
                    <w:spacing w:line="240" w:lineRule="auto"/>
                    <w:ind w:firstLine="0" w:firstLineChars="0"/>
                    <w:jc w:val="center"/>
                    <w:rPr>
                      <w:rFonts w:hint="eastAsia" w:ascii="Times New Roman" w:hAnsi="Times New Roman" w:eastAsia="宋体" w:cs="Times New Roman"/>
                      <w:color w:val="auto"/>
                      <w:sz w:val="21"/>
                      <w:szCs w:val="21"/>
                      <w:u w:val="single" w:color="auto"/>
                      <w:lang w:val="en-US" w:eastAsia="zh-CN"/>
                    </w:rPr>
                  </w:pPr>
                  <w:r>
                    <w:rPr>
                      <w:rFonts w:hint="eastAsia" w:ascii="Times New Roman" w:hAnsi="Times New Roman" w:eastAsia="宋体" w:cs="Times New Roman"/>
                      <w:color w:val="auto"/>
                      <w:kern w:val="2"/>
                      <w:sz w:val="21"/>
                      <w:szCs w:val="21"/>
                      <w:u w:val="single" w:color="auto"/>
                      <w:lang w:val="en-US" w:eastAsia="zh-CN" w:bidi="ar-SA"/>
                    </w:rPr>
                    <w:t>321-034-48</w:t>
                  </w:r>
                </w:p>
              </w:tc>
              <w:tc>
                <w:tcPr>
                  <w:tcW w:w="388" w:type="pct"/>
                  <w:tcBorders>
                    <w:top w:val="single" w:color="000000" w:sz="4" w:space="0"/>
                  </w:tcBorders>
                  <w:noWrap w:val="0"/>
                  <w:vAlign w:val="center"/>
                </w:tcPr>
                <w:p w14:paraId="305E72AC">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3.5625</w:t>
                  </w:r>
                </w:p>
              </w:tc>
              <w:tc>
                <w:tcPr>
                  <w:tcW w:w="405" w:type="pct"/>
                  <w:tcBorders>
                    <w:top w:val="single" w:color="000000" w:sz="4" w:space="0"/>
                  </w:tcBorders>
                  <w:noWrap w:val="0"/>
                  <w:vAlign w:val="center"/>
                </w:tcPr>
                <w:p w14:paraId="632E147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布袋除尘</w:t>
                  </w:r>
                </w:p>
              </w:tc>
              <w:tc>
                <w:tcPr>
                  <w:tcW w:w="396" w:type="pct"/>
                  <w:tcBorders>
                    <w:top w:val="single" w:color="000000" w:sz="4" w:space="0"/>
                  </w:tcBorders>
                  <w:noWrap w:val="0"/>
                  <w:vAlign w:val="center"/>
                </w:tcPr>
                <w:p w14:paraId="054F4798">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铝灰</w:t>
                  </w:r>
                </w:p>
              </w:tc>
              <w:tc>
                <w:tcPr>
                  <w:tcW w:w="261" w:type="pct"/>
                  <w:tcBorders>
                    <w:top w:val="single" w:color="000000" w:sz="4" w:space="0"/>
                  </w:tcBorders>
                  <w:noWrap w:val="0"/>
                  <w:vAlign w:val="center"/>
                </w:tcPr>
                <w:p w14:paraId="5C683C42">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固态</w:t>
                  </w:r>
                </w:p>
              </w:tc>
              <w:tc>
                <w:tcPr>
                  <w:tcW w:w="388" w:type="pct"/>
                  <w:tcBorders>
                    <w:top w:val="single" w:color="000000" w:sz="4" w:space="0"/>
                  </w:tcBorders>
                  <w:shd w:val="clear" w:color="auto" w:fill="auto"/>
                  <w:noWrap w:val="0"/>
                  <w:vAlign w:val="center"/>
                </w:tcPr>
                <w:p w14:paraId="53B2CD9E">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袋装</w:t>
                  </w:r>
                </w:p>
              </w:tc>
              <w:tc>
                <w:tcPr>
                  <w:tcW w:w="405" w:type="pct"/>
                  <w:tcBorders>
                    <w:top w:val="single" w:color="000000" w:sz="4" w:space="0"/>
                  </w:tcBorders>
                  <w:shd w:val="clear" w:color="auto" w:fill="auto"/>
                  <w:noWrap w:val="0"/>
                  <w:vAlign w:val="center"/>
                </w:tcPr>
                <w:p w14:paraId="4BE234FA">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1年/次</w:t>
                  </w:r>
                </w:p>
              </w:tc>
              <w:tc>
                <w:tcPr>
                  <w:tcW w:w="384" w:type="pct"/>
                  <w:tcBorders>
                    <w:top w:val="single" w:color="000000" w:sz="4" w:space="0"/>
                  </w:tcBorders>
                  <w:shd w:val="clear" w:color="auto" w:fill="auto"/>
                  <w:noWrap w:val="0"/>
                  <w:vAlign w:val="center"/>
                </w:tcPr>
                <w:p w14:paraId="105DA660">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cs="Times New Roman"/>
                      <w:color w:val="auto"/>
                      <w:kern w:val="0"/>
                      <w:sz w:val="21"/>
                      <w:szCs w:val="21"/>
                      <w:u w:val="single" w:color="auto"/>
                      <w:lang w:val="en-US" w:eastAsia="zh-CN"/>
                    </w:rPr>
                    <w:t>T,R</w:t>
                  </w:r>
                </w:p>
              </w:tc>
              <w:tc>
                <w:tcPr>
                  <w:tcW w:w="436" w:type="pct"/>
                  <w:vMerge w:val="continue"/>
                  <w:noWrap w:val="0"/>
                  <w:vAlign w:val="center"/>
                </w:tcPr>
                <w:p w14:paraId="74B0F5E4">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p>
              </w:tc>
            </w:tr>
            <w:tr w14:paraId="176F2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3" w:type="pct"/>
                  <w:vMerge w:val="continue"/>
                  <w:noWrap w:val="0"/>
                  <w:vAlign w:val="center"/>
                </w:tcPr>
                <w:p w14:paraId="03A45830">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p>
              </w:tc>
              <w:tc>
                <w:tcPr>
                  <w:tcW w:w="583" w:type="pct"/>
                  <w:noWrap w:val="0"/>
                  <w:vAlign w:val="center"/>
                </w:tcPr>
                <w:p w14:paraId="67C4BC3D">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color w:val="auto"/>
                      <w:sz w:val="21"/>
                      <w:szCs w:val="21"/>
                      <w:u w:val="single" w:color="auto"/>
                      <w:lang w:val="en-US" w:eastAsia="zh-CN"/>
                    </w:rPr>
                    <w:t>铝屑切削油混合物</w:t>
                  </w:r>
                </w:p>
              </w:tc>
              <w:tc>
                <w:tcPr>
                  <w:tcW w:w="467" w:type="pct"/>
                  <w:noWrap w:val="0"/>
                  <w:vAlign w:val="center"/>
                </w:tcPr>
                <w:p w14:paraId="0D942772">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HW09</w:t>
                  </w:r>
                </w:p>
              </w:tc>
              <w:tc>
                <w:tcPr>
                  <w:tcW w:w="477" w:type="pct"/>
                  <w:noWrap w:val="0"/>
                  <w:vAlign w:val="center"/>
                </w:tcPr>
                <w:p w14:paraId="4D1355E7">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color w:val="auto"/>
                      <w:sz w:val="21"/>
                      <w:szCs w:val="21"/>
                      <w:u w:val="single" w:color="auto"/>
                      <w:lang w:val="en-US" w:eastAsia="zh-CN"/>
                    </w:rPr>
                    <w:t>900-006-09</w:t>
                  </w:r>
                </w:p>
              </w:tc>
              <w:tc>
                <w:tcPr>
                  <w:tcW w:w="388" w:type="pct"/>
                  <w:noWrap w:val="0"/>
                  <w:vAlign w:val="center"/>
                </w:tcPr>
                <w:p w14:paraId="55AAAB88">
                  <w:pPr>
                    <w:widowControl/>
                    <w:spacing w:line="240" w:lineRule="auto"/>
                    <w:ind w:firstLine="0" w:firstLineChars="0"/>
                    <w:jc w:val="center"/>
                    <w:rPr>
                      <w:rFonts w:hint="default"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2.4</w:t>
                  </w:r>
                </w:p>
              </w:tc>
              <w:tc>
                <w:tcPr>
                  <w:tcW w:w="405" w:type="pct"/>
                  <w:noWrap w:val="0"/>
                  <w:vAlign w:val="center"/>
                </w:tcPr>
                <w:p w14:paraId="5CCCC14F">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铸件精加工</w:t>
                  </w:r>
                </w:p>
              </w:tc>
              <w:tc>
                <w:tcPr>
                  <w:tcW w:w="396" w:type="pct"/>
                  <w:noWrap w:val="0"/>
                  <w:vAlign w:val="center"/>
                </w:tcPr>
                <w:p w14:paraId="08216787">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废矿物油</w:t>
                  </w:r>
                </w:p>
              </w:tc>
              <w:tc>
                <w:tcPr>
                  <w:tcW w:w="261" w:type="pct"/>
                  <w:noWrap w:val="0"/>
                  <w:vAlign w:val="center"/>
                </w:tcPr>
                <w:p w14:paraId="603111A6">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液态</w:t>
                  </w:r>
                </w:p>
              </w:tc>
              <w:tc>
                <w:tcPr>
                  <w:tcW w:w="388" w:type="pct"/>
                  <w:noWrap w:val="0"/>
                  <w:vAlign w:val="center"/>
                </w:tcPr>
                <w:p w14:paraId="2EA9250C">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桶装</w:t>
                  </w:r>
                </w:p>
              </w:tc>
              <w:tc>
                <w:tcPr>
                  <w:tcW w:w="405" w:type="pct"/>
                  <w:noWrap w:val="0"/>
                  <w:vAlign w:val="center"/>
                </w:tcPr>
                <w:p w14:paraId="2EAA14A9">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生产期间</w:t>
                  </w:r>
                </w:p>
              </w:tc>
              <w:tc>
                <w:tcPr>
                  <w:tcW w:w="384" w:type="pct"/>
                  <w:noWrap w:val="0"/>
                  <w:vAlign w:val="center"/>
                </w:tcPr>
                <w:p w14:paraId="768D48BB">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T</w:t>
                  </w:r>
                </w:p>
              </w:tc>
              <w:tc>
                <w:tcPr>
                  <w:tcW w:w="436" w:type="pct"/>
                  <w:noWrap w:val="0"/>
                  <w:vAlign w:val="center"/>
                </w:tcPr>
                <w:p w14:paraId="4845BFF0">
                  <w:pPr>
                    <w:widowControl/>
                    <w:spacing w:line="240" w:lineRule="auto"/>
                    <w:ind w:firstLine="0" w:firstLineChars="0"/>
                    <w:jc w:val="center"/>
                    <w:rPr>
                      <w:rFonts w:hint="eastAsia" w:ascii="Times New Roman" w:hAnsi="Times New Roman" w:eastAsia="宋体" w:cs="Times New Roman"/>
                      <w:color w:val="auto"/>
                      <w:kern w:val="0"/>
                      <w:sz w:val="21"/>
                      <w:szCs w:val="21"/>
                      <w:u w:val="single" w:color="auto"/>
                      <w:lang w:val="en-US" w:eastAsia="zh-CN"/>
                    </w:rPr>
                  </w:pPr>
                  <w:r>
                    <w:rPr>
                      <w:rFonts w:hint="eastAsia" w:ascii="Times New Roman" w:hAnsi="Times New Roman" w:eastAsia="宋体" w:cs="Times New Roman"/>
                      <w:color w:val="auto"/>
                      <w:kern w:val="0"/>
                      <w:sz w:val="21"/>
                      <w:szCs w:val="21"/>
                      <w:u w:val="single" w:color="auto"/>
                      <w:lang w:val="en-US" w:eastAsia="zh-CN"/>
                    </w:rPr>
                    <w:t>外售用于金属冶炼，利用过程不</w:t>
                  </w:r>
                  <w:r>
                    <w:rPr>
                      <w:rFonts w:hint="eastAsia" w:cs="Times New Roman"/>
                      <w:color w:val="auto"/>
                      <w:kern w:val="0"/>
                      <w:sz w:val="21"/>
                      <w:szCs w:val="21"/>
                      <w:u w:val="single" w:color="auto"/>
                      <w:lang w:val="en-US" w:eastAsia="zh-CN"/>
                    </w:rPr>
                    <w:t>按</w:t>
                  </w:r>
                  <w:r>
                    <w:rPr>
                      <w:rFonts w:hint="eastAsia" w:ascii="Times New Roman" w:hAnsi="Times New Roman" w:eastAsia="宋体" w:cs="Times New Roman"/>
                      <w:color w:val="auto"/>
                      <w:kern w:val="0"/>
                      <w:sz w:val="21"/>
                      <w:szCs w:val="21"/>
                      <w:u w:val="single" w:color="auto"/>
                      <w:lang w:val="en-US" w:eastAsia="zh-CN"/>
                    </w:rPr>
                    <w:t>危险废物管理</w:t>
                  </w:r>
                </w:p>
              </w:tc>
            </w:tr>
          </w:tbl>
          <w:p w14:paraId="12416C68">
            <w:pPr>
              <w:bidi w:val="0"/>
              <w:rPr>
                <w:color w:val="auto"/>
                <w:u w:val="single" w:color="auto"/>
              </w:rPr>
            </w:pPr>
            <w:r>
              <w:rPr>
                <w:rFonts w:hint="eastAsia" w:cs="Times New Roman"/>
                <w:color w:val="auto"/>
                <w:u w:val="single" w:color="auto"/>
                <w:lang w:val="en-US" w:eastAsia="zh-CN"/>
              </w:rPr>
              <w:t>2</w:t>
            </w:r>
            <w:r>
              <w:rPr>
                <w:rFonts w:hint="eastAsia" w:ascii="Times New Roman" w:hAnsi="Times New Roman" w:eastAsia="宋体" w:cs="Times New Roman"/>
                <w:color w:val="auto"/>
                <w:u w:val="single" w:color="auto"/>
                <w:lang w:val="en-US" w:eastAsia="zh-CN"/>
              </w:rPr>
              <w:t>、</w:t>
            </w:r>
            <w:r>
              <w:rPr>
                <w:rFonts w:hint="eastAsia"/>
                <w:color w:val="auto"/>
                <w:u w:val="single" w:color="auto"/>
              </w:rPr>
              <w:t>固废处理处置措施</w:t>
            </w:r>
          </w:p>
          <w:p w14:paraId="62D3422C">
            <w:pPr>
              <w:bidi w:val="0"/>
              <w:ind w:firstLine="72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①贮存场管理要求</w:t>
            </w:r>
          </w:p>
          <w:p w14:paraId="48FB6D25">
            <w:pPr>
              <w:bidi w:val="0"/>
              <w:ind w:firstLine="72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一般固废间：</w:t>
            </w:r>
          </w:p>
          <w:p w14:paraId="56EF31DA">
            <w:pPr>
              <w:bidi w:val="0"/>
              <w:ind w:firstLine="72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一般固废间贮存场所的建设需满足一般工业固体废物贮存和填埋污染控制标准（GB18599-2020）的要求。为加强监督管理，贮存、处置场应按GB15562.2设置环境保护图形标志，采用库房、包装工具（罐、桶、包装袋等）贮存一般工业固体废物的，贮存过程应满足相应防渗漏、 防雨淋、防扬尘等环境保护要求；不相容的一般工业固体废物应设置不同的分区进行贮存，危险废物和生活垃圾不得进入一般工业固体废物贮存场及填埋场；不相容的一般工业固体废物应设置不同的分区进行贮存和填埋作业；建立检查维护制度，定期检查维护一般固废库，发现有损坏可能或异常，应及时采取必要措施，以保障正常运行，建立档案制度。将入场的一般工业固体废物的种类和数量以及下列资料，详细记录在案，长期保存，供随时查阅。排污单位生产运营期间一般工业固体废物自行贮存/利用/处置设施的环境管理和相关设施运行维 护要求还应符合GB 15562.2、GB 18599、GB 30485和HJ2035等相关标准规范要求。</w:t>
            </w:r>
          </w:p>
          <w:p w14:paraId="26D11E4C">
            <w:pPr>
              <w:bidi w:val="0"/>
              <w:ind w:firstLine="72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危险固废间：</w:t>
            </w:r>
          </w:p>
          <w:p w14:paraId="103B7B7E">
            <w:pPr>
              <w:bidi w:val="0"/>
              <w:ind w:firstLine="72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1）产生危废的车间，必须使用专用储存设施，并将危险废物装入专用容器中，装容器应达到相应的强度要求并完好无损，禁止混合贮存性质不相容而未经安全性处置的危险废物，无法装入常用容器的危险废物可用防漏胶袋等盛装，盛装危险废物的容器和胶带必须贴符合《危险废物识别标志设置技术规范》（HJ 1276-2022）所示的标签等，防止造成二次污染。危险废物暂存时需有塑料内衬密封，并设有专用暂存区，不得混存，且须做好防淋防渗措施，以避免固废中的挥发物质对环境造成污染，危险废物容器和包装物以及危险废物贮存设施、场所应按规定设置危险废物识别标志。</w:t>
            </w:r>
          </w:p>
          <w:p w14:paraId="1996092B">
            <w:pPr>
              <w:bidi w:val="0"/>
              <w:ind w:firstLine="72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2）对于危废的收集及贮存，应根据危险固废的成分，用符合国家标准的耐腐蚀、不易破损、变形和老化的容器贮存，并按规定在贮存危废容器上贴上标签，详细注明危废的名称、重量、成分、特性以及发生泄漏、扩散污染事故时的应急措施和补救办法。</w:t>
            </w:r>
          </w:p>
          <w:p w14:paraId="567A559D">
            <w:pPr>
              <w:bidi w:val="0"/>
              <w:ind w:firstLine="72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3）危险废物的收集和转运过程中，应采取相应的安全防护和污染防治措施，包括防爆、 防火、防中毒、防感染、防</w:t>
            </w:r>
            <w:r>
              <w:rPr>
                <w:rFonts w:hint="eastAsia" w:cs="Times New Roman"/>
                <w:color w:val="auto"/>
                <w:u w:val="single" w:color="auto"/>
                <w:lang w:val="en-US" w:eastAsia="zh-CN"/>
              </w:rPr>
              <w:t>泄漏</w:t>
            </w:r>
            <w:r>
              <w:rPr>
                <w:rFonts w:hint="eastAsia" w:ascii="Times New Roman" w:hAnsi="Times New Roman" w:eastAsia="宋体" w:cs="Times New Roman"/>
                <w:color w:val="auto"/>
                <w:u w:val="single" w:color="auto"/>
                <w:lang w:val="en-US" w:eastAsia="zh-CN"/>
              </w:rPr>
              <w:t>、防飞扬、防雨或其它防止污染环境的措施。</w:t>
            </w:r>
          </w:p>
          <w:p w14:paraId="55DB3725">
            <w:pPr>
              <w:bidi w:val="0"/>
              <w:ind w:firstLine="720"/>
              <w:rPr>
                <w:rFonts w:hint="eastAsia" w:ascii="Times New Roman" w:hAnsi="Times New Roman" w:eastAsia="宋体" w:cs="Times New Roman"/>
                <w:color w:val="auto"/>
                <w:u w:val="single" w:color="auto"/>
                <w:lang w:val="en-US" w:eastAsia="zh-CN"/>
              </w:rPr>
            </w:pPr>
            <w:r>
              <w:rPr>
                <w:rFonts w:hint="eastAsia" w:ascii="Times New Roman" w:hAnsi="Times New Roman" w:eastAsia="宋体" w:cs="Times New Roman"/>
                <w:color w:val="auto"/>
                <w:u w:val="single" w:color="auto"/>
                <w:lang w:val="en-US" w:eastAsia="zh-CN"/>
              </w:rPr>
              <w:t>4）危险废物贮存设施要符合国家危险固废贮存场所的建设要求，危险固废贮存设施要建有堵截泄漏的裙脚，地面与裙脚用坚固的防渗材料建造，并建有隔离设施和防风、防晒、防雨设施，基础防渗层用2mm的高密度聚乙烯材料组成，表面用耐腐蚀材料硬化，衬层上建有渗滤液收集清除系统、径流导出系统、雨水收集池。储存间内清理出来的泄漏物也属于危险废物，必须按照危险废物处理原则处理。</w:t>
            </w:r>
          </w:p>
          <w:p w14:paraId="08F3C9F9">
            <w:pPr>
              <w:bidi w:val="0"/>
              <w:ind w:firstLine="720"/>
              <w:rPr>
                <w:color w:val="auto"/>
                <w:sz w:val="24"/>
                <w:highlight w:val="none"/>
                <w:u w:val="single" w:color="auto"/>
              </w:rPr>
            </w:pPr>
            <w:r>
              <w:rPr>
                <w:rFonts w:hint="eastAsia" w:ascii="Times New Roman" w:hAnsi="Times New Roman" w:eastAsia="宋体" w:cs="Times New Roman"/>
                <w:color w:val="auto"/>
                <w:u w:val="single" w:color="auto"/>
                <w:lang w:val="en-US" w:eastAsia="zh-CN"/>
              </w:rPr>
              <w:t>5）地面与</w:t>
            </w:r>
            <w:r>
              <w:rPr>
                <w:rFonts w:hint="eastAsia" w:cs="Times New Roman"/>
                <w:color w:val="auto"/>
                <w:u w:val="single" w:color="auto"/>
                <w:lang w:val="en-US" w:eastAsia="zh-CN"/>
              </w:rPr>
              <w:t>墙脚</w:t>
            </w:r>
            <w:r>
              <w:rPr>
                <w:rFonts w:hint="eastAsia" w:ascii="Times New Roman" w:hAnsi="Times New Roman" w:eastAsia="宋体" w:cs="Times New Roman"/>
                <w:color w:val="auto"/>
                <w:u w:val="single" w:color="auto"/>
                <w:lang w:val="en-US" w:eastAsia="zh-CN"/>
              </w:rPr>
              <w:t>要用坚固、防渗、防腐的材料建造；危险废物存放间场地防渗处理后，渗</w:t>
            </w:r>
            <w:r>
              <w:rPr>
                <w:color w:val="auto"/>
                <w:sz w:val="24"/>
                <w:highlight w:val="none"/>
                <w:u w:val="single" w:color="auto"/>
              </w:rPr>
              <w:t>透系统要小于1×10</w:t>
            </w:r>
            <w:r>
              <w:rPr>
                <w:color w:val="auto"/>
                <w:sz w:val="24"/>
                <w:highlight w:val="none"/>
                <w:u w:val="single" w:color="auto"/>
                <w:vertAlign w:val="superscript"/>
              </w:rPr>
              <w:t>-10</w:t>
            </w:r>
            <w:r>
              <w:rPr>
                <w:color w:val="auto"/>
                <w:sz w:val="24"/>
                <w:highlight w:val="none"/>
                <w:u w:val="single" w:color="auto"/>
              </w:rPr>
              <w:t>cm/s。</w:t>
            </w:r>
          </w:p>
          <w:p w14:paraId="5760C24E">
            <w:pPr>
              <w:spacing w:line="360" w:lineRule="auto"/>
              <w:ind w:firstLine="480" w:firstLineChars="200"/>
              <w:rPr>
                <w:color w:val="auto"/>
                <w:sz w:val="24"/>
                <w:highlight w:val="none"/>
                <w:u w:val="single" w:color="auto"/>
              </w:rPr>
            </w:pPr>
            <w:r>
              <w:rPr>
                <w:rFonts w:hint="eastAsia"/>
                <w:color w:val="auto"/>
                <w:sz w:val="24"/>
                <w:highlight w:val="none"/>
                <w:u w:val="single" w:color="auto"/>
              </w:rPr>
              <w:t>6）</w:t>
            </w:r>
            <w:r>
              <w:rPr>
                <w:color w:val="auto"/>
                <w:sz w:val="24"/>
                <w:highlight w:val="none"/>
                <w:u w:val="single" w:color="auto"/>
              </w:rPr>
              <w:t>公司应设置专门的危险固废处置机构，作为厂内环境管理、监测的重要组成部分，主要负责危险固废的收集、贮存及处置。</w:t>
            </w:r>
          </w:p>
          <w:p w14:paraId="5EB976B8">
            <w:pPr>
              <w:spacing w:line="360" w:lineRule="auto"/>
              <w:ind w:firstLine="480" w:firstLineChars="200"/>
              <w:rPr>
                <w:rFonts w:hint="eastAsia"/>
                <w:color w:val="auto"/>
                <w:sz w:val="24"/>
                <w:highlight w:val="none"/>
                <w:u w:val="single" w:color="auto"/>
              </w:rPr>
            </w:pPr>
            <w:r>
              <w:rPr>
                <w:rFonts w:hint="eastAsia"/>
                <w:color w:val="auto"/>
                <w:sz w:val="24"/>
                <w:highlight w:val="none"/>
                <w:u w:val="single" w:color="auto"/>
              </w:rPr>
              <w:t>7）统计公司各车间的危险废物种类、产生量、暂存时间、交由处置时间等除此之外，危险废物存放间还要记录危险废物的名称、来源、数量、特性和包装容器的类别、入库日期、存放库位、出库日期及</w:t>
            </w:r>
            <w:r>
              <w:rPr>
                <w:rFonts w:hint="eastAsia"/>
                <w:color w:val="auto"/>
                <w:sz w:val="24"/>
                <w:highlight w:val="none"/>
                <w:u w:val="single" w:color="auto"/>
                <w:lang w:eastAsia="zh-CN"/>
              </w:rPr>
              <w:t>接收单位</w:t>
            </w:r>
            <w:r>
              <w:rPr>
                <w:rFonts w:hint="eastAsia"/>
                <w:color w:val="auto"/>
                <w:sz w:val="24"/>
                <w:highlight w:val="none"/>
                <w:u w:val="single" w:color="auto"/>
              </w:rPr>
              <w:t>名称。</w:t>
            </w:r>
          </w:p>
          <w:p w14:paraId="38B7F2A6">
            <w:pPr>
              <w:bidi w:val="0"/>
              <w:rPr>
                <w:rFonts w:hint="eastAsia"/>
                <w:color w:val="auto"/>
                <w:u w:val="single" w:color="auto"/>
                <w:lang w:val="en-US" w:eastAsia="zh-CN"/>
              </w:rPr>
            </w:pPr>
            <w:r>
              <w:rPr>
                <w:rFonts w:hint="eastAsia"/>
                <w:color w:val="auto"/>
                <w:u w:val="single" w:color="auto"/>
                <w:lang w:val="en-US" w:eastAsia="zh-CN"/>
              </w:rPr>
              <w:t>8）</w:t>
            </w:r>
            <w:r>
              <w:rPr>
                <w:color w:val="auto"/>
                <w:u w:val="single" w:color="auto"/>
              </w:rPr>
              <w:t>根据</w:t>
            </w:r>
            <w:r>
              <w:rPr>
                <w:rFonts w:hint="eastAsia"/>
                <w:color w:val="auto"/>
                <w:u w:val="single" w:color="auto"/>
              </w:rPr>
              <w:t>《危险废物贮存污染控制标准》(GB18597-20</w:t>
            </w:r>
            <w:r>
              <w:rPr>
                <w:rFonts w:hint="eastAsia"/>
                <w:color w:val="auto"/>
                <w:u w:val="single" w:color="auto"/>
                <w:lang w:val="en-US" w:eastAsia="zh-CN"/>
              </w:rPr>
              <w:t>23</w:t>
            </w:r>
            <w:r>
              <w:rPr>
                <w:rFonts w:hint="eastAsia"/>
                <w:color w:val="auto"/>
                <w:u w:val="single" w:color="auto"/>
              </w:rPr>
              <w:t>)</w:t>
            </w:r>
            <w:r>
              <w:rPr>
                <w:color w:val="auto"/>
                <w:u w:val="single" w:color="auto"/>
              </w:rPr>
              <w:t>，本项目产生的废润滑油和废机油应存放于阴凉、通风、干燥的场所，储存于专用收集容器，防止阳光直射，保持容器密封</w:t>
            </w:r>
            <w:r>
              <w:rPr>
                <w:rFonts w:hint="eastAsia"/>
                <w:color w:val="auto"/>
                <w:u w:val="single" w:color="auto"/>
              </w:rPr>
              <w:t xml:space="preserve">。 </w:t>
            </w:r>
          </w:p>
          <w:p w14:paraId="1C480B56">
            <w:pPr>
              <w:bidi w:val="0"/>
              <w:rPr>
                <w:color w:val="auto"/>
                <w:u w:val="single" w:color="auto"/>
              </w:rPr>
            </w:pPr>
            <w:r>
              <w:rPr>
                <w:rFonts w:hint="eastAsia"/>
                <w:color w:val="auto"/>
                <w:u w:val="single" w:color="auto"/>
              </w:rPr>
              <w:t>②运输的环境管理要求</w:t>
            </w:r>
          </w:p>
          <w:p w14:paraId="0B44BBC1">
            <w:pPr>
              <w:bidi w:val="0"/>
              <w:rPr>
                <w:color w:val="auto"/>
                <w:u w:val="single" w:color="auto"/>
              </w:rPr>
            </w:pPr>
            <w:r>
              <w:rPr>
                <w:rFonts w:hint="eastAsia"/>
                <w:color w:val="auto"/>
                <w:u w:val="single" w:color="auto"/>
              </w:rPr>
              <w:t>1）危险废物产生单位在转移危险废物前，须按照国家有关规定报批危险废物转移计划，经批准后，产生单位应当向移出地环境保护行政主管部门申请领取联单。危险废物产生单位每转移一车、船（次）同类危险废物，应当填写一份联单。每车、船（次）有多类危险废物的，应当按每一类危险废物填写一份联单。危险废物产生单位应当如实填写联单中产生单位栏目，并加盖公章，经交付危险废物运输单位核实验收签字后，将联单第一联副联自留存档，将联单第二联交移出地环境保护行政主管部门，联单第一联正联及其余各联交付运输单位随危险废物转移运行。</w:t>
            </w:r>
          </w:p>
          <w:p w14:paraId="0260BD8A">
            <w:pPr>
              <w:bidi w:val="0"/>
              <w:rPr>
                <w:color w:val="auto"/>
                <w:u w:val="single" w:color="auto"/>
              </w:rPr>
            </w:pPr>
            <w:r>
              <w:rPr>
                <w:rFonts w:hint="eastAsia"/>
                <w:color w:val="auto"/>
                <w:u w:val="single" w:color="auto"/>
              </w:rPr>
              <w:t>2）危废的外运应委托有危险化学品运输</w:t>
            </w:r>
            <w:r>
              <w:rPr>
                <w:rFonts w:hint="eastAsia"/>
                <w:color w:val="auto"/>
                <w:u w:val="single" w:color="auto"/>
                <w:lang w:eastAsia="zh-CN"/>
              </w:rPr>
              <w:t>资质</w:t>
            </w:r>
            <w:r>
              <w:rPr>
                <w:rFonts w:hint="eastAsia"/>
                <w:color w:val="auto"/>
                <w:u w:val="single" w:color="auto"/>
              </w:rPr>
              <w:t>的单位负责运输。运输车辆、司机、押运人员应具备危险化学品从业资质，有危险化学品从业资格证；运输时运输车辆应配备相应品种和数量的消防器材及泄漏应急处理设备；危险废物运输的收集应制定详细的操作规程，内容至少应包括适用范围、操作程序和方法、专业设备和工具、转移和交接、安全保障和应急防护等；夏季最好早晚运输。运输时所用的 槽（罐）车应有接地链，槽内可设孔隔板以减少震荡产生静电；运输途中应防暴晒、雨淋，防高温。中途停留时应远离火种、热源、 高温区；装运该物品的车辆排气管必须配备阻火装置，禁止使用易产生火花的机械设备和工具装卸；</w:t>
            </w:r>
          </w:p>
          <w:p w14:paraId="780EEEC6">
            <w:pPr>
              <w:bidi w:val="0"/>
              <w:rPr>
                <w:color w:val="auto"/>
                <w:u w:val="single" w:color="auto"/>
              </w:rPr>
            </w:pPr>
            <w:r>
              <w:rPr>
                <w:rFonts w:hint="eastAsia"/>
                <w:color w:val="auto"/>
                <w:u w:val="single" w:color="auto"/>
              </w:rPr>
              <w:t>3）公路运输时要按规定路 线行驶，勿在居民区和人口稠密区停留。</w:t>
            </w:r>
          </w:p>
          <w:p w14:paraId="433D5AEC">
            <w:pPr>
              <w:bidi w:val="0"/>
              <w:rPr>
                <w:color w:val="auto"/>
                <w:u w:val="single" w:color="auto"/>
              </w:rPr>
            </w:pPr>
            <w:r>
              <w:rPr>
                <w:rFonts w:hint="eastAsia"/>
                <w:color w:val="auto"/>
                <w:u w:val="single" w:color="auto"/>
              </w:rPr>
              <w:t>③其他要求</w:t>
            </w:r>
          </w:p>
          <w:p w14:paraId="63DC55BA">
            <w:pPr>
              <w:bidi w:val="0"/>
              <w:rPr>
                <w:color w:val="auto"/>
                <w:u w:val="single" w:color="auto"/>
              </w:rPr>
            </w:pPr>
            <w:r>
              <w:rPr>
                <w:color w:val="auto"/>
                <w:u w:val="single" w:color="auto"/>
              </w:rPr>
              <w:t>①生活垃圾在垃圾桶内暂存，日产日清；</w:t>
            </w:r>
          </w:p>
          <w:p w14:paraId="7560FF6B">
            <w:pPr>
              <w:bidi w:val="0"/>
              <w:rPr>
                <w:color w:val="auto"/>
                <w:u w:val="single" w:color="auto"/>
              </w:rPr>
            </w:pPr>
            <w:r>
              <w:rPr>
                <w:color w:val="auto"/>
                <w:u w:val="single" w:color="auto"/>
              </w:rPr>
              <w:t>②</w:t>
            </w:r>
            <w:r>
              <w:rPr>
                <w:rFonts w:hint="eastAsia"/>
                <w:color w:val="auto"/>
                <w:u w:val="single" w:color="auto"/>
              </w:rPr>
              <w:t>危险固废处置应选择</w:t>
            </w:r>
            <w:r>
              <w:rPr>
                <w:color w:val="auto"/>
                <w:u w:val="single" w:color="auto"/>
              </w:rPr>
              <w:t>具有危险废物经营许可证，资质许可范围包含本项目产生的危险废物类别，能 够提供专业收集、运输、贮存、处理处置及综合利用危险废物的企业，避免危险废物对环境的二次污染风险。</w:t>
            </w:r>
          </w:p>
          <w:p w14:paraId="7D57F1BB">
            <w:pPr>
              <w:bidi w:val="0"/>
              <w:rPr>
                <w:color w:val="auto"/>
                <w:u w:val="single" w:color="auto"/>
              </w:rPr>
            </w:pPr>
            <w:r>
              <w:rPr>
                <w:rFonts w:hint="eastAsia"/>
                <w:color w:val="auto"/>
                <w:u w:val="single" w:color="auto"/>
              </w:rPr>
              <w:t>③根据</w:t>
            </w:r>
            <w:r>
              <w:rPr>
                <w:rFonts w:hint="eastAsia"/>
                <w:color w:val="auto"/>
                <w:u w:val="single" w:color="auto"/>
                <w:lang w:val="zh-CN"/>
              </w:rPr>
              <w:t>《中华人民共和国固体废物污染环境防治法》</w:t>
            </w:r>
            <w:r>
              <w:rPr>
                <w:color w:val="auto"/>
                <w:u w:val="single" w:color="auto"/>
                <w:lang w:val="zh-CN"/>
              </w:rPr>
              <w:t>第五十八条 危废间的危险废物贮存时间不得超过一年</w:t>
            </w:r>
            <w:r>
              <w:rPr>
                <w:rFonts w:hint="eastAsia"/>
                <w:color w:val="auto"/>
                <w:u w:val="single" w:color="auto"/>
                <w:lang w:val="zh-CN"/>
              </w:rPr>
              <w:t>，确需延长期限的，须报环境保护行政主管部门批准。</w:t>
            </w:r>
          </w:p>
          <w:p w14:paraId="5C0FC6AC">
            <w:pPr>
              <w:adjustRightInd/>
              <w:ind w:firstLine="482"/>
              <w:rPr>
                <w:b/>
                <w:bCs/>
                <w:color w:val="auto"/>
              </w:rPr>
            </w:pPr>
            <w:r>
              <w:rPr>
                <w:rFonts w:hint="eastAsia"/>
                <w:b/>
                <w:bCs/>
                <w:color w:val="auto"/>
              </w:rPr>
              <w:t>（</w:t>
            </w:r>
            <w:r>
              <w:rPr>
                <w:rFonts w:hint="eastAsia"/>
                <w:b/>
                <w:bCs/>
                <w:color w:val="auto"/>
                <w:lang w:val="en-US" w:eastAsia="zh-CN"/>
              </w:rPr>
              <w:t>五</w:t>
            </w:r>
            <w:r>
              <w:rPr>
                <w:rFonts w:hint="eastAsia"/>
                <w:b/>
                <w:bCs/>
                <w:color w:val="auto"/>
              </w:rPr>
              <w:t>）运营期</w:t>
            </w:r>
            <w:r>
              <w:rPr>
                <w:b/>
                <w:bCs/>
                <w:color w:val="auto"/>
              </w:rPr>
              <w:t>地下水</w:t>
            </w:r>
            <w:r>
              <w:rPr>
                <w:rFonts w:hint="eastAsia"/>
                <w:b/>
                <w:bCs/>
                <w:color w:val="auto"/>
              </w:rPr>
              <w:t>、土壤</w:t>
            </w:r>
            <w:r>
              <w:rPr>
                <w:b/>
                <w:bCs/>
                <w:color w:val="auto"/>
              </w:rPr>
              <w:t>环境影响及保护措施</w:t>
            </w:r>
          </w:p>
          <w:p w14:paraId="43E29574">
            <w:pPr>
              <w:bidi w:val="0"/>
              <w:rPr>
                <w:rFonts w:hint="eastAsia"/>
                <w:color w:val="auto"/>
              </w:rPr>
            </w:pPr>
            <w:r>
              <w:rPr>
                <w:rFonts w:hint="eastAsia"/>
                <w:color w:val="auto"/>
                <w:lang w:val="en-US" w:eastAsia="zh-CN"/>
              </w:rPr>
              <w:t>1、</w:t>
            </w:r>
            <w:r>
              <w:rPr>
                <w:rFonts w:hint="eastAsia"/>
                <w:color w:val="auto"/>
              </w:rPr>
              <w:t>污染源、污染物类型及污染</w:t>
            </w:r>
            <w:r>
              <w:rPr>
                <w:rFonts w:hint="eastAsia"/>
                <w:color w:val="auto"/>
                <w:lang w:val="en-US" w:eastAsia="zh-CN"/>
              </w:rPr>
              <w:t>途径</w:t>
            </w:r>
            <w:r>
              <w:rPr>
                <w:rFonts w:hint="eastAsia"/>
                <w:color w:val="auto"/>
              </w:rPr>
              <w:t>分析</w:t>
            </w:r>
          </w:p>
          <w:p w14:paraId="1647CB4A">
            <w:pPr>
              <w:bidi w:val="0"/>
              <w:rPr>
                <w:rFonts w:hint="eastAsia"/>
                <w:color w:val="auto"/>
              </w:rPr>
            </w:pPr>
            <w:r>
              <w:rPr>
                <w:rFonts w:hint="eastAsia"/>
                <w:color w:val="auto"/>
              </w:rPr>
              <w:t>本项目排放废气中主要污染因子为</w:t>
            </w:r>
            <w:r>
              <w:rPr>
                <w:rFonts w:hint="eastAsia"/>
                <w:color w:val="auto"/>
                <w:lang w:val="en-US" w:eastAsia="zh-CN"/>
              </w:rPr>
              <w:t>颗粒物，</w:t>
            </w:r>
            <w:r>
              <w:rPr>
                <w:rFonts w:hint="eastAsia"/>
                <w:color w:val="auto"/>
              </w:rPr>
              <w:t>不涉及重金属、持久性有机污染物、难降解有机物的大气沉降，因此大气沉降影响较小。项目生产设施均位于室</w:t>
            </w:r>
            <w:r>
              <w:rPr>
                <w:rFonts w:hint="eastAsia" w:ascii="Times New Roman" w:hAnsi="Times New Roman" w:eastAsia="宋体" w:cs="Times New Roman"/>
                <w:color w:val="auto"/>
              </w:rPr>
              <w:t>内，</w:t>
            </w:r>
            <w:r>
              <w:rPr>
                <w:rFonts w:hint="eastAsia" w:ascii="Times New Roman" w:hAnsi="Times New Roman" w:eastAsia="宋体" w:cs="Times New Roman"/>
                <w:color w:val="auto"/>
                <w:lang w:val="en-US" w:eastAsia="zh-CN"/>
              </w:rPr>
              <w:t>无生产废水</w:t>
            </w:r>
            <w:r>
              <w:rPr>
                <w:rFonts w:hint="eastAsia" w:ascii="Times New Roman" w:hAnsi="Times New Roman" w:eastAsia="宋体" w:cs="Times New Roman"/>
                <w:color w:val="auto"/>
              </w:rPr>
              <w:t>；本项目危险废物贮存场所满足《危险废物贮存污染控制标准》（</w:t>
            </w:r>
            <w:r>
              <w:rPr>
                <w:rFonts w:hint="eastAsia" w:ascii="Times New Roman" w:hAnsi="Times New Roman" w:eastAsia="宋体" w:cs="Times New Roman"/>
                <w:color w:val="auto"/>
                <w:lang w:eastAsia="zh-CN"/>
              </w:rPr>
              <w:t>GB18597-2023</w:t>
            </w:r>
            <w:r>
              <w:rPr>
                <w:rFonts w:hint="eastAsia" w:ascii="Times New Roman" w:hAnsi="Times New Roman" w:eastAsia="宋体" w:cs="Times New Roman"/>
                <w:color w:val="auto"/>
              </w:rPr>
              <w:t>）要求，可做到防腐防渗。本项目</w:t>
            </w:r>
            <w:r>
              <w:rPr>
                <w:rFonts w:hint="eastAsia" w:ascii="Times New Roman" w:hAnsi="Times New Roman" w:eastAsia="宋体" w:cs="Times New Roman"/>
                <w:color w:val="auto"/>
                <w:lang w:val="en-US" w:eastAsia="zh-CN"/>
              </w:rPr>
              <w:t>租赁标准厂房</w:t>
            </w:r>
            <w:r>
              <w:rPr>
                <w:rFonts w:hint="eastAsia" w:ascii="Times New Roman" w:hAnsi="Times New Roman" w:eastAsia="宋体" w:cs="Times New Roman"/>
                <w:color w:val="auto"/>
              </w:rPr>
              <w:t>均已硬化，无污染土壤及地下水环境的途径，故正常工况下本项目无垂直入渗影响，对土壤及地下水环境造成影响较小。</w:t>
            </w:r>
          </w:p>
          <w:p w14:paraId="434915CA">
            <w:pPr>
              <w:bidi w:val="0"/>
              <w:rPr>
                <w:rFonts w:hint="eastAsia"/>
                <w:color w:val="auto"/>
              </w:rPr>
            </w:pPr>
            <w:r>
              <w:rPr>
                <w:rFonts w:hint="eastAsia"/>
                <w:color w:val="auto"/>
                <w:lang w:val="en-US" w:eastAsia="zh-CN"/>
              </w:rPr>
              <w:t>2、</w:t>
            </w:r>
            <w:r>
              <w:rPr>
                <w:rFonts w:hint="eastAsia"/>
                <w:color w:val="auto"/>
              </w:rPr>
              <w:t>土壤及地下水环境保护措施与对策</w:t>
            </w:r>
          </w:p>
          <w:p w14:paraId="05A6CEAC">
            <w:pPr>
              <w:bidi w:val="0"/>
              <w:rPr>
                <w:rFonts w:hint="eastAsia"/>
                <w:color w:val="auto"/>
              </w:rPr>
            </w:pPr>
            <w:r>
              <w:rPr>
                <w:rFonts w:hint="eastAsia"/>
                <w:color w:val="auto"/>
              </w:rPr>
              <w:t>土壤和地下水环境一旦受到污染，很难清理整治，治理成本高。要求企业做好土壤和地下水污染防治措施。</w:t>
            </w:r>
          </w:p>
          <w:p w14:paraId="48B8C425">
            <w:pPr>
              <w:bidi w:val="0"/>
              <w:rPr>
                <w:rFonts w:hint="eastAsia"/>
                <w:color w:val="auto"/>
              </w:rPr>
            </w:pPr>
            <w:r>
              <w:rPr>
                <w:rFonts w:hint="eastAsia"/>
                <w:color w:val="auto"/>
              </w:rPr>
              <w:t>①源头控制</w:t>
            </w:r>
          </w:p>
          <w:p w14:paraId="69684CC3">
            <w:pPr>
              <w:bidi w:val="0"/>
              <w:rPr>
                <w:rFonts w:hint="eastAsia"/>
                <w:color w:val="auto"/>
              </w:rPr>
            </w:pPr>
            <w:r>
              <w:rPr>
                <w:rFonts w:hint="eastAsia"/>
                <w:color w:val="auto"/>
              </w:rPr>
              <w:t>采取先进的生产工艺，生产过程中加强管理，尽量做到密闭化，封闭所有不必要的开口，减少“跑、冒、滴、漏”，采取严格的污染治理措施，减少污染物的排放。</w:t>
            </w:r>
          </w:p>
          <w:p w14:paraId="28B414C7">
            <w:pPr>
              <w:bidi w:val="0"/>
              <w:rPr>
                <w:rFonts w:hint="eastAsia"/>
                <w:color w:val="auto"/>
              </w:rPr>
            </w:pPr>
            <w:r>
              <w:rPr>
                <w:rFonts w:hint="eastAsia"/>
                <w:color w:val="auto"/>
              </w:rPr>
              <w:t>②防渗漏措施</w:t>
            </w:r>
          </w:p>
          <w:p w14:paraId="2EEAB246">
            <w:pPr>
              <w:bidi w:val="0"/>
              <w:rPr>
                <w:rFonts w:hint="eastAsia"/>
                <w:color w:val="auto"/>
              </w:rPr>
            </w:pPr>
            <w:r>
              <w:rPr>
                <w:rFonts w:hint="eastAsia"/>
                <w:color w:val="auto"/>
              </w:rPr>
              <w:t>厂区生产车间、</w:t>
            </w:r>
            <w:r>
              <w:rPr>
                <w:rFonts w:hint="eastAsia"/>
                <w:color w:val="auto"/>
                <w:lang w:val="en-US" w:eastAsia="zh-CN"/>
              </w:rPr>
              <w:t>原料仓库、危险固废间</w:t>
            </w:r>
            <w:r>
              <w:rPr>
                <w:rFonts w:hint="eastAsia"/>
                <w:color w:val="auto"/>
              </w:rPr>
              <w:t>等单元进行地面硬化、防腐、防渗处理，按照防渗标准要求进行合理设计，建立防渗设施的检漏系统。</w:t>
            </w:r>
          </w:p>
          <w:p w14:paraId="63B81C6C">
            <w:pPr>
              <w:bidi w:val="0"/>
              <w:rPr>
                <w:rFonts w:hint="eastAsia"/>
                <w:color w:val="auto"/>
              </w:rPr>
            </w:pPr>
            <w:r>
              <w:rPr>
                <w:rFonts w:hint="eastAsia"/>
                <w:color w:val="auto"/>
              </w:rPr>
              <w:t>③分区防渗</w:t>
            </w:r>
          </w:p>
          <w:p w14:paraId="200C18FB">
            <w:pPr>
              <w:bidi w:val="0"/>
              <w:rPr>
                <w:rFonts w:hint="eastAsia"/>
                <w:color w:val="auto"/>
              </w:rPr>
            </w:pPr>
            <w:r>
              <w:rPr>
                <w:rFonts w:hint="eastAsia"/>
                <w:color w:val="auto"/>
              </w:rPr>
              <w:t>为防止本项目对地下水造成不利影响，应采取分区防渗措施。建设单位在设计阶段，应对各单元采取严格的设计标准，对易造成地下水污染的区域采取必要的防腐防渗措施。</w:t>
            </w:r>
          </w:p>
          <w:p w14:paraId="3CE5D719">
            <w:pPr>
              <w:autoSpaceDE w:val="0"/>
              <w:autoSpaceDN w:val="0"/>
              <w:spacing w:line="240" w:lineRule="auto"/>
              <w:ind w:firstLine="422" w:firstLineChars="200"/>
              <w:jc w:val="center"/>
              <w:rPr>
                <w:rFonts w:hint="default" w:eastAsia="宋体"/>
                <w:b/>
                <w:bCs/>
                <w:color w:val="auto"/>
                <w:sz w:val="21"/>
                <w:szCs w:val="21"/>
                <w:highlight w:val="none"/>
                <w:lang w:val="en-US" w:eastAsia="zh-CN"/>
              </w:rPr>
            </w:pPr>
            <w:r>
              <w:rPr>
                <w:rFonts w:hint="eastAsia" w:eastAsia="宋体"/>
                <w:b/>
                <w:bCs/>
                <w:color w:val="auto"/>
                <w:sz w:val="21"/>
                <w:szCs w:val="21"/>
                <w:highlight w:val="none"/>
                <w:lang w:val="en-US" w:eastAsia="zh-CN"/>
              </w:rPr>
              <w:t>表4-</w:t>
            </w:r>
            <w:r>
              <w:rPr>
                <w:rFonts w:hint="eastAsia"/>
                <w:b/>
                <w:bCs/>
                <w:color w:val="auto"/>
                <w:sz w:val="21"/>
                <w:szCs w:val="21"/>
                <w:highlight w:val="none"/>
                <w:lang w:val="en-US" w:eastAsia="zh-CN"/>
              </w:rPr>
              <w:t>9</w:t>
            </w:r>
            <w:r>
              <w:rPr>
                <w:rFonts w:hint="eastAsia" w:eastAsia="宋体"/>
                <w:b/>
                <w:bCs/>
                <w:color w:val="auto"/>
                <w:sz w:val="21"/>
                <w:szCs w:val="21"/>
                <w:highlight w:val="none"/>
                <w:lang w:val="en-US" w:eastAsia="zh-CN"/>
              </w:rPr>
              <w:t xml:space="preserve">  本项目防渗分区一览表</w:t>
            </w:r>
          </w:p>
          <w:tbl>
            <w:tblPr>
              <w:tblStyle w:val="30"/>
              <w:tblW w:w="4991"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92"/>
              <w:gridCol w:w="869"/>
              <w:gridCol w:w="1124"/>
              <w:gridCol w:w="1033"/>
              <w:gridCol w:w="4321"/>
            </w:tblGrid>
            <w:tr w14:paraId="6BD11D7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46" w:type="pct"/>
                  <w:tcBorders>
                    <w:tl2br w:val="nil"/>
                    <w:tr2bl w:val="nil"/>
                  </w:tcBorders>
                  <w:noWrap w:val="0"/>
                  <w:vAlign w:val="center"/>
                </w:tcPr>
                <w:p w14:paraId="5E551AD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项目</w:t>
                  </w:r>
                </w:p>
              </w:tc>
              <w:tc>
                <w:tcPr>
                  <w:tcW w:w="514" w:type="pct"/>
                  <w:tcBorders>
                    <w:tl2br w:val="nil"/>
                    <w:tr2bl w:val="nil"/>
                  </w:tcBorders>
                  <w:noWrap w:val="0"/>
                  <w:vAlign w:val="center"/>
                </w:tcPr>
                <w:p w14:paraId="1969645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污染控制难易</w:t>
                  </w:r>
                </w:p>
              </w:tc>
              <w:tc>
                <w:tcPr>
                  <w:tcW w:w="665" w:type="pct"/>
                  <w:tcBorders>
                    <w:tl2br w:val="nil"/>
                    <w:tr2bl w:val="nil"/>
                  </w:tcBorders>
                  <w:noWrap w:val="0"/>
                  <w:vAlign w:val="center"/>
                </w:tcPr>
                <w:p w14:paraId="6073575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包气带防污性能</w:t>
                  </w:r>
                </w:p>
              </w:tc>
              <w:tc>
                <w:tcPr>
                  <w:tcW w:w="611" w:type="pct"/>
                  <w:tcBorders>
                    <w:tl2br w:val="nil"/>
                    <w:tr2bl w:val="nil"/>
                  </w:tcBorders>
                  <w:noWrap w:val="0"/>
                  <w:vAlign w:val="center"/>
                </w:tcPr>
                <w:p w14:paraId="1795B62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污染物类型</w:t>
                  </w:r>
                </w:p>
              </w:tc>
              <w:tc>
                <w:tcPr>
                  <w:tcW w:w="2560" w:type="pct"/>
                  <w:tcBorders>
                    <w:tl2br w:val="nil"/>
                    <w:tr2bl w:val="nil"/>
                  </w:tcBorders>
                  <w:noWrap w:val="0"/>
                  <w:vAlign w:val="center"/>
                </w:tcPr>
                <w:p w14:paraId="0537868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防渗技术要求</w:t>
                  </w:r>
                </w:p>
              </w:tc>
            </w:tr>
            <w:tr w14:paraId="63D5064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46" w:type="pct"/>
                  <w:tcBorders>
                    <w:tl2br w:val="nil"/>
                    <w:tr2bl w:val="nil"/>
                  </w:tcBorders>
                  <w:noWrap w:val="0"/>
                  <w:vAlign w:val="center"/>
                </w:tcPr>
                <w:p w14:paraId="08EEE1E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危险固废间</w:t>
                  </w:r>
                </w:p>
              </w:tc>
              <w:tc>
                <w:tcPr>
                  <w:tcW w:w="514" w:type="pct"/>
                  <w:tcBorders>
                    <w:tl2br w:val="nil"/>
                    <w:tr2bl w:val="nil"/>
                  </w:tcBorders>
                  <w:noWrap w:val="0"/>
                  <w:vAlign w:val="center"/>
                </w:tcPr>
                <w:p w14:paraId="22273D5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易</w:t>
                  </w:r>
                </w:p>
              </w:tc>
              <w:tc>
                <w:tcPr>
                  <w:tcW w:w="665" w:type="pct"/>
                  <w:tcBorders>
                    <w:tl2br w:val="nil"/>
                    <w:tr2bl w:val="nil"/>
                  </w:tcBorders>
                  <w:noWrap w:val="0"/>
                  <w:vAlign w:val="center"/>
                </w:tcPr>
                <w:p w14:paraId="0C7CEE8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中</w:t>
                  </w:r>
                </w:p>
              </w:tc>
              <w:tc>
                <w:tcPr>
                  <w:tcW w:w="611" w:type="pct"/>
                  <w:tcBorders>
                    <w:tl2br w:val="nil"/>
                    <w:tr2bl w:val="nil"/>
                  </w:tcBorders>
                  <w:noWrap w:val="0"/>
                  <w:vAlign w:val="center"/>
                </w:tcPr>
                <w:p w14:paraId="2658DC5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废矿物油</w:t>
                  </w:r>
                </w:p>
              </w:tc>
              <w:tc>
                <w:tcPr>
                  <w:tcW w:w="2560" w:type="pct"/>
                  <w:tcBorders>
                    <w:tl2br w:val="nil"/>
                    <w:tr2bl w:val="nil"/>
                  </w:tcBorders>
                  <w:noWrap w:val="0"/>
                  <w:vAlign w:val="center"/>
                </w:tcPr>
                <w:p w14:paraId="72CC9E7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重点</w:t>
                  </w:r>
                  <w:r>
                    <w:rPr>
                      <w:rFonts w:hint="eastAsia" w:ascii="Times New Roman" w:hAnsi="Times New Roman" w:eastAsia="宋体" w:cs="Times New Roman"/>
                      <w:color w:val="auto"/>
                      <w:sz w:val="21"/>
                      <w:szCs w:val="21"/>
                      <w:highlight w:val="none"/>
                      <w:u w:val="none" w:color="auto"/>
                      <w:lang w:val="en-US" w:eastAsia="zh-CN"/>
                    </w:rPr>
                    <w:t>防渗区：等效粘土防渗层MB≥1.5m，渗透系数≤</w:t>
                  </w:r>
                  <w:r>
                    <w:rPr>
                      <w:rFonts w:hint="default" w:ascii="Times New Roman" w:hAnsi="Times New Roman" w:eastAsia="宋体" w:cs="Times New Roman"/>
                      <w:b w:val="0"/>
                      <w:bCs w:val="0"/>
                      <w:color w:val="auto"/>
                      <w:sz w:val="24"/>
                      <w:szCs w:val="24"/>
                      <w:highlight w:val="none"/>
                      <w:u w:val="none" w:color="auto"/>
                    </w:rPr>
                    <w:t>10</w:t>
                  </w:r>
                  <w:r>
                    <w:rPr>
                      <w:rFonts w:hint="default" w:ascii="Times New Roman" w:hAnsi="Times New Roman" w:eastAsia="宋体" w:cs="Times New Roman"/>
                      <w:b w:val="0"/>
                      <w:bCs w:val="0"/>
                      <w:color w:val="auto"/>
                      <w:sz w:val="24"/>
                      <w:szCs w:val="24"/>
                      <w:highlight w:val="none"/>
                      <w:u w:val="none" w:color="auto"/>
                      <w:vertAlign w:val="superscript"/>
                    </w:rPr>
                    <w:t>-10</w:t>
                  </w:r>
                  <w:r>
                    <w:rPr>
                      <w:rFonts w:hint="default" w:ascii="Times New Roman" w:hAnsi="Times New Roman" w:eastAsia="宋体" w:cs="Times New Roman"/>
                      <w:b w:val="0"/>
                      <w:bCs w:val="0"/>
                      <w:color w:val="auto"/>
                      <w:sz w:val="24"/>
                      <w:szCs w:val="24"/>
                      <w:highlight w:val="none"/>
                      <w:u w:val="none" w:color="auto"/>
                    </w:rPr>
                    <w:t>cm/s</w:t>
                  </w:r>
                  <w:r>
                    <w:rPr>
                      <w:rFonts w:hint="eastAsia" w:ascii="Times New Roman" w:hAnsi="Times New Roman" w:eastAsia="宋体" w:cs="Times New Roman"/>
                      <w:color w:val="auto"/>
                      <w:sz w:val="21"/>
                      <w:szCs w:val="21"/>
                      <w:highlight w:val="none"/>
                      <w:u w:val="none" w:color="auto"/>
                      <w:lang w:val="en-US" w:eastAsia="zh-CN"/>
                    </w:rPr>
                    <w:t>；或参照GB18598执行</w:t>
                  </w:r>
                </w:p>
              </w:tc>
            </w:tr>
            <w:tr w14:paraId="524A84F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0" w:hRule="atLeast"/>
                <w:jc w:val="center"/>
              </w:trPr>
              <w:tc>
                <w:tcPr>
                  <w:tcW w:w="646" w:type="pct"/>
                  <w:tcBorders>
                    <w:tl2br w:val="nil"/>
                    <w:tr2bl w:val="nil"/>
                  </w:tcBorders>
                  <w:noWrap w:val="0"/>
                  <w:vAlign w:val="center"/>
                </w:tcPr>
                <w:p w14:paraId="06FA227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生产区、原料仓</w:t>
                  </w:r>
                </w:p>
              </w:tc>
              <w:tc>
                <w:tcPr>
                  <w:tcW w:w="514" w:type="pct"/>
                  <w:tcBorders>
                    <w:tl2br w:val="nil"/>
                    <w:tr2bl w:val="nil"/>
                  </w:tcBorders>
                  <w:noWrap w:val="0"/>
                  <w:vAlign w:val="center"/>
                </w:tcPr>
                <w:p w14:paraId="6D8D2E9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易</w:t>
                  </w:r>
                </w:p>
              </w:tc>
              <w:tc>
                <w:tcPr>
                  <w:tcW w:w="665" w:type="pct"/>
                  <w:tcBorders>
                    <w:tl2br w:val="nil"/>
                    <w:tr2bl w:val="nil"/>
                  </w:tcBorders>
                  <w:noWrap w:val="0"/>
                  <w:vAlign w:val="center"/>
                </w:tcPr>
                <w:p w14:paraId="310A730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lang w:val="en-US" w:eastAsia="zh-CN"/>
                    </w:rPr>
                    <w:t>中</w:t>
                  </w:r>
                </w:p>
              </w:tc>
              <w:tc>
                <w:tcPr>
                  <w:tcW w:w="611" w:type="pct"/>
                  <w:tcBorders>
                    <w:tl2br w:val="nil"/>
                    <w:tr2bl w:val="nil"/>
                  </w:tcBorders>
                  <w:noWrap w:val="0"/>
                  <w:vAlign w:val="center"/>
                </w:tcPr>
                <w:p w14:paraId="6D647451">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其他</w:t>
                  </w:r>
                </w:p>
              </w:tc>
              <w:tc>
                <w:tcPr>
                  <w:tcW w:w="2560" w:type="pct"/>
                  <w:tcBorders>
                    <w:tl2br w:val="nil"/>
                    <w:tr2bl w:val="nil"/>
                  </w:tcBorders>
                  <w:noWrap w:val="0"/>
                  <w:vAlign w:val="center"/>
                </w:tcPr>
                <w:p w14:paraId="6FA50E0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简单防渗区：一般地面硬化</w:t>
                  </w:r>
                </w:p>
              </w:tc>
            </w:tr>
          </w:tbl>
          <w:p w14:paraId="3C365F2A">
            <w:pPr>
              <w:bidi w:val="0"/>
              <w:rPr>
                <w:rFonts w:hint="eastAsia"/>
                <w:color w:val="auto"/>
              </w:rPr>
            </w:pPr>
            <w:r>
              <w:rPr>
                <w:rFonts w:hint="eastAsia"/>
                <w:color w:val="auto"/>
                <w:lang w:val="en-US" w:eastAsia="zh-CN"/>
              </w:rPr>
              <w:t>3、</w:t>
            </w:r>
            <w:r>
              <w:rPr>
                <w:rFonts w:hint="eastAsia"/>
                <w:color w:val="auto"/>
              </w:rPr>
              <w:t>环境影响分析</w:t>
            </w:r>
          </w:p>
          <w:p w14:paraId="213360D4">
            <w:pPr>
              <w:bidi w:val="0"/>
              <w:rPr>
                <w:rFonts w:hint="eastAsia"/>
                <w:color w:val="auto"/>
                <w:lang w:val="en-US" w:eastAsia="zh-CN"/>
              </w:rPr>
            </w:pPr>
            <w:r>
              <w:rPr>
                <w:rFonts w:hint="eastAsia"/>
                <w:color w:val="auto"/>
                <w:lang w:val="en-US" w:eastAsia="zh-CN"/>
              </w:rPr>
              <w:t>本项目排放废气主要污染因子为颗粒物，不涉及重金属、持久性有机污染物等，大气沉降对土壤的影响不大。项目正常工况下，不会发生原料泄漏情况发生，也不会对地下水、土壤环境造成影响。事故工况下，假设原料切削液等发生泄漏，相关污染物持续进入地下水、土壤中，则随着污染物持续泄漏，污染范围逐渐增大。故企业应做好日常管理，做好地下水、土壤防护工作，相关防渗系统应定时进行检修维护，一旦发现污染物泄漏应立即采取应急响应，截断污染源并根据污染情况采取土壤、地下水保护措施。建设单位切实落实好废气达标排放，原料及危废的贮存工作，做好各类设施及地面的防腐防渗措施，本项目建设对地下水、土壤环境影响是可接受的。</w:t>
            </w:r>
          </w:p>
          <w:p w14:paraId="071E4FBC">
            <w:pPr>
              <w:bidi w:val="0"/>
              <w:rPr>
                <w:b/>
                <w:bCs/>
                <w:color w:val="auto"/>
              </w:rPr>
            </w:pPr>
            <w:r>
              <w:rPr>
                <w:rFonts w:hint="eastAsia"/>
                <w:b/>
                <w:bCs/>
                <w:color w:val="auto"/>
              </w:rPr>
              <w:t>（</w:t>
            </w:r>
            <w:r>
              <w:rPr>
                <w:rFonts w:hint="eastAsia"/>
                <w:b/>
                <w:bCs/>
                <w:color w:val="auto"/>
                <w:lang w:val="en-US" w:eastAsia="zh-CN"/>
              </w:rPr>
              <w:t>六</w:t>
            </w:r>
            <w:r>
              <w:rPr>
                <w:rFonts w:hint="eastAsia"/>
                <w:b/>
                <w:bCs/>
                <w:color w:val="auto"/>
              </w:rPr>
              <w:t>）运营期</w:t>
            </w:r>
            <w:r>
              <w:rPr>
                <w:b/>
                <w:bCs/>
                <w:color w:val="auto"/>
              </w:rPr>
              <w:t>环境风险</w:t>
            </w:r>
            <w:r>
              <w:rPr>
                <w:rFonts w:hint="eastAsia"/>
                <w:b/>
                <w:bCs/>
                <w:color w:val="auto"/>
              </w:rPr>
              <w:t>影响和防治措施</w:t>
            </w:r>
          </w:p>
          <w:p w14:paraId="11BF4F35">
            <w:pPr>
              <w:bidi w:val="0"/>
              <w:rPr>
                <w:color w:val="auto"/>
              </w:rPr>
            </w:pPr>
            <w:r>
              <w:rPr>
                <w:rFonts w:hint="eastAsia"/>
                <w:color w:val="auto"/>
                <w:lang w:val="en-US" w:eastAsia="zh-CN"/>
              </w:rPr>
              <w:t>1、</w:t>
            </w:r>
            <w:r>
              <w:rPr>
                <w:color w:val="auto"/>
              </w:rPr>
              <w:t>危险物质数量与临界量比值（Q）</w:t>
            </w:r>
          </w:p>
          <w:p w14:paraId="5A89D42C">
            <w:pPr>
              <w:bidi w:val="0"/>
              <w:rPr>
                <w:color w:val="auto"/>
              </w:rPr>
            </w:pPr>
            <w:r>
              <w:rPr>
                <w:rFonts w:hint="eastAsia"/>
                <w:color w:val="auto"/>
              </w:rPr>
              <w:t>参考</w:t>
            </w:r>
            <w:r>
              <w:rPr>
                <w:color w:val="auto"/>
              </w:rPr>
              <w:t>《建设项目环境风险评价技术导则》（HJ169-2018）附录B</w:t>
            </w:r>
            <w:r>
              <w:rPr>
                <w:rFonts w:hint="eastAsia"/>
                <w:color w:val="auto"/>
              </w:rPr>
              <w:t>重点关注的危险物质及临界量B.1突发环境事件风险物质及临界量表，本项目危险物质为</w:t>
            </w:r>
            <w:r>
              <w:rPr>
                <w:rFonts w:hint="eastAsia"/>
                <w:color w:val="auto"/>
                <w:lang w:eastAsia="zh-CN"/>
              </w:rPr>
              <w:t>液压油、切削液</w:t>
            </w:r>
            <w:r>
              <w:rPr>
                <w:rFonts w:hint="eastAsia"/>
                <w:color w:val="auto"/>
              </w:rPr>
              <w:t>和</w:t>
            </w:r>
            <w:r>
              <w:rPr>
                <w:rFonts w:hint="eastAsia"/>
                <w:color w:val="auto"/>
                <w:lang w:eastAsia="zh-CN"/>
              </w:rPr>
              <w:t>危险废物</w:t>
            </w:r>
            <w:r>
              <w:rPr>
                <w:rFonts w:hint="eastAsia"/>
                <w:color w:val="auto"/>
              </w:rPr>
              <w:t>，</w:t>
            </w:r>
            <w:r>
              <w:rPr>
                <w:color w:val="auto"/>
              </w:rPr>
              <w:t>本项目危险物质的储存量、临界量见下表。</w:t>
            </w:r>
          </w:p>
          <w:p w14:paraId="1DDE132B">
            <w:pPr>
              <w:spacing w:line="240" w:lineRule="auto"/>
              <w:ind w:firstLine="373" w:firstLineChars="177"/>
              <w:jc w:val="center"/>
              <w:rPr>
                <w:b/>
                <w:bCs/>
                <w:color w:val="auto"/>
                <w:kern w:val="24"/>
                <w:sz w:val="21"/>
                <w:szCs w:val="21"/>
                <w:highlight w:val="none"/>
              </w:rPr>
            </w:pPr>
            <w:r>
              <w:rPr>
                <w:rFonts w:hint="eastAsia"/>
                <w:b/>
                <w:bCs/>
                <w:color w:val="auto"/>
                <w:kern w:val="24"/>
                <w:sz w:val="21"/>
                <w:szCs w:val="21"/>
                <w:highlight w:val="none"/>
              </w:rPr>
              <w:t>表4-</w:t>
            </w:r>
            <w:r>
              <w:rPr>
                <w:rFonts w:hint="eastAsia"/>
                <w:b/>
                <w:bCs/>
                <w:color w:val="auto"/>
                <w:kern w:val="24"/>
                <w:sz w:val="21"/>
                <w:szCs w:val="21"/>
                <w:highlight w:val="none"/>
                <w:lang w:val="en-US" w:eastAsia="zh-CN"/>
              </w:rPr>
              <w:t>10</w:t>
            </w:r>
            <w:r>
              <w:rPr>
                <w:rFonts w:hint="eastAsia"/>
                <w:b/>
                <w:bCs/>
                <w:color w:val="auto"/>
                <w:kern w:val="24"/>
                <w:sz w:val="21"/>
                <w:szCs w:val="21"/>
                <w:highlight w:val="none"/>
              </w:rPr>
              <w:t xml:space="preserve">  项目实施后全厂主要有毒有害物质一览表</w:t>
            </w:r>
          </w:p>
          <w:tbl>
            <w:tblPr>
              <w:tblStyle w:val="29"/>
              <w:tblW w:w="4997"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198"/>
              <w:gridCol w:w="1305"/>
              <w:gridCol w:w="1020"/>
              <w:gridCol w:w="1560"/>
              <w:gridCol w:w="1440"/>
              <w:gridCol w:w="990"/>
              <w:gridCol w:w="938"/>
            </w:tblGrid>
            <w:tr w14:paraId="4F1A6BE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8" w:type="pct"/>
                  <w:tcBorders>
                    <w:tl2br w:val="nil"/>
                    <w:tr2bl w:val="nil"/>
                  </w:tcBorders>
                  <w:noWrap w:val="0"/>
                  <w:vAlign w:val="center"/>
                </w:tcPr>
                <w:p w14:paraId="0AF61F7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名称</w:t>
                  </w:r>
                </w:p>
              </w:tc>
              <w:tc>
                <w:tcPr>
                  <w:tcW w:w="772" w:type="pct"/>
                  <w:tcBorders>
                    <w:tl2br w:val="nil"/>
                    <w:tr2bl w:val="nil"/>
                  </w:tcBorders>
                  <w:noWrap w:val="0"/>
                  <w:vAlign w:val="center"/>
                </w:tcPr>
                <w:p w14:paraId="3A4B92A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危险性</w:t>
                  </w:r>
                </w:p>
              </w:tc>
              <w:tc>
                <w:tcPr>
                  <w:tcW w:w="603" w:type="pct"/>
                  <w:tcBorders>
                    <w:tl2br w:val="nil"/>
                    <w:tr2bl w:val="nil"/>
                  </w:tcBorders>
                  <w:noWrap w:val="0"/>
                  <w:vAlign w:val="center"/>
                </w:tcPr>
                <w:p w14:paraId="086D89C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CAS号</w:t>
                  </w:r>
                </w:p>
              </w:tc>
              <w:tc>
                <w:tcPr>
                  <w:tcW w:w="922" w:type="pct"/>
                  <w:tcBorders>
                    <w:right w:val="single" w:color="auto" w:sz="4" w:space="0"/>
                    <w:tl2br w:val="nil"/>
                    <w:tr2bl w:val="nil"/>
                  </w:tcBorders>
                  <w:noWrap w:val="0"/>
                  <w:vAlign w:val="center"/>
                </w:tcPr>
                <w:p w14:paraId="4595E60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最大存在总量qn/t</w:t>
                  </w:r>
                </w:p>
              </w:tc>
              <w:tc>
                <w:tcPr>
                  <w:tcW w:w="851" w:type="pct"/>
                  <w:tcBorders>
                    <w:left w:val="single" w:color="auto" w:sz="4" w:space="0"/>
                    <w:tl2br w:val="nil"/>
                    <w:tr2bl w:val="nil"/>
                  </w:tcBorders>
                  <w:noWrap w:val="0"/>
                  <w:vAlign w:val="center"/>
                </w:tcPr>
                <w:p w14:paraId="2FE35C9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存在位置</w:t>
                  </w:r>
                </w:p>
              </w:tc>
              <w:tc>
                <w:tcPr>
                  <w:tcW w:w="585" w:type="pct"/>
                  <w:tcBorders>
                    <w:tl2br w:val="nil"/>
                    <w:tr2bl w:val="nil"/>
                  </w:tcBorders>
                  <w:noWrap w:val="0"/>
                  <w:vAlign w:val="center"/>
                </w:tcPr>
                <w:p w14:paraId="41E0286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临界量</w:t>
                  </w:r>
                  <w:r>
                    <w:rPr>
                      <w:rFonts w:hint="eastAsia" w:ascii="Times New Roman" w:hAnsi="Times New Roman" w:eastAsia="宋体" w:cs="Times New Roman"/>
                      <w:color w:val="auto"/>
                      <w:sz w:val="21"/>
                      <w:szCs w:val="21"/>
                      <w:highlight w:val="none"/>
                      <w:u w:val="none" w:color="auto"/>
                    </w:rPr>
                    <w:t>t</w:t>
                  </w:r>
                </w:p>
              </w:tc>
              <w:tc>
                <w:tcPr>
                  <w:tcW w:w="554" w:type="pct"/>
                  <w:tcBorders>
                    <w:tl2br w:val="nil"/>
                    <w:tr2bl w:val="nil"/>
                  </w:tcBorders>
                  <w:noWrap w:val="0"/>
                  <w:vAlign w:val="center"/>
                </w:tcPr>
                <w:p w14:paraId="6809117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Q</w:t>
                  </w:r>
                </w:p>
              </w:tc>
            </w:tr>
            <w:tr w14:paraId="6B4EA7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8" w:type="pct"/>
                  <w:tcBorders>
                    <w:tl2br w:val="nil"/>
                    <w:tr2bl w:val="nil"/>
                  </w:tcBorders>
                  <w:noWrap w:val="0"/>
                  <w:vAlign w:val="center"/>
                </w:tcPr>
                <w:p w14:paraId="400C41C5">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液压</w:t>
                  </w:r>
                  <w:r>
                    <w:rPr>
                      <w:rFonts w:hint="eastAsia" w:cs="Times New Roman"/>
                      <w:color w:val="auto"/>
                      <w:sz w:val="21"/>
                      <w:szCs w:val="21"/>
                      <w:highlight w:val="none"/>
                      <w:u w:val="none" w:color="auto"/>
                      <w:lang w:val="en-US" w:eastAsia="zh-CN"/>
                    </w:rPr>
                    <w:t>油</w:t>
                  </w:r>
                </w:p>
              </w:tc>
              <w:tc>
                <w:tcPr>
                  <w:tcW w:w="772" w:type="pct"/>
                  <w:tcBorders>
                    <w:tl2br w:val="nil"/>
                    <w:tr2bl w:val="nil"/>
                  </w:tcBorders>
                  <w:noWrap w:val="0"/>
                  <w:vAlign w:val="center"/>
                </w:tcPr>
                <w:p w14:paraId="0E0AF13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rPr>
                  </w:pPr>
                  <w:r>
                    <w:rPr>
                      <w:rFonts w:hint="eastAsia" w:cs="Times New Roman"/>
                      <w:color w:val="auto"/>
                      <w:sz w:val="21"/>
                      <w:szCs w:val="21"/>
                      <w:highlight w:val="none"/>
                      <w:u w:val="none" w:color="auto"/>
                      <w:lang w:eastAsia="zh-CN"/>
                    </w:rPr>
                    <w:t>泄漏</w:t>
                  </w:r>
                  <w:r>
                    <w:rPr>
                      <w:rFonts w:hint="eastAsia" w:ascii="Times New Roman" w:hAnsi="Times New Roman" w:eastAsia="宋体" w:cs="Times New Roman"/>
                      <w:color w:val="auto"/>
                      <w:sz w:val="21"/>
                      <w:szCs w:val="21"/>
                      <w:highlight w:val="none"/>
                      <w:u w:val="none" w:color="auto"/>
                    </w:rPr>
                    <w:t>、火灾</w:t>
                  </w:r>
                </w:p>
              </w:tc>
              <w:tc>
                <w:tcPr>
                  <w:tcW w:w="603" w:type="pct"/>
                  <w:tcBorders>
                    <w:tl2br w:val="nil"/>
                    <w:tr2bl w:val="nil"/>
                  </w:tcBorders>
                  <w:noWrap w:val="0"/>
                  <w:vAlign w:val="center"/>
                </w:tcPr>
                <w:p w14:paraId="28CF3AE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w:t>
                  </w:r>
                </w:p>
              </w:tc>
              <w:tc>
                <w:tcPr>
                  <w:tcW w:w="922" w:type="pct"/>
                  <w:tcBorders>
                    <w:right w:val="single" w:color="auto" w:sz="4" w:space="0"/>
                    <w:tl2br w:val="nil"/>
                    <w:tr2bl w:val="nil"/>
                  </w:tcBorders>
                  <w:noWrap w:val="0"/>
                  <w:vAlign w:val="center"/>
                </w:tcPr>
                <w:p w14:paraId="5D705D6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0.5</w:t>
                  </w:r>
                  <w:r>
                    <w:rPr>
                      <w:rFonts w:hint="eastAsia" w:ascii="Times New Roman" w:hAnsi="Times New Roman" w:eastAsia="宋体" w:cs="Times New Roman"/>
                      <w:color w:val="auto"/>
                      <w:sz w:val="21"/>
                      <w:szCs w:val="21"/>
                      <w:highlight w:val="none"/>
                      <w:u w:val="none" w:color="auto"/>
                      <w:lang w:val="en-US" w:eastAsia="zh-CN"/>
                    </w:rPr>
                    <w:t>t</w:t>
                  </w:r>
                </w:p>
              </w:tc>
              <w:tc>
                <w:tcPr>
                  <w:tcW w:w="851" w:type="pct"/>
                  <w:tcBorders>
                    <w:left w:val="single" w:color="auto" w:sz="4" w:space="0"/>
                    <w:tl2br w:val="nil"/>
                    <w:tr2bl w:val="nil"/>
                  </w:tcBorders>
                  <w:noWrap w:val="0"/>
                  <w:vAlign w:val="center"/>
                </w:tcPr>
                <w:p w14:paraId="14576C4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仓库</w:t>
                  </w:r>
                </w:p>
              </w:tc>
              <w:tc>
                <w:tcPr>
                  <w:tcW w:w="585" w:type="pct"/>
                  <w:tcBorders>
                    <w:tl2br w:val="nil"/>
                    <w:tr2bl w:val="nil"/>
                  </w:tcBorders>
                  <w:noWrap w:val="0"/>
                  <w:vAlign w:val="center"/>
                </w:tcPr>
                <w:p w14:paraId="351EE74A">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2500</w:t>
                  </w:r>
                </w:p>
              </w:tc>
              <w:tc>
                <w:tcPr>
                  <w:tcW w:w="554" w:type="pct"/>
                  <w:tcBorders>
                    <w:tl2br w:val="nil"/>
                    <w:tr2bl w:val="nil"/>
                  </w:tcBorders>
                  <w:noWrap w:val="0"/>
                  <w:vAlign w:val="center"/>
                </w:tcPr>
                <w:p w14:paraId="437052A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0.0002</w:t>
                  </w:r>
                </w:p>
              </w:tc>
            </w:tr>
            <w:tr w14:paraId="566F40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8" w:type="pct"/>
                  <w:tcBorders>
                    <w:tl2br w:val="nil"/>
                    <w:tr2bl w:val="nil"/>
                  </w:tcBorders>
                  <w:noWrap w:val="0"/>
                  <w:vAlign w:val="center"/>
                </w:tcPr>
                <w:p w14:paraId="374950D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lang w:val="en-US" w:eastAsia="zh-CN"/>
                    </w:rPr>
                    <w:t>切削液</w:t>
                  </w:r>
                </w:p>
              </w:tc>
              <w:tc>
                <w:tcPr>
                  <w:tcW w:w="772" w:type="pct"/>
                  <w:tcBorders>
                    <w:tl2br w:val="nil"/>
                    <w:tr2bl w:val="nil"/>
                  </w:tcBorders>
                  <w:noWrap w:val="0"/>
                  <w:vAlign w:val="center"/>
                </w:tcPr>
                <w:p w14:paraId="68587FD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cs="Times New Roman"/>
                      <w:color w:val="auto"/>
                      <w:sz w:val="21"/>
                      <w:szCs w:val="21"/>
                      <w:highlight w:val="none"/>
                      <w:u w:val="none" w:color="auto"/>
                      <w:lang w:eastAsia="zh-CN"/>
                    </w:rPr>
                    <w:t>泄漏</w:t>
                  </w:r>
                  <w:r>
                    <w:rPr>
                      <w:rFonts w:hint="eastAsia" w:ascii="Times New Roman" w:hAnsi="Times New Roman" w:eastAsia="宋体" w:cs="Times New Roman"/>
                      <w:color w:val="auto"/>
                      <w:sz w:val="21"/>
                      <w:szCs w:val="21"/>
                      <w:highlight w:val="none"/>
                      <w:u w:val="none" w:color="auto"/>
                    </w:rPr>
                    <w:t>、火灾</w:t>
                  </w:r>
                </w:p>
              </w:tc>
              <w:tc>
                <w:tcPr>
                  <w:tcW w:w="603" w:type="pct"/>
                  <w:tcBorders>
                    <w:tl2br w:val="nil"/>
                    <w:tr2bl w:val="nil"/>
                  </w:tcBorders>
                  <w:noWrap w:val="0"/>
                  <w:vAlign w:val="center"/>
                </w:tcPr>
                <w:p w14:paraId="76CC7F5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w:t>
                  </w:r>
                </w:p>
              </w:tc>
              <w:tc>
                <w:tcPr>
                  <w:tcW w:w="922" w:type="pct"/>
                  <w:tcBorders>
                    <w:right w:val="single" w:color="auto" w:sz="4" w:space="0"/>
                    <w:tl2br w:val="nil"/>
                    <w:tr2bl w:val="nil"/>
                  </w:tcBorders>
                  <w:noWrap w:val="0"/>
                  <w:vAlign w:val="center"/>
                </w:tcPr>
                <w:p w14:paraId="5DCDDD5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cs="Times New Roman"/>
                      <w:color w:val="auto"/>
                      <w:sz w:val="21"/>
                      <w:szCs w:val="21"/>
                      <w:highlight w:val="none"/>
                      <w:u w:val="none" w:color="auto"/>
                      <w:lang w:val="en-US" w:eastAsia="zh-CN"/>
                    </w:rPr>
                    <w:t>1</w:t>
                  </w:r>
                  <w:r>
                    <w:rPr>
                      <w:rFonts w:hint="default" w:ascii="Times New Roman" w:hAnsi="Times New Roman" w:eastAsia="宋体" w:cs="Times New Roman"/>
                      <w:color w:val="auto"/>
                      <w:sz w:val="21"/>
                      <w:szCs w:val="21"/>
                      <w:highlight w:val="none"/>
                      <w:u w:val="none" w:color="auto"/>
                    </w:rPr>
                    <w:t>t</w:t>
                  </w:r>
                </w:p>
              </w:tc>
              <w:tc>
                <w:tcPr>
                  <w:tcW w:w="851" w:type="pct"/>
                  <w:tcBorders>
                    <w:left w:val="single" w:color="auto" w:sz="4" w:space="0"/>
                    <w:tl2br w:val="nil"/>
                    <w:tr2bl w:val="nil"/>
                  </w:tcBorders>
                  <w:noWrap w:val="0"/>
                  <w:vAlign w:val="center"/>
                </w:tcPr>
                <w:p w14:paraId="3F71203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eastAsia="zh-CN"/>
                    </w:rPr>
                    <w:t>仓库</w:t>
                  </w:r>
                </w:p>
              </w:tc>
              <w:tc>
                <w:tcPr>
                  <w:tcW w:w="585" w:type="pct"/>
                  <w:tcBorders>
                    <w:tl2br w:val="nil"/>
                    <w:tr2bl w:val="nil"/>
                  </w:tcBorders>
                  <w:noWrap w:val="0"/>
                  <w:vAlign w:val="center"/>
                </w:tcPr>
                <w:p w14:paraId="5B90092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2500</w:t>
                  </w:r>
                </w:p>
              </w:tc>
              <w:tc>
                <w:tcPr>
                  <w:tcW w:w="554" w:type="pct"/>
                  <w:tcBorders>
                    <w:tl2br w:val="nil"/>
                    <w:tr2bl w:val="nil"/>
                  </w:tcBorders>
                  <w:noWrap w:val="0"/>
                  <w:vAlign w:val="center"/>
                </w:tcPr>
                <w:p w14:paraId="6E3B76C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0.0004</w:t>
                  </w:r>
                </w:p>
              </w:tc>
            </w:tr>
            <w:tr w14:paraId="4952D4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8" w:type="pct"/>
                  <w:tcBorders>
                    <w:tl2br w:val="nil"/>
                    <w:tr2bl w:val="nil"/>
                  </w:tcBorders>
                  <w:noWrap w:val="0"/>
                  <w:vAlign w:val="center"/>
                </w:tcPr>
                <w:p w14:paraId="25B2BEA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危险废物</w:t>
                  </w:r>
                </w:p>
              </w:tc>
              <w:tc>
                <w:tcPr>
                  <w:tcW w:w="772" w:type="pct"/>
                  <w:tcBorders>
                    <w:tl2br w:val="nil"/>
                    <w:tr2bl w:val="nil"/>
                  </w:tcBorders>
                  <w:noWrap w:val="0"/>
                  <w:vAlign w:val="center"/>
                </w:tcPr>
                <w:p w14:paraId="6D0FB58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rPr>
                  </w:pPr>
                  <w:r>
                    <w:rPr>
                      <w:rFonts w:hint="eastAsia" w:cs="Times New Roman"/>
                      <w:color w:val="auto"/>
                      <w:sz w:val="21"/>
                      <w:szCs w:val="21"/>
                      <w:highlight w:val="none"/>
                      <w:u w:val="none" w:color="auto"/>
                      <w:lang w:eastAsia="zh-CN"/>
                    </w:rPr>
                    <w:t>泄漏</w:t>
                  </w:r>
                  <w:r>
                    <w:rPr>
                      <w:rFonts w:hint="eastAsia" w:ascii="Times New Roman" w:hAnsi="Times New Roman" w:eastAsia="宋体" w:cs="Times New Roman"/>
                      <w:color w:val="auto"/>
                      <w:sz w:val="21"/>
                      <w:szCs w:val="21"/>
                      <w:highlight w:val="none"/>
                      <w:u w:val="none" w:color="auto"/>
                    </w:rPr>
                    <w:t>、火灾</w:t>
                  </w:r>
                </w:p>
              </w:tc>
              <w:tc>
                <w:tcPr>
                  <w:tcW w:w="603" w:type="pct"/>
                  <w:tcBorders>
                    <w:tl2br w:val="nil"/>
                    <w:tr2bl w:val="nil"/>
                  </w:tcBorders>
                  <w:noWrap w:val="0"/>
                  <w:vAlign w:val="center"/>
                </w:tcPr>
                <w:p w14:paraId="09FDCD3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w:t>
                  </w:r>
                </w:p>
              </w:tc>
              <w:tc>
                <w:tcPr>
                  <w:tcW w:w="922" w:type="pct"/>
                  <w:tcBorders>
                    <w:right w:val="single" w:color="auto" w:sz="4" w:space="0"/>
                    <w:tl2br w:val="nil"/>
                    <w:tr2bl w:val="nil"/>
                  </w:tcBorders>
                  <w:noWrap w:val="0"/>
                  <w:vAlign w:val="center"/>
                </w:tcPr>
                <w:p w14:paraId="59282FD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rPr>
                  </w:pPr>
                  <w:r>
                    <w:rPr>
                      <w:rFonts w:hint="eastAsia" w:cs="Times New Roman"/>
                      <w:color w:val="auto"/>
                      <w:sz w:val="21"/>
                      <w:szCs w:val="21"/>
                      <w:highlight w:val="none"/>
                      <w:u w:val="none" w:color="auto"/>
                      <w:lang w:val="en-US" w:eastAsia="zh-CN"/>
                    </w:rPr>
                    <w:t>6.0625</w:t>
                  </w:r>
                  <w:r>
                    <w:rPr>
                      <w:rFonts w:hint="default" w:ascii="Times New Roman" w:hAnsi="Times New Roman" w:eastAsia="宋体" w:cs="Times New Roman"/>
                      <w:color w:val="auto"/>
                      <w:sz w:val="21"/>
                      <w:szCs w:val="21"/>
                      <w:highlight w:val="none"/>
                      <w:u w:val="none" w:color="auto"/>
                    </w:rPr>
                    <w:t>t</w:t>
                  </w:r>
                </w:p>
              </w:tc>
              <w:tc>
                <w:tcPr>
                  <w:tcW w:w="851" w:type="pct"/>
                  <w:tcBorders>
                    <w:left w:val="single" w:color="auto" w:sz="4" w:space="0"/>
                    <w:tl2br w:val="nil"/>
                    <w:tr2bl w:val="nil"/>
                  </w:tcBorders>
                  <w:noWrap w:val="0"/>
                  <w:vAlign w:val="center"/>
                </w:tcPr>
                <w:p w14:paraId="52744152">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危险固废间</w:t>
                  </w:r>
                </w:p>
              </w:tc>
              <w:tc>
                <w:tcPr>
                  <w:tcW w:w="585" w:type="pct"/>
                  <w:tcBorders>
                    <w:tl2br w:val="nil"/>
                    <w:tr2bl w:val="nil"/>
                  </w:tcBorders>
                  <w:noWrap w:val="0"/>
                  <w:vAlign w:val="center"/>
                </w:tcPr>
                <w:p w14:paraId="1802B88A">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2500</w:t>
                  </w:r>
                </w:p>
              </w:tc>
              <w:tc>
                <w:tcPr>
                  <w:tcW w:w="554" w:type="pct"/>
                  <w:tcBorders>
                    <w:tl2br w:val="nil"/>
                    <w:tr2bl w:val="nil"/>
                  </w:tcBorders>
                  <w:noWrap w:val="0"/>
                  <w:vAlign w:val="center"/>
                </w:tcPr>
                <w:p w14:paraId="158756F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0.0012</w:t>
                  </w:r>
                </w:p>
              </w:tc>
            </w:tr>
            <w:tr w14:paraId="1AB94F3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445" w:type="pct"/>
                  <w:gridSpan w:val="6"/>
                  <w:tcBorders>
                    <w:tl2br w:val="nil"/>
                    <w:tr2bl w:val="nil"/>
                  </w:tcBorders>
                  <w:noWrap w:val="0"/>
                  <w:vAlign w:val="center"/>
                </w:tcPr>
                <w:p w14:paraId="466F41B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合计</w:t>
                  </w:r>
                </w:p>
              </w:tc>
              <w:tc>
                <w:tcPr>
                  <w:tcW w:w="554" w:type="pct"/>
                  <w:tcBorders>
                    <w:tl2br w:val="nil"/>
                    <w:tr2bl w:val="nil"/>
                  </w:tcBorders>
                  <w:noWrap w:val="0"/>
                  <w:vAlign w:val="center"/>
                </w:tcPr>
                <w:p w14:paraId="6C5A27C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0.00</w:t>
                  </w:r>
                  <w:r>
                    <w:rPr>
                      <w:rFonts w:hint="eastAsia" w:cs="Times New Roman"/>
                      <w:color w:val="auto"/>
                      <w:sz w:val="21"/>
                      <w:szCs w:val="21"/>
                      <w:highlight w:val="none"/>
                      <w:u w:val="none" w:color="auto"/>
                      <w:lang w:val="en-US" w:eastAsia="zh-CN"/>
                    </w:rPr>
                    <w:t>18</w:t>
                  </w:r>
                </w:p>
              </w:tc>
            </w:tr>
          </w:tbl>
          <w:p w14:paraId="11C5A23E">
            <w:pPr>
              <w:spacing w:line="360" w:lineRule="auto"/>
              <w:ind w:firstLine="480" w:firstLineChars="200"/>
              <w:rPr>
                <w:color w:val="auto"/>
                <w:sz w:val="24"/>
                <w:highlight w:val="none"/>
              </w:rPr>
            </w:pPr>
            <w:r>
              <w:rPr>
                <w:color w:val="auto"/>
                <w:sz w:val="24"/>
                <w:highlight w:val="none"/>
              </w:rPr>
              <w:t>单元内存在的危险物质为多品种时，则按下式计算Q值。</w:t>
            </w:r>
          </w:p>
          <w:p w14:paraId="696E577E">
            <w:pPr>
              <w:spacing w:line="360" w:lineRule="auto"/>
              <w:ind w:firstLine="480" w:firstLineChars="200"/>
              <w:rPr>
                <w:color w:val="auto"/>
                <w:sz w:val="24"/>
                <w:highlight w:val="none"/>
              </w:rPr>
            </w:pPr>
            <w:r>
              <w:rPr>
                <w:color w:val="auto"/>
                <w:sz w:val="24"/>
                <w:highlight w:val="none"/>
              </w:rPr>
              <w:t>q1/Q1+q2/Q2+······+qn/Qn≥1</w:t>
            </w:r>
          </w:p>
          <w:p w14:paraId="1C30A26F">
            <w:pPr>
              <w:spacing w:line="360" w:lineRule="auto"/>
              <w:ind w:firstLine="480" w:firstLineChars="200"/>
              <w:rPr>
                <w:color w:val="auto"/>
                <w:sz w:val="24"/>
                <w:highlight w:val="none"/>
              </w:rPr>
            </w:pPr>
            <w:r>
              <w:rPr>
                <w:color w:val="auto"/>
                <w:sz w:val="24"/>
                <w:highlight w:val="none"/>
              </w:rPr>
              <w:t>式中：q1、q2、qn为每种危险物质实际存在量，t；</w:t>
            </w:r>
          </w:p>
          <w:p w14:paraId="36A39EC4">
            <w:pPr>
              <w:spacing w:line="360" w:lineRule="auto"/>
              <w:ind w:firstLine="480" w:firstLineChars="200"/>
              <w:rPr>
                <w:color w:val="auto"/>
                <w:sz w:val="24"/>
                <w:highlight w:val="none"/>
              </w:rPr>
            </w:pPr>
            <w:r>
              <w:rPr>
                <w:color w:val="auto"/>
                <w:sz w:val="24"/>
                <w:highlight w:val="none"/>
              </w:rPr>
              <w:t>Q1、Q2、Qn为与各种危险物质相对应的生产场所或贮存区的临界量，t。</w:t>
            </w:r>
          </w:p>
          <w:p w14:paraId="6D8206A1">
            <w:pPr>
              <w:spacing w:line="360" w:lineRule="auto"/>
              <w:ind w:firstLine="480" w:firstLineChars="200"/>
              <w:rPr>
                <w:color w:val="auto"/>
                <w:sz w:val="24"/>
                <w:highlight w:val="none"/>
              </w:rPr>
            </w:pPr>
            <w:r>
              <w:rPr>
                <w:color w:val="auto"/>
                <w:sz w:val="24"/>
                <w:highlight w:val="none"/>
              </w:rPr>
              <w:t>由表</w:t>
            </w:r>
            <w:r>
              <w:rPr>
                <w:rFonts w:hint="eastAsia"/>
                <w:color w:val="auto"/>
                <w:sz w:val="24"/>
                <w:highlight w:val="none"/>
              </w:rPr>
              <w:t>4-</w:t>
            </w:r>
            <w:r>
              <w:rPr>
                <w:rFonts w:hint="eastAsia"/>
                <w:color w:val="auto"/>
                <w:sz w:val="24"/>
                <w:highlight w:val="none"/>
                <w:lang w:val="en-US" w:eastAsia="zh-CN"/>
              </w:rPr>
              <w:t>9</w:t>
            </w:r>
            <w:r>
              <w:rPr>
                <w:color w:val="auto"/>
                <w:sz w:val="24"/>
                <w:highlight w:val="none"/>
              </w:rPr>
              <w:t>可知，Q=</w:t>
            </w:r>
            <w:r>
              <w:rPr>
                <w:rFonts w:hint="eastAsia"/>
                <w:color w:val="auto"/>
                <w:sz w:val="24"/>
                <w:szCs w:val="24"/>
                <w:highlight w:val="none"/>
              </w:rPr>
              <w:t>0.</w:t>
            </w:r>
            <w:r>
              <w:rPr>
                <w:rFonts w:hint="eastAsia"/>
                <w:color w:val="auto"/>
                <w:sz w:val="24"/>
                <w:szCs w:val="24"/>
                <w:highlight w:val="none"/>
                <w:lang w:val="en-US" w:eastAsia="zh-CN"/>
              </w:rPr>
              <w:t>0018</w:t>
            </w:r>
            <w:r>
              <w:rPr>
                <w:rFonts w:hint="eastAsia"/>
                <w:color w:val="auto"/>
                <w:sz w:val="24"/>
                <w:szCs w:val="24"/>
                <w:highlight w:val="none"/>
              </w:rPr>
              <w:t>，</w:t>
            </w:r>
            <w:r>
              <w:rPr>
                <w:color w:val="auto"/>
                <w:sz w:val="24"/>
                <w:szCs w:val="24"/>
                <w:highlight w:val="none"/>
              </w:rPr>
              <w:t>Q＜1，该项目环境风险潜势为Ⅰ</w:t>
            </w:r>
            <w:r>
              <w:rPr>
                <w:rFonts w:hint="eastAsia"/>
                <w:color w:val="auto"/>
                <w:u w:val="none"/>
                <w:lang w:val="en-US" w:eastAsia="zh-CN"/>
              </w:rPr>
              <w:t>，风险评价为简单分析</w:t>
            </w:r>
            <w:r>
              <w:rPr>
                <w:color w:val="auto"/>
                <w:sz w:val="24"/>
                <w:highlight w:val="none"/>
              </w:rPr>
              <w:t>。</w:t>
            </w:r>
          </w:p>
          <w:p w14:paraId="370F2D0C">
            <w:pPr>
              <w:bidi w:val="0"/>
              <w:rPr>
                <w:color w:val="auto"/>
              </w:rPr>
            </w:pPr>
            <w:r>
              <w:rPr>
                <w:rFonts w:hint="eastAsia"/>
                <w:color w:val="auto"/>
                <w:lang w:val="en-US" w:eastAsia="zh-CN"/>
              </w:rPr>
              <w:t>2、</w:t>
            </w:r>
            <w:r>
              <w:rPr>
                <w:color w:val="auto"/>
              </w:rPr>
              <w:t>环境风险识别</w:t>
            </w:r>
          </w:p>
          <w:p w14:paraId="41C5F861">
            <w:pPr>
              <w:bidi w:val="0"/>
              <w:rPr>
                <w:color w:val="auto"/>
              </w:rPr>
            </w:pPr>
            <w:r>
              <w:rPr>
                <w:rFonts w:hint="eastAsia"/>
                <w:color w:val="auto"/>
              </w:rPr>
              <w:t>①</w:t>
            </w:r>
            <w:r>
              <w:rPr>
                <w:color w:val="auto"/>
              </w:rPr>
              <w:t>生产设施风险识别</w:t>
            </w:r>
          </w:p>
          <w:p w14:paraId="793BB96B">
            <w:pPr>
              <w:bidi w:val="0"/>
              <w:rPr>
                <w:color w:val="auto"/>
              </w:rPr>
            </w:pPr>
            <w:r>
              <w:rPr>
                <w:color w:val="auto"/>
              </w:rPr>
              <w:t>风险识别的范围包括生产设施风险识别和生产过程所涉及的物质风险识别。生产设施主要包括主要生产装置、贮运系统、公用工程系统、工程环保设施及辅助生产设施等，本项目危险单元风险详见表</w:t>
            </w:r>
            <w:r>
              <w:rPr>
                <w:rFonts w:hint="eastAsia"/>
                <w:color w:val="auto"/>
              </w:rPr>
              <w:t>4-1</w:t>
            </w:r>
            <w:r>
              <w:rPr>
                <w:rFonts w:hint="eastAsia"/>
                <w:color w:val="auto"/>
                <w:lang w:val="en-US" w:eastAsia="zh-CN"/>
              </w:rPr>
              <w:t>1</w:t>
            </w:r>
            <w:r>
              <w:rPr>
                <w:color w:val="auto"/>
              </w:rPr>
              <w:t>。</w:t>
            </w:r>
          </w:p>
          <w:p w14:paraId="23EE0761">
            <w:pPr>
              <w:spacing w:line="240" w:lineRule="auto"/>
              <w:jc w:val="center"/>
              <w:rPr>
                <w:b/>
                <w:color w:val="auto"/>
                <w:sz w:val="21"/>
                <w:szCs w:val="21"/>
                <w:highlight w:val="none"/>
              </w:rPr>
            </w:pPr>
            <w:r>
              <w:rPr>
                <w:b/>
                <w:color w:val="auto"/>
                <w:sz w:val="21"/>
                <w:szCs w:val="21"/>
                <w:highlight w:val="none"/>
              </w:rPr>
              <w:t>表</w:t>
            </w:r>
            <w:r>
              <w:rPr>
                <w:rFonts w:hint="eastAsia"/>
                <w:b/>
                <w:color w:val="auto"/>
                <w:sz w:val="21"/>
                <w:szCs w:val="21"/>
                <w:highlight w:val="none"/>
              </w:rPr>
              <w:t>4-</w:t>
            </w:r>
            <w:r>
              <w:rPr>
                <w:rFonts w:hint="eastAsia"/>
                <w:b/>
                <w:color w:val="auto"/>
                <w:sz w:val="21"/>
                <w:szCs w:val="21"/>
                <w:highlight w:val="none"/>
                <w:lang w:val="en-US" w:eastAsia="zh-CN"/>
              </w:rPr>
              <w:t>11</w:t>
            </w:r>
            <w:r>
              <w:rPr>
                <w:rFonts w:hint="eastAsia"/>
                <w:b/>
                <w:color w:val="auto"/>
                <w:sz w:val="21"/>
                <w:szCs w:val="21"/>
                <w:highlight w:val="none"/>
              </w:rPr>
              <w:t xml:space="preserve">  </w:t>
            </w:r>
            <w:r>
              <w:rPr>
                <w:b/>
                <w:color w:val="auto"/>
                <w:sz w:val="21"/>
                <w:szCs w:val="21"/>
                <w:highlight w:val="none"/>
              </w:rPr>
              <w:t>危险单元风险识别</w:t>
            </w:r>
          </w:p>
          <w:tbl>
            <w:tblPr>
              <w:tblStyle w:val="29"/>
              <w:tblW w:w="499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509"/>
              <w:gridCol w:w="1685"/>
              <w:gridCol w:w="2588"/>
              <w:gridCol w:w="2655"/>
            </w:tblGrid>
            <w:tr w14:paraId="1C1C04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1892" w:type="pct"/>
                  <w:gridSpan w:val="2"/>
                  <w:tcBorders>
                    <w:top w:val="single" w:color="auto" w:sz="6" w:space="0"/>
                    <w:left w:val="single" w:color="auto" w:sz="6" w:space="0"/>
                    <w:bottom w:val="single" w:color="auto" w:sz="4" w:space="0"/>
                    <w:right w:val="single" w:color="auto" w:sz="4" w:space="0"/>
                  </w:tcBorders>
                  <w:noWrap w:val="0"/>
                  <w:vAlign w:val="center"/>
                </w:tcPr>
                <w:p w14:paraId="5749653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危险单元</w:t>
                  </w:r>
                </w:p>
              </w:tc>
              <w:tc>
                <w:tcPr>
                  <w:tcW w:w="1533" w:type="pct"/>
                  <w:tcBorders>
                    <w:top w:val="single" w:color="auto" w:sz="6" w:space="0"/>
                    <w:left w:val="single" w:color="auto" w:sz="4" w:space="0"/>
                    <w:bottom w:val="single" w:color="auto" w:sz="4" w:space="0"/>
                    <w:right w:val="single" w:color="auto" w:sz="4" w:space="0"/>
                  </w:tcBorders>
                  <w:noWrap w:val="0"/>
                  <w:vAlign w:val="center"/>
                </w:tcPr>
                <w:p w14:paraId="7C69E40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位置</w:t>
                  </w:r>
                </w:p>
              </w:tc>
              <w:tc>
                <w:tcPr>
                  <w:tcW w:w="1573" w:type="pct"/>
                  <w:tcBorders>
                    <w:top w:val="single" w:color="auto" w:sz="6" w:space="0"/>
                    <w:left w:val="single" w:color="auto" w:sz="4" w:space="0"/>
                    <w:bottom w:val="single" w:color="auto" w:sz="4" w:space="0"/>
                    <w:right w:val="single" w:color="auto" w:sz="6" w:space="0"/>
                  </w:tcBorders>
                  <w:noWrap w:val="0"/>
                  <w:vAlign w:val="center"/>
                </w:tcPr>
                <w:p w14:paraId="2111EDB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风险类型</w:t>
                  </w:r>
                </w:p>
              </w:tc>
            </w:tr>
            <w:tr w14:paraId="4B0BBC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94" w:type="pct"/>
                  <w:tcBorders>
                    <w:left w:val="single" w:color="auto" w:sz="6" w:space="0"/>
                    <w:bottom w:val="single" w:color="auto" w:sz="4" w:space="0"/>
                    <w:right w:val="single" w:color="auto" w:sz="4" w:space="0"/>
                  </w:tcBorders>
                  <w:noWrap w:val="0"/>
                  <w:vAlign w:val="center"/>
                </w:tcPr>
                <w:p w14:paraId="6DDB987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储运系统</w:t>
                  </w:r>
                </w:p>
              </w:tc>
              <w:tc>
                <w:tcPr>
                  <w:tcW w:w="998" w:type="pct"/>
                  <w:tcBorders>
                    <w:top w:val="single" w:color="auto" w:sz="4" w:space="0"/>
                    <w:left w:val="single" w:color="auto" w:sz="4" w:space="0"/>
                    <w:bottom w:val="single" w:color="auto" w:sz="4" w:space="0"/>
                    <w:right w:val="single" w:color="auto" w:sz="4" w:space="0"/>
                  </w:tcBorders>
                  <w:noWrap w:val="0"/>
                  <w:vAlign w:val="center"/>
                </w:tcPr>
                <w:p w14:paraId="7463AFB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切削液储存罐</w:t>
                  </w:r>
                </w:p>
              </w:tc>
              <w:tc>
                <w:tcPr>
                  <w:tcW w:w="1533" w:type="pct"/>
                  <w:tcBorders>
                    <w:top w:val="single" w:color="auto" w:sz="4" w:space="0"/>
                    <w:left w:val="single" w:color="auto" w:sz="4" w:space="0"/>
                    <w:bottom w:val="single" w:color="auto" w:sz="4" w:space="0"/>
                    <w:right w:val="single" w:color="auto" w:sz="4" w:space="0"/>
                  </w:tcBorders>
                  <w:noWrap w:val="0"/>
                  <w:vAlign w:val="center"/>
                </w:tcPr>
                <w:p w14:paraId="1C768DA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厂房内</w:t>
                  </w:r>
                </w:p>
              </w:tc>
              <w:tc>
                <w:tcPr>
                  <w:tcW w:w="1573" w:type="pct"/>
                  <w:tcBorders>
                    <w:top w:val="single" w:color="auto" w:sz="4" w:space="0"/>
                    <w:left w:val="single" w:color="auto" w:sz="4" w:space="0"/>
                    <w:bottom w:val="single" w:color="auto" w:sz="4" w:space="0"/>
                    <w:right w:val="single" w:color="auto" w:sz="6" w:space="0"/>
                  </w:tcBorders>
                  <w:noWrap w:val="0"/>
                  <w:vAlign w:val="center"/>
                </w:tcPr>
                <w:p w14:paraId="751E39CA">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rPr>
                  </w:pPr>
                  <w:r>
                    <w:rPr>
                      <w:rFonts w:hint="eastAsia" w:cs="Times New Roman"/>
                      <w:color w:val="auto"/>
                      <w:sz w:val="21"/>
                      <w:szCs w:val="21"/>
                      <w:highlight w:val="none"/>
                      <w:u w:val="none" w:color="auto"/>
                      <w:lang w:eastAsia="zh-CN"/>
                    </w:rPr>
                    <w:t>泄漏</w:t>
                  </w:r>
                  <w:r>
                    <w:rPr>
                      <w:rFonts w:hint="eastAsia" w:ascii="Times New Roman" w:hAnsi="Times New Roman" w:eastAsia="宋体" w:cs="Times New Roman"/>
                      <w:color w:val="auto"/>
                      <w:sz w:val="21"/>
                      <w:szCs w:val="21"/>
                      <w:highlight w:val="none"/>
                      <w:u w:val="none" w:color="auto"/>
                    </w:rPr>
                    <w:t>、</w:t>
                  </w:r>
                  <w:r>
                    <w:rPr>
                      <w:rFonts w:hint="default" w:ascii="Times New Roman" w:hAnsi="Times New Roman" w:eastAsia="宋体" w:cs="Times New Roman"/>
                      <w:color w:val="auto"/>
                      <w:sz w:val="21"/>
                      <w:szCs w:val="21"/>
                      <w:highlight w:val="none"/>
                      <w:u w:val="none" w:color="auto"/>
                    </w:rPr>
                    <w:t>火灾产生的次生风险</w:t>
                  </w:r>
                </w:p>
              </w:tc>
            </w:tr>
            <w:tr w14:paraId="6B5B56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94" w:type="pct"/>
                  <w:tcBorders>
                    <w:top w:val="single" w:color="auto" w:sz="4" w:space="0"/>
                    <w:left w:val="single" w:color="auto" w:sz="6" w:space="0"/>
                    <w:bottom w:val="single" w:color="auto" w:sz="4" w:space="0"/>
                    <w:right w:val="single" w:color="auto" w:sz="4" w:space="0"/>
                  </w:tcBorders>
                  <w:noWrap w:val="0"/>
                  <w:vAlign w:val="center"/>
                </w:tcPr>
                <w:p w14:paraId="14D59F4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危险固废间</w:t>
                  </w:r>
                </w:p>
              </w:tc>
              <w:tc>
                <w:tcPr>
                  <w:tcW w:w="998" w:type="pct"/>
                  <w:tcBorders>
                    <w:top w:val="single" w:color="auto" w:sz="4" w:space="0"/>
                    <w:left w:val="single" w:color="auto" w:sz="4" w:space="0"/>
                    <w:bottom w:val="single" w:color="auto" w:sz="4" w:space="0"/>
                    <w:right w:val="single" w:color="auto" w:sz="4" w:space="0"/>
                  </w:tcBorders>
                  <w:noWrap w:val="0"/>
                  <w:vAlign w:val="center"/>
                </w:tcPr>
                <w:p w14:paraId="3EEE098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危险固废间</w:t>
                  </w:r>
                </w:p>
              </w:tc>
              <w:tc>
                <w:tcPr>
                  <w:tcW w:w="1533" w:type="pct"/>
                  <w:tcBorders>
                    <w:top w:val="single" w:color="auto" w:sz="4" w:space="0"/>
                    <w:left w:val="single" w:color="auto" w:sz="4" w:space="0"/>
                    <w:bottom w:val="single" w:color="auto" w:sz="4" w:space="0"/>
                    <w:right w:val="single" w:color="auto" w:sz="4" w:space="0"/>
                  </w:tcBorders>
                  <w:noWrap w:val="0"/>
                  <w:vAlign w:val="center"/>
                </w:tcPr>
                <w:p w14:paraId="54353B8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eastAsia="zh-CN"/>
                    </w:rPr>
                    <w:t>厂房内</w:t>
                  </w:r>
                </w:p>
              </w:tc>
              <w:tc>
                <w:tcPr>
                  <w:tcW w:w="1573" w:type="pct"/>
                  <w:tcBorders>
                    <w:top w:val="single" w:color="auto" w:sz="4" w:space="0"/>
                    <w:left w:val="single" w:color="auto" w:sz="4" w:space="0"/>
                    <w:bottom w:val="single" w:color="auto" w:sz="4" w:space="0"/>
                    <w:right w:val="single" w:color="auto" w:sz="6" w:space="0"/>
                  </w:tcBorders>
                  <w:noWrap w:val="0"/>
                  <w:vAlign w:val="center"/>
                </w:tcPr>
                <w:p w14:paraId="7D64819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cs="Times New Roman"/>
                      <w:color w:val="auto"/>
                      <w:sz w:val="21"/>
                      <w:szCs w:val="21"/>
                      <w:highlight w:val="none"/>
                      <w:u w:val="none" w:color="auto"/>
                      <w:lang w:eastAsia="zh-CN"/>
                    </w:rPr>
                    <w:t>泄漏</w:t>
                  </w:r>
                  <w:r>
                    <w:rPr>
                      <w:rFonts w:hint="default" w:ascii="Times New Roman" w:hAnsi="Times New Roman" w:eastAsia="宋体" w:cs="Times New Roman"/>
                      <w:color w:val="auto"/>
                      <w:sz w:val="21"/>
                      <w:szCs w:val="21"/>
                      <w:highlight w:val="none"/>
                      <w:u w:val="none" w:color="auto"/>
                    </w:rPr>
                    <w:t>产生的次生风险</w:t>
                  </w:r>
                </w:p>
              </w:tc>
            </w:tr>
          </w:tbl>
          <w:p w14:paraId="5EDC0058">
            <w:pPr>
              <w:spacing w:line="360" w:lineRule="auto"/>
              <w:ind w:firstLine="480" w:firstLineChars="200"/>
              <w:rPr>
                <w:color w:val="auto"/>
                <w:sz w:val="24"/>
                <w:highlight w:val="none"/>
              </w:rPr>
            </w:pPr>
            <w:r>
              <w:rPr>
                <w:rFonts w:hint="eastAsia"/>
                <w:color w:val="auto"/>
                <w:sz w:val="24"/>
                <w:highlight w:val="none"/>
              </w:rPr>
              <w:t>②物质风险识别</w:t>
            </w:r>
          </w:p>
          <w:p w14:paraId="35025B7E">
            <w:pPr>
              <w:spacing w:line="360" w:lineRule="auto"/>
              <w:ind w:firstLine="480" w:firstLineChars="200"/>
              <w:rPr>
                <w:color w:val="auto"/>
                <w:sz w:val="24"/>
                <w:szCs w:val="22"/>
                <w:highlight w:val="none"/>
              </w:rPr>
            </w:pPr>
            <w:r>
              <w:rPr>
                <w:color w:val="auto"/>
                <w:sz w:val="24"/>
                <w:szCs w:val="22"/>
                <w:highlight w:val="none"/>
              </w:rPr>
              <w:t>根据《建设项目环境风险评价技术导则》（HJ169-2018），物质风险识别包括主要原材料及辅助材料、燃料、中间产物、副产品、最终产品、污染物、火灾和爆炸伴生/次生物等。</w:t>
            </w:r>
          </w:p>
          <w:p w14:paraId="0FAA9A36">
            <w:pPr>
              <w:spacing w:line="360" w:lineRule="auto"/>
              <w:ind w:firstLine="480" w:firstLineChars="200"/>
              <w:rPr>
                <w:color w:val="auto"/>
                <w:sz w:val="24"/>
                <w:szCs w:val="22"/>
                <w:highlight w:val="none"/>
              </w:rPr>
            </w:pPr>
            <w:r>
              <w:rPr>
                <w:color w:val="auto"/>
                <w:sz w:val="24"/>
                <w:szCs w:val="22"/>
                <w:highlight w:val="none"/>
              </w:rPr>
              <w:t>根据本项目的实际情况，本项目</w:t>
            </w:r>
            <w:r>
              <w:rPr>
                <w:rFonts w:hint="eastAsia"/>
                <w:color w:val="auto"/>
                <w:sz w:val="24"/>
                <w:szCs w:val="22"/>
                <w:highlight w:val="none"/>
              </w:rPr>
              <w:t>风险物质主要为</w:t>
            </w:r>
            <w:r>
              <w:rPr>
                <w:rFonts w:hint="eastAsia"/>
                <w:color w:val="auto"/>
                <w:sz w:val="24"/>
                <w:szCs w:val="22"/>
                <w:highlight w:val="none"/>
                <w:lang w:eastAsia="zh-CN"/>
              </w:rPr>
              <w:t>切削液、液压油</w:t>
            </w:r>
            <w:r>
              <w:rPr>
                <w:rFonts w:hint="eastAsia"/>
                <w:color w:val="auto"/>
                <w:sz w:val="24"/>
                <w:szCs w:val="22"/>
                <w:highlight w:val="none"/>
              </w:rPr>
              <w:t>、</w:t>
            </w:r>
            <w:r>
              <w:rPr>
                <w:rFonts w:hint="eastAsia"/>
                <w:color w:val="auto"/>
                <w:sz w:val="24"/>
                <w:szCs w:val="22"/>
                <w:highlight w:val="none"/>
                <w:lang w:eastAsia="zh-CN"/>
              </w:rPr>
              <w:t>废</w:t>
            </w:r>
            <w:r>
              <w:rPr>
                <w:rFonts w:hint="eastAsia"/>
                <w:color w:val="auto"/>
                <w:sz w:val="24"/>
                <w:szCs w:val="22"/>
                <w:highlight w:val="none"/>
              </w:rPr>
              <w:t>润滑油</w:t>
            </w:r>
            <w:r>
              <w:rPr>
                <w:color w:val="auto"/>
                <w:sz w:val="24"/>
                <w:szCs w:val="22"/>
                <w:highlight w:val="none"/>
              </w:rPr>
              <w:t>。</w:t>
            </w:r>
          </w:p>
          <w:p w14:paraId="0FAFF6D8">
            <w:pPr>
              <w:spacing w:line="360" w:lineRule="auto"/>
              <w:ind w:firstLine="480" w:firstLineChars="200"/>
              <w:rPr>
                <w:color w:val="auto"/>
                <w:sz w:val="24"/>
                <w:szCs w:val="22"/>
                <w:highlight w:val="none"/>
              </w:rPr>
            </w:pPr>
            <w:r>
              <w:rPr>
                <w:color w:val="auto"/>
                <w:sz w:val="24"/>
                <w:szCs w:val="22"/>
                <w:highlight w:val="none"/>
              </w:rPr>
              <w:t>项目物质风险识别情况见下表：</w:t>
            </w:r>
          </w:p>
          <w:p w14:paraId="6345566B">
            <w:pPr>
              <w:spacing w:line="240" w:lineRule="auto"/>
              <w:ind w:firstLine="422" w:firstLineChars="200"/>
              <w:jc w:val="center"/>
              <w:rPr>
                <w:b/>
                <w:bCs/>
                <w:color w:val="auto"/>
                <w:sz w:val="21"/>
                <w:szCs w:val="21"/>
                <w:highlight w:val="none"/>
              </w:rPr>
            </w:pPr>
            <w:r>
              <w:rPr>
                <w:rFonts w:hint="eastAsia"/>
                <w:b/>
                <w:bCs/>
                <w:color w:val="auto"/>
                <w:sz w:val="21"/>
                <w:szCs w:val="21"/>
                <w:highlight w:val="none"/>
              </w:rPr>
              <w:t>表4-</w:t>
            </w:r>
            <w:r>
              <w:rPr>
                <w:rFonts w:hint="eastAsia"/>
                <w:b/>
                <w:bCs/>
                <w:color w:val="auto"/>
                <w:sz w:val="21"/>
                <w:szCs w:val="21"/>
                <w:highlight w:val="none"/>
                <w:lang w:val="en-US" w:eastAsia="zh-CN"/>
              </w:rPr>
              <w:t>12</w:t>
            </w:r>
            <w:r>
              <w:rPr>
                <w:rFonts w:hint="eastAsia"/>
                <w:b/>
                <w:bCs/>
                <w:color w:val="auto"/>
                <w:sz w:val="21"/>
                <w:szCs w:val="21"/>
                <w:highlight w:val="none"/>
              </w:rPr>
              <w:t xml:space="preserve">  项目物质风险识别表</w:t>
            </w:r>
          </w:p>
          <w:tbl>
            <w:tblPr>
              <w:tblStyle w:val="29"/>
              <w:tblW w:w="49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2"/>
              <w:gridCol w:w="4297"/>
              <w:gridCol w:w="468"/>
              <w:gridCol w:w="422"/>
              <w:gridCol w:w="388"/>
              <w:gridCol w:w="415"/>
              <w:gridCol w:w="1633"/>
            </w:tblGrid>
            <w:tr w14:paraId="7767A6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81" w:type="pct"/>
                  <w:tcBorders>
                    <w:top w:val="single" w:color="auto" w:sz="6" w:space="0"/>
                    <w:left w:val="single" w:color="auto" w:sz="6" w:space="0"/>
                    <w:bottom w:val="single" w:color="auto" w:sz="6" w:space="0"/>
                    <w:right w:val="single" w:color="auto" w:sz="6" w:space="0"/>
                  </w:tcBorders>
                  <w:noWrap w:val="0"/>
                  <w:vAlign w:val="center"/>
                </w:tcPr>
                <w:p w14:paraId="0C0823C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名称</w:t>
                  </w:r>
                </w:p>
              </w:tc>
              <w:tc>
                <w:tcPr>
                  <w:tcW w:w="2545" w:type="pct"/>
                  <w:tcBorders>
                    <w:top w:val="single" w:color="auto" w:sz="6" w:space="0"/>
                    <w:left w:val="single" w:color="auto" w:sz="6" w:space="0"/>
                    <w:bottom w:val="single" w:color="auto" w:sz="6" w:space="0"/>
                    <w:right w:val="single" w:color="auto" w:sz="6" w:space="0"/>
                  </w:tcBorders>
                  <w:noWrap w:val="0"/>
                  <w:vAlign w:val="center"/>
                </w:tcPr>
                <w:p w14:paraId="7B39450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理化性质</w:t>
                  </w:r>
                </w:p>
              </w:tc>
              <w:tc>
                <w:tcPr>
                  <w:tcW w:w="277" w:type="pct"/>
                  <w:tcBorders>
                    <w:top w:val="single" w:color="auto" w:sz="6" w:space="0"/>
                    <w:left w:val="single" w:color="auto" w:sz="6" w:space="0"/>
                    <w:bottom w:val="single" w:color="auto" w:sz="6" w:space="0"/>
                    <w:right w:val="single" w:color="auto" w:sz="6" w:space="0"/>
                  </w:tcBorders>
                  <w:noWrap w:val="0"/>
                  <w:vAlign w:val="center"/>
                </w:tcPr>
                <w:p w14:paraId="76DCE73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燃烧性</w:t>
                  </w:r>
                </w:p>
              </w:tc>
              <w:tc>
                <w:tcPr>
                  <w:tcW w:w="250" w:type="pct"/>
                  <w:tcBorders>
                    <w:top w:val="single" w:color="auto" w:sz="6" w:space="0"/>
                    <w:left w:val="single" w:color="auto" w:sz="6" w:space="0"/>
                    <w:bottom w:val="single" w:color="auto" w:sz="6" w:space="0"/>
                    <w:right w:val="single" w:color="auto" w:sz="6" w:space="0"/>
                  </w:tcBorders>
                  <w:noWrap w:val="0"/>
                  <w:vAlign w:val="center"/>
                </w:tcPr>
                <w:p w14:paraId="308B5D8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爆炸性</w:t>
                  </w:r>
                </w:p>
              </w:tc>
              <w:tc>
                <w:tcPr>
                  <w:tcW w:w="230" w:type="pct"/>
                  <w:tcBorders>
                    <w:top w:val="single" w:color="auto" w:sz="6" w:space="0"/>
                    <w:left w:val="single" w:color="auto" w:sz="6" w:space="0"/>
                    <w:bottom w:val="single" w:color="auto" w:sz="6" w:space="0"/>
                    <w:right w:val="single" w:color="auto" w:sz="6" w:space="0"/>
                  </w:tcBorders>
                  <w:noWrap w:val="0"/>
                  <w:vAlign w:val="center"/>
                </w:tcPr>
                <w:p w14:paraId="217A85A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毒性</w:t>
                  </w:r>
                </w:p>
              </w:tc>
              <w:tc>
                <w:tcPr>
                  <w:tcW w:w="246" w:type="pct"/>
                  <w:tcBorders>
                    <w:top w:val="single" w:color="auto" w:sz="6" w:space="0"/>
                    <w:left w:val="single" w:color="auto" w:sz="6" w:space="0"/>
                    <w:bottom w:val="single" w:color="auto" w:sz="6" w:space="0"/>
                    <w:right w:val="single" w:color="auto" w:sz="6" w:space="0"/>
                  </w:tcBorders>
                  <w:noWrap w:val="0"/>
                  <w:vAlign w:val="center"/>
                </w:tcPr>
                <w:p w14:paraId="40CC448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腐蚀性</w:t>
                  </w:r>
                </w:p>
              </w:tc>
              <w:tc>
                <w:tcPr>
                  <w:tcW w:w="967" w:type="pct"/>
                  <w:tcBorders>
                    <w:top w:val="single" w:color="auto" w:sz="6" w:space="0"/>
                    <w:left w:val="single" w:color="auto" w:sz="6" w:space="0"/>
                    <w:bottom w:val="single" w:color="auto" w:sz="6" w:space="0"/>
                    <w:right w:val="single" w:color="auto" w:sz="6" w:space="0"/>
                  </w:tcBorders>
                  <w:noWrap w:val="0"/>
                  <w:vAlign w:val="center"/>
                </w:tcPr>
                <w:p w14:paraId="0C62504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判定结果</w:t>
                  </w:r>
                </w:p>
              </w:tc>
            </w:tr>
            <w:tr w14:paraId="5EF2F3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81" w:type="pct"/>
                  <w:tcBorders>
                    <w:top w:val="single" w:color="auto" w:sz="6" w:space="0"/>
                    <w:left w:val="single" w:color="auto" w:sz="6" w:space="0"/>
                    <w:bottom w:val="single" w:color="auto" w:sz="6" w:space="0"/>
                    <w:right w:val="single" w:color="auto" w:sz="6" w:space="0"/>
                  </w:tcBorders>
                  <w:noWrap w:val="0"/>
                  <w:vAlign w:val="center"/>
                </w:tcPr>
                <w:p w14:paraId="1F5F8766">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切削液</w:t>
                  </w:r>
                </w:p>
              </w:tc>
              <w:tc>
                <w:tcPr>
                  <w:tcW w:w="2545" w:type="pct"/>
                  <w:tcBorders>
                    <w:top w:val="single" w:color="auto" w:sz="6" w:space="0"/>
                    <w:left w:val="single" w:color="auto" w:sz="6" w:space="0"/>
                    <w:bottom w:val="single" w:color="auto" w:sz="6" w:space="0"/>
                    <w:right w:val="single" w:color="auto" w:sz="6" w:space="0"/>
                  </w:tcBorders>
                  <w:noWrap w:val="0"/>
                  <w:vAlign w:val="center"/>
                </w:tcPr>
                <w:p w14:paraId="73B65FC6">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default" w:ascii="Times New Roman" w:hAnsi="Times New Roman" w:eastAsia="宋体" w:cs="Times New Roman"/>
                      <w:color w:val="auto"/>
                      <w:sz w:val="21"/>
                      <w:szCs w:val="21"/>
                      <w:highlight w:val="none"/>
                      <w:u w:val="none" w:color="auto"/>
                    </w:rPr>
                    <w:t>外观</w:t>
                  </w:r>
                  <w:r>
                    <w:rPr>
                      <w:rFonts w:hint="eastAsia" w:ascii="Times New Roman" w:hAnsi="Times New Roman" w:eastAsia="宋体" w:cs="Times New Roman"/>
                      <w:color w:val="auto"/>
                      <w:sz w:val="21"/>
                      <w:szCs w:val="21"/>
                      <w:highlight w:val="none"/>
                      <w:u w:val="none" w:color="auto"/>
                      <w:lang w:eastAsia="zh-CN"/>
                    </w:rPr>
                    <w:t>：</w:t>
                  </w:r>
                  <w:r>
                    <w:rPr>
                      <w:rFonts w:hint="default" w:ascii="Times New Roman" w:hAnsi="Times New Roman" w:eastAsia="宋体" w:cs="Times New Roman"/>
                      <w:color w:val="auto"/>
                      <w:sz w:val="21"/>
                      <w:szCs w:val="21"/>
                      <w:highlight w:val="none"/>
                      <w:u w:val="none" w:color="auto"/>
                    </w:rPr>
                    <w:t>液体</w:t>
                  </w:r>
                  <w:r>
                    <w:rPr>
                      <w:rFonts w:hint="eastAsia" w:ascii="Times New Roman" w:hAnsi="Times New Roman" w:eastAsia="宋体" w:cs="Times New Roman"/>
                      <w:color w:val="auto"/>
                      <w:sz w:val="21"/>
                      <w:szCs w:val="21"/>
                      <w:highlight w:val="none"/>
                      <w:u w:val="none" w:color="auto"/>
                      <w:lang w:eastAsia="zh-CN"/>
                    </w:rPr>
                    <w:t>，</w:t>
                  </w:r>
                  <w:r>
                    <w:rPr>
                      <w:rFonts w:hint="eastAsia" w:ascii="Times New Roman" w:hAnsi="Times New Roman" w:eastAsia="宋体" w:cs="Times New Roman"/>
                      <w:color w:val="auto"/>
                      <w:sz w:val="21"/>
                      <w:szCs w:val="21"/>
                      <w:highlight w:val="none"/>
                      <w:u w:val="none" w:color="auto"/>
                      <w:lang w:val="en-US" w:eastAsia="zh-CN"/>
                    </w:rPr>
                    <w:t>淡黄色</w:t>
                  </w:r>
                  <w:r>
                    <w:rPr>
                      <w:rFonts w:hint="eastAsia" w:ascii="Times New Roman" w:hAnsi="Times New Roman" w:eastAsia="宋体" w:cs="Times New Roman"/>
                      <w:color w:val="auto"/>
                      <w:sz w:val="21"/>
                      <w:szCs w:val="21"/>
                      <w:highlight w:val="none"/>
                      <w:u w:val="none" w:color="auto"/>
                      <w:lang w:eastAsia="zh-CN"/>
                    </w:rPr>
                    <w:t>，物理化学性质： 闪点为</w:t>
                  </w:r>
                  <w:r>
                    <w:rPr>
                      <w:rFonts w:hint="eastAsia" w:ascii="Times New Roman" w:hAnsi="Times New Roman" w:eastAsia="宋体" w:cs="Times New Roman"/>
                      <w:color w:val="auto"/>
                      <w:sz w:val="21"/>
                      <w:szCs w:val="21"/>
                      <w:highlight w:val="none"/>
                      <w:u w:val="none" w:color="auto"/>
                      <w:lang w:val="en-US" w:eastAsia="zh-CN"/>
                    </w:rPr>
                    <w:t>200</w:t>
                  </w:r>
                  <w:r>
                    <w:rPr>
                      <w:rFonts w:hint="eastAsia" w:ascii="Times New Roman" w:hAnsi="Times New Roman" w:eastAsia="宋体" w:cs="Times New Roman"/>
                      <w:color w:val="auto"/>
                      <w:sz w:val="21"/>
                      <w:szCs w:val="21"/>
                      <w:highlight w:val="none"/>
                      <w:u w:val="none" w:color="auto"/>
                      <w:lang w:eastAsia="zh-CN"/>
                    </w:rPr>
                    <w:t>℃，自燃点高，不易爆炸。能与水相溶，</w:t>
                  </w:r>
                  <w:r>
                    <w:rPr>
                      <w:rFonts w:hint="eastAsia" w:ascii="Times New Roman" w:hAnsi="Times New Roman" w:eastAsia="宋体" w:cs="Times New Roman"/>
                      <w:color w:val="auto"/>
                      <w:sz w:val="21"/>
                      <w:szCs w:val="21"/>
                      <w:highlight w:val="none"/>
                      <w:u w:val="none" w:color="auto"/>
                      <w:lang w:val="en-US" w:eastAsia="zh-CN"/>
                    </w:rPr>
                    <w:t>相对密度：1.05-1.15g/cm</w:t>
                  </w:r>
                  <w:r>
                    <w:rPr>
                      <w:rFonts w:hint="eastAsia" w:ascii="Times New Roman" w:hAnsi="Times New Roman" w:eastAsia="宋体" w:cs="Times New Roman"/>
                      <w:color w:val="auto"/>
                      <w:sz w:val="21"/>
                      <w:szCs w:val="21"/>
                      <w:highlight w:val="none"/>
                      <w:u w:val="none" w:color="auto"/>
                      <w:vertAlign w:val="superscript"/>
                      <w:lang w:val="en-US" w:eastAsia="zh-CN"/>
                    </w:rPr>
                    <w:t>3</w:t>
                  </w:r>
                  <w:r>
                    <w:rPr>
                      <w:rFonts w:hint="eastAsia" w:ascii="Times New Roman" w:hAnsi="Times New Roman" w:eastAsia="宋体" w:cs="Times New Roman"/>
                      <w:color w:val="auto"/>
                      <w:sz w:val="21"/>
                      <w:szCs w:val="21"/>
                      <w:highlight w:val="none"/>
                      <w:u w:val="none" w:color="auto"/>
                      <w:lang w:val="en-US" w:eastAsia="zh-CN"/>
                    </w:rPr>
                    <w:t>，与强氧化剂和强酸反应，产生可燃气体，</w:t>
                  </w:r>
                </w:p>
              </w:tc>
              <w:tc>
                <w:tcPr>
                  <w:tcW w:w="277" w:type="pct"/>
                  <w:tcBorders>
                    <w:top w:val="single" w:color="auto" w:sz="6" w:space="0"/>
                    <w:left w:val="single" w:color="auto" w:sz="6" w:space="0"/>
                    <w:bottom w:val="single" w:color="auto" w:sz="6" w:space="0"/>
                    <w:right w:val="single" w:color="auto" w:sz="6" w:space="0"/>
                  </w:tcBorders>
                  <w:noWrap w:val="0"/>
                  <w:vAlign w:val="center"/>
                </w:tcPr>
                <w:p w14:paraId="7674BF8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可燃</w:t>
                  </w:r>
                </w:p>
              </w:tc>
              <w:tc>
                <w:tcPr>
                  <w:tcW w:w="250" w:type="pct"/>
                  <w:tcBorders>
                    <w:top w:val="single" w:color="auto" w:sz="6" w:space="0"/>
                    <w:left w:val="single" w:color="auto" w:sz="6" w:space="0"/>
                    <w:bottom w:val="single" w:color="auto" w:sz="6" w:space="0"/>
                    <w:right w:val="single" w:color="auto" w:sz="6" w:space="0"/>
                  </w:tcBorders>
                  <w:noWrap w:val="0"/>
                  <w:vAlign w:val="center"/>
                </w:tcPr>
                <w:p w14:paraId="7ED215D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w:t>
                  </w:r>
                </w:p>
              </w:tc>
              <w:tc>
                <w:tcPr>
                  <w:tcW w:w="230" w:type="pct"/>
                  <w:tcBorders>
                    <w:top w:val="single" w:color="auto" w:sz="6" w:space="0"/>
                    <w:left w:val="single" w:color="auto" w:sz="6" w:space="0"/>
                    <w:bottom w:val="single" w:color="auto" w:sz="6" w:space="0"/>
                    <w:right w:val="single" w:color="auto" w:sz="6" w:space="0"/>
                  </w:tcBorders>
                  <w:noWrap w:val="0"/>
                  <w:vAlign w:val="center"/>
                </w:tcPr>
                <w:p w14:paraId="25EF2B3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w:t>
                  </w:r>
                </w:p>
              </w:tc>
              <w:tc>
                <w:tcPr>
                  <w:tcW w:w="246" w:type="pct"/>
                  <w:tcBorders>
                    <w:top w:val="single" w:color="auto" w:sz="6" w:space="0"/>
                    <w:left w:val="single" w:color="auto" w:sz="6" w:space="0"/>
                    <w:bottom w:val="single" w:color="auto" w:sz="6" w:space="0"/>
                    <w:right w:val="single" w:color="auto" w:sz="6" w:space="0"/>
                  </w:tcBorders>
                  <w:noWrap w:val="0"/>
                  <w:vAlign w:val="center"/>
                </w:tcPr>
                <w:p w14:paraId="796E1D8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w:t>
                  </w:r>
                </w:p>
              </w:tc>
              <w:tc>
                <w:tcPr>
                  <w:tcW w:w="967" w:type="pct"/>
                  <w:tcBorders>
                    <w:top w:val="single" w:color="auto" w:sz="6" w:space="0"/>
                    <w:left w:val="single" w:color="auto" w:sz="6" w:space="0"/>
                    <w:bottom w:val="single" w:color="auto" w:sz="6" w:space="0"/>
                    <w:right w:val="single" w:color="auto" w:sz="6" w:space="0"/>
                  </w:tcBorders>
                  <w:noWrap w:val="0"/>
                  <w:vAlign w:val="center"/>
                </w:tcPr>
                <w:p w14:paraId="10E3EBA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不是有毒物质*</w:t>
                  </w:r>
                </w:p>
                <w:p w14:paraId="21EF430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2类可燃物质</w:t>
                  </w:r>
                </w:p>
                <w:p w14:paraId="64C6A82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不是爆炸性物质</w:t>
                  </w:r>
                </w:p>
              </w:tc>
            </w:tr>
            <w:tr w14:paraId="045521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81" w:type="pct"/>
                  <w:tcBorders>
                    <w:top w:val="single" w:color="auto" w:sz="6" w:space="0"/>
                    <w:left w:val="single" w:color="auto" w:sz="6" w:space="0"/>
                    <w:bottom w:val="single" w:color="auto" w:sz="6" w:space="0"/>
                    <w:right w:val="single" w:color="auto" w:sz="6" w:space="0"/>
                  </w:tcBorders>
                  <w:noWrap w:val="0"/>
                  <w:vAlign w:val="center"/>
                </w:tcPr>
                <w:p w14:paraId="1B7E758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液压油</w:t>
                  </w:r>
                </w:p>
              </w:tc>
              <w:tc>
                <w:tcPr>
                  <w:tcW w:w="2545" w:type="pct"/>
                  <w:tcBorders>
                    <w:top w:val="single" w:color="auto" w:sz="6" w:space="0"/>
                    <w:left w:val="single" w:color="auto" w:sz="6" w:space="0"/>
                    <w:bottom w:val="single" w:color="auto" w:sz="6" w:space="0"/>
                    <w:right w:val="single" w:color="auto" w:sz="6" w:space="0"/>
                  </w:tcBorders>
                  <w:noWrap w:val="0"/>
                  <w:vAlign w:val="center"/>
                </w:tcPr>
                <w:p w14:paraId="4ED165B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液压油性状：琥珀色，室温下液体，不溶于水，沸点＞290</w:t>
                  </w:r>
                  <w:r>
                    <w:rPr>
                      <w:rFonts w:hint="eastAsia" w:ascii="Times New Roman" w:hAnsi="Times New Roman" w:eastAsia="宋体" w:cs="Times New Roman"/>
                      <w:color w:val="auto"/>
                      <w:sz w:val="21"/>
                      <w:szCs w:val="21"/>
                      <w:highlight w:val="none"/>
                      <w:u w:val="none" w:color="auto"/>
                      <w:lang w:eastAsia="zh-CN"/>
                    </w:rPr>
                    <w:t>℃，相对密度（水=1）：0.896kg/m</w:t>
                  </w:r>
                  <w:r>
                    <w:rPr>
                      <w:rFonts w:hint="eastAsia" w:ascii="Times New Roman" w:hAnsi="Times New Roman" w:eastAsia="宋体" w:cs="Times New Roman"/>
                      <w:color w:val="auto"/>
                      <w:sz w:val="21"/>
                      <w:szCs w:val="21"/>
                      <w:highlight w:val="none"/>
                      <w:u w:val="none" w:color="auto"/>
                      <w:vertAlign w:val="superscript"/>
                      <w:lang w:eastAsia="zh-CN"/>
                    </w:rPr>
                    <w:t>3</w:t>
                  </w:r>
                  <w:r>
                    <w:rPr>
                      <w:rFonts w:hint="eastAsia" w:ascii="Times New Roman" w:hAnsi="Times New Roman" w:eastAsia="宋体" w:cs="Times New Roman"/>
                      <w:color w:val="auto"/>
                      <w:sz w:val="21"/>
                      <w:szCs w:val="21"/>
                      <w:highlight w:val="none"/>
                      <w:u w:val="none" w:color="auto"/>
                      <w:lang w:eastAsia="zh-CN"/>
                    </w:rPr>
                    <w:t>（15°C），闪点℃：222，自燃温度℃</w:t>
                  </w:r>
                  <w:r>
                    <w:rPr>
                      <w:rFonts w:hint="eastAsia" w:cs="Times New Roman"/>
                      <w:color w:val="auto"/>
                      <w:sz w:val="21"/>
                      <w:szCs w:val="21"/>
                      <w:highlight w:val="none"/>
                      <w:u w:val="none" w:color="auto"/>
                      <w:lang w:eastAsia="zh-CN"/>
                    </w:rPr>
                    <w:t>：</w:t>
                  </w:r>
                  <w:r>
                    <w:rPr>
                      <w:rFonts w:hint="eastAsia" w:ascii="Times New Roman" w:hAnsi="Times New Roman" w:eastAsia="宋体" w:cs="Times New Roman"/>
                      <w:color w:val="auto"/>
                      <w:sz w:val="21"/>
                      <w:szCs w:val="21"/>
                      <w:highlight w:val="none"/>
                      <w:u w:val="none" w:color="auto"/>
                      <w:lang w:eastAsia="zh-CN"/>
                    </w:rPr>
                    <w:t>320，可燃，燃烧可能形成在空气中的固体和液体微粒及气体的复杂的混合物，包括一氧化碳，二氧化硫及未能识别的有机及无机的化合物。</w:t>
                  </w:r>
                </w:p>
              </w:tc>
              <w:tc>
                <w:tcPr>
                  <w:tcW w:w="277" w:type="pct"/>
                  <w:tcBorders>
                    <w:top w:val="single" w:color="auto" w:sz="6" w:space="0"/>
                    <w:left w:val="single" w:color="auto" w:sz="6" w:space="0"/>
                    <w:bottom w:val="single" w:color="auto" w:sz="6" w:space="0"/>
                    <w:right w:val="single" w:color="auto" w:sz="6" w:space="0"/>
                  </w:tcBorders>
                  <w:noWrap w:val="0"/>
                  <w:vAlign w:val="center"/>
                </w:tcPr>
                <w:p w14:paraId="48CDFE7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lang w:val="en-US" w:eastAsia="zh-CN"/>
                    </w:rPr>
                    <w:t>可燃</w:t>
                  </w:r>
                </w:p>
              </w:tc>
              <w:tc>
                <w:tcPr>
                  <w:tcW w:w="250" w:type="pct"/>
                  <w:tcBorders>
                    <w:top w:val="single" w:color="auto" w:sz="6" w:space="0"/>
                    <w:left w:val="single" w:color="auto" w:sz="6" w:space="0"/>
                    <w:bottom w:val="single" w:color="auto" w:sz="6" w:space="0"/>
                    <w:right w:val="single" w:color="auto" w:sz="6" w:space="0"/>
                  </w:tcBorders>
                  <w:noWrap w:val="0"/>
                  <w:vAlign w:val="center"/>
                </w:tcPr>
                <w:p w14:paraId="6E689A3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w:t>
                  </w:r>
                </w:p>
              </w:tc>
              <w:tc>
                <w:tcPr>
                  <w:tcW w:w="230" w:type="pct"/>
                  <w:tcBorders>
                    <w:top w:val="single" w:color="auto" w:sz="6" w:space="0"/>
                    <w:left w:val="single" w:color="auto" w:sz="6" w:space="0"/>
                    <w:bottom w:val="single" w:color="auto" w:sz="6" w:space="0"/>
                    <w:right w:val="single" w:color="auto" w:sz="6" w:space="0"/>
                  </w:tcBorders>
                  <w:noWrap w:val="0"/>
                  <w:vAlign w:val="center"/>
                </w:tcPr>
                <w:p w14:paraId="52576C5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w:t>
                  </w:r>
                </w:p>
              </w:tc>
              <w:tc>
                <w:tcPr>
                  <w:tcW w:w="246" w:type="pct"/>
                  <w:tcBorders>
                    <w:top w:val="single" w:color="auto" w:sz="6" w:space="0"/>
                    <w:left w:val="single" w:color="auto" w:sz="6" w:space="0"/>
                    <w:bottom w:val="single" w:color="auto" w:sz="6" w:space="0"/>
                    <w:right w:val="single" w:color="auto" w:sz="6" w:space="0"/>
                  </w:tcBorders>
                  <w:noWrap w:val="0"/>
                  <w:vAlign w:val="center"/>
                </w:tcPr>
                <w:p w14:paraId="3C433F6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w:t>
                  </w:r>
                </w:p>
              </w:tc>
              <w:tc>
                <w:tcPr>
                  <w:tcW w:w="967" w:type="pct"/>
                  <w:tcBorders>
                    <w:top w:val="single" w:color="auto" w:sz="6" w:space="0"/>
                    <w:left w:val="single" w:color="auto" w:sz="6" w:space="0"/>
                    <w:bottom w:val="single" w:color="auto" w:sz="6" w:space="0"/>
                    <w:right w:val="single" w:color="auto" w:sz="6" w:space="0"/>
                  </w:tcBorders>
                  <w:noWrap w:val="0"/>
                  <w:vAlign w:val="center"/>
                </w:tcPr>
                <w:p w14:paraId="274F2F6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不是有毒物质*</w:t>
                  </w:r>
                </w:p>
                <w:p w14:paraId="4EB3F4E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2类可燃物质</w:t>
                  </w:r>
                </w:p>
                <w:p w14:paraId="57E7718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不是爆炸性物质</w:t>
                  </w:r>
                </w:p>
              </w:tc>
            </w:tr>
            <w:tr w14:paraId="7A791E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81" w:type="pct"/>
                  <w:tcBorders>
                    <w:top w:val="single" w:color="auto" w:sz="6" w:space="0"/>
                    <w:left w:val="single" w:color="auto" w:sz="6" w:space="0"/>
                    <w:bottom w:val="single" w:color="auto" w:sz="6" w:space="0"/>
                    <w:right w:val="single" w:color="auto" w:sz="6" w:space="0"/>
                  </w:tcBorders>
                  <w:noWrap w:val="0"/>
                  <w:vAlign w:val="center"/>
                </w:tcPr>
                <w:p w14:paraId="7366129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润滑油</w:t>
                  </w:r>
                </w:p>
              </w:tc>
              <w:tc>
                <w:tcPr>
                  <w:tcW w:w="2545" w:type="pct"/>
                  <w:tcBorders>
                    <w:top w:val="single" w:color="auto" w:sz="6" w:space="0"/>
                    <w:left w:val="single" w:color="auto" w:sz="6" w:space="0"/>
                    <w:bottom w:val="single" w:color="auto" w:sz="6" w:space="0"/>
                    <w:right w:val="single" w:color="auto" w:sz="6" w:space="0"/>
                  </w:tcBorders>
                  <w:noWrap w:val="0"/>
                  <w:vAlign w:val="center"/>
                </w:tcPr>
                <w:p w14:paraId="62860C7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润滑油一般由基础油和添加剂两部分组成。基础油是润滑油的主要成分，基础油的化学成分包括高沸点、高分子量烃类和非烃类混合物。其组成一般为烷烃（直链、支链、多支链）、环烷烃（单环、双环、多环）、</w:t>
                  </w:r>
                  <w:r>
                    <w:rPr>
                      <w:rFonts w:hint="default" w:ascii="Times New Roman" w:hAnsi="Times New Roman" w:eastAsia="宋体" w:cs="Times New Roman"/>
                      <w:color w:val="auto"/>
                      <w:sz w:val="21"/>
                      <w:szCs w:val="21"/>
                      <w:highlight w:val="none"/>
                      <w:u w:val="none" w:color="auto"/>
                    </w:rPr>
                    <w:fldChar w:fldCharType="begin"/>
                  </w:r>
                  <w:r>
                    <w:rPr>
                      <w:rFonts w:hint="default" w:ascii="Times New Roman" w:hAnsi="Times New Roman" w:eastAsia="宋体" w:cs="Times New Roman"/>
                      <w:color w:val="auto"/>
                      <w:sz w:val="21"/>
                      <w:szCs w:val="21"/>
                      <w:highlight w:val="none"/>
                      <w:u w:val="none" w:color="auto"/>
                    </w:rPr>
                    <w:instrText xml:space="preserve"> HYPERLINK "https://baike.baidu.com/item/%E8%8A%B3%E7%83%83" \t "https://baike.baidu.com/item/%E6%B6%A6%E6%BB%91%E6%B2%B9/_blank" </w:instrText>
                  </w:r>
                  <w:r>
                    <w:rPr>
                      <w:rFonts w:hint="default" w:ascii="Times New Roman" w:hAnsi="Times New Roman" w:eastAsia="宋体" w:cs="Times New Roman"/>
                      <w:color w:val="auto"/>
                      <w:sz w:val="21"/>
                      <w:szCs w:val="21"/>
                      <w:highlight w:val="none"/>
                      <w:u w:val="none" w:color="auto"/>
                    </w:rPr>
                    <w:fldChar w:fldCharType="separate"/>
                  </w:r>
                  <w:r>
                    <w:rPr>
                      <w:rFonts w:hint="default" w:ascii="Times New Roman" w:hAnsi="Times New Roman" w:eastAsia="宋体" w:cs="Times New Roman"/>
                      <w:color w:val="auto"/>
                      <w:sz w:val="21"/>
                      <w:szCs w:val="21"/>
                      <w:highlight w:val="none"/>
                      <w:u w:val="none" w:color="auto"/>
                    </w:rPr>
                    <w:t>芳烃</w:t>
                  </w:r>
                  <w:r>
                    <w:rPr>
                      <w:rFonts w:hint="default" w:ascii="Times New Roman" w:hAnsi="Times New Roman" w:eastAsia="宋体" w:cs="Times New Roman"/>
                      <w:color w:val="auto"/>
                      <w:sz w:val="21"/>
                      <w:szCs w:val="21"/>
                      <w:highlight w:val="none"/>
                      <w:u w:val="none" w:color="auto"/>
                    </w:rPr>
                    <w:fldChar w:fldCharType="end"/>
                  </w:r>
                  <w:r>
                    <w:rPr>
                      <w:rFonts w:hint="default" w:ascii="Times New Roman" w:hAnsi="Times New Roman" w:eastAsia="宋体" w:cs="Times New Roman"/>
                      <w:color w:val="auto"/>
                      <w:sz w:val="21"/>
                      <w:szCs w:val="21"/>
                      <w:highlight w:val="none"/>
                      <w:u w:val="none" w:color="auto"/>
                    </w:rPr>
                    <w:t>（单环芳烃、多环芳烃）、环烷基芳烃以及含氧、含氮、含硫有机化合物和胶质、沥青质等非烃类化合物</w:t>
                  </w:r>
                </w:p>
              </w:tc>
              <w:tc>
                <w:tcPr>
                  <w:tcW w:w="277" w:type="pct"/>
                  <w:tcBorders>
                    <w:top w:val="single" w:color="auto" w:sz="6" w:space="0"/>
                    <w:left w:val="single" w:color="auto" w:sz="6" w:space="0"/>
                    <w:bottom w:val="single" w:color="auto" w:sz="6" w:space="0"/>
                    <w:right w:val="single" w:color="auto" w:sz="6" w:space="0"/>
                  </w:tcBorders>
                  <w:noWrap w:val="0"/>
                  <w:vAlign w:val="center"/>
                </w:tcPr>
                <w:p w14:paraId="226FA4A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可燃</w:t>
                  </w:r>
                </w:p>
              </w:tc>
              <w:tc>
                <w:tcPr>
                  <w:tcW w:w="250" w:type="pct"/>
                  <w:tcBorders>
                    <w:top w:val="single" w:color="auto" w:sz="6" w:space="0"/>
                    <w:left w:val="single" w:color="auto" w:sz="6" w:space="0"/>
                    <w:bottom w:val="single" w:color="auto" w:sz="6" w:space="0"/>
                    <w:right w:val="single" w:color="auto" w:sz="6" w:space="0"/>
                  </w:tcBorders>
                  <w:noWrap w:val="0"/>
                  <w:vAlign w:val="center"/>
                </w:tcPr>
                <w:p w14:paraId="7742B03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w:t>
                  </w:r>
                </w:p>
              </w:tc>
              <w:tc>
                <w:tcPr>
                  <w:tcW w:w="230" w:type="pct"/>
                  <w:tcBorders>
                    <w:top w:val="single" w:color="auto" w:sz="6" w:space="0"/>
                    <w:left w:val="single" w:color="auto" w:sz="6" w:space="0"/>
                    <w:bottom w:val="single" w:color="auto" w:sz="6" w:space="0"/>
                    <w:right w:val="single" w:color="auto" w:sz="6" w:space="0"/>
                  </w:tcBorders>
                  <w:noWrap w:val="0"/>
                  <w:vAlign w:val="center"/>
                </w:tcPr>
                <w:p w14:paraId="66C5DDB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w:t>
                  </w:r>
                </w:p>
              </w:tc>
              <w:tc>
                <w:tcPr>
                  <w:tcW w:w="246" w:type="pct"/>
                  <w:tcBorders>
                    <w:top w:val="single" w:color="auto" w:sz="6" w:space="0"/>
                    <w:left w:val="single" w:color="auto" w:sz="6" w:space="0"/>
                    <w:bottom w:val="single" w:color="auto" w:sz="6" w:space="0"/>
                    <w:right w:val="single" w:color="auto" w:sz="6" w:space="0"/>
                  </w:tcBorders>
                  <w:noWrap w:val="0"/>
                  <w:vAlign w:val="center"/>
                </w:tcPr>
                <w:p w14:paraId="42CF1E3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w:t>
                  </w:r>
                </w:p>
              </w:tc>
              <w:tc>
                <w:tcPr>
                  <w:tcW w:w="967" w:type="pct"/>
                  <w:tcBorders>
                    <w:top w:val="single" w:color="auto" w:sz="6" w:space="0"/>
                    <w:left w:val="single" w:color="auto" w:sz="6" w:space="0"/>
                    <w:bottom w:val="single" w:color="auto" w:sz="6" w:space="0"/>
                    <w:right w:val="single" w:color="auto" w:sz="6" w:space="0"/>
                  </w:tcBorders>
                  <w:noWrap w:val="0"/>
                  <w:vAlign w:val="center"/>
                </w:tcPr>
                <w:p w14:paraId="2C9F35E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不是有毒物质*</w:t>
                  </w:r>
                </w:p>
                <w:p w14:paraId="027033D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2类可燃物质</w:t>
                  </w:r>
                </w:p>
                <w:p w14:paraId="373DE44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不是爆炸性物质</w:t>
                  </w:r>
                </w:p>
              </w:tc>
            </w:tr>
          </w:tbl>
          <w:p w14:paraId="673727AA">
            <w:pPr>
              <w:bidi w:val="0"/>
              <w:rPr>
                <w:color w:val="auto"/>
              </w:rPr>
            </w:pPr>
            <w:r>
              <w:rPr>
                <w:color w:val="auto"/>
              </w:rPr>
              <w:t>备注：*不是有毒物质是指该化学品</w:t>
            </w:r>
            <w:r>
              <w:rPr>
                <w:rFonts w:hint="eastAsia"/>
                <w:color w:val="auto"/>
                <w:lang w:eastAsia="zh-CN"/>
              </w:rPr>
              <w:t>，</w:t>
            </w:r>
            <w:r>
              <w:rPr>
                <w:color w:val="auto"/>
              </w:rPr>
              <w:t>不属于《建设项目环境风险评价技术导则》（HJ 169-2018）附录B1规定的有毒物质范围之内。</w:t>
            </w:r>
          </w:p>
          <w:p w14:paraId="7F0FE4BA">
            <w:pPr>
              <w:spacing w:line="360" w:lineRule="auto"/>
              <w:ind w:firstLine="480" w:firstLineChars="200"/>
              <w:rPr>
                <w:color w:val="auto"/>
                <w:sz w:val="24"/>
                <w:highlight w:val="none"/>
              </w:rPr>
            </w:pPr>
            <w:r>
              <w:rPr>
                <w:rFonts w:hint="eastAsia"/>
                <w:color w:val="auto"/>
                <w:sz w:val="24"/>
                <w:highlight w:val="none"/>
              </w:rPr>
              <w:t>③风险识别结果</w:t>
            </w:r>
          </w:p>
          <w:p w14:paraId="340E3C81">
            <w:pPr>
              <w:spacing w:line="360" w:lineRule="auto"/>
              <w:ind w:firstLine="480" w:firstLineChars="200"/>
              <w:rPr>
                <w:color w:val="auto"/>
                <w:sz w:val="24"/>
                <w:highlight w:val="none"/>
              </w:rPr>
            </w:pPr>
            <w:r>
              <w:rPr>
                <w:color w:val="auto"/>
                <w:sz w:val="24"/>
                <w:highlight w:val="none"/>
              </w:rPr>
              <w:t>项目风险识别结果见表</w:t>
            </w:r>
            <w:r>
              <w:rPr>
                <w:rFonts w:hint="eastAsia"/>
                <w:color w:val="auto"/>
                <w:sz w:val="24"/>
                <w:highlight w:val="none"/>
              </w:rPr>
              <w:t>4-</w:t>
            </w:r>
            <w:r>
              <w:rPr>
                <w:rFonts w:hint="eastAsia"/>
                <w:color w:val="auto"/>
                <w:sz w:val="24"/>
                <w:highlight w:val="none"/>
                <w:lang w:val="en-US" w:eastAsia="zh-CN"/>
              </w:rPr>
              <w:t>13</w:t>
            </w:r>
            <w:r>
              <w:rPr>
                <w:rFonts w:hint="eastAsia"/>
                <w:color w:val="auto"/>
                <w:sz w:val="24"/>
                <w:highlight w:val="none"/>
              </w:rPr>
              <w:t>。</w:t>
            </w:r>
          </w:p>
          <w:p w14:paraId="18CC224C">
            <w:pPr>
              <w:spacing w:line="240" w:lineRule="auto"/>
              <w:ind w:firstLine="373" w:firstLineChars="177"/>
              <w:jc w:val="center"/>
              <w:rPr>
                <w:b/>
                <w:bCs/>
                <w:color w:val="auto"/>
                <w:kern w:val="24"/>
                <w:sz w:val="21"/>
                <w:szCs w:val="21"/>
                <w:highlight w:val="none"/>
              </w:rPr>
            </w:pPr>
            <w:r>
              <w:rPr>
                <w:b/>
                <w:bCs/>
                <w:color w:val="auto"/>
                <w:kern w:val="24"/>
                <w:sz w:val="21"/>
                <w:szCs w:val="21"/>
                <w:highlight w:val="none"/>
              </w:rPr>
              <w:t>表</w:t>
            </w:r>
            <w:r>
              <w:rPr>
                <w:rFonts w:hint="eastAsia"/>
                <w:b/>
                <w:bCs/>
                <w:color w:val="auto"/>
                <w:kern w:val="24"/>
                <w:sz w:val="21"/>
                <w:szCs w:val="21"/>
                <w:highlight w:val="none"/>
              </w:rPr>
              <w:t>4-</w:t>
            </w:r>
            <w:r>
              <w:rPr>
                <w:rFonts w:hint="eastAsia"/>
                <w:b/>
                <w:bCs/>
                <w:color w:val="auto"/>
                <w:kern w:val="24"/>
                <w:sz w:val="21"/>
                <w:szCs w:val="21"/>
                <w:highlight w:val="none"/>
                <w:lang w:val="en-US" w:eastAsia="zh-CN"/>
              </w:rPr>
              <w:t>13</w:t>
            </w:r>
            <w:r>
              <w:rPr>
                <w:rFonts w:hint="eastAsia"/>
                <w:b/>
                <w:bCs/>
                <w:color w:val="auto"/>
                <w:kern w:val="24"/>
                <w:sz w:val="21"/>
                <w:szCs w:val="21"/>
                <w:highlight w:val="none"/>
              </w:rPr>
              <w:t xml:space="preserve"> </w:t>
            </w:r>
            <w:r>
              <w:rPr>
                <w:b/>
                <w:bCs/>
                <w:color w:val="auto"/>
                <w:kern w:val="24"/>
                <w:sz w:val="21"/>
                <w:szCs w:val="21"/>
                <w:highlight w:val="none"/>
              </w:rPr>
              <w:t xml:space="preserve"> 建设项目环境风险识别表</w:t>
            </w:r>
          </w:p>
          <w:tbl>
            <w:tblPr>
              <w:tblStyle w:val="29"/>
              <w:tblW w:w="4994" w:type="pct"/>
              <w:jc w:val="center"/>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108" w:type="dxa"/>
                <w:bottom w:w="0" w:type="dxa"/>
                <w:right w:w="108" w:type="dxa"/>
              </w:tblCellMar>
            </w:tblPr>
            <w:tblGrid>
              <w:gridCol w:w="433"/>
              <w:gridCol w:w="1313"/>
              <w:gridCol w:w="950"/>
              <w:gridCol w:w="1528"/>
              <w:gridCol w:w="1530"/>
              <w:gridCol w:w="1165"/>
              <w:gridCol w:w="1525"/>
            </w:tblGrid>
            <w:tr w14:paraId="0C9945E1">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PrEx>
              <w:trPr>
                <w:trHeight w:val="397" w:hRule="atLeast"/>
                <w:jc w:val="center"/>
              </w:trPr>
              <w:tc>
                <w:tcPr>
                  <w:tcW w:w="256" w:type="pct"/>
                  <w:tcBorders>
                    <w:tl2br w:val="nil"/>
                    <w:tr2bl w:val="nil"/>
                  </w:tcBorders>
                  <w:noWrap w:val="0"/>
                  <w:vAlign w:val="center"/>
                </w:tcPr>
                <w:p w14:paraId="0F97A1E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序号</w:t>
                  </w:r>
                </w:p>
              </w:tc>
              <w:tc>
                <w:tcPr>
                  <w:tcW w:w="777" w:type="pct"/>
                  <w:tcBorders>
                    <w:tl2br w:val="nil"/>
                    <w:tr2bl w:val="nil"/>
                  </w:tcBorders>
                  <w:noWrap w:val="0"/>
                  <w:vAlign w:val="center"/>
                </w:tcPr>
                <w:p w14:paraId="167EFC6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危险单元</w:t>
                  </w:r>
                </w:p>
              </w:tc>
              <w:tc>
                <w:tcPr>
                  <w:tcW w:w="562" w:type="pct"/>
                  <w:tcBorders>
                    <w:tl2br w:val="nil"/>
                    <w:tr2bl w:val="nil"/>
                  </w:tcBorders>
                  <w:noWrap w:val="0"/>
                  <w:vAlign w:val="center"/>
                </w:tcPr>
                <w:p w14:paraId="4D84C45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风险源</w:t>
                  </w:r>
                </w:p>
              </w:tc>
              <w:tc>
                <w:tcPr>
                  <w:tcW w:w="905" w:type="pct"/>
                  <w:tcBorders>
                    <w:tl2br w:val="nil"/>
                    <w:tr2bl w:val="nil"/>
                  </w:tcBorders>
                  <w:noWrap w:val="0"/>
                  <w:vAlign w:val="center"/>
                </w:tcPr>
                <w:p w14:paraId="6B82A59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主要危险物质</w:t>
                  </w:r>
                </w:p>
              </w:tc>
              <w:tc>
                <w:tcPr>
                  <w:tcW w:w="906" w:type="pct"/>
                  <w:tcBorders>
                    <w:tl2br w:val="nil"/>
                    <w:tr2bl w:val="nil"/>
                  </w:tcBorders>
                  <w:noWrap w:val="0"/>
                  <w:vAlign w:val="center"/>
                </w:tcPr>
                <w:p w14:paraId="033BEE0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环境风险类型</w:t>
                  </w:r>
                </w:p>
              </w:tc>
              <w:tc>
                <w:tcPr>
                  <w:tcW w:w="689" w:type="pct"/>
                  <w:tcBorders>
                    <w:tl2br w:val="nil"/>
                    <w:tr2bl w:val="nil"/>
                  </w:tcBorders>
                  <w:noWrap w:val="0"/>
                  <w:vAlign w:val="center"/>
                </w:tcPr>
                <w:p w14:paraId="6F02DE1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环境影响途径</w:t>
                  </w:r>
                </w:p>
              </w:tc>
              <w:tc>
                <w:tcPr>
                  <w:tcW w:w="903" w:type="pct"/>
                  <w:tcBorders>
                    <w:tl2br w:val="nil"/>
                    <w:tr2bl w:val="nil"/>
                  </w:tcBorders>
                  <w:noWrap w:val="0"/>
                  <w:vAlign w:val="center"/>
                </w:tcPr>
                <w:p w14:paraId="3737455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可能受影响的环境敏感目标</w:t>
                  </w:r>
                </w:p>
              </w:tc>
            </w:tr>
            <w:tr w14:paraId="234EA159">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6" w:type="pct"/>
                  <w:tcBorders>
                    <w:tl2br w:val="nil"/>
                    <w:tr2bl w:val="nil"/>
                  </w:tcBorders>
                  <w:noWrap w:val="0"/>
                  <w:vAlign w:val="center"/>
                </w:tcPr>
                <w:p w14:paraId="458DB3B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1</w:t>
                  </w:r>
                </w:p>
              </w:tc>
              <w:tc>
                <w:tcPr>
                  <w:tcW w:w="777" w:type="pct"/>
                  <w:tcBorders>
                    <w:tl2br w:val="nil"/>
                    <w:tr2bl w:val="nil"/>
                  </w:tcBorders>
                  <w:noWrap w:val="0"/>
                  <w:vAlign w:val="center"/>
                </w:tcPr>
                <w:p w14:paraId="32A32B5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原料仓库</w:t>
                  </w:r>
                </w:p>
              </w:tc>
              <w:tc>
                <w:tcPr>
                  <w:tcW w:w="562" w:type="pct"/>
                  <w:vMerge w:val="restart"/>
                  <w:tcBorders>
                    <w:tl2br w:val="nil"/>
                    <w:tr2bl w:val="nil"/>
                  </w:tcBorders>
                  <w:noWrap w:val="0"/>
                  <w:vAlign w:val="center"/>
                </w:tcPr>
                <w:p w14:paraId="10D6F72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危险</w:t>
                  </w:r>
                </w:p>
                <w:p w14:paraId="3194FB3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物质</w:t>
                  </w:r>
                </w:p>
              </w:tc>
              <w:tc>
                <w:tcPr>
                  <w:tcW w:w="905" w:type="pct"/>
                  <w:tcBorders>
                    <w:tl2br w:val="nil"/>
                    <w:tr2bl w:val="nil"/>
                  </w:tcBorders>
                  <w:noWrap w:val="0"/>
                  <w:vAlign w:val="center"/>
                </w:tcPr>
                <w:p w14:paraId="0E8A7182">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切削液</w:t>
                  </w:r>
                  <w:r>
                    <w:rPr>
                      <w:rFonts w:hint="eastAsia" w:cs="Times New Roman"/>
                      <w:color w:val="auto"/>
                      <w:sz w:val="21"/>
                      <w:szCs w:val="21"/>
                      <w:highlight w:val="none"/>
                      <w:u w:val="none" w:color="auto"/>
                      <w:lang w:val="en-US" w:eastAsia="zh-CN"/>
                    </w:rPr>
                    <w:t>、液压油</w:t>
                  </w:r>
                </w:p>
              </w:tc>
              <w:tc>
                <w:tcPr>
                  <w:tcW w:w="906" w:type="pct"/>
                  <w:tcBorders>
                    <w:tl2br w:val="nil"/>
                    <w:tr2bl w:val="nil"/>
                  </w:tcBorders>
                  <w:noWrap w:val="0"/>
                  <w:vAlign w:val="center"/>
                </w:tcPr>
                <w:p w14:paraId="5DB6E68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火灾</w:t>
                  </w:r>
                  <w:r>
                    <w:rPr>
                      <w:rFonts w:hint="eastAsia" w:ascii="Times New Roman" w:hAnsi="Times New Roman" w:eastAsia="宋体" w:cs="Times New Roman"/>
                      <w:color w:val="auto"/>
                      <w:sz w:val="21"/>
                      <w:szCs w:val="21"/>
                      <w:highlight w:val="none"/>
                      <w:u w:val="none" w:color="auto"/>
                    </w:rPr>
                    <w:t>、</w:t>
                  </w:r>
                  <w:r>
                    <w:rPr>
                      <w:rFonts w:hint="eastAsia" w:cs="Times New Roman"/>
                      <w:color w:val="auto"/>
                      <w:sz w:val="21"/>
                      <w:szCs w:val="21"/>
                      <w:highlight w:val="none"/>
                      <w:u w:val="none" w:color="auto"/>
                      <w:lang w:eastAsia="zh-CN"/>
                    </w:rPr>
                    <w:t>泄漏</w:t>
                  </w:r>
                </w:p>
              </w:tc>
              <w:tc>
                <w:tcPr>
                  <w:tcW w:w="689" w:type="pct"/>
                  <w:vMerge w:val="restart"/>
                  <w:tcBorders>
                    <w:tl2br w:val="nil"/>
                    <w:tr2bl w:val="nil"/>
                  </w:tcBorders>
                  <w:noWrap w:val="0"/>
                  <w:vAlign w:val="center"/>
                </w:tcPr>
                <w:p w14:paraId="7B87D55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大气、地表水</w:t>
                  </w:r>
                  <w:r>
                    <w:rPr>
                      <w:rFonts w:hint="eastAsia" w:ascii="Times New Roman" w:hAnsi="Times New Roman" w:eastAsia="宋体" w:cs="Times New Roman"/>
                      <w:color w:val="auto"/>
                      <w:sz w:val="21"/>
                      <w:szCs w:val="21"/>
                      <w:highlight w:val="none"/>
                      <w:u w:val="none" w:color="auto"/>
                    </w:rPr>
                    <w:t>、土壤</w:t>
                  </w:r>
                </w:p>
              </w:tc>
              <w:tc>
                <w:tcPr>
                  <w:tcW w:w="903" w:type="pct"/>
                  <w:vMerge w:val="restart"/>
                  <w:tcBorders>
                    <w:tl2br w:val="nil"/>
                    <w:tr2bl w:val="nil"/>
                  </w:tcBorders>
                  <w:noWrap w:val="0"/>
                  <w:vAlign w:val="center"/>
                </w:tcPr>
                <w:p w14:paraId="4AE579E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项目周边敏感点</w:t>
                  </w:r>
                </w:p>
              </w:tc>
            </w:tr>
            <w:tr w14:paraId="19CC7876">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6" w:type="pct"/>
                  <w:tcBorders>
                    <w:tl2br w:val="nil"/>
                    <w:tr2bl w:val="nil"/>
                  </w:tcBorders>
                  <w:noWrap w:val="0"/>
                  <w:vAlign w:val="center"/>
                </w:tcPr>
                <w:p w14:paraId="71B9A9E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2</w:t>
                  </w:r>
                </w:p>
              </w:tc>
              <w:tc>
                <w:tcPr>
                  <w:tcW w:w="777" w:type="pct"/>
                  <w:tcBorders>
                    <w:tl2br w:val="nil"/>
                    <w:tr2bl w:val="nil"/>
                  </w:tcBorders>
                  <w:noWrap w:val="0"/>
                  <w:vAlign w:val="center"/>
                </w:tcPr>
                <w:p w14:paraId="15EBF5A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eastAsia" w:ascii="Times New Roman" w:hAnsi="Times New Roman" w:eastAsia="宋体" w:cs="Times New Roman"/>
                      <w:color w:val="auto"/>
                      <w:sz w:val="21"/>
                      <w:szCs w:val="21"/>
                      <w:highlight w:val="none"/>
                      <w:u w:val="none" w:color="auto"/>
                    </w:rPr>
                    <w:t>危险固废间</w:t>
                  </w:r>
                </w:p>
              </w:tc>
              <w:tc>
                <w:tcPr>
                  <w:tcW w:w="562" w:type="pct"/>
                  <w:vMerge w:val="continue"/>
                  <w:tcBorders>
                    <w:tl2br w:val="nil"/>
                    <w:tr2bl w:val="nil"/>
                  </w:tcBorders>
                  <w:noWrap w:val="0"/>
                  <w:vAlign w:val="center"/>
                </w:tcPr>
                <w:p w14:paraId="7D6915E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p>
              </w:tc>
              <w:tc>
                <w:tcPr>
                  <w:tcW w:w="905" w:type="pct"/>
                  <w:tcBorders>
                    <w:tl2br w:val="nil"/>
                    <w:tr2bl w:val="nil"/>
                  </w:tcBorders>
                  <w:noWrap w:val="0"/>
                  <w:vAlign w:val="center"/>
                </w:tcPr>
                <w:p w14:paraId="47388F8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eastAsia="zh-CN"/>
                    </w:rPr>
                    <w:t>废</w:t>
                  </w:r>
                  <w:r>
                    <w:rPr>
                      <w:rFonts w:hint="eastAsia" w:ascii="Times New Roman" w:hAnsi="Times New Roman" w:eastAsia="宋体" w:cs="Times New Roman"/>
                      <w:color w:val="auto"/>
                      <w:sz w:val="21"/>
                      <w:szCs w:val="21"/>
                      <w:highlight w:val="none"/>
                      <w:u w:val="none" w:color="auto"/>
                    </w:rPr>
                    <w:t>润滑油</w:t>
                  </w:r>
                  <w:r>
                    <w:rPr>
                      <w:rFonts w:hint="eastAsia" w:ascii="Times New Roman" w:hAnsi="Times New Roman" w:eastAsia="宋体" w:cs="Times New Roman"/>
                      <w:color w:val="auto"/>
                      <w:sz w:val="21"/>
                      <w:szCs w:val="21"/>
                      <w:highlight w:val="none"/>
                      <w:u w:val="none" w:color="auto"/>
                      <w:lang w:eastAsia="zh-CN"/>
                    </w:rPr>
                    <w:t>、</w:t>
                  </w:r>
                  <w:r>
                    <w:rPr>
                      <w:rFonts w:hint="eastAsia" w:ascii="Times New Roman" w:hAnsi="Times New Roman" w:eastAsia="宋体" w:cs="Times New Roman"/>
                      <w:color w:val="auto"/>
                      <w:sz w:val="21"/>
                      <w:szCs w:val="21"/>
                      <w:highlight w:val="none"/>
                      <w:u w:val="none" w:color="auto"/>
                      <w:lang w:val="en-US" w:eastAsia="zh-CN"/>
                    </w:rPr>
                    <w:t>液压油</w:t>
                  </w:r>
                </w:p>
              </w:tc>
              <w:tc>
                <w:tcPr>
                  <w:tcW w:w="906" w:type="pct"/>
                  <w:tcBorders>
                    <w:tl2br w:val="nil"/>
                    <w:tr2bl w:val="nil"/>
                  </w:tcBorders>
                  <w:noWrap w:val="0"/>
                  <w:vAlign w:val="center"/>
                </w:tcPr>
                <w:p w14:paraId="13B5D2E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r>
                    <w:rPr>
                      <w:rFonts w:hint="default" w:ascii="Times New Roman" w:hAnsi="Times New Roman" w:eastAsia="宋体" w:cs="Times New Roman"/>
                      <w:color w:val="auto"/>
                      <w:sz w:val="21"/>
                      <w:szCs w:val="21"/>
                      <w:highlight w:val="none"/>
                      <w:u w:val="none" w:color="auto"/>
                    </w:rPr>
                    <w:t>火灾</w:t>
                  </w:r>
                  <w:r>
                    <w:rPr>
                      <w:rFonts w:hint="eastAsia" w:ascii="Times New Roman" w:hAnsi="Times New Roman" w:eastAsia="宋体" w:cs="Times New Roman"/>
                      <w:color w:val="auto"/>
                      <w:sz w:val="21"/>
                      <w:szCs w:val="21"/>
                      <w:highlight w:val="none"/>
                      <w:u w:val="none" w:color="auto"/>
                    </w:rPr>
                    <w:t>、</w:t>
                  </w:r>
                  <w:r>
                    <w:rPr>
                      <w:rFonts w:hint="eastAsia" w:cs="Times New Roman"/>
                      <w:color w:val="auto"/>
                      <w:sz w:val="21"/>
                      <w:szCs w:val="21"/>
                      <w:highlight w:val="none"/>
                      <w:u w:val="none" w:color="auto"/>
                      <w:lang w:eastAsia="zh-CN"/>
                    </w:rPr>
                    <w:t>泄漏</w:t>
                  </w:r>
                </w:p>
              </w:tc>
              <w:tc>
                <w:tcPr>
                  <w:tcW w:w="689" w:type="pct"/>
                  <w:vMerge w:val="continue"/>
                  <w:tcBorders>
                    <w:tl2br w:val="nil"/>
                    <w:tr2bl w:val="nil"/>
                  </w:tcBorders>
                  <w:noWrap w:val="0"/>
                  <w:vAlign w:val="center"/>
                </w:tcPr>
                <w:p w14:paraId="35625CC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p>
              </w:tc>
              <w:tc>
                <w:tcPr>
                  <w:tcW w:w="903" w:type="pct"/>
                  <w:vMerge w:val="continue"/>
                  <w:tcBorders>
                    <w:tl2br w:val="nil"/>
                    <w:tr2bl w:val="nil"/>
                  </w:tcBorders>
                  <w:noWrap w:val="0"/>
                  <w:vAlign w:val="center"/>
                </w:tcPr>
                <w:p w14:paraId="32249F8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rPr>
                  </w:pPr>
                </w:p>
              </w:tc>
            </w:tr>
          </w:tbl>
          <w:p w14:paraId="6B643B10">
            <w:pPr>
              <w:bidi w:val="0"/>
              <w:rPr>
                <w:color w:val="auto"/>
              </w:rPr>
            </w:pPr>
            <w:r>
              <w:rPr>
                <w:rFonts w:hint="eastAsia"/>
                <w:color w:val="auto"/>
                <w:lang w:val="en-US" w:eastAsia="zh-CN"/>
              </w:rPr>
              <w:t>3、</w:t>
            </w:r>
            <w:r>
              <w:rPr>
                <w:rFonts w:hint="eastAsia"/>
                <w:color w:val="auto"/>
              </w:rPr>
              <w:t>环境风险分析</w:t>
            </w:r>
          </w:p>
          <w:p w14:paraId="3098C874">
            <w:pPr>
              <w:bidi w:val="0"/>
              <w:rPr>
                <w:color w:val="auto"/>
              </w:rPr>
            </w:pPr>
            <w:r>
              <w:rPr>
                <w:color w:val="auto"/>
              </w:rPr>
              <w:t>根据环境风险识别，本项目发生环境风险类型主要为火灾引发的次生环境事件、</w:t>
            </w:r>
            <w:r>
              <w:rPr>
                <w:rFonts w:hint="eastAsia"/>
                <w:color w:val="auto"/>
                <w:lang w:val="en-US" w:eastAsia="zh-CN"/>
              </w:rPr>
              <w:t>切削液、液压油、</w:t>
            </w:r>
            <w:r>
              <w:rPr>
                <w:rFonts w:hint="eastAsia"/>
                <w:color w:val="auto"/>
              </w:rPr>
              <w:t>润滑油泄漏造成</w:t>
            </w:r>
            <w:r>
              <w:rPr>
                <w:color w:val="auto"/>
              </w:rPr>
              <w:t>次生环境污染事故</w:t>
            </w:r>
            <w:r>
              <w:rPr>
                <w:rFonts w:hint="eastAsia"/>
                <w:color w:val="auto"/>
              </w:rPr>
              <w:t>。</w:t>
            </w:r>
          </w:p>
          <w:p w14:paraId="7D1EFE62">
            <w:pPr>
              <w:bidi w:val="0"/>
              <w:rPr>
                <w:color w:val="auto"/>
              </w:rPr>
            </w:pPr>
            <w:r>
              <w:rPr>
                <w:rFonts w:hint="eastAsia"/>
                <w:color w:val="auto"/>
                <w:lang w:val="en-US" w:eastAsia="zh-CN"/>
              </w:rPr>
              <w:t>（1）</w:t>
            </w:r>
            <w:r>
              <w:rPr>
                <w:rFonts w:hint="eastAsia"/>
                <w:color w:val="auto"/>
              </w:rPr>
              <w:t>火灾环境影响分析及应急处理措施</w:t>
            </w:r>
          </w:p>
          <w:p w14:paraId="1EEF1B88">
            <w:pPr>
              <w:bidi w:val="0"/>
              <w:rPr>
                <w:color w:val="auto"/>
              </w:rPr>
            </w:pPr>
            <w:bookmarkStart w:id="28" w:name="_Toc11686_WPSOffice_Level1"/>
            <w:bookmarkStart w:id="29" w:name="_Toc14483_WPSOffice_Level2"/>
            <w:r>
              <w:rPr>
                <w:color w:val="auto"/>
              </w:rPr>
              <w:t>在火灾条件下，任何物质燃烧都会产生有毒气体，其主要成分是一氧化碳，但是化学成分不同的物质燃烧时产生的有毒气体的种类不同，以异丁烯类聚合物和聚二甲基硅氧烷为主要组成元素的胶水燃烧产生的有毒气体主要是一氧化碳，在火势猛烈时，这种气体最具危险性。同时也要考虑其他易燃物质遇热燃烧后产生的其他烃类气体，酚类气体、苯环。</w:t>
            </w:r>
          </w:p>
          <w:p w14:paraId="09C04B47">
            <w:pPr>
              <w:bidi w:val="0"/>
              <w:rPr>
                <w:color w:val="auto"/>
              </w:rPr>
            </w:pPr>
            <w:r>
              <w:rPr>
                <w:rFonts w:hint="eastAsia"/>
                <w:color w:val="auto"/>
              </w:rPr>
              <w:t>发生火灾时，应及时采取相应的灭火措施并疏散厂内员工，必要时启动突发事故应急预案，及时疏散周围的居民；事故发生时，救援人员必须佩戴理性的防毒过滤面具，同时穿好工作服，迅速判明事故当时的风向，可利用风标、旗帜等辨明风向，向上风向撤离，尽可能向侧、逆风向转移。</w:t>
            </w:r>
          </w:p>
          <w:p w14:paraId="7733571B">
            <w:pPr>
              <w:bidi w:val="0"/>
              <w:rPr>
                <w:color w:val="auto"/>
              </w:rPr>
            </w:pPr>
            <w:r>
              <w:rPr>
                <w:rFonts w:hint="eastAsia"/>
                <w:color w:val="auto"/>
                <w:lang w:val="en-US" w:eastAsia="zh-CN"/>
              </w:rPr>
              <w:t>（2）切削液、液压油、润滑油</w:t>
            </w:r>
            <w:r>
              <w:rPr>
                <w:rFonts w:hint="eastAsia"/>
                <w:color w:val="auto"/>
              </w:rPr>
              <w:t>泄漏对环境的影响分析及应急处理措施</w:t>
            </w:r>
          </w:p>
          <w:p w14:paraId="54F1CDB8">
            <w:pPr>
              <w:bidi w:val="0"/>
              <w:rPr>
                <w:color w:val="auto"/>
              </w:rPr>
            </w:pPr>
            <w:r>
              <w:rPr>
                <w:rFonts w:hint="eastAsia"/>
                <w:color w:val="auto"/>
                <w:lang w:val="zh-CN"/>
              </w:rPr>
              <w:t>本项目厂区</w:t>
            </w:r>
            <w:r>
              <w:rPr>
                <w:rFonts w:hint="eastAsia"/>
                <w:color w:val="auto"/>
                <w:lang w:val="en-US" w:eastAsia="zh-CN"/>
              </w:rPr>
              <w:t>机加工使用切削液年用量约为12t，液压油年用量为6t，厂内最大存放一个月用量，暂存原料仓库内，</w:t>
            </w:r>
            <w:r>
              <w:rPr>
                <w:rFonts w:hint="eastAsia"/>
                <w:color w:val="auto"/>
                <w:lang w:val="zh-CN"/>
              </w:rPr>
              <w:t>机械维修过程中将会产生少量的废</w:t>
            </w:r>
            <w:r>
              <w:rPr>
                <w:rFonts w:hint="eastAsia"/>
                <w:color w:val="auto"/>
              </w:rPr>
              <w:t>润滑油</w:t>
            </w:r>
            <w:r>
              <w:rPr>
                <w:rFonts w:hint="eastAsia"/>
                <w:color w:val="auto"/>
                <w:lang w:val="en-US" w:eastAsia="zh-CN"/>
              </w:rPr>
              <w:t>和液压油</w:t>
            </w:r>
            <w:r>
              <w:rPr>
                <w:rFonts w:hint="eastAsia"/>
                <w:color w:val="auto"/>
                <w:lang w:val="zh-CN"/>
              </w:rPr>
              <w:t>，暂存在危险固废暂存间，贮存量较小，</w:t>
            </w:r>
            <w:r>
              <w:rPr>
                <w:rFonts w:hint="eastAsia"/>
                <w:color w:val="auto"/>
              </w:rPr>
              <w:t>废润滑油</w:t>
            </w:r>
            <w:r>
              <w:rPr>
                <w:rFonts w:hint="eastAsia"/>
                <w:color w:val="auto"/>
                <w:lang w:eastAsia="zh-CN"/>
              </w:rPr>
              <w:t>、液压油、切削液</w:t>
            </w:r>
            <w:r>
              <w:rPr>
                <w:rFonts w:hint="eastAsia"/>
                <w:color w:val="auto"/>
              </w:rPr>
              <w:t>为危险物品，当润滑油、液压油、切削液存放处发生火灾时，将产生大量的燃烧烟气，对周围环境造成较大影响，同时火灾还可能引发爆炸事故，对周边建筑物构成严重破坏，</w:t>
            </w:r>
            <w:r>
              <w:rPr>
                <w:rFonts w:hint="eastAsia"/>
                <w:color w:val="auto"/>
                <w:lang w:eastAsia="zh-CN"/>
              </w:rPr>
              <w:t>泄漏</w:t>
            </w:r>
            <w:r>
              <w:rPr>
                <w:rFonts w:hint="eastAsia"/>
                <w:color w:val="auto"/>
              </w:rPr>
              <w:t>会引起的土壤和地下水污染。本项目</w:t>
            </w:r>
            <w:r>
              <w:rPr>
                <w:rFonts w:hint="eastAsia"/>
                <w:color w:val="auto"/>
                <w:lang w:val="en-US" w:eastAsia="zh-CN"/>
              </w:rPr>
              <w:t>切削液双层铁桶贮存，</w:t>
            </w:r>
            <w:r>
              <w:rPr>
                <w:rFonts w:hint="eastAsia"/>
                <w:color w:val="auto"/>
              </w:rPr>
              <w:t>废润滑油</w:t>
            </w:r>
            <w:r>
              <w:rPr>
                <w:rFonts w:hint="eastAsia"/>
                <w:color w:val="auto"/>
                <w:lang w:val="en-US" w:eastAsia="zh-CN"/>
              </w:rPr>
              <w:t>和废切削液</w:t>
            </w:r>
            <w:r>
              <w:rPr>
                <w:rFonts w:hint="eastAsia"/>
                <w:color w:val="auto"/>
              </w:rPr>
              <w:t>将采用专用密闭容器贮存在危险固废间，危废暂存场所采用防渗地面，并设置围堰。泄漏事故状态下，泄漏的危险废物会首先被收集在贮存区的围堰内，进入水体、土壤和装置外环境的危险性较小。</w:t>
            </w:r>
          </w:p>
          <w:bookmarkEnd w:id="28"/>
          <w:bookmarkEnd w:id="29"/>
          <w:p w14:paraId="70C6551D">
            <w:pPr>
              <w:bidi w:val="0"/>
              <w:rPr>
                <w:color w:val="auto"/>
              </w:rPr>
            </w:pPr>
            <w:bookmarkStart w:id="30" w:name="_Toc15750_WPSOffice_Level1"/>
            <w:bookmarkStart w:id="31" w:name="_Toc32692"/>
            <w:r>
              <w:rPr>
                <w:rFonts w:hint="eastAsia"/>
                <w:color w:val="auto"/>
                <w:lang w:val="en-US" w:eastAsia="zh-CN"/>
              </w:rPr>
              <w:t>4、</w:t>
            </w:r>
            <w:r>
              <w:rPr>
                <w:color w:val="auto"/>
              </w:rPr>
              <w:t>风险评价结论</w:t>
            </w:r>
            <w:bookmarkEnd w:id="30"/>
            <w:bookmarkEnd w:id="31"/>
          </w:p>
          <w:p w14:paraId="6BF59B6F">
            <w:pPr>
              <w:bidi w:val="0"/>
              <w:rPr>
                <w:color w:val="auto"/>
              </w:rPr>
            </w:pPr>
            <w:r>
              <w:rPr>
                <w:color w:val="auto"/>
              </w:rPr>
              <w:t>评价认为，只要企业严格按照有关规定、安评及环评提出的风险防范措施与管理的要求实施，建立应急预案机制，环评单位要求建设单位编制突发环境事件应急预案，并接受当地政府等有关部门的监督检查，该项目发生泄漏和火灾爆炸事故的可能性将进一步降低，环境风险可以控制在可预知、可控制、可解决的情况之下，不会对外环境造成大的危害影响，本项目环境风险属于可控范围内。</w:t>
            </w:r>
          </w:p>
          <w:p w14:paraId="13D3B953">
            <w:pPr>
              <w:ind w:firstLine="482"/>
              <w:rPr>
                <w:rFonts w:hint="eastAsia"/>
                <w:b/>
                <w:bCs/>
                <w:color w:val="auto"/>
                <w:u w:val="none"/>
              </w:rPr>
            </w:pPr>
            <w:r>
              <w:rPr>
                <w:rFonts w:hint="eastAsia"/>
                <w:b/>
                <w:bCs/>
                <w:color w:val="auto"/>
                <w:u w:val="none"/>
              </w:rPr>
              <w:t>（</w:t>
            </w:r>
            <w:r>
              <w:rPr>
                <w:rFonts w:hint="eastAsia"/>
                <w:b/>
                <w:bCs/>
                <w:color w:val="auto"/>
                <w:u w:val="none"/>
                <w:lang w:val="en-US" w:eastAsia="zh-CN"/>
              </w:rPr>
              <w:t>七</w:t>
            </w:r>
            <w:r>
              <w:rPr>
                <w:rFonts w:hint="eastAsia"/>
                <w:b/>
                <w:bCs/>
                <w:color w:val="auto"/>
                <w:u w:val="none"/>
              </w:rPr>
              <w:t>）环境管理</w:t>
            </w:r>
          </w:p>
          <w:p w14:paraId="7C9AE9E0">
            <w:pPr>
              <w:bidi w:val="0"/>
              <w:rPr>
                <w:color w:val="auto"/>
                <w:u w:val="none"/>
              </w:rPr>
            </w:pPr>
            <w:r>
              <w:rPr>
                <w:rFonts w:hint="eastAsia"/>
                <w:color w:val="auto"/>
                <w:u w:val="none"/>
              </w:rPr>
              <w:t>本项目环境</w:t>
            </w:r>
            <w:r>
              <w:rPr>
                <w:rFonts w:hint="eastAsia"/>
                <w:color w:val="auto"/>
                <w:u w:val="none"/>
                <w:lang w:eastAsia="zh-CN"/>
              </w:rPr>
              <w:t>管理</w:t>
            </w:r>
            <w:r>
              <w:rPr>
                <w:rFonts w:hint="eastAsia"/>
                <w:color w:val="auto"/>
                <w:u w:val="none"/>
              </w:rPr>
              <w:t>由</w:t>
            </w:r>
            <w:r>
              <w:rPr>
                <w:rFonts w:hint="eastAsia"/>
                <w:color w:val="auto"/>
                <w:u w:val="none"/>
                <w:lang w:eastAsia="zh-CN"/>
              </w:rPr>
              <w:t>湖南湘铝科技有限公司</w:t>
            </w:r>
            <w:r>
              <w:rPr>
                <w:rFonts w:hint="eastAsia"/>
                <w:color w:val="auto"/>
                <w:u w:val="none"/>
              </w:rPr>
              <w:t>负责，下设环保科，由专职环保人员具体实施环境管理工作。</w:t>
            </w:r>
          </w:p>
          <w:p w14:paraId="7EFBD3BE">
            <w:pPr>
              <w:bidi w:val="0"/>
              <w:rPr>
                <w:color w:val="auto"/>
                <w:u w:val="none"/>
              </w:rPr>
            </w:pPr>
            <w:r>
              <w:rPr>
                <w:rFonts w:hint="eastAsia"/>
                <w:color w:val="auto"/>
                <w:u w:val="none"/>
              </w:rPr>
              <w:t>环境管理的具体内容如下：</w:t>
            </w:r>
          </w:p>
          <w:p w14:paraId="4DB6B261">
            <w:pPr>
              <w:bidi w:val="0"/>
              <w:rPr>
                <w:color w:val="auto"/>
                <w:u w:val="none"/>
              </w:rPr>
            </w:pPr>
            <w:r>
              <w:rPr>
                <w:rFonts w:hint="eastAsia"/>
                <w:color w:val="auto"/>
                <w:u w:val="none"/>
              </w:rPr>
              <w:t>（1）组织编制企业环境管理条例及日常监测计划。实施有效的质量控制，</w:t>
            </w:r>
            <w:r>
              <w:rPr>
                <w:color w:val="auto"/>
                <w:u w:val="none"/>
              </w:rPr>
              <w:t>贯彻落实国家和地方的环境保护法律、法规、政策和标准，直接接受环保主管部门的监督、领导，配合环境保护主管部门</w:t>
            </w:r>
            <w:r>
              <w:rPr>
                <w:rFonts w:hint="eastAsia"/>
                <w:color w:val="auto"/>
                <w:u w:val="none"/>
                <w:lang w:eastAsia="zh-CN"/>
              </w:rPr>
              <w:t>做好</w:t>
            </w:r>
            <w:r>
              <w:rPr>
                <w:color w:val="auto"/>
                <w:u w:val="none"/>
              </w:rPr>
              <w:t>环保工作</w:t>
            </w:r>
            <w:r>
              <w:rPr>
                <w:rFonts w:hint="eastAsia"/>
                <w:color w:val="auto"/>
                <w:u w:val="none"/>
              </w:rPr>
              <w:t>。</w:t>
            </w:r>
          </w:p>
          <w:p w14:paraId="47381CE9">
            <w:pPr>
              <w:bidi w:val="0"/>
              <w:rPr>
                <w:color w:val="auto"/>
                <w:u w:val="none"/>
              </w:rPr>
            </w:pPr>
            <w:r>
              <w:rPr>
                <w:rFonts w:hint="eastAsia"/>
                <w:color w:val="auto"/>
                <w:u w:val="none"/>
              </w:rPr>
              <w:t>（2）加强运行期生产管理，</w:t>
            </w:r>
            <w:r>
              <w:rPr>
                <w:rFonts w:hint="eastAsia"/>
                <w:color w:val="auto"/>
                <w:u w:val="none"/>
                <w:lang w:eastAsia="zh-CN"/>
              </w:rPr>
              <w:t>严格执行</w:t>
            </w:r>
            <w:r>
              <w:rPr>
                <w:rFonts w:hint="eastAsia"/>
                <w:color w:val="auto"/>
                <w:u w:val="none"/>
              </w:rPr>
              <w:t>岗位责任制。定期进行环保设备检查、维修和保养工作，确保环保设施长期、稳定、达标运转，杜绝事故性排放的发生。</w:t>
            </w:r>
          </w:p>
          <w:p w14:paraId="6D1BA325">
            <w:pPr>
              <w:bidi w:val="0"/>
              <w:rPr>
                <w:color w:val="auto"/>
                <w:u w:val="none"/>
              </w:rPr>
            </w:pPr>
            <w:r>
              <w:rPr>
                <w:rFonts w:hint="eastAsia"/>
                <w:color w:val="auto"/>
                <w:u w:val="none"/>
              </w:rPr>
              <w:t>（3）建设规范化排污口</w:t>
            </w:r>
          </w:p>
          <w:p w14:paraId="284FE9E7">
            <w:pPr>
              <w:ind w:firstLine="480"/>
              <w:rPr>
                <w:color w:val="auto"/>
                <w:u w:val="none"/>
              </w:rPr>
            </w:pPr>
            <w:r>
              <w:rPr>
                <w:rFonts w:hint="eastAsia"/>
                <w:color w:val="auto"/>
                <w:u w:val="none"/>
              </w:rPr>
              <w:t>依据国家标准《环境保护图形标志—排放口（源）》和国家环保局《排污口规范化整治技术要求（试行）》的技术要求，所有排污口，必须按照“便于采样、便于计量监测、便于日常现场监督检查”的原则和规范化要求，设置与之相适应的环境保护图形标志牌，绘制企业排污口分布图。排污口的规范化要求如下：</w:t>
            </w:r>
          </w:p>
          <w:p w14:paraId="5E3BAE34">
            <w:pPr>
              <w:bidi w:val="0"/>
              <w:rPr>
                <w:rFonts w:hint="eastAsia"/>
                <w:color w:val="auto"/>
              </w:rPr>
            </w:pPr>
            <w:r>
              <w:rPr>
                <w:rFonts w:hint="eastAsia"/>
                <w:color w:val="auto"/>
              </w:rPr>
              <w:t>①废水排放口</w:t>
            </w:r>
            <w:r>
              <w:rPr>
                <w:rFonts w:hint="eastAsia"/>
                <w:color w:val="auto"/>
              </w:rPr>
              <w:tab/>
            </w:r>
          </w:p>
          <w:p w14:paraId="6F491183">
            <w:pPr>
              <w:bidi w:val="0"/>
              <w:rPr>
                <w:rFonts w:hint="eastAsia"/>
                <w:color w:val="auto"/>
              </w:rPr>
            </w:pPr>
            <w:r>
              <w:rPr>
                <w:rFonts w:hint="eastAsia"/>
                <w:color w:val="auto"/>
              </w:rPr>
              <w:t>本项目</w:t>
            </w:r>
            <w:r>
              <w:rPr>
                <w:rFonts w:hint="eastAsia"/>
                <w:color w:val="auto"/>
                <w:lang w:eastAsia="zh-CN"/>
              </w:rPr>
              <w:t>无生产废水产排，厂区生活污水设</w:t>
            </w:r>
            <w:r>
              <w:rPr>
                <w:rFonts w:hint="eastAsia"/>
                <w:color w:val="auto"/>
                <w:lang w:val="en-US" w:eastAsia="zh-CN"/>
              </w:rPr>
              <w:t>1个废水总</w:t>
            </w:r>
            <w:r>
              <w:rPr>
                <w:rFonts w:hint="eastAsia"/>
                <w:color w:val="auto"/>
              </w:rPr>
              <w:t>排放口</w:t>
            </w:r>
            <w:r>
              <w:rPr>
                <w:rFonts w:hint="eastAsia"/>
                <w:color w:val="auto"/>
                <w:lang w:eastAsia="zh-CN"/>
              </w:rPr>
              <w:t>，</w:t>
            </w:r>
            <w:r>
              <w:rPr>
                <w:rFonts w:hint="eastAsia"/>
                <w:color w:val="auto"/>
              </w:rPr>
              <w:t>属于一般污水排放口。</w:t>
            </w:r>
          </w:p>
          <w:p w14:paraId="58C8F87A">
            <w:pPr>
              <w:bidi w:val="0"/>
              <w:rPr>
                <w:rFonts w:hint="eastAsia"/>
                <w:color w:val="auto"/>
                <w:u w:val="single"/>
              </w:rPr>
            </w:pPr>
            <w:r>
              <w:rPr>
                <w:rFonts w:hint="eastAsia"/>
                <w:color w:val="auto"/>
                <w:u w:val="single"/>
              </w:rPr>
              <w:t>②废气排放口</w:t>
            </w:r>
          </w:p>
          <w:p w14:paraId="54F1CAB3">
            <w:pPr>
              <w:bidi w:val="0"/>
              <w:rPr>
                <w:rFonts w:hint="eastAsia"/>
                <w:color w:val="auto"/>
                <w:u w:val="single"/>
              </w:rPr>
            </w:pPr>
            <w:r>
              <w:rPr>
                <w:rFonts w:hint="eastAsia"/>
                <w:color w:val="auto"/>
                <w:u w:val="single"/>
              </w:rPr>
              <w:t>本项目</w:t>
            </w:r>
            <w:r>
              <w:rPr>
                <w:rFonts w:hint="eastAsia"/>
                <w:color w:val="auto"/>
                <w:u w:val="single"/>
                <w:lang w:eastAsia="zh-CN"/>
              </w:rPr>
              <w:t>熔铸废气</w:t>
            </w:r>
            <w:r>
              <w:rPr>
                <w:rFonts w:hint="eastAsia"/>
                <w:color w:val="auto"/>
                <w:u w:val="single"/>
              </w:rPr>
              <w:t>设</w:t>
            </w:r>
            <w:r>
              <w:rPr>
                <w:rFonts w:hint="eastAsia"/>
                <w:color w:val="auto"/>
                <w:u w:val="single"/>
                <w:lang w:val="en-US" w:eastAsia="zh-CN"/>
              </w:rPr>
              <w:t>1</w:t>
            </w:r>
            <w:r>
              <w:rPr>
                <w:rFonts w:hint="eastAsia"/>
                <w:color w:val="auto"/>
                <w:u w:val="single"/>
              </w:rPr>
              <w:t>个排放口</w:t>
            </w:r>
            <w:r>
              <w:rPr>
                <w:rFonts w:hint="eastAsia"/>
                <w:color w:val="auto"/>
                <w:u w:val="single"/>
                <w:lang w:eastAsia="zh-CN"/>
              </w:rPr>
              <w:t>，为一般排放口，</w:t>
            </w:r>
            <w:r>
              <w:rPr>
                <w:rFonts w:hint="eastAsia"/>
                <w:color w:val="auto"/>
                <w:u w:val="single"/>
              </w:rPr>
              <w:t>排气筒</w:t>
            </w:r>
            <w:r>
              <w:rPr>
                <w:rFonts w:hint="eastAsia"/>
                <w:color w:val="auto"/>
                <w:u w:val="single"/>
                <w:lang w:eastAsia="zh-CN"/>
              </w:rPr>
              <w:t>编号</w:t>
            </w:r>
            <w:r>
              <w:rPr>
                <w:rFonts w:hint="eastAsia"/>
                <w:color w:val="auto"/>
                <w:u w:val="single"/>
                <w:lang w:val="en-US" w:eastAsia="zh-CN"/>
              </w:rPr>
              <w:t>DA001</w:t>
            </w:r>
            <w:r>
              <w:rPr>
                <w:rFonts w:hint="eastAsia"/>
                <w:color w:val="auto"/>
                <w:u w:val="single"/>
              </w:rPr>
              <w:t>，高</w:t>
            </w:r>
            <w:r>
              <w:rPr>
                <w:rFonts w:hint="eastAsia"/>
                <w:color w:val="auto"/>
                <w:u w:val="single"/>
                <w:lang w:val="en-US" w:eastAsia="zh-CN"/>
              </w:rPr>
              <w:t>15</w:t>
            </w:r>
            <w:r>
              <w:rPr>
                <w:rFonts w:hint="eastAsia"/>
                <w:color w:val="auto"/>
                <w:u w:val="single"/>
              </w:rPr>
              <w:t>m、内径0.</w:t>
            </w:r>
            <w:r>
              <w:rPr>
                <w:rFonts w:hint="eastAsia"/>
                <w:color w:val="auto"/>
                <w:u w:val="single"/>
                <w:lang w:val="en-US" w:eastAsia="zh-CN"/>
              </w:rPr>
              <w:t>5</w:t>
            </w:r>
            <w:r>
              <w:rPr>
                <w:rFonts w:hint="eastAsia"/>
                <w:color w:val="auto"/>
                <w:u w:val="single"/>
              </w:rPr>
              <w:t>m。</w:t>
            </w:r>
          </w:p>
          <w:p w14:paraId="2D0CC29C">
            <w:pPr>
              <w:ind w:firstLine="480"/>
              <w:rPr>
                <w:color w:val="auto"/>
                <w:u w:val="none"/>
              </w:rPr>
            </w:pPr>
            <w:r>
              <w:rPr>
                <w:rFonts w:hint="eastAsia"/>
                <w:color w:val="auto"/>
                <w:u w:val="none"/>
              </w:rPr>
              <w:t>③固定噪声排放源</w:t>
            </w:r>
          </w:p>
          <w:p w14:paraId="186EBCB5">
            <w:pPr>
              <w:ind w:firstLine="480"/>
              <w:rPr>
                <w:color w:val="auto"/>
                <w:u w:val="none"/>
              </w:rPr>
            </w:pPr>
            <w:r>
              <w:rPr>
                <w:rFonts w:hint="eastAsia"/>
                <w:color w:val="auto"/>
                <w:u w:val="none"/>
              </w:rPr>
              <w:t>按规定对固定噪声源进行治理，并在边界噪声敏感点且对外界影响最大处设置标志牌。</w:t>
            </w:r>
          </w:p>
          <w:p w14:paraId="2F2C411B">
            <w:pPr>
              <w:ind w:firstLine="480"/>
              <w:rPr>
                <w:color w:val="auto"/>
                <w:u w:val="none"/>
              </w:rPr>
            </w:pPr>
            <w:r>
              <w:rPr>
                <w:rFonts w:hint="eastAsia"/>
                <w:color w:val="auto"/>
                <w:u w:val="none"/>
              </w:rPr>
              <w:t>④固体废弃物贮存（处置）场</w:t>
            </w:r>
          </w:p>
          <w:p w14:paraId="20DDF737">
            <w:pPr>
              <w:ind w:firstLine="480"/>
              <w:rPr>
                <w:color w:val="auto"/>
                <w:u w:val="none"/>
              </w:rPr>
            </w:pPr>
            <w:r>
              <w:rPr>
                <w:rFonts w:hint="eastAsia"/>
                <w:color w:val="auto"/>
                <w:u w:val="none"/>
              </w:rPr>
              <w:t>固体废物如一般固废、生活垃圾等应统一收集堆放，危险废物应设置专用的堆放场地。</w:t>
            </w:r>
          </w:p>
          <w:p w14:paraId="6166290A">
            <w:pPr>
              <w:ind w:firstLine="480"/>
              <w:rPr>
                <w:color w:val="auto"/>
                <w:u w:val="none"/>
              </w:rPr>
            </w:pPr>
            <w:r>
              <w:rPr>
                <w:rFonts w:hint="eastAsia"/>
                <w:color w:val="auto"/>
                <w:u w:val="none"/>
              </w:rPr>
              <w:t>⑤设置标志牌要求</w:t>
            </w:r>
          </w:p>
          <w:p w14:paraId="522FA687">
            <w:pPr>
              <w:ind w:firstLine="480"/>
              <w:rPr>
                <w:color w:val="auto"/>
                <w:u w:val="none"/>
              </w:rPr>
            </w:pPr>
            <w:r>
              <w:rPr>
                <w:rFonts w:hint="default" w:ascii="Times New Roman" w:hAnsi="Times New Roman" w:eastAsia="宋体" w:cs="Times New Roman"/>
                <w:color w:val="auto"/>
                <w:u w:val="none"/>
              </w:rPr>
              <w:t>由环保部门指导购买规范的标识标牌</w:t>
            </w:r>
            <w:r>
              <w:rPr>
                <w:rFonts w:hint="eastAsia" w:ascii="Times New Roman" w:hAnsi="Times New Roman" w:eastAsia="宋体" w:cs="Times New Roman"/>
                <w:color w:val="auto"/>
                <w:u w:val="none"/>
              </w:rPr>
              <w:t>。排放一般污染物排放口（源），设置提示性标志牌，排</w:t>
            </w:r>
            <w:r>
              <w:rPr>
                <w:rFonts w:hint="eastAsia"/>
                <w:color w:val="auto"/>
                <w:u w:val="none"/>
              </w:rPr>
              <w:t>放有毒有害等污染物的排污口设置警告性标志牌。提示性标志牌和警告性标志牌样图如下表：</w:t>
            </w:r>
          </w:p>
          <w:p w14:paraId="290371DA">
            <w:pPr>
              <w:spacing w:line="240" w:lineRule="auto"/>
              <w:ind w:firstLine="422"/>
              <w:jc w:val="center"/>
              <w:rPr>
                <w:rFonts w:hAnsi="宋体"/>
                <w:b/>
                <w:color w:val="auto"/>
                <w:sz w:val="21"/>
                <w:szCs w:val="21"/>
                <w:u w:val="none"/>
              </w:rPr>
            </w:pPr>
            <w:r>
              <w:rPr>
                <w:rFonts w:hint="eastAsia" w:hAnsi="宋体"/>
                <w:b/>
                <w:color w:val="auto"/>
                <w:sz w:val="21"/>
                <w:szCs w:val="21"/>
                <w:u w:val="none"/>
              </w:rPr>
              <w:t>表4-1</w:t>
            </w:r>
            <w:r>
              <w:rPr>
                <w:rFonts w:hint="eastAsia" w:hAnsi="宋体"/>
                <w:b/>
                <w:color w:val="auto"/>
                <w:sz w:val="21"/>
                <w:szCs w:val="21"/>
                <w:u w:val="none"/>
                <w:lang w:val="en-US" w:eastAsia="zh-CN"/>
              </w:rPr>
              <w:t xml:space="preserve">4 </w:t>
            </w:r>
            <w:r>
              <w:rPr>
                <w:rFonts w:hint="eastAsia" w:hAnsi="宋体"/>
                <w:b/>
                <w:color w:val="auto"/>
                <w:sz w:val="21"/>
                <w:szCs w:val="21"/>
                <w:u w:val="none"/>
              </w:rPr>
              <w:t>提示性标志牌和警告性标志牌说明表</w:t>
            </w:r>
          </w:p>
          <w:tbl>
            <w:tblPr>
              <w:tblStyle w:val="2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0"/>
              <w:gridCol w:w="1389"/>
              <w:gridCol w:w="1397"/>
              <w:gridCol w:w="1409"/>
              <w:gridCol w:w="1503"/>
              <w:gridCol w:w="2362"/>
            </w:tblGrid>
            <w:tr w14:paraId="2C7E5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6" w:type="pct"/>
                  <w:noWrap w:val="0"/>
                  <w:vAlign w:val="center"/>
                </w:tcPr>
                <w:p w14:paraId="3947A579">
                  <w:pPr>
                    <w:spacing w:line="240" w:lineRule="auto"/>
                    <w:ind w:firstLine="0" w:firstLineChars="0"/>
                    <w:jc w:val="center"/>
                    <w:rPr>
                      <w:color w:val="auto"/>
                      <w:sz w:val="21"/>
                      <w:szCs w:val="21"/>
                      <w:u w:val="none"/>
                    </w:rPr>
                  </w:pPr>
                  <w:r>
                    <w:rPr>
                      <w:rFonts w:hint="eastAsia"/>
                      <w:color w:val="auto"/>
                      <w:sz w:val="21"/>
                      <w:szCs w:val="21"/>
                      <w:u w:val="none"/>
                    </w:rPr>
                    <w:t>排放口</w:t>
                  </w:r>
                </w:p>
              </w:tc>
              <w:tc>
                <w:tcPr>
                  <w:tcW w:w="1646" w:type="pct"/>
                  <w:gridSpan w:val="2"/>
                  <w:noWrap w:val="0"/>
                  <w:vAlign w:val="center"/>
                </w:tcPr>
                <w:p w14:paraId="7888C88E">
                  <w:pPr>
                    <w:spacing w:line="240" w:lineRule="auto"/>
                    <w:ind w:firstLine="0" w:firstLineChars="0"/>
                    <w:jc w:val="center"/>
                    <w:rPr>
                      <w:color w:val="auto"/>
                      <w:sz w:val="21"/>
                      <w:szCs w:val="21"/>
                      <w:u w:val="none"/>
                    </w:rPr>
                  </w:pPr>
                  <w:r>
                    <w:rPr>
                      <w:rFonts w:hint="eastAsia"/>
                      <w:color w:val="auto"/>
                      <w:sz w:val="21"/>
                      <w:szCs w:val="21"/>
                      <w:u w:val="none"/>
                    </w:rPr>
                    <w:t>噪声源</w:t>
                  </w:r>
                </w:p>
              </w:tc>
              <w:tc>
                <w:tcPr>
                  <w:tcW w:w="1721" w:type="pct"/>
                  <w:gridSpan w:val="2"/>
                  <w:noWrap w:val="0"/>
                  <w:vAlign w:val="center"/>
                </w:tcPr>
                <w:p w14:paraId="03C12367">
                  <w:pPr>
                    <w:spacing w:line="240" w:lineRule="auto"/>
                    <w:ind w:firstLine="0" w:firstLineChars="0"/>
                    <w:jc w:val="center"/>
                    <w:rPr>
                      <w:rFonts w:hint="eastAsia"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rPr>
                    <w:t>固体废物堆场</w:t>
                  </w:r>
                </w:p>
              </w:tc>
              <w:tc>
                <w:tcPr>
                  <w:tcW w:w="1395" w:type="pct"/>
                  <w:noWrap w:val="0"/>
                  <w:vAlign w:val="center"/>
                </w:tcPr>
                <w:p w14:paraId="48EA001E">
                  <w:pPr>
                    <w:spacing w:line="240" w:lineRule="auto"/>
                    <w:ind w:firstLine="0" w:firstLineChars="0"/>
                    <w:jc w:val="center"/>
                    <w:rPr>
                      <w:rFonts w:hint="eastAsia" w:ascii="Times New Roman" w:hAnsi="Times New Roman" w:eastAsia="宋体" w:cs="Times New Roman"/>
                      <w:color w:val="auto"/>
                      <w:sz w:val="21"/>
                      <w:szCs w:val="21"/>
                      <w:u w:val="none"/>
                    </w:rPr>
                  </w:pPr>
                  <w:r>
                    <w:rPr>
                      <w:rFonts w:hint="eastAsia" w:ascii="Times New Roman" w:hAnsi="Times New Roman" w:eastAsia="宋体" w:cs="Times New Roman"/>
                      <w:color w:val="auto"/>
                      <w:sz w:val="21"/>
                      <w:szCs w:val="21"/>
                      <w:u w:val="none"/>
                    </w:rPr>
                    <w:t>危</w:t>
                  </w:r>
                  <w:r>
                    <w:rPr>
                      <w:rFonts w:hint="eastAsia"/>
                      <w:color w:val="auto"/>
                      <w:sz w:val="21"/>
                      <w:szCs w:val="21"/>
                      <w:u w:val="none"/>
                    </w:rPr>
                    <w:t>险废物</w:t>
                  </w:r>
                  <w:r>
                    <w:rPr>
                      <w:rFonts w:hint="eastAsia" w:ascii="Times New Roman" w:hAnsi="Times New Roman" w:eastAsia="宋体" w:cs="Times New Roman"/>
                      <w:color w:val="auto"/>
                      <w:sz w:val="21"/>
                      <w:szCs w:val="21"/>
                      <w:u w:val="none"/>
                      <w:lang w:val="en-US" w:eastAsia="zh-CN"/>
                    </w:rPr>
                    <w:t>贮存、利用、处置设施标志的样式</w:t>
                  </w:r>
                </w:p>
              </w:tc>
            </w:tr>
            <w:tr w14:paraId="5DC98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6" w:type="pct"/>
                  <w:noWrap w:val="0"/>
                  <w:vAlign w:val="center"/>
                </w:tcPr>
                <w:p w14:paraId="28F49B6E">
                  <w:pPr>
                    <w:spacing w:line="240" w:lineRule="auto"/>
                    <w:ind w:firstLine="0" w:firstLineChars="0"/>
                    <w:jc w:val="center"/>
                    <w:rPr>
                      <w:color w:val="auto"/>
                      <w:sz w:val="21"/>
                      <w:szCs w:val="21"/>
                      <w:u w:val="none"/>
                    </w:rPr>
                  </w:pPr>
                  <w:r>
                    <w:rPr>
                      <w:rFonts w:hint="eastAsia"/>
                      <w:color w:val="auto"/>
                      <w:sz w:val="21"/>
                      <w:szCs w:val="21"/>
                      <w:u w:val="none"/>
                    </w:rPr>
                    <w:t>提示图形符号</w:t>
                  </w:r>
                </w:p>
              </w:tc>
              <w:tc>
                <w:tcPr>
                  <w:tcW w:w="1646" w:type="pct"/>
                  <w:gridSpan w:val="2"/>
                  <w:noWrap w:val="0"/>
                  <w:vAlign w:val="center"/>
                </w:tcPr>
                <w:p w14:paraId="0E903593">
                  <w:pPr>
                    <w:spacing w:line="240" w:lineRule="auto"/>
                    <w:ind w:firstLine="0" w:firstLineChars="0"/>
                    <w:jc w:val="center"/>
                    <w:rPr>
                      <w:color w:val="auto"/>
                      <w:sz w:val="21"/>
                      <w:szCs w:val="21"/>
                      <w:u w:val="none"/>
                    </w:rPr>
                  </w:pPr>
                  <w:r>
                    <w:rPr>
                      <w:rFonts w:hint="eastAsia"/>
                      <w:color w:val="auto"/>
                      <w:sz w:val="21"/>
                      <w:szCs w:val="21"/>
                      <w:u w:val="none"/>
                    </w:rPr>
                    <w:drawing>
                      <wp:inline distT="0" distB="0" distL="114300" distR="114300">
                        <wp:extent cx="843280" cy="819150"/>
                        <wp:effectExtent l="0" t="0" r="13970" b="0"/>
                        <wp:docPr id="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4"/>
                                <pic:cNvPicPr>
                                  <a:picLocks noChangeAspect="1"/>
                                </pic:cNvPicPr>
                              </pic:nvPicPr>
                              <pic:blipFill>
                                <a:blip r:embed="rId22"/>
                                <a:stretch>
                                  <a:fillRect/>
                                </a:stretch>
                              </pic:blipFill>
                              <pic:spPr>
                                <a:xfrm>
                                  <a:off x="0" y="0"/>
                                  <a:ext cx="843280" cy="819150"/>
                                </a:xfrm>
                                <a:prstGeom prst="rect">
                                  <a:avLst/>
                                </a:prstGeom>
                                <a:noFill/>
                                <a:ln>
                                  <a:noFill/>
                                </a:ln>
                              </pic:spPr>
                            </pic:pic>
                          </a:graphicData>
                        </a:graphic>
                      </wp:inline>
                    </w:drawing>
                  </w:r>
                </w:p>
              </w:tc>
              <w:tc>
                <w:tcPr>
                  <w:tcW w:w="1721" w:type="pct"/>
                  <w:gridSpan w:val="2"/>
                  <w:noWrap w:val="0"/>
                  <w:vAlign w:val="center"/>
                </w:tcPr>
                <w:p w14:paraId="356BB18C">
                  <w:pPr>
                    <w:spacing w:line="240" w:lineRule="auto"/>
                    <w:ind w:firstLine="0" w:firstLineChars="0"/>
                    <w:jc w:val="center"/>
                    <w:rPr>
                      <w:color w:val="auto"/>
                      <w:sz w:val="21"/>
                      <w:szCs w:val="21"/>
                      <w:u w:val="none"/>
                    </w:rPr>
                  </w:pPr>
                  <w:r>
                    <w:rPr>
                      <w:rFonts w:hint="eastAsia"/>
                      <w:color w:val="auto"/>
                      <w:sz w:val="21"/>
                      <w:szCs w:val="21"/>
                      <w:u w:val="none"/>
                    </w:rPr>
                    <w:drawing>
                      <wp:inline distT="0" distB="0" distL="114300" distR="114300">
                        <wp:extent cx="843280" cy="831215"/>
                        <wp:effectExtent l="0" t="0" r="13970" b="6985"/>
                        <wp:docPr id="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6"/>
                                <pic:cNvPicPr>
                                  <a:picLocks noChangeAspect="1"/>
                                </pic:cNvPicPr>
                              </pic:nvPicPr>
                              <pic:blipFill>
                                <a:blip r:embed="rId23"/>
                                <a:stretch>
                                  <a:fillRect/>
                                </a:stretch>
                              </pic:blipFill>
                              <pic:spPr>
                                <a:xfrm>
                                  <a:off x="0" y="0"/>
                                  <a:ext cx="843280" cy="831215"/>
                                </a:xfrm>
                                <a:prstGeom prst="rect">
                                  <a:avLst/>
                                </a:prstGeom>
                                <a:noFill/>
                                <a:ln>
                                  <a:noFill/>
                                </a:ln>
                              </pic:spPr>
                            </pic:pic>
                          </a:graphicData>
                        </a:graphic>
                      </wp:inline>
                    </w:drawing>
                  </w:r>
                </w:p>
              </w:tc>
              <w:tc>
                <w:tcPr>
                  <w:tcW w:w="1395" w:type="pct"/>
                  <w:vMerge w:val="restart"/>
                  <w:noWrap w:val="0"/>
                  <w:vAlign w:val="center"/>
                </w:tcPr>
                <w:p w14:paraId="44C28A39">
                  <w:pPr>
                    <w:spacing w:line="240" w:lineRule="auto"/>
                    <w:ind w:firstLine="0" w:firstLineChars="0"/>
                    <w:jc w:val="center"/>
                    <w:rPr>
                      <w:color w:val="auto"/>
                      <w:u w:val="none"/>
                    </w:rPr>
                  </w:pPr>
                  <w:r>
                    <w:rPr>
                      <w:color w:val="auto"/>
                      <w:u w:val="none"/>
                    </w:rPr>
                    <w:drawing>
                      <wp:inline distT="0" distB="0" distL="114300" distR="114300">
                        <wp:extent cx="1328420" cy="838835"/>
                        <wp:effectExtent l="0" t="0" r="5080" b="18415"/>
                        <wp:docPr id="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7"/>
                                <pic:cNvPicPr>
                                  <a:picLocks noChangeAspect="1"/>
                                </pic:cNvPicPr>
                              </pic:nvPicPr>
                              <pic:blipFill>
                                <a:blip r:embed="rId24"/>
                                <a:stretch>
                                  <a:fillRect/>
                                </a:stretch>
                              </pic:blipFill>
                              <pic:spPr>
                                <a:xfrm>
                                  <a:off x="0" y="0"/>
                                  <a:ext cx="1328420" cy="838835"/>
                                </a:xfrm>
                                <a:prstGeom prst="rect">
                                  <a:avLst/>
                                </a:prstGeom>
                                <a:noFill/>
                                <a:ln>
                                  <a:noFill/>
                                </a:ln>
                              </pic:spPr>
                            </pic:pic>
                          </a:graphicData>
                        </a:graphic>
                      </wp:inline>
                    </w:drawing>
                  </w:r>
                </w:p>
                <w:p w14:paraId="4E17FD9A">
                  <w:pPr>
                    <w:pStyle w:val="56"/>
                    <w:spacing w:line="240" w:lineRule="auto"/>
                    <w:ind w:left="0" w:leftChars="0" w:firstLine="0" w:firstLineChars="0"/>
                    <w:rPr>
                      <w:color w:val="auto"/>
                      <w:u w:val="none"/>
                    </w:rPr>
                  </w:pPr>
                  <w:r>
                    <w:rPr>
                      <w:color w:val="auto"/>
                      <w:u w:val="none"/>
                    </w:rPr>
                    <w:drawing>
                      <wp:inline distT="0" distB="0" distL="114300" distR="114300">
                        <wp:extent cx="1331595" cy="842010"/>
                        <wp:effectExtent l="0" t="0" r="1905" b="15240"/>
                        <wp:docPr id="1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8"/>
                                <pic:cNvPicPr>
                                  <a:picLocks noChangeAspect="1"/>
                                </pic:cNvPicPr>
                              </pic:nvPicPr>
                              <pic:blipFill>
                                <a:blip r:embed="rId25"/>
                                <a:stretch>
                                  <a:fillRect/>
                                </a:stretch>
                              </pic:blipFill>
                              <pic:spPr>
                                <a:xfrm>
                                  <a:off x="0" y="0"/>
                                  <a:ext cx="1331595" cy="842010"/>
                                </a:xfrm>
                                <a:prstGeom prst="rect">
                                  <a:avLst/>
                                </a:prstGeom>
                                <a:noFill/>
                                <a:ln>
                                  <a:noFill/>
                                </a:ln>
                              </pic:spPr>
                            </pic:pic>
                          </a:graphicData>
                        </a:graphic>
                      </wp:inline>
                    </w:drawing>
                  </w:r>
                </w:p>
                <w:p w14:paraId="28CE1476">
                  <w:pPr>
                    <w:pStyle w:val="56"/>
                    <w:spacing w:line="240" w:lineRule="auto"/>
                    <w:ind w:left="0" w:leftChars="0" w:firstLine="0" w:firstLineChars="0"/>
                    <w:rPr>
                      <w:color w:val="auto"/>
                      <w:u w:val="none"/>
                    </w:rPr>
                  </w:pPr>
                  <w:r>
                    <w:rPr>
                      <w:color w:val="auto"/>
                      <w:u w:val="none"/>
                    </w:rPr>
                    <w:drawing>
                      <wp:inline distT="0" distB="0" distL="114300" distR="114300">
                        <wp:extent cx="1328420" cy="850265"/>
                        <wp:effectExtent l="0" t="0" r="5080" b="6985"/>
                        <wp:docPr id="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9"/>
                                <pic:cNvPicPr>
                                  <a:picLocks noChangeAspect="1"/>
                                </pic:cNvPicPr>
                              </pic:nvPicPr>
                              <pic:blipFill>
                                <a:blip r:embed="rId26"/>
                                <a:stretch>
                                  <a:fillRect/>
                                </a:stretch>
                              </pic:blipFill>
                              <pic:spPr>
                                <a:xfrm>
                                  <a:off x="0" y="0"/>
                                  <a:ext cx="1328420" cy="850265"/>
                                </a:xfrm>
                                <a:prstGeom prst="rect">
                                  <a:avLst/>
                                </a:prstGeom>
                                <a:noFill/>
                                <a:ln>
                                  <a:noFill/>
                                </a:ln>
                              </pic:spPr>
                            </pic:pic>
                          </a:graphicData>
                        </a:graphic>
                      </wp:inline>
                    </w:drawing>
                  </w:r>
                </w:p>
              </w:tc>
            </w:tr>
            <w:tr w14:paraId="3B075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5" w:hRule="atLeast"/>
              </w:trPr>
              <w:tc>
                <w:tcPr>
                  <w:tcW w:w="236" w:type="pct"/>
                  <w:vMerge w:val="restart"/>
                  <w:noWrap w:val="0"/>
                  <w:vAlign w:val="center"/>
                </w:tcPr>
                <w:p w14:paraId="0BB26269">
                  <w:pPr>
                    <w:spacing w:line="240" w:lineRule="auto"/>
                    <w:ind w:firstLine="0" w:firstLineChars="0"/>
                    <w:jc w:val="center"/>
                    <w:rPr>
                      <w:color w:val="auto"/>
                      <w:sz w:val="21"/>
                      <w:szCs w:val="21"/>
                      <w:u w:val="none"/>
                    </w:rPr>
                  </w:pPr>
                  <w:r>
                    <w:rPr>
                      <w:rFonts w:hint="eastAsia"/>
                      <w:color w:val="auto"/>
                      <w:sz w:val="21"/>
                      <w:szCs w:val="21"/>
                      <w:u w:val="none"/>
                    </w:rPr>
                    <w:t>警告图形标志</w:t>
                  </w:r>
                </w:p>
              </w:tc>
              <w:tc>
                <w:tcPr>
                  <w:tcW w:w="820" w:type="pct"/>
                  <w:noWrap w:val="0"/>
                  <w:vAlign w:val="center"/>
                </w:tcPr>
                <w:p w14:paraId="15F8E02D">
                  <w:pPr>
                    <w:spacing w:line="240" w:lineRule="auto"/>
                    <w:ind w:firstLine="0" w:firstLineChars="0"/>
                    <w:rPr>
                      <w:color w:val="auto"/>
                      <w:sz w:val="21"/>
                      <w:szCs w:val="21"/>
                      <w:u w:val="none"/>
                    </w:rPr>
                  </w:pPr>
                  <w:r>
                    <w:rPr>
                      <w:color w:val="auto"/>
                      <w:u w:val="none"/>
                    </w:rPr>
                    <w:drawing>
                      <wp:inline distT="0" distB="0" distL="114300" distR="114300">
                        <wp:extent cx="725805" cy="708660"/>
                        <wp:effectExtent l="0" t="0" r="17145" b="15240"/>
                        <wp:docPr id="1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0"/>
                                <pic:cNvPicPr>
                                  <a:picLocks noChangeAspect="1"/>
                                </pic:cNvPicPr>
                              </pic:nvPicPr>
                              <pic:blipFill>
                                <a:blip r:embed="rId27"/>
                                <a:stretch>
                                  <a:fillRect/>
                                </a:stretch>
                              </pic:blipFill>
                              <pic:spPr>
                                <a:xfrm>
                                  <a:off x="0" y="0"/>
                                  <a:ext cx="725805" cy="708660"/>
                                </a:xfrm>
                                <a:prstGeom prst="rect">
                                  <a:avLst/>
                                </a:prstGeom>
                                <a:noFill/>
                                <a:ln>
                                  <a:noFill/>
                                </a:ln>
                              </pic:spPr>
                            </pic:pic>
                          </a:graphicData>
                        </a:graphic>
                      </wp:inline>
                    </w:drawing>
                  </w:r>
                </w:p>
              </w:tc>
              <w:tc>
                <w:tcPr>
                  <w:tcW w:w="825" w:type="pct"/>
                  <w:noWrap w:val="0"/>
                  <w:vAlign w:val="center"/>
                </w:tcPr>
                <w:p w14:paraId="49164AD4">
                  <w:pPr>
                    <w:spacing w:line="240" w:lineRule="auto"/>
                    <w:ind w:firstLine="0" w:firstLineChars="0"/>
                    <w:jc w:val="center"/>
                    <w:rPr>
                      <w:color w:val="auto"/>
                      <w:sz w:val="21"/>
                      <w:szCs w:val="21"/>
                      <w:u w:val="none"/>
                    </w:rPr>
                  </w:pPr>
                  <w:r>
                    <w:rPr>
                      <w:color w:val="auto"/>
                      <w:u w:val="none"/>
                    </w:rPr>
                    <w:drawing>
                      <wp:inline distT="0" distB="0" distL="114300" distR="114300">
                        <wp:extent cx="731520" cy="664845"/>
                        <wp:effectExtent l="0" t="0" r="11430" b="1905"/>
                        <wp:docPr id="1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1"/>
                                <pic:cNvPicPr>
                                  <a:picLocks noChangeAspect="1"/>
                                </pic:cNvPicPr>
                              </pic:nvPicPr>
                              <pic:blipFill>
                                <a:blip r:embed="rId28"/>
                                <a:stretch>
                                  <a:fillRect/>
                                </a:stretch>
                              </pic:blipFill>
                              <pic:spPr>
                                <a:xfrm>
                                  <a:off x="0" y="0"/>
                                  <a:ext cx="731520" cy="664845"/>
                                </a:xfrm>
                                <a:prstGeom prst="rect">
                                  <a:avLst/>
                                </a:prstGeom>
                                <a:noFill/>
                                <a:ln>
                                  <a:noFill/>
                                </a:ln>
                              </pic:spPr>
                            </pic:pic>
                          </a:graphicData>
                        </a:graphic>
                      </wp:inline>
                    </w:drawing>
                  </w:r>
                </w:p>
              </w:tc>
              <w:tc>
                <w:tcPr>
                  <w:tcW w:w="832" w:type="pct"/>
                  <w:noWrap w:val="0"/>
                  <w:vAlign w:val="center"/>
                </w:tcPr>
                <w:p w14:paraId="3926B59E">
                  <w:pPr>
                    <w:spacing w:line="240" w:lineRule="auto"/>
                    <w:ind w:firstLine="0" w:firstLineChars="0"/>
                    <w:jc w:val="center"/>
                    <w:rPr>
                      <w:color w:val="auto"/>
                      <w:sz w:val="21"/>
                      <w:szCs w:val="21"/>
                      <w:u w:val="none"/>
                    </w:rPr>
                  </w:pPr>
                  <w:r>
                    <w:rPr>
                      <w:color w:val="auto"/>
                      <w:u w:val="none"/>
                    </w:rPr>
                    <w:drawing>
                      <wp:inline distT="0" distB="0" distL="114300" distR="114300">
                        <wp:extent cx="739140" cy="702945"/>
                        <wp:effectExtent l="0" t="0" r="3810" b="1905"/>
                        <wp:docPr id="1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2"/>
                                <pic:cNvPicPr>
                                  <a:picLocks noChangeAspect="1"/>
                                </pic:cNvPicPr>
                              </pic:nvPicPr>
                              <pic:blipFill>
                                <a:blip r:embed="rId29"/>
                                <a:stretch>
                                  <a:fillRect/>
                                </a:stretch>
                              </pic:blipFill>
                              <pic:spPr>
                                <a:xfrm>
                                  <a:off x="0" y="0"/>
                                  <a:ext cx="739140" cy="702945"/>
                                </a:xfrm>
                                <a:prstGeom prst="rect">
                                  <a:avLst/>
                                </a:prstGeom>
                                <a:noFill/>
                                <a:ln>
                                  <a:noFill/>
                                </a:ln>
                              </pic:spPr>
                            </pic:pic>
                          </a:graphicData>
                        </a:graphic>
                      </wp:inline>
                    </w:drawing>
                  </w:r>
                </w:p>
              </w:tc>
              <w:tc>
                <w:tcPr>
                  <w:tcW w:w="888" w:type="pct"/>
                  <w:noWrap w:val="0"/>
                  <w:vAlign w:val="center"/>
                </w:tcPr>
                <w:p w14:paraId="55366913">
                  <w:pPr>
                    <w:spacing w:line="240" w:lineRule="auto"/>
                    <w:ind w:firstLine="0" w:firstLineChars="0"/>
                    <w:jc w:val="center"/>
                    <w:rPr>
                      <w:color w:val="auto"/>
                      <w:sz w:val="21"/>
                      <w:szCs w:val="21"/>
                      <w:u w:val="none"/>
                    </w:rPr>
                  </w:pPr>
                  <w:r>
                    <w:rPr>
                      <w:color w:val="auto"/>
                      <w:u w:val="none"/>
                    </w:rPr>
                    <w:drawing>
                      <wp:inline distT="0" distB="0" distL="114300" distR="114300">
                        <wp:extent cx="797560" cy="752475"/>
                        <wp:effectExtent l="0" t="0" r="2540" b="9525"/>
                        <wp:docPr id="1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3"/>
                                <pic:cNvPicPr>
                                  <a:picLocks noChangeAspect="1"/>
                                </pic:cNvPicPr>
                              </pic:nvPicPr>
                              <pic:blipFill>
                                <a:blip r:embed="rId30"/>
                                <a:stretch>
                                  <a:fillRect/>
                                </a:stretch>
                              </pic:blipFill>
                              <pic:spPr>
                                <a:xfrm>
                                  <a:off x="0" y="0"/>
                                  <a:ext cx="797560" cy="752475"/>
                                </a:xfrm>
                                <a:prstGeom prst="rect">
                                  <a:avLst/>
                                </a:prstGeom>
                                <a:noFill/>
                                <a:ln>
                                  <a:noFill/>
                                </a:ln>
                              </pic:spPr>
                            </pic:pic>
                          </a:graphicData>
                        </a:graphic>
                      </wp:inline>
                    </w:drawing>
                  </w:r>
                </w:p>
              </w:tc>
              <w:tc>
                <w:tcPr>
                  <w:tcW w:w="1395" w:type="pct"/>
                  <w:vMerge w:val="continue"/>
                  <w:noWrap w:val="0"/>
                  <w:vAlign w:val="center"/>
                </w:tcPr>
                <w:p w14:paraId="310AFB3D">
                  <w:pPr>
                    <w:spacing w:line="240" w:lineRule="auto"/>
                    <w:ind w:firstLine="0" w:firstLineChars="0"/>
                    <w:jc w:val="center"/>
                    <w:rPr>
                      <w:color w:val="auto"/>
                      <w:sz w:val="21"/>
                      <w:szCs w:val="21"/>
                      <w:u w:val="none"/>
                    </w:rPr>
                  </w:pPr>
                </w:p>
              </w:tc>
            </w:tr>
            <w:tr w14:paraId="17FD2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36" w:type="pct"/>
                  <w:vMerge w:val="continue"/>
                  <w:noWrap w:val="0"/>
                  <w:vAlign w:val="center"/>
                </w:tcPr>
                <w:p w14:paraId="64B5467B">
                  <w:pPr>
                    <w:spacing w:line="240" w:lineRule="auto"/>
                    <w:ind w:firstLine="0" w:firstLineChars="0"/>
                    <w:jc w:val="center"/>
                    <w:rPr>
                      <w:rFonts w:hint="eastAsia"/>
                      <w:color w:val="auto"/>
                      <w:sz w:val="21"/>
                      <w:szCs w:val="21"/>
                      <w:u w:val="none"/>
                    </w:rPr>
                  </w:pPr>
                </w:p>
              </w:tc>
              <w:tc>
                <w:tcPr>
                  <w:tcW w:w="820" w:type="pct"/>
                  <w:noWrap w:val="0"/>
                  <w:vAlign w:val="center"/>
                </w:tcPr>
                <w:p w14:paraId="4CE60989">
                  <w:pPr>
                    <w:spacing w:line="240" w:lineRule="auto"/>
                    <w:ind w:firstLine="0" w:firstLineChars="0"/>
                    <w:jc w:val="center"/>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腐蚀性</w:t>
                  </w:r>
                </w:p>
              </w:tc>
              <w:tc>
                <w:tcPr>
                  <w:tcW w:w="825" w:type="pct"/>
                  <w:noWrap w:val="0"/>
                  <w:vAlign w:val="center"/>
                </w:tcPr>
                <w:p w14:paraId="67178B9A">
                  <w:pPr>
                    <w:spacing w:line="240" w:lineRule="auto"/>
                    <w:ind w:firstLine="0" w:firstLineChars="0"/>
                    <w:jc w:val="center"/>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毒性</w:t>
                  </w:r>
                </w:p>
              </w:tc>
              <w:tc>
                <w:tcPr>
                  <w:tcW w:w="832" w:type="pct"/>
                  <w:noWrap w:val="0"/>
                  <w:vAlign w:val="center"/>
                </w:tcPr>
                <w:p w14:paraId="2F4FC323">
                  <w:pPr>
                    <w:spacing w:line="240" w:lineRule="auto"/>
                    <w:ind w:firstLine="0" w:firstLineChars="0"/>
                    <w:jc w:val="center"/>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易燃</w:t>
                  </w:r>
                </w:p>
              </w:tc>
              <w:tc>
                <w:tcPr>
                  <w:tcW w:w="888" w:type="pct"/>
                  <w:noWrap w:val="0"/>
                  <w:vAlign w:val="center"/>
                </w:tcPr>
                <w:p w14:paraId="17ECE111">
                  <w:pPr>
                    <w:spacing w:line="240" w:lineRule="auto"/>
                    <w:ind w:firstLine="0" w:firstLineChars="0"/>
                    <w:jc w:val="center"/>
                    <w:rPr>
                      <w:rFonts w:hint="eastAsia" w:ascii="Times New Roman" w:hAnsi="Times New Roman" w:eastAsia="宋体" w:cs="Times New Roman"/>
                      <w:color w:val="auto"/>
                      <w:sz w:val="21"/>
                      <w:szCs w:val="21"/>
                      <w:u w:val="none"/>
                      <w:lang w:val="en-US" w:eastAsia="zh-CN"/>
                    </w:rPr>
                  </w:pPr>
                  <w:r>
                    <w:rPr>
                      <w:rFonts w:hint="eastAsia" w:ascii="Times New Roman" w:hAnsi="Times New Roman" w:eastAsia="宋体" w:cs="Times New Roman"/>
                      <w:color w:val="auto"/>
                      <w:sz w:val="21"/>
                      <w:szCs w:val="21"/>
                      <w:u w:val="none"/>
                      <w:lang w:val="en-US" w:eastAsia="zh-CN"/>
                    </w:rPr>
                    <w:t>反应性</w:t>
                  </w:r>
                </w:p>
              </w:tc>
              <w:tc>
                <w:tcPr>
                  <w:tcW w:w="1395" w:type="pct"/>
                  <w:vMerge w:val="continue"/>
                  <w:noWrap w:val="0"/>
                  <w:vAlign w:val="center"/>
                </w:tcPr>
                <w:p w14:paraId="4DB71CB0">
                  <w:pPr>
                    <w:spacing w:line="240" w:lineRule="auto"/>
                    <w:ind w:firstLine="0" w:firstLineChars="0"/>
                    <w:jc w:val="center"/>
                    <w:rPr>
                      <w:color w:val="auto"/>
                      <w:sz w:val="21"/>
                      <w:szCs w:val="21"/>
                      <w:u w:val="none"/>
                    </w:rPr>
                  </w:pPr>
                </w:p>
              </w:tc>
            </w:tr>
          </w:tbl>
          <w:p w14:paraId="728DF877">
            <w:pPr>
              <w:pStyle w:val="110"/>
              <w:rPr>
                <w:color w:val="auto"/>
                <w:kern w:val="0"/>
                <w:szCs w:val="20"/>
                <w:u w:val="none"/>
              </w:rPr>
            </w:pPr>
            <w:r>
              <w:rPr>
                <w:rFonts w:hint="eastAsia"/>
                <w:color w:val="auto"/>
                <w:kern w:val="0"/>
                <w:szCs w:val="20"/>
                <w:u w:val="none"/>
              </w:rPr>
              <w:t>表4-1</w:t>
            </w:r>
            <w:r>
              <w:rPr>
                <w:rFonts w:hint="eastAsia"/>
                <w:color w:val="auto"/>
                <w:kern w:val="0"/>
                <w:szCs w:val="20"/>
                <w:u w:val="none"/>
                <w:lang w:val="en-US" w:eastAsia="zh-CN"/>
              </w:rPr>
              <w:t xml:space="preserve">4 </w:t>
            </w:r>
            <w:r>
              <w:rPr>
                <w:rFonts w:hint="eastAsia"/>
                <w:color w:val="auto"/>
                <w:kern w:val="0"/>
                <w:szCs w:val="20"/>
                <w:u w:val="none"/>
              </w:rPr>
              <w:t>标志形状及颜色</w:t>
            </w:r>
          </w:p>
          <w:tbl>
            <w:tblPr>
              <w:tblStyle w:val="29"/>
              <w:tblW w:w="829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73"/>
              <w:gridCol w:w="2074"/>
              <w:gridCol w:w="2074"/>
              <w:gridCol w:w="2076"/>
            </w:tblGrid>
            <w:tr w14:paraId="7A1613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2073" w:type="dxa"/>
                  <w:noWrap w:val="0"/>
                  <w:vAlign w:val="center"/>
                </w:tcPr>
                <w:p w14:paraId="3A0F62D5">
                  <w:pPr>
                    <w:spacing w:line="240" w:lineRule="auto"/>
                    <w:ind w:firstLine="0" w:firstLineChars="0"/>
                    <w:jc w:val="center"/>
                    <w:rPr>
                      <w:color w:val="auto"/>
                      <w:sz w:val="21"/>
                      <w:szCs w:val="21"/>
                      <w:u w:val="none"/>
                    </w:rPr>
                  </w:pPr>
                  <w:r>
                    <w:rPr>
                      <w:rFonts w:hint="eastAsia"/>
                      <w:color w:val="auto"/>
                      <w:sz w:val="21"/>
                      <w:szCs w:val="21"/>
                      <w:u w:val="none"/>
                    </w:rPr>
                    <w:t>标志类型</w:t>
                  </w:r>
                </w:p>
              </w:tc>
              <w:tc>
                <w:tcPr>
                  <w:tcW w:w="2074" w:type="dxa"/>
                  <w:noWrap w:val="0"/>
                  <w:vAlign w:val="center"/>
                </w:tcPr>
                <w:p w14:paraId="4C1082FF">
                  <w:pPr>
                    <w:spacing w:line="240" w:lineRule="auto"/>
                    <w:ind w:firstLine="0" w:firstLineChars="0"/>
                    <w:jc w:val="center"/>
                    <w:rPr>
                      <w:color w:val="auto"/>
                      <w:sz w:val="21"/>
                      <w:szCs w:val="21"/>
                      <w:u w:val="none"/>
                    </w:rPr>
                  </w:pPr>
                  <w:r>
                    <w:rPr>
                      <w:rFonts w:hint="eastAsia"/>
                      <w:color w:val="auto"/>
                      <w:sz w:val="21"/>
                      <w:szCs w:val="21"/>
                      <w:u w:val="none"/>
                    </w:rPr>
                    <w:t>形状</w:t>
                  </w:r>
                </w:p>
              </w:tc>
              <w:tc>
                <w:tcPr>
                  <w:tcW w:w="2074" w:type="dxa"/>
                  <w:noWrap w:val="0"/>
                  <w:vAlign w:val="center"/>
                </w:tcPr>
                <w:p w14:paraId="3FBF42A7">
                  <w:pPr>
                    <w:spacing w:line="240" w:lineRule="auto"/>
                    <w:ind w:firstLine="0" w:firstLineChars="0"/>
                    <w:jc w:val="center"/>
                    <w:rPr>
                      <w:color w:val="auto"/>
                      <w:sz w:val="21"/>
                      <w:szCs w:val="21"/>
                      <w:u w:val="none"/>
                    </w:rPr>
                  </w:pPr>
                  <w:r>
                    <w:rPr>
                      <w:rFonts w:hint="eastAsia"/>
                      <w:color w:val="auto"/>
                      <w:sz w:val="21"/>
                      <w:szCs w:val="21"/>
                      <w:u w:val="none"/>
                    </w:rPr>
                    <w:t>背景颜色</w:t>
                  </w:r>
                </w:p>
              </w:tc>
              <w:tc>
                <w:tcPr>
                  <w:tcW w:w="2076" w:type="dxa"/>
                  <w:noWrap w:val="0"/>
                  <w:vAlign w:val="center"/>
                </w:tcPr>
                <w:p w14:paraId="4086DB79">
                  <w:pPr>
                    <w:spacing w:line="240" w:lineRule="auto"/>
                    <w:ind w:firstLine="0" w:firstLineChars="0"/>
                    <w:jc w:val="center"/>
                    <w:rPr>
                      <w:color w:val="auto"/>
                      <w:sz w:val="21"/>
                      <w:szCs w:val="21"/>
                      <w:u w:val="none"/>
                    </w:rPr>
                  </w:pPr>
                  <w:r>
                    <w:rPr>
                      <w:rFonts w:hint="eastAsia"/>
                      <w:color w:val="auto"/>
                      <w:sz w:val="21"/>
                      <w:szCs w:val="21"/>
                      <w:u w:val="none"/>
                    </w:rPr>
                    <w:t>图形颜色</w:t>
                  </w:r>
                </w:p>
              </w:tc>
            </w:tr>
            <w:tr w14:paraId="3FAE2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trPr>
              <w:tc>
                <w:tcPr>
                  <w:tcW w:w="2073" w:type="dxa"/>
                  <w:noWrap w:val="0"/>
                  <w:vAlign w:val="center"/>
                </w:tcPr>
                <w:p w14:paraId="0EADFF61">
                  <w:pPr>
                    <w:spacing w:line="240" w:lineRule="auto"/>
                    <w:ind w:firstLine="0" w:firstLineChars="0"/>
                    <w:jc w:val="center"/>
                    <w:rPr>
                      <w:color w:val="auto"/>
                      <w:sz w:val="21"/>
                      <w:szCs w:val="21"/>
                      <w:u w:val="none"/>
                    </w:rPr>
                  </w:pPr>
                  <w:r>
                    <w:rPr>
                      <w:rFonts w:hint="eastAsia"/>
                      <w:color w:val="auto"/>
                      <w:sz w:val="21"/>
                      <w:szCs w:val="21"/>
                      <w:u w:val="none"/>
                    </w:rPr>
                    <w:t>警告</w:t>
                  </w:r>
                </w:p>
              </w:tc>
              <w:tc>
                <w:tcPr>
                  <w:tcW w:w="2074" w:type="dxa"/>
                  <w:noWrap w:val="0"/>
                  <w:vAlign w:val="center"/>
                </w:tcPr>
                <w:p w14:paraId="7AA09C75">
                  <w:pPr>
                    <w:spacing w:line="240" w:lineRule="auto"/>
                    <w:ind w:firstLine="0" w:firstLineChars="0"/>
                    <w:jc w:val="center"/>
                    <w:rPr>
                      <w:color w:val="auto"/>
                      <w:sz w:val="21"/>
                      <w:szCs w:val="21"/>
                      <w:u w:val="none"/>
                    </w:rPr>
                  </w:pPr>
                  <w:r>
                    <w:rPr>
                      <w:rFonts w:hint="eastAsia"/>
                      <w:color w:val="auto"/>
                      <w:sz w:val="21"/>
                      <w:szCs w:val="21"/>
                      <w:u w:val="none"/>
                    </w:rPr>
                    <w:t>三角形边框</w:t>
                  </w:r>
                </w:p>
              </w:tc>
              <w:tc>
                <w:tcPr>
                  <w:tcW w:w="2074" w:type="dxa"/>
                  <w:noWrap w:val="0"/>
                  <w:vAlign w:val="center"/>
                </w:tcPr>
                <w:p w14:paraId="2D2D4DDC">
                  <w:pPr>
                    <w:spacing w:line="240" w:lineRule="auto"/>
                    <w:ind w:firstLine="0" w:firstLineChars="0"/>
                    <w:jc w:val="center"/>
                    <w:rPr>
                      <w:color w:val="auto"/>
                      <w:sz w:val="21"/>
                      <w:szCs w:val="21"/>
                      <w:u w:val="none"/>
                    </w:rPr>
                  </w:pPr>
                  <w:r>
                    <w:rPr>
                      <w:rFonts w:hint="eastAsia"/>
                      <w:color w:val="auto"/>
                      <w:sz w:val="21"/>
                      <w:szCs w:val="21"/>
                      <w:u w:val="none"/>
                    </w:rPr>
                    <w:t>黄色</w:t>
                  </w:r>
                </w:p>
              </w:tc>
              <w:tc>
                <w:tcPr>
                  <w:tcW w:w="2076" w:type="dxa"/>
                  <w:noWrap w:val="0"/>
                  <w:vAlign w:val="center"/>
                </w:tcPr>
                <w:p w14:paraId="12589A6A">
                  <w:pPr>
                    <w:spacing w:line="240" w:lineRule="auto"/>
                    <w:ind w:firstLine="0" w:firstLineChars="0"/>
                    <w:jc w:val="center"/>
                    <w:rPr>
                      <w:color w:val="auto"/>
                      <w:sz w:val="21"/>
                      <w:szCs w:val="21"/>
                      <w:u w:val="none"/>
                    </w:rPr>
                  </w:pPr>
                  <w:r>
                    <w:rPr>
                      <w:rFonts w:hint="eastAsia"/>
                      <w:color w:val="auto"/>
                      <w:sz w:val="21"/>
                      <w:szCs w:val="21"/>
                      <w:u w:val="none"/>
                    </w:rPr>
                    <w:t>黑色</w:t>
                  </w:r>
                </w:p>
              </w:tc>
            </w:tr>
            <w:tr w14:paraId="310282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2073" w:type="dxa"/>
                  <w:noWrap w:val="0"/>
                  <w:vAlign w:val="center"/>
                </w:tcPr>
                <w:p w14:paraId="196DF130">
                  <w:pPr>
                    <w:spacing w:line="240" w:lineRule="auto"/>
                    <w:ind w:firstLine="0" w:firstLineChars="0"/>
                    <w:jc w:val="center"/>
                    <w:rPr>
                      <w:color w:val="auto"/>
                      <w:sz w:val="21"/>
                      <w:szCs w:val="21"/>
                      <w:u w:val="none"/>
                    </w:rPr>
                  </w:pPr>
                  <w:r>
                    <w:rPr>
                      <w:rFonts w:hint="eastAsia"/>
                      <w:color w:val="auto"/>
                      <w:sz w:val="21"/>
                      <w:szCs w:val="21"/>
                      <w:u w:val="none"/>
                    </w:rPr>
                    <w:t>提示标志</w:t>
                  </w:r>
                </w:p>
              </w:tc>
              <w:tc>
                <w:tcPr>
                  <w:tcW w:w="2074" w:type="dxa"/>
                  <w:noWrap w:val="0"/>
                  <w:vAlign w:val="center"/>
                </w:tcPr>
                <w:p w14:paraId="1D21B892">
                  <w:pPr>
                    <w:spacing w:line="240" w:lineRule="auto"/>
                    <w:ind w:firstLine="0" w:firstLineChars="0"/>
                    <w:jc w:val="center"/>
                    <w:rPr>
                      <w:color w:val="auto"/>
                      <w:sz w:val="21"/>
                      <w:szCs w:val="21"/>
                      <w:u w:val="none"/>
                    </w:rPr>
                  </w:pPr>
                  <w:r>
                    <w:rPr>
                      <w:rFonts w:hint="eastAsia"/>
                      <w:color w:val="auto"/>
                      <w:sz w:val="21"/>
                      <w:szCs w:val="21"/>
                      <w:u w:val="none"/>
                    </w:rPr>
                    <w:t>正方形边框</w:t>
                  </w:r>
                </w:p>
              </w:tc>
              <w:tc>
                <w:tcPr>
                  <w:tcW w:w="2074" w:type="dxa"/>
                  <w:noWrap w:val="0"/>
                  <w:vAlign w:val="center"/>
                </w:tcPr>
                <w:p w14:paraId="757F3418">
                  <w:pPr>
                    <w:spacing w:line="240" w:lineRule="auto"/>
                    <w:ind w:firstLine="0" w:firstLineChars="0"/>
                    <w:jc w:val="center"/>
                    <w:rPr>
                      <w:color w:val="auto"/>
                      <w:sz w:val="21"/>
                      <w:szCs w:val="21"/>
                      <w:u w:val="none"/>
                    </w:rPr>
                  </w:pPr>
                  <w:r>
                    <w:rPr>
                      <w:rFonts w:hint="eastAsia"/>
                      <w:color w:val="auto"/>
                      <w:sz w:val="21"/>
                      <w:szCs w:val="21"/>
                      <w:u w:val="none"/>
                    </w:rPr>
                    <w:t>绿化</w:t>
                  </w:r>
                </w:p>
              </w:tc>
              <w:tc>
                <w:tcPr>
                  <w:tcW w:w="2076" w:type="dxa"/>
                  <w:noWrap w:val="0"/>
                  <w:vAlign w:val="center"/>
                </w:tcPr>
                <w:p w14:paraId="6AA31003">
                  <w:pPr>
                    <w:spacing w:line="240" w:lineRule="auto"/>
                    <w:ind w:firstLine="0" w:firstLineChars="0"/>
                    <w:jc w:val="center"/>
                    <w:rPr>
                      <w:color w:val="auto"/>
                      <w:sz w:val="21"/>
                      <w:szCs w:val="21"/>
                      <w:u w:val="none"/>
                    </w:rPr>
                  </w:pPr>
                  <w:r>
                    <w:rPr>
                      <w:rFonts w:hint="eastAsia"/>
                      <w:color w:val="auto"/>
                      <w:sz w:val="21"/>
                      <w:szCs w:val="21"/>
                      <w:u w:val="none"/>
                    </w:rPr>
                    <w:t>白色</w:t>
                  </w:r>
                </w:p>
              </w:tc>
            </w:tr>
          </w:tbl>
          <w:p w14:paraId="45E00B17">
            <w:pPr>
              <w:bidi w:val="0"/>
              <w:rPr>
                <w:color w:val="auto"/>
              </w:rPr>
            </w:pPr>
            <w:r>
              <w:rPr>
                <w:rFonts w:hint="eastAsia"/>
                <w:color w:val="auto"/>
              </w:rPr>
              <w:t>标志牌设置位置在排污口（采样点）附近且醒目处，高度为标志牌上缘离地面2米。排污口附近1米范围内有建筑物的，设平面式标志牌，无建筑物的设立式标志牌。</w:t>
            </w:r>
          </w:p>
          <w:p w14:paraId="39CCE24C">
            <w:pPr>
              <w:bidi w:val="0"/>
              <w:rPr>
                <w:color w:val="auto"/>
              </w:rPr>
            </w:pPr>
            <w:r>
              <w:rPr>
                <w:rFonts w:hint="eastAsia"/>
                <w:color w:val="auto"/>
              </w:rPr>
              <w:t>⑥排污口建档要求</w:t>
            </w:r>
          </w:p>
          <w:p w14:paraId="73614C8B">
            <w:pPr>
              <w:bidi w:val="0"/>
              <w:rPr>
                <w:color w:val="auto"/>
              </w:rPr>
            </w:pPr>
            <w:r>
              <w:rPr>
                <w:rFonts w:hint="eastAsia"/>
                <w:color w:val="auto"/>
              </w:rPr>
              <w:t>要求使用生态环境部统一印刷的《中华人民共和国规范化排污口标志登记证》，并按要求填写有关内容；根据排污口管理档案内容要求，项目建成后，应将主要污染物种类、数量、浓度、排放去向、达标情况及设施运行情况</w:t>
            </w:r>
            <w:r>
              <w:rPr>
                <w:rFonts w:hint="eastAsia"/>
                <w:color w:val="auto"/>
                <w:lang w:eastAsia="zh-CN"/>
              </w:rPr>
              <w:t>记录</w:t>
            </w:r>
            <w:r>
              <w:rPr>
                <w:rFonts w:hint="eastAsia"/>
                <w:color w:val="auto"/>
              </w:rPr>
              <w:t>于档案。</w:t>
            </w:r>
          </w:p>
          <w:p w14:paraId="53D2866A">
            <w:pPr>
              <w:bidi w:val="0"/>
              <w:rPr>
                <w:color w:val="auto"/>
              </w:rPr>
            </w:pPr>
            <w:r>
              <w:rPr>
                <w:rFonts w:hint="eastAsia"/>
                <w:color w:val="auto"/>
              </w:rPr>
              <w:t>（4）负责项目环境保护竣工验收工作。</w:t>
            </w:r>
          </w:p>
          <w:p w14:paraId="5A782111">
            <w:pPr>
              <w:bidi w:val="0"/>
              <w:rPr>
                <w:color w:val="auto"/>
              </w:rPr>
            </w:pPr>
            <w:r>
              <w:rPr>
                <w:rFonts w:hint="eastAsia"/>
                <w:color w:val="auto"/>
              </w:rPr>
              <w:t>按照《建设项目竣工环境保护验收暂行办法》（国环规环评[2017]4号）要求组织本项目竣工环境保护验收工作，验收合格方可投入生产；本工程应建立以企业总经理领导，专职环保职能科室负责企业的环境档案管理，制定各项环保计划并监督实施，对厂区排污实行全程控制的监管，确保环保计划的实施和各项污染物的达标排放。</w:t>
            </w:r>
          </w:p>
          <w:p w14:paraId="1D5B735D">
            <w:pPr>
              <w:bidi w:val="0"/>
              <w:rPr>
                <w:color w:val="auto"/>
              </w:rPr>
            </w:pPr>
            <w:r>
              <w:rPr>
                <w:rFonts w:hint="eastAsia"/>
                <w:color w:val="auto"/>
              </w:rPr>
              <w:t>（5）建立环境管理台账</w:t>
            </w:r>
          </w:p>
          <w:p w14:paraId="198EBC3C">
            <w:pPr>
              <w:bidi w:val="0"/>
              <w:rPr>
                <w:color w:val="auto"/>
              </w:rPr>
            </w:pPr>
            <w:r>
              <w:rPr>
                <w:rFonts w:hint="eastAsia"/>
                <w:color w:val="auto"/>
              </w:rPr>
              <w:t>环境管理台账，指排污单位根据排污许可证的规定，对自行监测、落实各项环境管理要求等行为的具体记录。</w:t>
            </w:r>
          </w:p>
          <w:p w14:paraId="683C6F7E">
            <w:pPr>
              <w:bidi w:val="0"/>
              <w:rPr>
                <w:color w:val="auto"/>
              </w:rPr>
            </w:pPr>
            <w:r>
              <w:rPr>
                <w:rFonts w:hint="eastAsia"/>
                <w:color w:val="auto"/>
              </w:rPr>
              <w:t>排污单位应建立环境管理台账记录制度，设置专职人员进行台账的记录、整理、维护和管理，并对环境管理台账的真实性、完整性和规范性负责。</w:t>
            </w:r>
          </w:p>
          <w:p w14:paraId="370E9189">
            <w:pPr>
              <w:bidi w:val="0"/>
              <w:rPr>
                <w:color w:val="auto"/>
              </w:rPr>
            </w:pPr>
            <w:r>
              <w:rPr>
                <w:rFonts w:hint="eastAsia"/>
                <w:color w:val="auto"/>
              </w:rPr>
              <w:t>环境管理台账的编制要求按照《排污单位环境管理台账及排污许可证执行报告技术规范总则(试行)》（HJ944-2018）执行，该技术规范规定了排污单位环境管理台账记录形式、记录内容、记录频次和记录保存的一般要求。</w:t>
            </w:r>
          </w:p>
          <w:p w14:paraId="7A4C8FE3">
            <w:pPr>
              <w:bidi w:val="0"/>
              <w:rPr>
                <w:color w:val="auto"/>
              </w:rPr>
            </w:pPr>
            <w:r>
              <w:rPr>
                <w:rFonts w:hint="eastAsia"/>
                <w:color w:val="auto"/>
              </w:rPr>
              <w:t>环境管理台账记录形式分为电子台账和纸质台账两种形式，保存时间原则上不低于3年。</w:t>
            </w:r>
          </w:p>
          <w:p w14:paraId="1899691D">
            <w:pPr>
              <w:bidi w:val="0"/>
              <w:rPr>
                <w:color w:val="auto"/>
              </w:rPr>
            </w:pPr>
            <w:r>
              <w:rPr>
                <w:rFonts w:hint="eastAsia"/>
                <w:color w:val="auto"/>
              </w:rPr>
              <w:t>环境管理台账记录内容包括基本信息、生产设施运行管理信息、污染防治设施运行管理信息、监测记录信息及其他环境管理信息等。生产设施、污染防治设施、排放口编码应与排污许可证副本中载明的编码一致。记录频次和记录内容要满足排污许可证的各项环境管理要求。</w:t>
            </w:r>
          </w:p>
          <w:p w14:paraId="47F8272E">
            <w:pPr>
              <w:widowControl/>
              <w:spacing w:line="360" w:lineRule="auto"/>
              <w:rPr>
                <w:b/>
                <w:bCs/>
                <w:color w:val="auto"/>
                <w:sz w:val="24"/>
                <w:szCs w:val="24"/>
                <w:highlight w:val="none"/>
                <w:u w:val="none" w:color="auto"/>
              </w:rPr>
            </w:pPr>
            <w:r>
              <w:rPr>
                <w:rFonts w:hint="eastAsia"/>
                <w:b/>
                <w:bCs/>
                <w:color w:val="auto"/>
                <w:sz w:val="24"/>
                <w:szCs w:val="24"/>
                <w:highlight w:val="none"/>
                <w:u w:val="none" w:color="auto"/>
                <w:lang w:val="en-US" w:eastAsia="zh-CN"/>
              </w:rPr>
              <w:t>（八）</w:t>
            </w:r>
            <w:r>
              <w:rPr>
                <w:rFonts w:hint="eastAsia"/>
                <w:b/>
                <w:bCs/>
                <w:color w:val="auto"/>
                <w:sz w:val="24"/>
                <w:szCs w:val="24"/>
                <w:highlight w:val="none"/>
                <w:u w:val="none" w:color="auto"/>
              </w:rPr>
              <w:t>环保投资</w:t>
            </w:r>
          </w:p>
          <w:p w14:paraId="18884079">
            <w:pPr>
              <w:bidi w:val="0"/>
              <w:rPr>
                <w:color w:val="auto"/>
                <w:u w:val="single" w:color="auto"/>
              </w:rPr>
            </w:pPr>
            <w:r>
              <w:rPr>
                <w:color w:val="auto"/>
                <w:u w:val="single" w:color="auto"/>
                <w:lang w:val="en-US" w:eastAsia="zh-CN"/>
              </w:rPr>
              <w:t>项目总投资</w:t>
            </w:r>
            <w:r>
              <w:rPr>
                <w:rFonts w:hint="eastAsia"/>
                <w:color w:val="auto"/>
                <w:u w:val="single" w:color="auto"/>
                <w:lang w:val="en-US" w:eastAsia="zh-CN"/>
              </w:rPr>
              <w:t>25000</w:t>
            </w:r>
            <w:r>
              <w:rPr>
                <w:color w:val="auto"/>
                <w:u w:val="single" w:color="auto"/>
                <w:lang w:val="en-US" w:eastAsia="zh-CN"/>
              </w:rPr>
              <w:t>万元，资金全部由企业自筹；其中环保投资</w:t>
            </w:r>
            <w:r>
              <w:rPr>
                <w:rFonts w:hint="eastAsia"/>
                <w:color w:val="auto"/>
                <w:u w:val="single" w:color="auto"/>
                <w:lang w:val="en-US" w:eastAsia="zh-CN"/>
              </w:rPr>
              <w:t>33.5</w:t>
            </w:r>
            <w:r>
              <w:rPr>
                <w:color w:val="auto"/>
                <w:u w:val="single" w:color="auto"/>
                <w:lang w:val="en-US" w:eastAsia="zh-CN"/>
              </w:rPr>
              <w:t>万元，环保投资占总投资的</w:t>
            </w:r>
            <w:r>
              <w:rPr>
                <w:rFonts w:hint="eastAsia"/>
                <w:color w:val="auto"/>
                <w:u w:val="single" w:color="auto"/>
                <w:lang w:val="en-US" w:eastAsia="zh-CN"/>
              </w:rPr>
              <w:t>0.134</w:t>
            </w:r>
            <w:r>
              <w:rPr>
                <w:color w:val="auto"/>
                <w:u w:val="single" w:color="auto"/>
                <w:lang w:val="en-US" w:eastAsia="zh-CN"/>
              </w:rPr>
              <w:t>%。</w:t>
            </w:r>
            <w:r>
              <w:rPr>
                <w:color w:val="auto"/>
                <w:u w:val="single" w:color="auto"/>
              </w:rPr>
              <w:t>项目环保投资分项估算见表</w:t>
            </w:r>
            <w:r>
              <w:rPr>
                <w:rFonts w:hint="eastAsia"/>
                <w:color w:val="auto"/>
                <w:u w:val="single" w:color="auto"/>
                <w:lang w:val="en-US" w:eastAsia="zh-CN"/>
              </w:rPr>
              <w:t>4-15</w:t>
            </w:r>
            <w:r>
              <w:rPr>
                <w:rFonts w:hint="eastAsia"/>
                <w:color w:val="auto"/>
                <w:u w:val="single" w:color="auto"/>
              </w:rPr>
              <w:t>。</w:t>
            </w:r>
          </w:p>
          <w:p w14:paraId="01CFF265">
            <w:pPr>
              <w:pStyle w:val="9"/>
              <w:adjustRightInd w:val="0"/>
              <w:snapToGrid w:val="0"/>
              <w:spacing w:after="0" w:line="240" w:lineRule="auto"/>
              <w:ind w:left="0" w:leftChars="0"/>
              <w:jc w:val="center"/>
              <w:rPr>
                <w:b/>
                <w:bCs/>
                <w:color w:val="auto"/>
                <w:sz w:val="21"/>
                <w:highlight w:val="none"/>
                <w:u w:val="single" w:color="auto"/>
              </w:rPr>
            </w:pPr>
            <w:r>
              <w:rPr>
                <w:b/>
                <w:bCs/>
                <w:color w:val="auto"/>
                <w:sz w:val="21"/>
                <w:highlight w:val="none"/>
                <w:u w:val="single" w:color="auto"/>
              </w:rPr>
              <w:t>表</w:t>
            </w:r>
            <w:r>
              <w:rPr>
                <w:rFonts w:hint="eastAsia"/>
                <w:b/>
                <w:bCs/>
                <w:color w:val="auto"/>
                <w:sz w:val="21"/>
                <w:highlight w:val="none"/>
                <w:u w:val="single" w:color="auto"/>
                <w:lang w:val="en-US" w:eastAsia="zh-CN"/>
              </w:rPr>
              <w:t xml:space="preserve">4-15 </w:t>
            </w:r>
            <w:r>
              <w:rPr>
                <w:b/>
                <w:bCs/>
                <w:color w:val="auto"/>
                <w:sz w:val="21"/>
                <w:highlight w:val="none"/>
                <w:u w:val="single" w:color="auto"/>
              </w:rPr>
              <w:t xml:space="preserve"> 项目环保投资一览表  单位：万元</w:t>
            </w:r>
          </w:p>
          <w:tbl>
            <w:tblPr>
              <w:tblStyle w:val="29"/>
              <w:tblW w:w="4973"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79"/>
              <w:gridCol w:w="2392"/>
              <w:gridCol w:w="2374"/>
              <w:gridCol w:w="1012"/>
              <w:gridCol w:w="1551"/>
            </w:tblGrid>
            <w:tr w14:paraId="751C7B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25" w:hRule="atLeast"/>
                <w:jc w:val="center"/>
              </w:trPr>
              <w:tc>
                <w:tcPr>
                  <w:tcW w:w="641" w:type="pct"/>
                  <w:tcBorders>
                    <w:tl2br w:val="nil"/>
                    <w:tr2bl w:val="nil"/>
                  </w:tcBorders>
                  <w:noWrap w:val="0"/>
                  <w:vAlign w:val="center"/>
                </w:tcPr>
                <w:p w14:paraId="77874A5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项目</w:t>
                  </w:r>
                </w:p>
              </w:tc>
              <w:tc>
                <w:tcPr>
                  <w:tcW w:w="1422" w:type="pct"/>
                  <w:tcBorders>
                    <w:tl2br w:val="nil"/>
                    <w:tr2bl w:val="nil"/>
                  </w:tcBorders>
                  <w:noWrap w:val="0"/>
                  <w:vAlign w:val="center"/>
                </w:tcPr>
                <w:p w14:paraId="00C945E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污染源</w:t>
                  </w:r>
                </w:p>
              </w:tc>
              <w:tc>
                <w:tcPr>
                  <w:tcW w:w="1411" w:type="pct"/>
                  <w:tcBorders>
                    <w:tl2br w:val="nil"/>
                    <w:tr2bl w:val="nil"/>
                  </w:tcBorders>
                  <w:noWrap w:val="0"/>
                  <w:vAlign w:val="center"/>
                </w:tcPr>
                <w:p w14:paraId="0E652B7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污染处理措施</w:t>
                  </w:r>
                </w:p>
              </w:tc>
              <w:tc>
                <w:tcPr>
                  <w:tcW w:w="601" w:type="pct"/>
                  <w:tcBorders>
                    <w:tl2br w:val="nil"/>
                    <w:tr2bl w:val="nil"/>
                  </w:tcBorders>
                  <w:noWrap w:val="0"/>
                  <w:vAlign w:val="center"/>
                </w:tcPr>
                <w:p w14:paraId="3702714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投资额</w:t>
                  </w:r>
                </w:p>
              </w:tc>
              <w:tc>
                <w:tcPr>
                  <w:tcW w:w="922" w:type="pct"/>
                  <w:tcBorders>
                    <w:tl2br w:val="nil"/>
                    <w:tr2bl w:val="nil"/>
                  </w:tcBorders>
                  <w:noWrap w:val="0"/>
                  <w:vAlign w:val="center"/>
                </w:tcPr>
                <w:p w14:paraId="4C1528A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备注</w:t>
                  </w:r>
                </w:p>
              </w:tc>
            </w:tr>
            <w:tr w14:paraId="1A378C6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90" w:hRule="atLeast"/>
                <w:jc w:val="center"/>
              </w:trPr>
              <w:tc>
                <w:tcPr>
                  <w:tcW w:w="641" w:type="pct"/>
                  <w:tcBorders>
                    <w:bottom w:val="single" w:color="000000" w:sz="6" w:space="0"/>
                    <w:tl2br w:val="nil"/>
                    <w:tr2bl w:val="nil"/>
                  </w:tcBorders>
                  <w:noWrap w:val="0"/>
                  <w:vAlign w:val="center"/>
                </w:tcPr>
                <w:p w14:paraId="7F69E21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废气处理</w:t>
                  </w:r>
                </w:p>
              </w:tc>
              <w:tc>
                <w:tcPr>
                  <w:tcW w:w="1422" w:type="pct"/>
                  <w:tcBorders>
                    <w:bottom w:val="single" w:color="000000" w:sz="6" w:space="0"/>
                    <w:tl2br w:val="nil"/>
                    <w:tr2bl w:val="nil"/>
                  </w:tcBorders>
                  <w:noWrap w:val="0"/>
                  <w:vAlign w:val="center"/>
                </w:tcPr>
                <w:p w14:paraId="3CDF80A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熔化、制芯、浇注、抛丸废气</w:t>
                  </w:r>
                </w:p>
              </w:tc>
              <w:tc>
                <w:tcPr>
                  <w:tcW w:w="1411" w:type="pct"/>
                  <w:tcBorders>
                    <w:tl2br w:val="nil"/>
                    <w:tr2bl w:val="nil"/>
                  </w:tcBorders>
                  <w:noWrap w:val="0"/>
                  <w:vAlign w:val="center"/>
                </w:tcPr>
                <w:p w14:paraId="212414F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集气罩+布袋除尘+</w:t>
                  </w:r>
                  <w:r>
                    <w:rPr>
                      <w:rFonts w:hint="eastAsia" w:cs="Times New Roman"/>
                      <w:color w:val="auto"/>
                      <w:sz w:val="21"/>
                      <w:szCs w:val="21"/>
                      <w:highlight w:val="none"/>
                      <w:u w:val="single" w:color="auto"/>
                      <w:lang w:val="en-US" w:eastAsia="zh-CN"/>
                    </w:rPr>
                    <w:t>15</w:t>
                  </w:r>
                  <w:r>
                    <w:rPr>
                      <w:rFonts w:hint="eastAsia" w:ascii="Times New Roman" w:hAnsi="Times New Roman" w:eastAsia="宋体" w:cs="Times New Roman"/>
                      <w:color w:val="auto"/>
                      <w:sz w:val="21"/>
                      <w:szCs w:val="21"/>
                      <w:highlight w:val="none"/>
                      <w:u w:val="single" w:color="auto"/>
                      <w:lang w:val="en-US" w:eastAsia="zh-CN"/>
                    </w:rPr>
                    <w:t>m高排气筒</w:t>
                  </w:r>
                </w:p>
              </w:tc>
              <w:tc>
                <w:tcPr>
                  <w:tcW w:w="601" w:type="pct"/>
                  <w:tcBorders>
                    <w:tl2br w:val="nil"/>
                    <w:tr2bl w:val="nil"/>
                  </w:tcBorders>
                  <w:noWrap w:val="0"/>
                  <w:vAlign w:val="center"/>
                </w:tcPr>
                <w:p w14:paraId="20CC186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2</w:t>
                  </w:r>
                  <w:r>
                    <w:rPr>
                      <w:rFonts w:hint="eastAsia" w:ascii="Times New Roman" w:hAnsi="Times New Roman" w:eastAsia="宋体" w:cs="Times New Roman"/>
                      <w:color w:val="auto"/>
                      <w:sz w:val="21"/>
                      <w:szCs w:val="21"/>
                      <w:highlight w:val="none"/>
                      <w:u w:val="single" w:color="auto"/>
                      <w:lang w:val="en-US" w:eastAsia="zh-CN"/>
                    </w:rPr>
                    <w:t>0</w:t>
                  </w:r>
                </w:p>
              </w:tc>
              <w:tc>
                <w:tcPr>
                  <w:tcW w:w="922" w:type="pct"/>
                  <w:tcBorders>
                    <w:tl2br w:val="nil"/>
                    <w:tr2bl w:val="nil"/>
                  </w:tcBorders>
                  <w:noWrap w:val="0"/>
                  <w:vAlign w:val="center"/>
                </w:tcPr>
                <w:p w14:paraId="14CBB38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w:t>
                  </w:r>
                </w:p>
              </w:tc>
            </w:tr>
            <w:tr w14:paraId="3E6C9E6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25" w:hRule="atLeast"/>
                <w:jc w:val="center"/>
              </w:trPr>
              <w:tc>
                <w:tcPr>
                  <w:tcW w:w="641" w:type="pct"/>
                  <w:tcBorders>
                    <w:top w:val="single" w:color="000000" w:sz="6" w:space="0"/>
                    <w:tl2br w:val="nil"/>
                    <w:tr2bl w:val="nil"/>
                  </w:tcBorders>
                  <w:noWrap w:val="0"/>
                  <w:vAlign w:val="center"/>
                </w:tcPr>
                <w:p w14:paraId="6A91A25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废水治理</w:t>
                  </w:r>
                </w:p>
              </w:tc>
              <w:tc>
                <w:tcPr>
                  <w:tcW w:w="1422" w:type="pct"/>
                  <w:tcBorders>
                    <w:top w:val="single" w:color="000000" w:sz="6" w:space="0"/>
                    <w:tl2br w:val="nil"/>
                    <w:tr2bl w:val="nil"/>
                  </w:tcBorders>
                  <w:noWrap w:val="0"/>
                  <w:vAlign w:val="center"/>
                </w:tcPr>
                <w:p w14:paraId="46CE043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生活污水</w:t>
                  </w:r>
                </w:p>
              </w:tc>
              <w:tc>
                <w:tcPr>
                  <w:tcW w:w="1411" w:type="pct"/>
                  <w:tcBorders>
                    <w:tl2br w:val="nil"/>
                    <w:tr2bl w:val="nil"/>
                  </w:tcBorders>
                  <w:noWrap w:val="0"/>
                  <w:vAlign w:val="center"/>
                </w:tcPr>
                <w:p w14:paraId="7D047FB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化粪池</w:t>
                  </w:r>
                </w:p>
              </w:tc>
              <w:tc>
                <w:tcPr>
                  <w:tcW w:w="601" w:type="pct"/>
                  <w:tcBorders>
                    <w:tl2br w:val="nil"/>
                    <w:tr2bl w:val="nil"/>
                  </w:tcBorders>
                  <w:noWrap w:val="0"/>
                  <w:vAlign w:val="center"/>
                </w:tcPr>
                <w:p w14:paraId="176B905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w:t>
                  </w:r>
                </w:p>
              </w:tc>
              <w:tc>
                <w:tcPr>
                  <w:tcW w:w="922" w:type="pct"/>
                  <w:tcBorders>
                    <w:tl2br w:val="nil"/>
                    <w:tr2bl w:val="nil"/>
                  </w:tcBorders>
                  <w:noWrap w:val="0"/>
                  <w:vAlign w:val="center"/>
                </w:tcPr>
                <w:p w14:paraId="39618C7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依托园区现有</w:t>
                  </w:r>
                </w:p>
              </w:tc>
            </w:tr>
            <w:tr w14:paraId="7630B4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25" w:hRule="atLeast"/>
                <w:jc w:val="center"/>
              </w:trPr>
              <w:tc>
                <w:tcPr>
                  <w:tcW w:w="641" w:type="pct"/>
                  <w:tcBorders>
                    <w:tl2br w:val="nil"/>
                    <w:tr2bl w:val="nil"/>
                  </w:tcBorders>
                  <w:noWrap w:val="0"/>
                  <w:vAlign w:val="center"/>
                </w:tcPr>
                <w:p w14:paraId="13A3102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噪声</w:t>
                  </w:r>
                </w:p>
              </w:tc>
              <w:tc>
                <w:tcPr>
                  <w:tcW w:w="1422" w:type="pct"/>
                  <w:tcBorders>
                    <w:tl2br w:val="nil"/>
                    <w:tr2bl w:val="nil"/>
                  </w:tcBorders>
                  <w:noWrap w:val="0"/>
                  <w:vAlign w:val="center"/>
                </w:tcPr>
                <w:p w14:paraId="6EACE6D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rPr>
                  </w:pPr>
                  <w:r>
                    <w:rPr>
                      <w:rFonts w:hint="eastAsia" w:ascii="Times New Roman" w:hAnsi="Times New Roman" w:eastAsia="宋体" w:cs="Times New Roman"/>
                      <w:color w:val="auto"/>
                      <w:sz w:val="21"/>
                      <w:szCs w:val="21"/>
                      <w:highlight w:val="none"/>
                      <w:u w:val="single" w:color="auto"/>
                      <w:lang w:val="en-US" w:eastAsia="zh-CN"/>
                    </w:rPr>
                    <w:t>设备噪声</w:t>
                  </w:r>
                </w:p>
              </w:tc>
              <w:tc>
                <w:tcPr>
                  <w:tcW w:w="1411" w:type="pct"/>
                  <w:tcBorders>
                    <w:tl2br w:val="nil"/>
                    <w:tr2bl w:val="nil"/>
                  </w:tcBorders>
                  <w:noWrap w:val="0"/>
                  <w:vAlign w:val="center"/>
                </w:tcPr>
                <w:p w14:paraId="487C475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rPr>
                  </w:pPr>
                  <w:r>
                    <w:rPr>
                      <w:rFonts w:hint="eastAsia" w:ascii="Times New Roman" w:hAnsi="Times New Roman" w:eastAsia="宋体" w:cs="Times New Roman"/>
                      <w:color w:val="auto"/>
                      <w:sz w:val="21"/>
                      <w:szCs w:val="21"/>
                      <w:highlight w:val="none"/>
                      <w:u w:val="single" w:color="auto"/>
                      <w:lang w:val="en-US" w:eastAsia="zh-CN"/>
                    </w:rPr>
                    <w:t>基础减震、厂房隔声</w:t>
                  </w:r>
                </w:p>
              </w:tc>
              <w:tc>
                <w:tcPr>
                  <w:tcW w:w="601" w:type="pct"/>
                  <w:tcBorders>
                    <w:tl2br w:val="nil"/>
                    <w:tr2bl w:val="nil"/>
                  </w:tcBorders>
                  <w:noWrap w:val="0"/>
                  <w:vAlign w:val="center"/>
                </w:tcPr>
                <w:p w14:paraId="44FB857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3</w:t>
                  </w:r>
                </w:p>
              </w:tc>
              <w:tc>
                <w:tcPr>
                  <w:tcW w:w="922" w:type="pct"/>
                  <w:tcBorders>
                    <w:tl2br w:val="nil"/>
                    <w:tr2bl w:val="nil"/>
                  </w:tcBorders>
                  <w:noWrap w:val="0"/>
                  <w:vAlign w:val="center"/>
                </w:tcPr>
                <w:p w14:paraId="7722BED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w:t>
                  </w:r>
                </w:p>
              </w:tc>
            </w:tr>
            <w:tr w14:paraId="3DF204D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25" w:hRule="atLeast"/>
                <w:jc w:val="center"/>
              </w:trPr>
              <w:tc>
                <w:tcPr>
                  <w:tcW w:w="641" w:type="pct"/>
                  <w:vMerge w:val="restart"/>
                  <w:tcBorders>
                    <w:tl2br w:val="nil"/>
                    <w:tr2bl w:val="nil"/>
                  </w:tcBorders>
                  <w:noWrap w:val="0"/>
                  <w:vAlign w:val="center"/>
                </w:tcPr>
                <w:p w14:paraId="5F893C4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固废处理</w:t>
                  </w:r>
                </w:p>
              </w:tc>
              <w:tc>
                <w:tcPr>
                  <w:tcW w:w="1422" w:type="pct"/>
                  <w:tcBorders>
                    <w:tl2br w:val="nil"/>
                    <w:tr2bl w:val="nil"/>
                  </w:tcBorders>
                  <w:noWrap w:val="0"/>
                  <w:vAlign w:val="center"/>
                </w:tcPr>
                <w:p w14:paraId="6DC6461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val="en-US" w:eastAsia="zh-CN"/>
                    </w:rPr>
                    <w:t>生活垃圾</w:t>
                  </w:r>
                </w:p>
              </w:tc>
              <w:tc>
                <w:tcPr>
                  <w:tcW w:w="1411" w:type="pct"/>
                  <w:tcBorders>
                    <w:tl2br w:val="nil"/>
                    <w:tr2bl w:val="nil"/>
                  </w:tcBorders>
                  <w:noWrap w:val="0"/>
                  <w:vAlign w:val="center"/>
                </w:tcPr>
                <w:p w14:paraId="3FADA55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rPr>
                    <w:t>垃圾桶</w:t>
                  </w:r>
                </w:p>
              </w:tc>
              <w:tc>
                <w:tcPr>
                  <w:tcW w:w="601" w:type="pct"/>
                  <w:tcBorders>
                    <w:tl2br w:val="nil"/>
                    <w:tr2bl w:val="nil"/>
                  </w:tcBorders>
                  <w:noWrap w:val="0"/>
                  <w:vAlign w:val="center"/>
                </w:tcPr>
                <w:p w14:paraId="3F47FA2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0.5</w:t>
                  </w:r>
                </w:p>
              </w:tc>
              <w:tc>
                <w:tcPr>
                  <w:tcW w:w="922" w:type="pct"/>
                  <w:tcBorders>
                    <w:tl2br w:val="nil"/>
                    <w:tr2bl w:val="nil"/>
                  </w:tcBorders>
                  <w:noWrap w:val="0"/>
                  <w:vAlign w:val="center"/>
                </w:tcPr>
                <w:p w14:paraId="3D02898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w:t>
                  </w:r>
                </w:p>
              </w:tc>
            </w:tr>
            <w:tr w14:paraId="583BFC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25" w:hRule="atLeast"/>
                <w:jc w:val="center"/>
              </w:trPr>
              <w:tc>
                <w:tcPr>
                  <w:tcW w:w="641" w:type="pct"/>
                  <w:vMerge w:val="continue"/>
                  <w:tcBorders>
                    <w:tl2br w:val="nil"/>
                    <w:tr2bl w:val="nil"/>
                  </w:tcBorders>
                  <w:noWrap w:val="0"/>
                  <w:vAlign w:val="center"/>
                </w:tcPr>
                <w:p w14:paraId="52BBDEA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p>
              </w:tc>
              <w:tc>
                <w:tcPr>
                  <w:tcW w:w="1422" w:type="pct"/>
                  <w:tcBorders>
                    <w:tl2br w:val="nil"/>
                    <w:tr2bl w:val="nil"/>
                  </w:tcBorders>
                  <w:noWrap w:val="0"/>
                  <w:vAlign w:val="center"/>
                </w:tcPr>
                <w:p w14:paraId="0CBB8B3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废包装袋、废金属屑</w:t>
                  </w:r>
                </w:p>
              </w:tc>
              <w:tc>
                <w:tcPr>
                  <w:tcW w:w="1411" w:type="pct"/>
                  <w:tcBorders>
                    <w:tl2br w:val="nil"/>
                    <w:tr2bl w:val="nil"/>
                  </w:tcBorders>
                  <w:noWrap w:val="0"/>
                  <w:vAlign w:val="center"/>
                </w:tcPr>
                <w:p w14:paraId="4FFC81C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一般固废间（5m</w:t>
                  </w:r>
                  <w:r>
                    <w:rPr>
                      <w:rFonts w:hint="eastAsia" w:ascii="Times New Roman" w:hAnsi="Times New Roman" w:eastAsia="宋体" w:cs="Times New Roman"/>
                      <w:color w:val="auto"/>
                      <w:sz w:val="21"/>
                      <w:szCs w:val="21"/>
                      <w:highlight w:val="none"/>
                      <w:u w:val="single" w:color="auto"/>
                      <w:vertAlign w:val="superscript"/>
                      <w:lang w:val="en-US" w:eastAsia="zh-CN"/>
                    </w:rPr>
                    <w:t>2</w:t>
                  </w:r>
                  <w:r>
                    <w:rPr>
                      <w:rFonts w:hint="eastAsia" w:ascii="Times New Roman" w:hAnsi="Times New Roman" w:eastAsia="宋体" w:cs="Times New Roman"/>
                      <w:color w:val="auto"/>
                      <w:sz w:val="21"/>
                      <w:szCs w:val="21"/>
                      <w:highlight w:val="none"/>
                      <w:u w:val="single" w:color="auto"/>
                      <w:lang w:val="en-US" w:eastAsia="zh-CN"/>
                    </w:rPr>
                    <w:t>）</w:t>
                  </w:r>
                </w:p>
              </w:tc>
              <w:tc>
                <w:tcPr>
                  <w:tcW w:w="601" w:type="pct"/>
                  <w:tcBorders>
                    <w:tl2br w:val="nil"/>
                    <w:tr2bl w:val="nil"/>
                  </w:tcBorders>
                  <w:noWrap w:val="0"/>
                  <w:vAlign w:val="center"/>
                </w:tcPr>
                <w:p w14:paraId="2CEE98C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2</w:t>
                  </w:r>
                </w:p>
              </w:tc>
              <w:tc>
                <w:tcPr>
                  <w:tcW w:w="922" w:type="pct"/>
                  <w:tcBorders>
                    <w:tl2br w:val="nil"/>
                    <w:tr2bl w:val="nil"/>
                  </w:tcBorders>
                  <w:noWrap w:val="0"/>
                  <w:vAlign w:val="center"/>
                </w:tcPr>
                <w:p w14:paraId="0BB9D97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w:t>
                  </w:r>
                </w:p>
              </w:tc>
            </w:tr>
            <w:tr w14:paraId="4C55772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25" w:hRule="atLeast"/>
                <w:jc w:val="center"/>
              </w:trPr>
              <w:tc>
                <w:tcPr>
                  <w:tcW w:w="641" w:type="pct"/>
                  <w:vMerge w:val="continue"/>
                  <w:tcBorders>
                    <w:tl2br w:val="nil"/>
                    <w:tr2bl w:val="nil"/>
                  </w:tcBorders>
                  <w:noWrap w:val="0"/>
                  <w:vAlign w:val="center"/>
                </w:tcPr>
                <w:p w14:paraId="1A01A9E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p>
              </w:tc>
              <w:tc>
                <w:tcPr>
                  <w:tcW w:w="1422" w:type="pct"/>
                  <w:tcBorders>
                    <w:tl2br w:val="nil"/>
                    <w:tr2bl w:val="nil"/>
                  </w:tcBorders>
                  <w:noWrap w:val="0"/>
                  <w:vAlign w:val="center"/>
                </w:tcPr>
                <w:p w14:paraId="0309847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废切削液</w:t>
                  </w:r>
                  <w:r>
                    <w:rPr>
                      <w:rFonts w:hint="eastAsia" w:ascii="Times New Roman" w:hAnsi="Times New Roman" w:eastAsia="宋体" w:cs="Times New Roman"/>
                      <w:color w:val="auto"/>
                      <w:sz w:val="21"/>
                      <w:szCs w:val="21"/>
                      <w:highlight w:val="none"/>
                      <w:u w:val="single" w:color="auto"/>
                      <w:lang w:eastAsia="zh-CN"/>
                    </w:rPr>
                    <w:t>、废液压油和润滑油</w:t>
                  </w:r>
                  <w:r>
                    <w:rPr>
                      <w:rFonts w:hint="eastAsia" w:cs="Times New Roman"/>
                      <w:color w:val="auto"/>
                      <w:sz w:val="21"/>
                      <w:szCs w:val="21"/>
                      <w:highlight w:val="none"/>
                      <w:u w:val="single" w:color="auto"/>
                      <w:lang w:eastAsia="zh-CN"/>
                    </w:rPr>
                    <w:t>、铝灰</w:t>
                  </w:r>
                </w:p>
              </w:tc>
              <w:tc>
                <w:tcPr>
                  <w:tcW w:w="1411" w:type="pct"/>
                  <w:tcBorders>
                    <w:tl2br w:val="nil"/>
                    <w:tr2bl w:val="nil"/>
                  </w:tcBorders>
                  <w:noWrap w:val="0"/>
                  <w:vAlign w:val="center"/>
                </w:tcPr>
                <w:p w14:paraId="4E24936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rPr>
                    <w:t>危险固废间（</w:t>
                  </w:r>
                  <w:r>
                    <w:rPr>
                      <w:rFonts w:hint="eastAsia" w:ascii="Times New Roman" w:hAnsi="Times New Roman" w:eastAsia="宋体" w:cs="Times New Roman"/>
                      <w:color w:val="auto"/>
                      <w:sz w:val="21"/>
                      <w:szCs w:val="21"/>
                      <w:highlight w:val="none"/>
                      <w:u w:val="single" w:color="auto"/>
                      <w:lang w:val="en-US" w:eastAsia="zh-CN"/>
                    </w:rPr>
                    <w:t>1</w:t>
                  </w:r>
                  <w:r>
                    <w:rPr>
                      <w:rFonts w:hint="default" w:ascii="Times New Roman" w:hAnsi="Times New Roman" w:eastAsia="宋体" w:cs="Times New Roman"/>
                      <w:color w:val="auto"/>
                      <w:sz w:val="21"/>
                      <w:szCs w:val="21"/>
                      <w:highlight w:val="none"/>
                      <w:u w:val="single" w:color="auto"/>
                    </w:rPr>
                    <w:t>0m</w:t>
                  </w:r>
                  <w:r>
                    <w:rPr>
                      <w:rFonts w:hint="default" w:ascii="Times New Roman" w:hAnsi="Times New Roman" w:eastAsia="宋体" w:cs="Times New Roman"/>
                      <w:color w:val="auto"/>
                      <w:sz w:val="21"/>
                      <w:szCs w:val="21"/>
                      <w:highlight w:val="none"/>
                      <w:u w:val="single" w:color="auto"/>
                      <w:vertAlign w:val="superscript"/>
                    </w:rPr>
                    <w:t>2</w:t>
                  </w:r>
                  <w:r>
                    <w:rPr>
                      <w:rFonts w:hint="default" w:ascii="Times New Roman" w:hAnsi="Times New Roman" w:eastAsia="宋体" w:cs="Times New Roman"/>
                      <w:color w:val="auto"/>
                      <w:sz w:val="21"/>
                      <w:szCs w:val="21"/>
                      <w:highlight w:val="none"/>
                      <w:u w:val="single" w:color="auto"/>
                    </w:rPr>
                    <w:t>）</w:t>
                  </w:r>
                </w:p>
              </w:tc>
              <w:tc>
                <w:tcPr>
                  <w:tcW w:w="601" w:type="pct"/>
                  <w:tcBorders>
                    <w:tl2br w:val="nil"/>
                    <w:tr2bl w:val="nil"/>
                  </w:tcBorders>
                  <w:noWrap w:val="0"/>
                  <w:vAlign w:val="center"/>
                </w:tcPr>
                <w:p w14:paraId="47A5AD1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3</w:t>
                  </w:r>
                </w:p>
              </w:tc>
              <w:tc>
                <w:tcPr>
                  <w:tcW w:w="922" w:type="pct"/>
                  <w:tcBorders>
                    <w:tl2br w:val="nil"/>
                    <w:tr2bl w:val="nil"/>
                  </w:tcBorders>
                  <w:noWrap w:val="0"/>
                  <w:vAlign w:val="center"/>
                </w:tcPr>
                <w:p w14:paraId="20BA3351">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w:t>
                  </w:r>
                </w:p>
              </w:tc>
            </w:tr>
            <w:tr w14:paraId="6451A77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25" w:hRule="atLeast"/>
                <w:jc w:val="center"/>
              </w:trPr>
              <w:tc>
                <w:tcPr>
                  <w:tcW w:w="641" w:type="pct"/>
                  <w:tcBorders>
                    <w:tl2br w:val="nil"/>
                    <w:tr2bl w:val="nil"/>
                  </w:tcBorders>
                  <w:noWrap w:val="0"/>
                  <w:vAlign w:val="center"/>
                </w:tcPr>
                <w:p w14:paraId="14B253B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lang w:eastAsia="zh-CN"/>
                    </w:rPr>
                    <w:t>风险防范措施</w:t>
                  </w:r>
                </w:p>
              </w:tc>
              <w:tc>
                <w:tcPr>
                  <w:tcW w:w="2834" w:type="pct"/>
                  <w:gridSpan w:val="2"/>
                  <w:tcBorders>
                    <w:tl2br w:val="nil"/>
                    <w:tr2bl w:val="nil"/>
                  </w:tcBorders>
                  <w:noWrap w:val="0"/>
                  <w:vAlign w:val="center"/>
                </w:tcPr>
                <w:p w14:paraId="188194E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eastAsia" w:ascii="Times New Roman" w:hAnsi="Times New Roman" w:eastAsia="宋体" w:cs="Times New Roman"/>
                      <w:color w:val="auto"/>
                      <w:sz w:val="21"/>
                      <w:szCs w:val="21"/>
                      <w:highlight w:val="none"/>
                      <w:u w:val="single" w:color="auto"/>
                      <w:lang w:val="en-US" w:eastAsia="zh-CN"/>
                    </w:rPr>
                    <w:t>原料仓库、危废暂存间</w:t>
                  </w:r>
                  <w:r>
                    <w:rPr>
                      <w:rFonts w:hint="eastAsia" w:ascii="Times New Roman" w:hAnsi="Times New Roman" w:eastAsia="宋体" w:cs="Times New Roman"/>
                      <w:color w:val="auto"/>
                      <w:sz w:val="21"/>
                      <w:szCs w:val="21"/>
                      <w:highlight w:val="none"/>
                      <w:u w:val="single" w:color="auto"/>
                      <w:lang w:eastAsia="zh-CN"/>
                    </w:rPr>
                    <w:t>设置防渗措施，</w:t>
                  </w:r>
                  <w:r>
                    <w:rPr>
                      <w:rFonts w:hint="default" w:ascii="Times New Roman" w:hAnsi="Times New Roman" w:eastAsia="宋体" w:cs="Times New Roman"/>
                      <w:color w:val="auto"/>
                      <w:sz w:val="21"/>
                      <w:szCs w:val="21"/>
                      <w:highlight w:val="none"/>
                      <w:u w:val="single" w:color="auto"/>
                    </w:rPr>
                    <w:t>制定相应的环境风险应急预案</w:t>
                  </w:r>
                </w:p>
              </w:tc>
              <w:tc>
                <w:tcPr>
                  <w:tcW w:w="601" w:type="pct"/>
                  <w:tcBorders>
                    <w:tl2br w:val="nil"/>
                    <w:tr2bl w:val="nil"/>
                  </w:tcBorders>
                  <w:noWrap w:val="0"/>
                  <w:vAlign w:val="center"/>
                </w:tcPr>
                <w:p w14:paraId="35F4B14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5</w:t>
                  </w:r>
                </w:p>
              </w:tc>
              <w:tc>
                <w:tcPr>
                  <w:tcW w:w="922" w:type="pct"/>
                  <w:tcBorders>
                    <w:tl2br w:val="nil"/>
                    <w:tr2bl w:val="nil"/>
                  </w:tcBorders>
                  <w:noWrap w:val="0"/>
                  <w:vAlign w:val="center"/>
                </w:tcPr>
                <w:p w14:paraId="2E1FB88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w:t>
                  </w:r>
                </w:p>
              </w:tc>
            </w:tr>
            <w:tr w14:paraId="2F3360F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25" w:hRule="atLeast"/>
                <w:jc w:val="center"/>
              </w:trPr>
              <w:tc>
                <w:tcPr>
                  <w:tcW w:w="3475" w:type="pct"/>
                  <w:gridSpan w:val="3"/>
                  <w:tcBorders>
                    <w:tl2br w:val="nil"/>
                    <w:tr2bl w:val="nil"/>
                  </w:tcBorders>
                  <w:noWrap w:val="0"/>
                  <w:vAlign w:val="center"/>
                </w:tcPr>
                <w:p w14:paraId="3584EFF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rPr>
                  </w:pPr>
                  <w:r>
                    <w:rPr>
                      <w:rFonts w:hint="default" w:ascii="Times New Roman" w:hAnsi="Times New Roman" w:eastAsia="宋体" w:cs="Times New Roman"/>
                      <w:color w:val="auto"/>
                      <w:sz w:val="21"/>
                      <w:szCs w:val="21"/>
                      <w:highlight w:val="none"/>
                      <w:u w:val="single" w:color="auto"/>
                    </w:rPr>
                    <w:t>合计</w:t>
                  </w:r>
                </w:p>
              </w:tc>
              <w:tc>
                <w:tcPr>
                  <w:tcW w:w="1524" w:type="pct"/>
                  <w:gridSpan w:val="2"/>
                  <w:tcBorders>
                    <w:tl2br w:val="nil"/>
                    <w:tr2bl w:val="nil"/>
                  </w:tcBorders>
                  <w:noWrap w:val="0"/>
                  <w:vAlign w:val="center"/>
                </w:tcPr>
                <w:p w14:paraId="16C28D5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3</w:t>
                  </w:r>
                  <w:r>
                    <w:rPr>
                      <w:rFonts w:hint="eastAsia" w:ascii="Times New Roman" w:hAnsi="Times New Roman" w:eastAsia="宋体" w:cs="Times New Roman"/>
                      <w:color w:val="auto"/>
                      <w:sz w:val="21"/>
                      <w:szCs w:val="21"/>
                      <w:highlight w:val="none"/>
                      <w:u w:val="single" w:color="auto"/>
                      <w:lang w:val="en-US" w:eastAsia="zh-CN"/>
                    </w:rPr>
                    <w:t>3.5</w:t>
                  </w:r>
                </w:p>
              </w:tc>
            </w:tr>
          </w:tbl>
          <w:p w14:paraId="6D148F1D">
            <w:pPr>
              <w:ind w:firstLine="482"/>
              <w:rPr>
                <w:rFonts w:hint="eastAsia"/>
                <w:b/>
                <w:bCs/>
                <w:color w:val="auto"/>
              </w:rPr>
            </w:pPr>
            <w:r>
              <w:rPr>
                <w:rFonts w:hint="eastAsia"/>
                <w:b/>
                <w:bCs/>
                <w:color w:val="auto"/>
              </w:rPr>
              <w:t>（</w:t>
            </w:r>
            <w:r>
              <w:rPr>
                <w:rFonts w:hint="eastAsia"/>
                <w:b/>
                <w:bCs/>
                <w:color w:val="auto"/>
                <w:lang w:val="en-US" w:eastAsia="zh-CN"/>
              </w:rPr>
              <w:t>九</w:t>
            </w:r>
            <w:r>
              <w:rPr>
                <w:rFonts w:hint="eastAsia"/>
                <w:b/>
                <w:bCs/>
                <w:color w:val="auto"/>
              </w:rPr>
              <w:t>）排污许可衔接</w:t>
            </w:r>
          </w:p>
          <w:p w14:paraId="5342B863">
            <w:pPr>
              <w:keepNext w:val="0"/>
              <w:keepLines w:val="0"/>
              <w:widowControl/>
              <w:suppressLineNumbers w:val="0"/>
              <w:jc w:val="left"/>
              <w:rPr>
                <w:rFonts w:hint="eastAsia" w:ascii="Times New Roman" w:hAnsi="Times New Roman" w:eastAsia="宋体" w:cs="Times New Roman"/>
                <w:color w:val="auto"/>
              </w:rPr>
            </w:pPr>
            <w:r>
              <w:rPr>
                <w:rFonts w:hint="eastAsia"/>
                <w:color w:val="auto"/>
              </w:rPr>
              <w:t>根据《固定污染源排污许可分类管理名录（2019年版）》第四条，现有排污单位应当在生态环境部规定的实施时限内申请取得排污许可证或者填报排污登记表。新建排污单位应当在启动生产设施或者发生实际排污之前申请取得排污许可证或者填报排污登记表。本项目属于新建项目，应当在启动生产设施或者发生实际</w:t>
            </w:r>
            <w:r>
              <w:rPr>
                <w:rFonts w:hint="eastAsia" w:ascii="Times New Roman" w:hAnsi="Times New Roman" w:eastAsia="宋体" w:cs="Times New Roman"/>
                <w:color w:val="auto"/>
              </w:rPr>
              <w:t>排污之前申请取得排污许可证。根据《国民经济行业分类》（GB/T4754-2017），本项目属于“</w:t>
            </w:r>
            <w:r>
              <w:rPr>
                <w:rFonts w:hint="default" w:ascii="Times New Roman" w:hAnsi="Times New Roman" w:eastAsia="宋体" w:cs="Times New Roman"/>
                <w:color w:val="auto"/>
                <w:lang w:val="en-US" w:eastAsia="zh-CN"/>
              </w:rPr>
              <w:t>C3</w:t>
            </w:r>
            <w:r>
              <w:rPr>
                <w:rFonts w:hint="eastAsia" w:ascii="Times New Roman" w:hAnsi="Times New Roman" w:eastAsia="宋体" w:cs="Times New Roman"/>
                <w:color w:val="auto"/>
                <w:lang w:val="en-US" w:eastAsia="zh-CN"/>
              </w:rPr>
              <w:t>392有色金属铸造</w:t>
            </w:r>
            <w:r>
              <w:rPr>
                <w:rFonts w:hint="eastAsia" w:ascii="Times New Roman" w:hAnsi="Times New Roman" w:eastAsia="宋体" w:cs="Times New Roman"/>
                <w:color w:val="auto"/>
              </w:rPr>
              <w:t>”，根据《固定污染源排污许可分类管理名录（2019版）</w:t>
            </w:r>
            <w:r>
              <w:rPr>
                <w:rFonts w:hint="eastAsia" w:ascii="Times New Roman" w:hAnsi="Times New Roman" w:eastAsia="宋体" w:cs="Times New Roman"/>
                <w:color w:val="auto"/>
                <w:lang w:val="en-US" w:eastAsia="zh-CN"/>
              </w:rPr>
              <w:t>》中的“二十八、金属制品业 33-有色金属铸造3392”，</w:t>
            </w:r>
            <w:r>
              <w:rPr>
                <w:rFonts w:hint="eastAsia" w:ascii="Times New Roman" w:hAnsi="Times New Roman" w:eastAsia="宋体" w:cs="Times New Roman"/>
                <w:color w:val="auto"/>
              </w:rPr>
              <w:t>本项目属于</w:t>
            </w:r>
            <w:r>
              <w:rPr>
                <w:rFonts w:hint="eastAsia" w:ascii="Times New Roman" w:hAnsi="Times New Roman" w:eastAsia="宋体" w:cs="Times New Roman"/>
                <w:color w:val="auto"/>
                <w:lang w:eastAsia="zh-CN"/>
              </w:rPr>
              <w:t>简化管理</w:t>
            </w:r>
            <w:r>
              <w:rPr>
                <w:rFonts w:hint="eastAsia" w:ascii="Times New Roman" w:hAnsi="Times New Roman" w:eastAsia="宋体" w:cs="Times New Roman"/>
                <w:color w:val="auto"/>
              </w:rPr>
              <w:t>的排污单位，需要申请排污许可证</w:t>
            </w:r>
            <w:r>
              <w:rPr>
                <w:rFonts w:hint="eastAsia" w:ascii="Times New Roman" w:hAnsi="Times New Roman" w:eastAsia="宋体" w:cs="Times New Roman"/>
                <w:color w:val="auto"/>
                <w:lang w:eastAsia="zh-CN"/>
              </w:rPr>
              <w:t>，持证排污</w:t>
            </w:r>
            <w:r>
              <w:rPr>
                <w:rFonts w:hint="eastAsia" w:ascii="Times New Roman" w:hAnsi="Times New Roman" w:eastAsia="宋体" w:cs="Times New Roman"/>
                <w:color w:val="auto"/>
              </w:rPr>
              <w:t>。另项目在取得环评批复后，并配套环评要求的环保设施，在具备投入正常生产的条件下应尽快完成验收工作</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lang w:val="en-US" w:eastAsia="zh-CN"/>
              </w:rPr>
              <w:t>环保“三同时”验收内容见第五章节</w:t>
            </w:r>
            <w:r>
              <w:rPr>
                <w:rFonts w:hint="eastAsia" w:ascii="Times New Roman" w:hAnsi="Times New Roman" w:eastAsia="宋体" w:cs="Times New Roman"/>
                <w:color w:val="auto"/>
              </w:rPr>
              <w:t>环境保护措施监督检查清单。</w:t>
            </w:r>
          </w:p>
          <w:p w14:paraId="3D576D0F">
            <w:pPr>
              <w:pStyle w:val="8"/>
              <w:rPr>
                <w:rFonts w:hint="eastAsia" w:ascii="Times New Roman" w:hAnsi="Times New Roman" w:eastAsia="宋体" w:cs="Times New Roman"/>
                <w:color w:val="auto"/>
              </w:rPr>
            </w:pPr>
          </w:p>
          <w:p w14:paraId="0896EEEA">
            <w:pPr>
              <w:rPr>
                <w:rFonts w:hint="eastAsia" w:ascii="Times New Roman" w:hAnsi="Times New Roman" w:eastAsia="宋体" w:cs="Times New Roman"/>
                <w:color w:val="auto"/>
              </w:rPr>
            </w:pPr>
          </w:p>
          <w:p w14:paraId="0C334A3E">
            <w:pPr>
              <w:pStyle w:val="8"/>
              <w:rPr>
                <w:color w:val="auto"/>
              </w:rPr>
            </w:pPr>
          </w:p>
        </w:tc>
      </w:tr>
    </w:tbl>
    <w:p w14:paraId="4D270F31">
      <w:pPr>
        <w:spacing w:line="360" w:lineRule="auto"/>
        <w:ind w:firstLine="480" w:firstLineChars="200"/>
        <w:rPr>
          <w:color w:val="auto"/>
        </w:rPr>
        <w:sectPr>
          <w:pgSz w:w="11906" w:h="16838"/>
          <w:pgMar w:top="1701" w:right="1531" w:bottom="2126" w:left="1531" w:header="851" w:footer="851" w:gutter="0"/>
          <w:pgBorders>
            <w:top w:val="none" w:sz="0" w:space="0"/>
            <w:left w:val="none" w:sz="0" w:space="0"/>
            <w:bottom w:val="none" w:sz="0" w:space="0"/>
            <w:right w:val="none" w:sz="0" w:space="0"/>
          </w:pgBorders>
          <w:pgNumType w:fmt="decimal"/>
          <w:cols w:space="720" w:num="1"/>
          <w:docGrid w:linePitch="312" w:charSpace="0"/>
        </w:sectPr>
      </w:pPr>
    </w:p>
    <w:p w14:paraId="657A143E">
      <w:pPr>
        <w:pStyle w:val="25"/>
        <w:jc w:val="center"/>
        <w:outlineLvl w:val="0"/>
        <w:rPr>
          <w:rFonts w:ascii="Times New Roman" w:hAnsi="Times New Roman" w:eastAsia="黑体"/>
          <w:snapToGrid w:val="0"/>
          <w:color w:val="auto"/>
          <w:sz w:val="30"/>
          <w:szCs w:val="30"/>
        </w:rPr>
      </w:pPr>
      <w:bookmarkStart w:id="32" w:name="_Toc110847887"/>
      <w:bookmarkStart w:id="33" w:name="_Toc27562"/>
      <w:r>
        <w:rPr>
          <w:rFonts w:ascii="Times New Roman" w:hAnsi="Times New Roman" w:eastAsia="黑体"/>
          <w:snapToGrid w:val="0"/>
          <w:color w:val="auto"/>
          <w:sz w:val="30"/>
          <w:szCs w:val="30"/>
        </w:rPr>
        <w:t>五、</w:t>
      </w:r>
      <w:bookmarkStart w:id="34" w:name="_Hlk54167917"/>
      <w:r>
        <w:rPr>
          <w:rFonts w:ascii="Times New Roman" w:hAnsi="Times New Roman" w:eastAsia="黑体"/>
          <w:snapToGrid w:val="0"/>
          <w:color w:val="auto"/>
          <w:sz w:val="30"/>
          <w:szCs w:val="30"/>
        </w:rPr>
        <w:t>环境保护措施监督检查清单</w:t>
      </w:r>
      <w:bookmarkEnd w:id="32"/>
      <w:bookmarkEnd w:id="33"/>
      <w:bookmarkEnd w:id="34"/>
    </w:p>
    <w:tbl>
      <w:tblPr>
        <w:tblStyle w:val="3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2"/>
        <w:gridCol w:w="1740"/>
        <w:gridCol w:w="1363"/>
        <w:gridCol w:w="2416"/>
        <w:gridCol w:w="2200"/>
      </w:tblGrid>
      <w:tr w14:paraId="33EB9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jc w:val="center"/>
        </w:trPr>
        <w:tc>
          <w:tcPr>
            <w:tcW w:w="1352" w:type="dxa"/>
            <w:noWrap w:val="0"/>
            <w:vAlign w:val="center"/>
            <mc:AlternateContent>
              <mc:Choice Requires="wpsCustomData">
                <wpsCustomData:diagonals>
                  <wpsCustomData:diagonal from="30000" to="10000">
                    <wpsCustomData:border w:val="single" w:color="auto" w:sz="4" w:space="0"/>
                  </wpsCustomData:diagonal>
                </wpsCustomData:diagonals>
              </mc:Choice>
            </mc:AlternateContent>
          </w:tcPr>
          <w:p w14:paraId="5E63714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p w14:paraId="2759956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内容</w:t>
            </w:r>
          </w:p>
          <w:p w14:paraId="4F2EEFD3">
            <w:pPr>
              <w:adjustRightInd w:val="0"/>
              <w:snapToGrid w:val="0"/>
              <w:spacing w:before="78" w:beforeLines="25" w:after="78" w:afterLines="25" w:line="240" w:lineRule="auto"/>
              <w:ind w:left="0" w:leftChars="0" w:firstLine="0" w:firstLineChars="0"/>
              <w:jc w:val="center"/>
              <mc:AlternateContent>
                <mc:Choice Requires="wpsCustomData">
                  <wpsCustomData:diagonalParaType/>
                </mc:Choice>
              </mc:AlternateContent>
              <w:rPr>
                <w:rFonts w:hint="default" w:ascii="Times New Roman" w:hAnsi="Times New Roman" w:eastAsia="宋体" w:cs="Times New Roman"/>
                <w:color w:val="auto"/>
                <w:sz w:val="21"/>
                <w:szCs w:val="21"/>
                <w:highlight w:val="none"/>
                <w:u w:val="single" w:color="auto"/>
                <w:lang w:eastAsia="zh-CN"/>
              </w:rPr>
            </w:pPr>
          </w:p>
          <w:p w14:paraId="7240E34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要素</w:t>
            </w:r>
          </w:p>
          <w:p w14:paraId="2BD9EC6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740" w:type="dxa"/>
            <w:noWrap w:val="0"/>
            <w:vAlign w:val="center"/>
          </w:tcPr>
          <w:p w14:paraId="29CFC5B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排放口（编号、</w:t>
            </w:r>
          </w:p>
          <w:p w14:paraId="67EB2A9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名称）/污染源</w:t>
            </w:r>
          </w:p>
        </w:tc>
        <w:tc>
          <w:tcPr>
            <w:tcW w:w="1363" w:type="dxa"/>
            <w:noWrap w:val="0"/>
            <w:vAlign w:val="center"/>
          </w:tcPr>
          <w:p w14:paraId="11B354E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污染物项目</w:t>
            </w:r>
          </w:p>
        </w:tc>
        <w:tc>
          <w:tcPr>
            <w:tcW w:w="2416" w:type="dxa"/>
            <w:noWrap w:val="0"/>
            <w:vAlign w:val="center"/>
          </w:tcPr>
          <w:p w14:paraId="3486AE7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环境保护措施</w:t>
            </w:r>
          </w:p>
        </w:tc>
        <w:tc>
          <w:tcPr>
            <w:tcW w:w="2200" w:type="dxa"/>
            <w:noWrap w:val="0"/>
            <w:vAlign w:val="center"/>
          </w:tcPr>
          <w:p w14:paraId="589769F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执行标准</w:t>
            </w:r>
          </w:p>
        </w:tc>
      </w:tr>
      <w:tr w14:paraId="403BB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1352" w:type="dxa"/>
            <w:vMerge w:val="restart"/>
            <w:noWrap w:val="0"/>
            <w:vAlign w:val="center"/>
          </w:tcPr>
          <w:p w14:paraId="24316B3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大气环境</w:t>
            </w:r>
          </w:p>
        </w:tc>
        <w:tc>
          <w:tcPr>
            <w:tcW w:w="1740" w:type="dxa"/>
            <w:tcBorders>
              <w:bottom w:val="single" w:color="000000" w:sz="4" w:space="0"/>
            </w:tcBorders>
            <w:noWrap w:val="0"/>
            <w:vAlign w:val="center"/>
          </w:tcPr>
          <w:p w14:paraId="191B7356">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熔化、制芯、浇注、抛丸废气</w:t>
            </w:r>
          </w:p>
        </w:tc>
        <w:tc>
          <w:tcPr>
            <w:tcW w:w="1363" w:type="dxa"/>
            <w:tcBorders>
              <w:bottom w:val="single" w:color="000000" w:sz="4" w:space="0"/>
            </w:tcBorders>
            <w:noWrap w:val="0"/>
            <w:vAlign w:val="center"/>
          </w:tcPr>
          <w:p w14:paraId="1A0A125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eastAsia="zh-CN"/>
              </w:rPr>
              <w:t>颗粒物</w:t>
            </w:r>
            <w:r>
              <w:rPr>
                <w:rFonts w:hint="eastAsia" w:cs="Times New Roman"/>
                <w:color w:val="auto"/>
                <w:sz w:val="21"/>
                <w:szCs w:val="21"/>
                <w:highlight w:val="none"/>
                <w:u w:val="single" w:color="auto"/>
                <w:lang w:eastAsia="zh-CN"/>
              </w:rPr>
              <w:t>、非甲烷总烃</w:t>
            </w:r>
          </w:p>
        </w:tc>
        <w:tc>
          <w:tcPr>
            <w:tcW w:w="2416" w:type="dxa"/>
            <w:tcBorders>
              <w:bottom w:val="single" w:color="000000" w:sz="4" w:space="0"/>
            </w:tcBorders>
            <w:noWrap w:val="0"/>
            <w:vAlign w:val="center"/>
          </w:tcPr>
          <w:p w14:paraId="5F290076">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集气罩+布袋除尘+15m高排气筒</w:t>
            </w:r>
          </w:p>
        </w:tc>
        <w:tc>
          <w:tcPr>
            <w:tcW w:w="2200" w:type="dxa"/>
            <w:tcBorders>
              <w:bottom w:val="single" w:color="000000" w:sz="4" w:space="0"/>
            </w:tcBorders>
            <w:noWrap w:val="0"/>
            <w:vAlign w:val="center"/>
          </w:tcPr>
          <w:p w14:paraId="775E606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val="en-US" w:eastAsia="zh-CN"/>
              </w:rPr>
              <w:t>《铸造工业大气污染物排放标准》(GB39726-2020)</w:t>
            </w:r>
          </w:p>
        </w:tc>
      </w:tr>
      <w:tr w14:paraId="3C714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1352" w:type="dxa"/>
            <w:vMerge w:val="continue"/>
            <w:noWrap w:val="0"/>
            <w:vAlign w:val="center"/>
          </w:tcPr>
          <w:p w14:paraId="3101AB3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p>
        </w:tc>
        <w:tc>
          <w:tcPr>
            <w:tcW w:w="1740" w:type="dxa"/>
            <w:vMerge w:val="restart"/>
            <w:tcBorders>
              <w:top w:val="single" w:color="000000" w:sz="4" w:space="0"/>
            </w:tcBorders>
            <w:noWrap w:val="0"/>
            <w:vAlign w:val="center"/>
          </w:tcPr>
          <w:p w14:paraId="3043F96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抛丸废气</w:t>
            </w:r>
          </w:p>
        </w:tc>
        <w:tc>
          <w:tcPr>
            <w:tcW w:w="1363" w:type="dxa"/>
            <w:tcBorders>
              <w:top w:val="single" w:color="000000" w:sz="4" w:space="0"/>
            </w:tcBorders>
            <w:noWrap w:val="0"/>
            <w:vAlign w:val="center"/>
          </w:tcPr>
          <w:p w14:paraId="7B2369A2">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颗粒物</w:t>
            </w:r>
          </w:p>
        </w:tc>
        <w:tc>
          <w:tcPr>
            <w:tcW w:w="2416" w:type="dxa"/>
            <w:vMerge w:val="restart"/>
            <w:tcBorders>
              <w:top w:val="single" w:color="000000" w:sz="4" w:space="0"/>
            </w:tcBorders>
            <w:noWrap w:val="0"/>
            <w:vAlign w:val="center"/>
          </w:tcPr>
          <w:p w14:paraId="22A28114">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密闭车间</w:t>
            </w:r>
          </w:p>
        </w:tc>
        <w:tc>
          <w:tcPr>
            <w:tcW w:w="2200" w:type="dxa"/>
            <w:tcBorders>
              <w:top w:val="single" w:color="000000" w:sz="4" w:space="0"/>
            </w:tcBorders>
            <w:noWrap w:val="0"/>
            <w:vAlign w:val="center"/>
          </w:tcPr>
          <w:p w14:paraId="0BEDB071">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《大气污染物综合排放标准》（GB16297-1996）</w:t>
            </w:r>
          </w:p>
        </w:tc>
      </w:tr>
      <w:tr w14:paraId="02174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vMerge w:val="restart"/>
            <w:noWrap w:val="0"/>
            <w:vAlign w:val="center"/>
          </w:tcPr>
          <w:p w14:paraId="182C84F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地表水环境</w:t>
            </w:r>
          </w:p>
        </w:tc>
        <w:tc>
          <w:tcPr>
            <w:tcW w:w="1740" w:type="dxa"/>
            <w:vMerge w:val="restart"/>
            <w:noWrap w:val="0"/>
            <w:vAlign w:val="center"/>
          </w:tcPr>
          <w:p w14:paraId="34C7DC5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生活污水</w:t>
            </w:r>
          </w:p>
        </w:tc>
        <w:tc>
          <w:tcPr>
            <w:tcW w:w="1363" w:type="dxa"/>
            <w:noWrap w:val="0"/>
            <w:vAlign w:val="center"/>
          </w:tcPr>
          <w:p w14:paraId="1477307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CODcr</w:t>
            </w:r>
          </w:p>
        </w:tc>
        <w:tc>
          <w:tcPr>
            <w:tcW w:w="2416" w:type="dxa"/>
            <w:vMerge w:val="restart"/>
            <w:noWrap w:val="0"/>
            <w:vAlign w:val="center"/>
          </w:tcPr>
          <w:p w14:paraId="6AD2092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经化粪池处理后排入市政污水管网进入江永工业园污水处理厂处理</w:t>
            </w:r>
          </w:p>
        </w:tc>
        <w:tc>
          <w:tcPr>
            <w:tcW w:w="2200" w:type="dxa"/>
            <w:vMerge w:val="restart"/>
            <w:noWrap w:val="0"/>
            <w:vAlign w:val="center"/>
          </w:tcPr>
          <w:p w14:paraId="46807D2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《污水综合排放标准》（GB8978-1996）表4中</w:t>
            </w:r>
            <w:r>
              <w:rPr>
                <w:rFonts w:hint="eastAsia" w:ascii="Times New Roman" w:hAnsi="Times New Roman" w:eastAsia="宋体" w:cs="Times New Roman"/>
                <w:color w:val="auto"/>
                <w:sz w:val="21"/>
                <w:szCs w:val="21"/>
                <w:highlight w:val="none"/>
                <w:u w:val="single" w:color="auto"/>
                <w:lang w:eastAsia="zh-CN"/>
              </w:rPr>
              <w:t>三</w:t>
            </w:r>
            <w:r>
              <w:rPr>
                <w:rFonts w:hint="default" w:ascii="Times New Roman" w:hAnsi="Times New Roman" w:eastAsia="宋体" w:cs="Times New Roman"/>
                <w:color w:val="auto"/>
                <w:sz w:val="21"/>
                <w:szCs w:val="21"/>
                <w:highlight w:val="none"/>
                <w:u w:val="single" w:color="auto"/>
                <w:lang w:eastAsia="zh-CN"/>
              </w:rPr>
              <w:t>级标准</w:t>
            </w:r>
            <w:r>
              <w:rPr>
                <w:rFonts w:hint="eastAsia" w:ascii="Times New Roman" w:hAnsi="Times New Roman" w:eastAsia="宋体" w:cs="Times New Roman"/>
                <w:color w:val="auto"/>
                <w:sz w:val="21"/>
                <w:szCs w:val="21"/>
                <w:highlight w:val="none"/>
                <w:u w:val="single" w:color="auto"/>
                <w:lang w:eastAsia="zh-CN"/>
              </w:rPr>
              <w:t>，</w:t>
            </w:r>
            <w:r>
              <w:rPr>
                <w:rFonts w:hint="eastAsia" w:ascii="Times New Roman" w:hAnsi="Times New Roman" w:eastAsia="宋体" w:cs="Times New Roman"/>
                <w:color w:val="auto"/>
                <w:sz w:val="21"/>
                <w:szCs w:val="21"/>
                <w:highlight w:val="none"/>
                <w:u w:val="single" w:color="auto"/>
                <w:lang w:val="en-US" w:eastAsia="zh-CN"/>
              </w:rPr>
              <w:t>同时满足江永工业园污水处理厂</w:t>
            </w:r>
            <w:r>
              <w:rPr>
                <w:rFonts w:hint="eastAsia" w:ascii="Times New Roman" w:hAnsi="Times New Roman" w:eastAsia="宋体" w:cs="Times New Roman"/>
                <w:color w:val="auto"/>
                <w:sz w:val="21"/>
                <w:szCs w:val="21"/>
                <w:highlight w:val="none"/>
                <w:u w:val="single" w:color="auto"/>
                <w:lang w:eastAsia="zh-CN"/>
              </w:rPr>
              <w:t>设计进水水质</w:t>
            </w:r>
          </w:p>
        </w:tc>
      </w:tr>
      <w:tr w14:paraId="02E7F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vMerge w:val="continue"/>
            <w:noWrap w:val="0"/>
            <w:vAlign w:val="center"/>
          </w:tcPr>
          <w:p w14:paraId="4CB4392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740" w:type="dxa"/>
            <w:vMerge w:val="continue"/>
            <w:noWrap w:val="0"/>
            <w:vAlign w:val="center"/>
          </w:tcPr>
          <w:p w14:paraId="668D5B8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363" w:type="dxa"/>
            <w:noWrap w:val="0"/>
            <w:vAlign w:val="center"/>
          </w:tcPr>
          <w:p w14:paraId="361480C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BOD</w:t>
            </w:r>
            <w:r>
              <w:rPr>
                <w:rFonts w:hint="default" w:ascii="Times New Roman" w:hAnsi="Times New Roman" w:eastAsia="宋体" w:cs="Times New Roman"/>
                <w:color w:val="auto"/>
                <w:sz w:val="21"/>
                <w:szCs w:val="21"/>
                <w:highlight w:val="none"/>
                <w:u w:val="single" w:color="auto"/>
                <w:vertAlign w:val="subscript"/>
                <w:lang w:eastAsia="zh-CN"/>
              </w:rPr>
              <w:t>5</w:t>
            </w:r>
          </w:p>
        </w:tc>
        <w:tc>
          <w:tcPr>
            <w:tcW w:w="2416" w:type="dxa"/>
            <w:vMerge w:val="continue"/>
            <w:noWrap w:val="0"/>
            <w:vAlign w:val="center"/>
          </w:tcPr>
          <w:p w14:paraId="32AAC92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2200" w:type="dxa"/>
            <w:vMerge w:val="continue"/>
            <w:noWrap w:val="0"/>
            <w:vAlign w:val="center"/>
          </w:tcPr>
          <w:p w14:paraId="2E952F2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r>
      <w:tr w14:paraId="426FD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vMerge w:val="continue"/>
            <w:noWrap w:val="0"/>
            <w:vAlign w:val="center"/>
          </w:tcPr>
          <w:p w14:paraId="57F980F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740" w:type="dxa"/>
            <w:vMerge w:val="continue"/>
            <w:noWrap w:val="0"/>
            <w:vAlign w:val="center"/>
          </w:tcPr>
          <w:p w14:paraId="392E4B1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363" w:type="dxa"/>
            <w:noWrap w:val="0"/>
            <w:vAlign w:val="center"/>
          </w:tcPr>
          <w:p w14:paraId="71C1541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SS</w:t>
            </w:r>
          </w:p>
        </w:tc>
        <w:tc>
          <w:tcPr>
            <w:tcW w:w="2416" w:type="dxa"/>
            <w:vMerge w:val="continue"/>
            <w:noWrap w:val="0"/>
            <w:vAlign w:val="center"/>
          </w:tcPr>
          <w:p w14:paraId="2353810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2200" w:type="dxa"/>
            <w:vMerge w:val="continue"/>
            <w:noWrap w:val="0"/>
            <w:vAlign w:val="center"/>
          </w:tcPr>
          <w:p w14:paraId="51371E0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r>
      <w:tr w14:paraId="6630E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vMerge w:val="continue"/>
            <w:noWrap w:val="0"/>
            <w:vAlign w:val="center"/>
          </w:tcPr>
          <w:p w14:paraId="710C91B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740" w:type="dxa"/>
            <w:vMerge w:val="continue"/>
            <w:noWrap w:val="0"/>
            <w:vAlign w:val="center"/>
          </w:tcPr>
          <w:p w14:paraId="7EC38CF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363" w:type="dxa"/>
            <w:noWrap w:val="0"/>
            <w:vAlign w:val="center"/>
          </w:tcPr>
          <w:p w14:paraId="7623953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氨氮</w:t>
            </w:r>
          </w:p>
        </w:tc>
        <w:tc>
          <w:tcPr>
            <w:tcW w:w="2416" w:type="dxa"/>
            <w:vMerge w:val="continue"/>
            <w:noWrap w:val="0"/>
            <w:vAlign w:val="center"/>
          </w:tcPr>
          <w:p w14:paraId="54C6A68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2200" w:type="dxa"/>
            <w:vMerge w:val="continue"/>
            <w:noWrap w:val="0"/>
            <w:vAlign w:val="center"/>
          </w:tcPr>
          <w:p w14:paraId="2F07065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r>
      <w:tr w14:paraId="04DCE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noWrap w:val="0"/>
            <w:vAlign w:val="center"/>
          </w:tcPr>
          <w:p w14:paraId="0BD36DF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声环境</w:t>
            </w:r>
          </w:p>
        </w:tc>
        <w:tc>
          <w:tcPr>
            <w:tcW w:w="1740" w:type="dxa"/>
            <w:noWrap w:val="0"/>
            <w:vAlign w:val="center"/>
          </w:tcPr>
          <w:p w14:paraId="3490610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生产设备</w:t>
            </w:r>
          </w:p>
        </w:tc>
        <w:tc>
          <w:tcPr>
            <w:tcW w:w="1363" w:type="dxa"/>
            <w:noWrap w:val="0"/>
            <w:vAlign w:val="center"/>
          </w:tcPr>
          <w:p w14:paraId="6CDA3F4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噪声</w:t>
            </w:r>
          </w:p>
        </w:tc>
        <w:tc>
          <w:tcPr>
            <w:tcW w:w="2416" w:type="dxa"/>
            <w:noWrap w:val="0"/>
            <w:vAlign w:val="center"/>
          </w:tcPr>
          <w:p w14:paraId="7EC7F65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基础减震、厂房隔声</w:t>
            </w:r>
          </w:p>
        </w:tc>
        <w:tc>
          <w:tcPr>
            <w:tcW w:w="2200" w:type="dxa"/>
            <w:noWrap w:val="0"/>
            <w:vAlign w:val="center"/>
          </w:tcPr>
          <w:p w14:paraId="68A959E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《工业企业厂界环境噪声排放标准》（GB12348-2008）中3类标准</w:t>
            </w:r>
          </w:p>
        </w:tc>
      </w:tr>
      <w:tr w14:paraId="0C568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noWrap w:val="0"/>
            <w:vAlign w:val="center"/>
          </w:tcPr>
          <w:p w14:paraId="2DD8928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电磁辐射</w:t>
            </w:r>
          </w:p>
        </w:tc>
        <w:tc>
          <w:tcPr>
            <w:tcW w:w="7719" w:type="dxa"/>
            <w:gridSpan w:val="4"/>
            <w:noWrap w:val="0"/>
            <w:vAlign w:val="center"/>
          </w:tcPr>
          <w:p w14:paraId="0AB41DA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w:t>
            </w:r>
          </w:p>
        </w:tc>
      </w:tr>
      <w:tr w14:paraId="3C65E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vMerge w:val="restart"/>
            <w:noWrap w:val="0"/>
            <w:vAlign w:val="center"/>
          </w:tcPr>
          <w:p w14:paraId="4E4EF93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固体废物</w:t>
            </w:r>
          </w:p>
        </w:tc>
        <w:tc>
          <w:tcPr>
            <w:tcW w:w="1740" w:type="dxa"/>
            <w:noWrap w:val="0"/>
            <w:vAlign w:val="center"/>
          </w:tcPr>
          <w:p w14:paraId="309F28A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机加工</w:t>
            </w:r>
          </w:p>
        </w:tc>
        <w:tc>
          <w:tcPr>
            <w:tcW w:w="1363" w:type="dxa"/>
            <w:noWrap w:val="0"/>
            <w:vAlign w:val="center"/>
          </w:tcPr>
          <w:p w14:paraId="61B61BD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废</w:t>
            </w:r>
            <w:r>
              <w:rPr>
                <w:rFonts w:hint="eastAsia" w:ascii="Times New Roman" w:hAnsi="Times New Roman" w:eastAsia="宋体" w:cs="Times New Roman"/>
                <w:color w:val="auto"/>
                <w:sz w:val="21"/>
                <w:szCs w:val="21"/>
                <w:highlight w:val="none"/>
                <w:u w:val="single" w:color="auto"/>
                <w:lang w:val="en-US" w:eastAsia="zh-CN"/>
              </w:rPr>
              <w:t>金属屑</w:t>
            </w:r>
          </w:p>
        </w:tc>
        <w:tc>
          <w:tcPr>
            <w:tcW w:w="2416" w:type="dxa"/>
            <w:noWrap w:val="0"/>
            <w:vAlign w:val="center"/>
          </w:tcPr>
          <w:p w14:paraId="59C72F6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val="en-US" w:eastAsia="zh-CN"/>
              </w:rPr>
              <w:t>收集后外售</w:t>
            </w:r>
          </w:p>
        </w:tc>
        <w:tc>
          <w:tcPr>
            <w:tcW w:w="2200" w:type="dxa"/>
            <w:vMerge w:val="restart"/>
            <w:noWrap w:val="0"/>
            <w:vAlign w:val="center"/>
          </w:tcPr>
          <w:p w14:paraId="7FBA2E1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《一般工业固体废物贮存和填埋污染控制标准》（GB18599-2020）</w:t>
            </w:r>
          </w:p>
        </w:tc>
      </w:tr>
      <w:tr w14:paraId="0BE1F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vMerge w:val="continue"/>
            <w:noWrap w:val="0"/>
            <w:vAlign w:val="center"/>
          </w:tcPr>
          <w:p w14:paraId="1A4BF4B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740" w:type="dxa"/>
            <w:noWrap w:val="0"/>
            <w:vAlign w:val="center"/>
          </w:tcPr>
          <w:p w14:paraId="48A281C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包装</w:t>
            </w:r>
          </w:p>
        </w:tc>
        <w:tc>
          <w:tcPr>
            <w:tcW w:w="1363" w:type="dxa"/>
            <w:noWrap w:val="0"/>
            <w:vAlign w:val="center"/>
          </w:tcPr>
          <w:p w14:paraId="757109B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包装废弃物</w:t>
            </w:r>
          </w:p>
        </w:tc>
        <w:tc>
          <w:tcPr>
            <w:tcW w:w="2416" w:type="dxa"/>
            <w:noWrap w:val="0"/>
            <w:vAlign w:val="center"/>
          </w:tcPr>
          <w:p w14:paraId="3EF7422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val="en-US" w:eastAsia="zh-CN"/>
              </w:rPr>
              <w:t>收集后外售</w:t>
            </w:r>
          </w:p>
        </w:tc>
        <w:tc>
          <w:tcPr>
            <w:tcW w:w="2200" w:type="dxa"/>
            <w:vMerge w:val="continue"/>
            <w:noWrap w:val="0"/>
            <w:vAlign w:val="center"/>
          </w:tcPr>
          <w:p w14:paraId="6E9CB02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r>
      <w:tr w14:paraId="08148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vMerge w:val="continue"/>
            <w:noWrap w:val="0"/>
            <w:vAlign w:val="center"/>
          </w:tcPr>
          <w:p w14:paraId="2816B33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740" w:type="dxa"/>
            <w:noWrap w:val="0"/>
            <w:vAlign w:val="center"/>
          </w:tcPr>
          <w:p w14:paraId="3CA38225">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机加工</w:t>
            </w:r>
          </w:p>
        </w:tc>
        <w:tc>
          <w:tcPr>
            <w:tcW w:w="1363" w:type="dxa"/>
            <w:noWrap w:val="0"/>
            <w:vAlign w:val="center"/>
          </w:tcPr>
          <w:p w14:paraId="6E2263D4">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hint="eastAsia"/>
                <w:color w:val="auto"/>
                <w:sz w:val="21"/>
                <w:szCs w:val="21"/>
                <w:u w:val="single" w:color="auto"/>
                <w:lang w:val="en-US" w:eastAsia="zh-CN"/>
              </w:rPr>
              <w:t>铝屑切削油混合物</w:t>
            </w:r>
          </w:p>
        </w:tc>
        <w:tc>
          <w:tcPr>
            <w:tcW w:w="2416" w:type="dxa"/>
            <w:noWrap w:val="0"/>
            <w:vAlign w:val="center"/>
          </w:tcPr>
          <w:p w14:paraId="334E7A3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default" w:ascii="Times New Roman" w:hAnsi="Times New Roman" w:eastAsia="宋体" w:cs="Times New Roman"/>
                <w:color w:val="auto"/>
                <w:sz w:val="21"/>
                <w:szCs w:val="21"/>
                <w:highlight w:val="none"/>
                <w:u w:val="single" w:color="auto"/>
                <w:lang w:eastAsia="zh-CN"/>
              </w:rPr>
              <w:t>经专门的收集桶收集后放置在危废暂存间中暂存</w:t>
            </w:r>
          </w:p>
        </w:tc>
        <w:tc>
          <w:tcPr>
            <w:tcW w:w="2200" w:type="dxa"/>
            <w:noWrap w:val="0"/>
            <w:vAlign w:val="center"/>
          </w:tcPr>
          <w:p w14:paraId="11146F6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kern w:val="0"/>
                <w:sz w:val="21"/>
                <w:szCs w:val="21"/>
                <w:u w:val="single" w:color="auto"/>
                <w:lang w:val="en-US" w:eastAsia="zh-CN"/>
              </w:rPr>
              <w:t>外售用于金属冶炼，利用过程不</w:t>
            </w:r>
            <w:r>
              <w:rPr>
                <w:rFonts w:hint="eastAsia" w:cs="Times New Roman"/>
                <w:color w:val="auto"/>
                <w:kern w:val="0"/>
                <w:sz w:val="21"/>
                <w:szCs w:val="21"/>
                <w:u w:val="single" w:color="auto"/>
                <w:lang w:val="en-US" w:eastAsia="zh-CN"/>
              </w:rPr>
              <w:t>按</w:t>
            </w:r>
            <w:r>
              <w:rPr>
                <w:rFonts w:hint="eastAsia" w:ascii="Times New Roman" w:hAnsi="Times New Roman" w:eastAsia="宋体" w:cs="Times New Roman"/>
                <w:color w:val="auto"/>
                <w:kern w:val="0"/>
                <w:sz w:val="21"/>
                <w:szCs w:val="21"/>
                <w:u w:val="single" w:color="auto"/>
                <w:lang w:val="en-US" w:eastAsia="zh-CN"/>
              </w:rPr>
              <w:t>危险废物管理</w:t>
            </w:r>
          </w:p>
        </w:tc>
      </w:tr>
      <w:tr w14:paraId="0A3E3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1352" w:type="dxa"/>
            <w:vMerge w:val="continue"/>
            <w:noWrap w:val="0"/>
            <w:vAlign w:val="center"/>
          </w:tcPr>
          <w:p w14:paraId="47169A3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740" w:type="dxa"/>
            <w:tcBorders>
              <w:bottom w:val="single" w:color="000000" w:sz="4" w:space="0"/>
            </w:tcBorders>
            <w:noWrap w:val="0"/>
            <w:vAlign w:val="center"/>
          </w:tcPr>
          <w:p w14:paraId="2BFFD1B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机械保养</w:t>
            </w:r>
          </w:p>
        </w:tc>
        <w:tc>
          <w:tcPr>
            <w:tcW w:w="1363" w:type="dxa"/>
            <w:tcBorders>
              <w:bottom w:val="single" w:color="000000" w:sz="4" w:space="0"/>
            </w:tcBorders>
            <w:noWrap w:val="0"/>
            <w:vAlign w:val="center"/>
          </w:tcPr>
          <w:p w14:paraId="5BD23B3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废液压油、</w:t>
            </w:r>
            <w:r>
              <w:rPr>
                <w:rFonts w:hint="default" w:ascii="Times New Roman" w:hAnsi="Times New Roman" w:eastAsia="宋体" w:cs="Times New Roman"/>
                <w:color w:val="auto"/>
                <w:sz w:val="21"/>
                <w:szCs w:val="21"/>
                <w:highlight w:val="none"/>
                <w:u w:val="single" w:color="auto"/>
                <w:lang w:eastAsia="zh-CN"/>
              </w:rPr>
              <w:t>废润滑油</w:t>
            </w:r>
          </w:p>
        </w:tc>
        <w:tc>
          <w:tcPr>
            <w:tcW w:w="2416" w:type="dxa"/>
            <w:vMerge w:val="restart"/>
            <w:noWrap w:val="0"/>
            <w:vAlign w:val="center"/>
          </w:tcPr>
          <w:p w14:paraId="68EF1E0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经专门的收集桶收集后放置在危废暂存间中暂存，</w:t>
            </w:r>
            <w:r>
              <w:rPr>
                <w:rFonts w:hint="eastAsia" w:ascii="Times New Roman" w:hAnsi="Times New Roman" w:eastAsia="宋体" w:cs="Times New Roman"/>
                <w:color w:val="auto"/>
                <w:sz w:val="21"/>
                <w:szCs w:val="21"/>
                <w:highlight w:val="none"/>
                <w:u w:val="single" w:color="auto"/>
                <w:lang w:val="en-US" w:eastAsia="zh-CN"/>
              </w:rPr>
              <w:t>定期交有资质单位处置</w:t>
            </w:r>
          </w:p>
        </w:tc>
        <w:tc>
          <w:tcPr>
            <w:tcW w:w="2200" w:type="dxa"/>
            <w:vMerge w:val="restart"/>
            <w:noWrap w:val="0"/>
            <w:vAlign w:val="center"/>
          </w:tcPr>
          <w:p w14:paraId="704C3F9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《危险废物贮存污染控制标准》(GB18597-2023)</w:t>
            </w:r>
          </w:p>
        </w:tc>
      </w:tr>
      <w:tr w14:paraId="6DA6A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1352" w:type="dxa"/>
            <w:vMerge w:val="continue"/>
            <w:noWrap w:val="0"/>
            <w:vAlign w:val="center"/>
          </w:tcPr>
          <w:p w14:paraId="18FBAEB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1740" w:type="dxa"/>
            <w:tcBorders>
              <w:top w:val="single" w:color="000000" w:sz="4" w:space="0"/>
            </w:tcBorders>
            <w:noWrap w:val="0"/>
            <w:vAlign w:val="center"/>
          </w:tcPr>
          <w:p w14:paraId="3160943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r>
              <w:rPr>
                <w:rFonts w:hint="eastAsia" w:cs="Times New Roman"/>
                <w:color w:val="auto"/>
                <w:sz w:val="21"/>
                <w:szCs w:val="21"/>
                <w:highlight w:val="none"/>
                <w:u w:val="single" w:color="auto"/>
                <w:lang w:eastAsia="zh-CN"/>
              </w:rPr>
              <w:t>布袋除尘</w:t>
            </w:r>
          </w:p>
        </w:tc>
        <w:tc>
          <w:tcPr>
            <w:tcW w:w="1363" w:type="dxa"/>
            <w:tcBorders>
              <w:top w:val="single" w:color="000000" w:sz="4" w:space="0"/>
            </w:tcBorders>
            <w:noWrap w:val="0"/>
            <w:vAlign w:val="center"/>
          </w:tcPr>
          <w:p w14:paraId="35F6AE25">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val="en-US" w:eastAsia="zh-CN"/>
              </w:rPr>
            </w:pPr>
            <w:r>
              <w:rPr>
                <w:rFonts w:hint="eastAsia" w:cs="Times New Roman"/>
                <w:color w:val="auto"/>
                <w:sz w:val="21"/>
                <w:szCs w:val="21"/>
                <w:highlight w:val="none"/>
                <w:u w:val="single" w:color="auto"/>
                <w:lang w:val="en-US" w:eastAsia="zh-CN"/>
              </w:rPr>
              <w:t>铝灰</w:t>
            </w:r>
          </w:p>
        </w:tc>
        <w:tc>
          <w:tcPr>
            <w:tcW w:w="2416" w:type="dxa"/>
            <w:vMerge w:val="continue"/>
            <w:noWrap w:val="0"/>
            <w:vAlign w:val="center"/>
          </w:tcPr>
          <w:p w14:paraId="0C5CCF8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p>
        </w:tc>
        <w:tc>
          <w:tcPr>
            <w:tcW w:w="2200" w:type="dxa"/>
            <w:vMerge w:val="continue"/>
            <w:noWrap w:val="0"/>
            <w:vAlign w:val="center"/>
          </w:tcPr>
          <w:p w14:paraId="7A457B56">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single" w:color="auto"/>
                <w:lang w:eastAsia="zh-CN"/>
              </w:rPr>
            </w:pPr>
          </w:p>
        </w:tc>
      </w:tr>
      <w:tr w14:paraId="48A02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noWrap w:val="0"/>
            <w:vAlign w:val="center"/>
          </w:tcPr>
          <w:p w14:paraId="63802EA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土壤及地下水污染防治措施</w:t>
            </w:r>
          </w:p>
        </w:tc>
        <w:tc>
          <w:tcPr>
            <w:tcW w:w="7719" w:type="dxa"/>
            <w:gridSpan w:val="4"/>
            <w:noWrap w:val="0"/>
            <w:vAlign w:val="center"/>
          </w:tcPr>
          <w:p w14:paraId="20957DB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val="en-US" w:eastAsia="zh-CN"/>
              </w:rPr>
            </w:pPr>
            <w:r>
              <w:rPr>
                <w:rFonts w:hint="eastAsia" w:ascii="Times New Roman" w:hAnsi="Times New Roman" w:eastAsia="宋体" w:cs="Times New Roman"/>
                <w:color w:val="auto"/>
                <w:sz w:val="21"/>
                <w:szCs w:val="21"/>
                <w:highlight w:val="none"/>
                <w:u w:val="single" w:color="auto"/>
                <w:lang w:val="en-US" w:eastAsia="zh-CN"/>
              </w:rPr>
              <w:t>原料仓库及危废暂存间</w:t>
            </w:r>
            <w:r>
              <w:rPr>
                <w:rFonts w:hint="eastAsia" w:ascii="Times New Roman" w:hAnsi="Times New Roman" w:eastAsia="宋体" w:cs="Times New Roman"/>
                <w:color w:val="auto"/>
                <w:sz w:val="21"/>
                <w:szCs w:val="21"/>
                <w:highlight w:val="none"/>
                <w:u w:val="single" w:color="auto"/>
                <w:lang w:eastAsia="zh-CN"/>
              </w:rPr>
              <w:t>进行表面硬化防渗</w:t>
            </w:r>
            <w:r>
              <w:rPr>
                <w:rFonts w:hint="eastAsia" w:ascii="Times New Roman" w:hAnsi="Times New Roman" w:eastAsia="宋体" w:cs="Times New Roman"/>
                <w:color w:val="auto"/>
                <w:sz w:val="21"/>
                <w:szCs w:val="21"/>
                <w:highlight w:val="none"/>
                <w:u w:val="single" w:color="auto"/>
                <w:lang w:val="en-US" w:eastAsia="zh-CN"/>
              </w:rPr>
              <w:t>处理</w:t>
            </w:r>
          </w:p>
        </w:tc>
      </w:tr>
      <w:tr w14:paraId="6DB24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noWrap w:val="0"/>
            <w:vAlign w:val="center"/>
          </w:tcPr>
          <w:p w14:paraId="460AD4E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生态保护措施</w:t>
            </w:r>
          </w:p>
        </w:tc>
        <w:tc>
          <w:tcPr>
            <w:tcW w:w="7719" w:type="dxa"/>
            <w:gridSpan w:val="4"/>
            <w:noWrap w:val="0"/>
            <w:vAlign w:val="center"/>
          </w:tcPr>
          <w:p w14:paraId="70FF67A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w:t>
            </w:r>
          </w:p>
        </w:tc>
      </w:tr>
      <w:tr w14:paraId="35CBA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noWrap w:val="0"/>
            <w:vAlign w:val="center"/>
          </w:tcPr>
          <w:p w14:paraId="1F36759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环境风险防范措施</w:t>
            </w:r>
          </w:p>
        </w:tc>
        <w:tc>
          <w:tcPr>
            <w:tcW w:w="7719" w:type="dxa"/>
            <w:gridSpan w:val="4"/>
            <w:noWrap w:val="0"/>
            <w:vAlign w:val="center"/>
          </w:tcPr>
          <w:p w14:paraId="437C56E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按有关规范设计设置了有效的消防系统，做到以防为主，安全可靠。</w:t>
            </w:r>
          </w:p>
          <w:p w14:paraId="6891794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制定《环境隐患排查制度》和《环境风险预案巡视、巡查制度》，对风险源定期巡查，排除环境风险隐患。</w:t>
            </w:r>
          </w:p>
        </w:tc>
      </w:tr>
      <w:tr w14:paraId="50B8C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52" w:type="dxa"/>
            <w:noWrap w:val="0"/>
            <w:vAlign w:val="center"/>
          </w:tcPr>
          <w:p w14:paraId="571E65B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eastAsia" w:ascii="Times New Roman" w:hAnsi="Times New Roman" w:eastAsia="宋体" w:cs="Times New Roman"/>
                <w:color w:val="auto"/>
                <w:sz w:val="21"/>
                <w:szCs w:val="21"/>
                <w:highlight w:val="none"/>
                <w:u w:val="single" w:color="auto"/>
                <w:lang w:eastAsia="zh-CN"/>
              </w:rPr>
              <w:t>其他环境管理要求</w:t>
            </w:r>
          </w:p>
        </w:tc>
        <w:tc>
          <w:tcPr>
            <w:tcW w:w="7719" w:type="dxa"/>
            <w:gridSpan w:val="4"/>
            <w:noWrap w:val="0"/>
            <w:vAlign w:val="center"/>
          </w:tcPr>
          <w:p w14:paraId="1C8D496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1、</w:t>
            </w:r>
            <w:r>
              <w:rPr>
                <w:rFonts w:hint="eastAsia" w:ascii="Times New Roman" w:hAnsi="Times New Roman" w:eastAsia="宋体" w:cs="Times New Roman"/>
                <w:color w:val="auto"/>
                <w:sz w:val="21"/>
                <w:szCs w:val="21"/>
                <w:highlight w:val="none"/>
                <w:u w:val="single" w:color="auto"/>
                <w:lang w:eastAsia="zh-CN"/>
              </w:rPr>
              <w:t>及时</w:t>
            </w:r>
            <w:r>
              <w:rPr>
                <w:rFonts w:hint="default" w:ascii="Times New Roman" w:hAnsi="Times New Roman" w:eastAsia="宋体" w:cs="Times New Roman"/>
                <w:color w:val="auto"/>
                <w:sz w:val="21"/>
                <w:szCs w:val="21"/>
                <w:highlight w:val="none"/>
                <w:u w:val="single" w:color="auto"/>
                <w:lang w:eastAsia="zh-CN"/>
              </w:rPr>
              <w:t>办理排污许可证</w:t>
            </w:r>
          </w:p>
          <w:p w14:paraId="2BCBEBE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2、及时进行环保竣工验收</w:t>
            </w:r>
          </w:p>
          <w:p w14:paraId="7E04FCA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single" w:color="auto"/>
                <w:lang w:eastAsia="zh-CN"/>
              </w:rPr>
            </w:pPr>
            <w:r>
              <w:rPr>
                <w:rFonts w:hint="default" w:ascii="Times New Roman" w:hAnsi="Times New Roman" w:eastAsia="宋体" w:cs="Times New Roman"/>
                <w:color w:val="auto"/>
                <w:sz w:val="21"/>
                <w:szCs w:val="21"/>
                <w:highlight w:val="none"/>
                <w:u w:val="single" w:color="auto"/>
                <w:lang w:eastAsia="zh-CN"/>
              </w:rPr>
              <w:t>3、及时完成环境风险应急预案编制并备案</w:t>
            </w:r>
            <w:r>
              <w:rPr>
                <w:rFonts w:hint="eastAsia" w:ascii="Times New Roman" w:hAnsi="Times New Roman" w:eastAsia="宋体" w:cs="Times New Roman"/>
                <w:color w:val="auto"/>
                <w:sz w:val="21"/>
                <w:szCs w:val="21"/>
                <w:highlight w:val="none"/>
                <w:u w:val="single" w:color="auto"/>
                <w:lang w:eastAsia="zh-CN"/>
              </w:rPr>
              <w:t>。</w:t>
            </w:r>
          </w:p>
        </w:tc>
      </w:tr>
    </w:tbl>
    <w:p w14:paraId="6C8F9D69">
      <w:pPr>
        <w:pStyle w:val="25"/>
        <w:jc w:val="center"/>
        <w:outlineLvl w:val="0"/>
        <w:rPr>
          <w:rFonts w:ascii="Times New Roman" w:hAnsi="Times New Roman" w:eastAsia="黑体"/>
          <w:snapToGrid w:val="0"/>
          <w:color w:val="auto"/>
          <w:sz w:val="30"/>
          <w:szCs w:val="30"/>
        </w:rPr>
      </w:pPr>
      <w:r>
        <w:rPr>
          <w:rFonts w:ascii="Times New Roman" w:hAnsi="Times New Roman"/>
          <w:snapToGrid w:val="0"/>
          <w:color w:val="auto"/>
        </w:rPr>
        <w:br w:type="page"/>
      </w:r>
      <w:bookmarkStart w:id="35" w:name="_Toc10894"/>
      <w:bookmarkStart w:id="36" w:name="_Toc110847888"/>
      <w:r>
        <w:rPr>
          <w:rFonts w:ascii="Times New Roman" w:hAnsi="Times New Roman" w:eastAsia="黑体"/>
          <w:snapToGrid w:val="0"/>
          <w:color w:val="auto"/>
          <w:sz w:val="30"/>
          <w:szCs w:val="30"/>
        </w:rPr>
        <w:t>六、结论</w:t>
      </w:r>
      <w:bookmarkEnd w:id="35"/>
      <w:bookmarkEnd w:id="36"/>
    </w:p>
    <w:tbl>
      <w:tblPr>
        <w:tblStyle w:val="29"/>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8865"/>
      </w:tblGrid>
      <w:tr w14:paraId="26FB2EA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1991" w:hRule="atLeast"/>
          <w:jc w:val="center"/>
        </w:trPr>
        <w:tc>
          <w:tcPr>
            <w:tcW w:w="8865" w:type="dxa"/>
            <w:noWrap w:val="0"/>
            <w:vAlign w:val="top"/>
          </w:tcPr>
          <w:p w14:paraId="3ED930D8">
            <w:pPr>
              <w:bidi w:val="0"/>
              <w:rPr>
                <w:color w:val="auto"/>
              </w:rPr>
            </w:pPr>
            <w:r>
              <w:rPr>
                <w:rFonts w:hint="eastAsia"/>
                <w:color w:val="auto"/>
                <w:lang w:val="en-US" w:eastAsia="zh-CN"/>
              </w:rPr>
              <w:t>综上，</w:t>
            </w:r>
            <w:r>
              <w:rPr>
                <w:color w:val="auto"/>
              </w:rPr>
              <w:t>本项目符合国家、地方的相关产业政策、选址合理，同时与相关环境功能区划具有很好的符合性，各类污染物经本评价提出的污染防治措施治理后均可达标排放，污染防治措施可行，同时建设单位保证污染治理措施的正常运行，则本项目对周围环境不会产生明显的不利影响。从环境保护角度分析，本项目的建设是可行的。</w:t>
            </w:r>
          </w:p>
        </w:tc>
      </w:tr>
    </w:tbl>
    <w:p w14:paraId="28017261">
      <w:pPr>
        <w:rPr>
          <w:color w:val="auto"/>
        </w:rPr>
        <w:sectPr>
          <w:pgSz w:w="11906" w:h="16838"/>
          <w:pgMar w:top="1701" w:right="1531" w:bottom="1701" w:left="1531" w:header="851" w:footer="1304" w:gutter="0"/>
          <w:pgBorders>
            <w:top w:val="none" w:sz="0" w:space="0"/>
            <w:left w:val="none" w:sz="0" w:space="0"/>
            <w:bottom w:val="none" w:sz="0" w:space="0"/>
            <w:right w:val="none" w:sz="0" w:space="0"/>
          </w:pgBorders>
          <w:pgNumType w:fmt="decimal"/>
          <w:cols w:space="720" w:num="1"/>
          <w:docGrid w:linePitch="312" w:charSpace="0"/>
        </w:sectPr>
      </w:pPr>
    </w:p>
    <w:p w14:paraId="1D80C3E1">
      <w:pPr>
        <w:pStyle w:val="25"/>
        <w:adjustRightInd w:val="0"/>
        <w:snapToGrid w:val="0"/>
        <w:spacing w:before="0" w:beforeAutospacing="0" w:after="0" w:afterAutospacing="0"/>
        <w:outlineLvl w:val="0"/>
        <w:rPr>
          <w:rFonts w:ascii="Times New Roman" w:hAnsi="Times New Roman" w:eastAsia="黑体"/>
          <w:snapToGrid w:val="0"/>
          <w:color w:val="auto"/>
          <w:sz w:val="32"/>
          <w:szCs w:val="32"/>
        </w:rPr>
      </w:pPr>
      <w:bookmarkStart w:id="37" w:name="_Toc17017"/>
      <w:bookmarkStart w:id="38" w:name="_Toc110847889"/>
      <w:r>
        <w:rPr>
          <w:rFonts w:ascii="Times New Roman" w:hAnsi="Times New Roman" w:eastAsia="黑体"/>
          <w:snapToGrid w:val="0"/>
          <w:color w:val="auto"/>
          <w:sz w:val="32"/>
          <w:szCs w:val="32"/>
        </w:rPr>
        <w:t>附表</w:t>
      </w:r>
      <w:bookmarkEnd w:id="37"/>
      <w:bookmarkEnd w:id="38"/>
    </w:p>
    <w:p w14:paraId="5599DEC4">
      <w:pPr>
        <w:pStyle w:val="25"/>
        <w:adjustRightInd w:val="0"/>
        <w:snapToGrid w:val="0"/>
        <w:spacing w:before="0" w:beforeAutospacing="0" w:after="0" w:afterAutospacing="0" w:line="240" w:lineRule="atLeast"/>
        <w:jc w:val="center"/>
        <w:outlineLvl w:val="0"/>
        <w:rPr>
          <w:rFonts w:ascii="Times New Roman" w:hAnsi="Times New Roman" w:eastAsia="方正小标宋_GBK"/>
          <w:snapToGrid w:val="0"/>
          <w:color w:val="auto"/>
          <w:sz w:val="38"/>
          <w:szCs w:val="38"/>
        </w:rPr>
      </w:pPr>
      <w:bookmarkStart w:id="39" w:name="_Toc14375"/>
      <w:r>
        <w:rPr>
          <w:rFonts w:ascii="Times New Roman" w:hAnsi="Times New Roman" w:eastAsia="方正小标宋_GBK"/>
          <w:snapToGrid w:val="0"/>
          <w:color w:val="auto"/>
          <w:sz w:val="38"/>
          <w:szCs w:val="38"/>
        </w:rPr>
        <w:t>建设项目污染物排放量汇总表</w:t>
      </w:r>
      <w:bookmarkEnd w:id="39"/>
    </w:p>
    <w:tbl>
      <w:tblPr>
        <w:tblStyle w:val="29"/>
        <w:tblW w:w="13788"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88"/>
        <w:gridCol w:w="1417"/>
        <w:gridCol w:w="1701"/>
        <w:gridCol w:w="1276"/>
        <w:gridCol w:w="1701"/>
        <w:gridCol w:w="1559"/>
        <w:gridCol w:w="1761"/>
        <w:gridCol w:w="1675"/>
        <w:gridCol w:w="1110"/>
      </w:tblGrid>
      <w:tr w14:paraId="457ED9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88" w:type="dxa"/>
            <w:tcBorders>
              <w:tl2br w:val="single" w:color="auto" w:sz="4" w:space="0"/>
            </w:tcBorders>
            <w:noWrap w:val="0"/>
            <w:tcMar>
              <w:left w:w="28" w:type="dxa"/>
              <w:right w:w="28" w:type="dxa"/>
            </w:tcMar>
            <w:vAlign w:val="center"/>
          </w:tcPr>
          <w:p w14:paraId="4FD1A3E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项目</w:t>
            </w:r>
          </w:p>
          <w:p w14:paraId="054B115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分类</w:t>
            </w:r>
          </w:p>
        </w:tc>
        <w:tc>
          <w:tcPr>
            <w:tcW w:w="1417" w:type="dxa"/>
            <w:noWrap w:val="0"/>
            <w:tcMar>
              <w:left w:w="28" w:type="dxa"/>
              <w:right w:w="28" w:type="dxa"/>
            </w:tcMar>
            <w:vAlign w:val="center"/>
          </w:tcPr>
          <w:p w14:paraId="36AB4F8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污染物名称</w:t>
            </w:r>
          </w:p>
        </w:tc>
        <w:tc>
          <w:tcPr>
            <w:tcW w:w="1701" w:type="dxa"/>
            <w:noWrap w:val="0"/>
            <w:tcMar>
              <w:left w:w="28" w:type="dxa"/>
              <w:right w:w="28" w:type="dxa"/>
            </w:tcMar>
            <w:vAlign w:val="center"/>
          </w:tcPr>
          <w:p w14:paraId="53BBEBB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现有工程</w:t>
            </w:r>
          </w:p>
          <w:p w14:paraId="65EA8A4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排放量（固体废物产生量）</w:t>
            </w:r>
            <w:r>
              <w:rPr>
                <w:rFonts w:hint="eastAsia" w:ascii="Times New Roman" w:hAnsi="Times New Roman" w:eastAsia="宋体" w:cs="Times New Roman"/>
                <w:color w:val="auto"/>
                <w:sz w:val="21"/>
                <w:szCs w:val="21"/>
                <w:highlight w:val="none"/>
                <w:u w:val="none" w:color="auto"/>
                <w:lang w:eastAsia="zh-CN"/>
              </w:rPr>
              <w:fldChar w:fldCharType="begin"/>
            </w:r>
            <w:r>
              <w:rPr>
                <w:rFonts w:hint="eastAsia" w:ascii="Times New Roman" w:hAnsi="Times New Roman" w:eastAsia="宋体" w:cs="Times New Roman"/>
                <w:color w:val="auto"/>
                <w:sz w:val="21"/>
                <w:szCs w:val="21"/>
                <w:highlight w:val="none"/>
                <w:u w:val="none" w:color="auto"/>
                <w:lang w:eastAsia="zh-CN"/>
              </w:rPr>
              <w:instrText xml:space="preserve"> = 1 \* GB3 \* MERGEFORMAT </w:instrText>
            </w:r>
            <w:r>
              <w:rPr>
                <w:rFonts w:hint="eastAsia" w:ascii="Times New Roman" w:hAnsi="Times New Roman" w:eastAsia="宋体" w:cs="Times New Roman"/>
                <w:color w:val="auto"/>
                <w:sz w:val="21"/>
                <w:szCs w:val="21"/>
                <w:highlight w:val="none"/>
                <w:u w:val="none" w:color="auto"/>
                <w:lang w:eastAsia="zh-CN"/>
              </w:rPr>
              <w:fldChar w:fldCharType="separate"/>
            </w:r>
            <w:r>
              <w:rPr>
                <w:rFonts w:hint="eastAsia" w:ascii="Times New Roman" w:hAnsi="Times New Roman" w:eastAsia="宋体" w:cs="Times New Roman"/>
                <w:color w:val="auto"/>
                <w:sz w:val="21"/>
                <w:szCs w:val="21"/>
                <w:highlight w:val="none"/>
                <w:u w:val="none" w:color="auto"/>
                <w:lang w:eastAsia="zh-CN"/>
              </w:rPr>
              <w:t>①</w:t>
            </w:r>
            <w:r>
              <w:rPr>
                <w:rFonts w:hint="eastAsia" w:ascii="Times New Roman" w:hAnsi="Times New Roman" w:eastAsia="宋体" w:cs="Times New Roman"/>
                <w:color w:val="auto"/>
                <w:sz w:val="21"/>
                <w:szCs w:val="21"/>
                <w:highlight w:val="none"/>
                <w:u w:val="none" w:color="auto"/>
                <w:lang w:eastAsia="zh-CN"/>
              </w:rPr>
              <w:fldChar w:fldCharType="end"/>
            </w:r>
          </w:p>
        </w:tc>
        <w:tc>
          <w:tcPr>
            <w:tcW w:w="1276" w:type="dxa"/>
            <w:noWrap w:val="0"/>
            <w:tcMar>
              <w:left w:w="28" w:type="dxa"/>
              <w:right w:w="28" w:type="dxa"/>
            </w:tcMar>
            <w:vAlign w:val="center"/>
          </w:tcPr>
          <w:p w14:paraId="7C8E83B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现有工程</w:t>
            </w:r>
          </w:p>
          <w:p w14:paraId="19CAE9A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许可排放量</w:t>
            </w:r>
          </w:p>
          <w:p w14:paraId="53B15AE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fldChar w:fldCharType="begin"/>
            </w:r>
            <w:r>
              <w:rPr>
                <w:rFonts w:hint="eastAsia" w:ascii="Times New Roman" w:hAnsi="Times New Roman" w:eastAsia="宋体" w:cs="Times New Roman"/>
                <w:color w:val="auto"/>
                <w:sz w:val="21"/>
                <w:szCs w:val="21"/>
                <w:highlight w:val="none"/>
                <w:u w:val="none" w:color="auto"/>
                <w:lang w:eastAsia="zh-CN"/>
              </w:rPr>
              <w:instrText xml:space="preserve"> = 2 \* GB3 \* MERGEFORMAT </w:instrText>
            </w:r>
            <w:r>
              <w:rPr>
                <w:rFonts w:hint="eastAsia" w:ascii="Times New Roman" w:hAnsi="Times New Roman" w:eastAsia="宋体" w:cs="Times New Roman"/>
                <w:color w:val="auto"/>
                <w:sz w:val="21"/>
                <w:szCs w:val="21"/>
                <w:highlight w:val="none"/>
                <w:u w:val="none" w:color="auto"/>
                <w:lang w:eastAsia="zh-CN"/>
              </w:rPr>
              <w:fldChar w:fldCharType="separate"/>
            </w:r>
            <w:r>
              <w:rPr>
                <w:rFonts w:hint="eastAsia" w:ascii="Times New Roman" w:hAnsi="Times New Roman" w:eastAsia="宋体" w:cs="Times New Roman"/>
                <w:color w:val="auto"/>
                <w:sz w:val="21"/>
                <w:szCs w:val="21"/>
                <w:highlight w:val="none"/>
                <w:u w:val="none" w:color="auto"/>
                <w:lang w:eastAsia="zh-CN"/>
              </w:rPr>
              <w:t>②</w:t>
            </w:r>
            <w:r>
              <w:rPr>
                <w:rFonts w:hint="eastAsia" w:ascii="Times New Roman" w:hAnsi="Times New Roman" w:eastAsia="宋体" w:cs="Times New Roman"/>
                <w:color w:val="auto"/>
                <w:sz w:val="21"/>
                <w:szCs w:val="21"/>
                <w:highlight w:val="none"/>
                <w:u w:val="none" w:color="auto"/>
                <w:lang w:eastAsia="zh-CN"/>
              </w:rPr>
              <w:fldChar w:fldCharType="end"/>
            </w:r>
          </w:p>
        </w:tc>
        <w:tc>
          <w:tcPr>
            <w:tcW w:w="1701" w:type="dxa"/>
            <w:noWrap w:val="0"/>
            <w:tcMar>
              <w:left w:w="28" w:type="dxa"/>
              <w:right w:w="28" w:type="dxa"/>
            </w:tcMar>
            <w:vAlign w:val="center"/>
          </w:tcPr>
          <w:p w14:paraId="348D509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在建工程</w:t>
            </w:r>
          </w:p>
          <w:p w14:paraId="18EA4BA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排放量（固体废物产生量）</w:t>
            </w:r>
            <w:r>
              <w:rPr>
                <w:rFonts w:hint="eastAsia" w:ascii="Times New Roman" w:hAnsi="Times New Roman" w:eastAsia="宋体" w:cs="Times New Roman"/>
                <w:color w:val="auto"/>
                <w:sz w:val="21"/>
                <w:szCs w:val="21"/>
                <w:highlight w:val="none"/>
                <w:u w:val="none" w:color="auto"/>
                <w:lang w:eastAsia="zh-CN"/>
              </w:rPr>
              <w:fldChar w:fldCharType="begin"/>
            </w:r>
            <w:r>
              <w:rPr>
                <w:rFonts w:hint="eastAsia" w:ascii="Times New Roman" w:hAnsi="Times New Roman" w:eastAsia="宋体" w:cs="Times New Roman"/>
                <w:color w:val="auto"/>
                <w:sz w:val="21"/>
                <w:szCs w:val="21"/>
                <w:highlight w:val="none"/>
                <w:u w:val="none" w:color="auto"/>
                <w:lang w:eastAsia="zh-CN"/>
              </w:rPr>
              <w:instrText xml:space="preserve"> = 3 \* GB3 \* MERGEFORMAT </w:instrText>
            </w:r>
            <w:r>
              <w:rPr>
                <w:rFonts w:hint="eastAsia" w:ascii="Times New Roman" w:hAnsi="Times New Roman" w:eastAsia="宋体" w:cs="Times New Roman"/>
                <w:color w:val="auto"/>
                <w:sz w:val="21"/>
                <w:szCs w:val="21"/>
                <w:highlight w:val="none"/>
                <w:u w:val="none" w:color="auto"/>
                <w:lang w:eastAsia="zh-CN"/>
              </w:rPr>
              <w:fldChar w:fldCharType="separate"/>
            </w:r>
            <w:r>
              <w:rPr>
                <w:rFonts w:hint="eastAsia" w:ascii="Times New Roman" w:hAnsi="Times New Roman" w:eastAsia="宋体" w:cs="Times New Roman"/>
                <w:color w:val="auto"/>
                <w:sz w:val="21"/>
                <w:szCs w:val="21"/>
                <w:highlight w:val="none"/>
                <w:u w:val="none" w:color="auto"/>
                <w:lang w:eastAsia="zh-CN"/>
              </w:rPr>
              <w:t>③</w:t>
            </w:r>
            <w:r>
              <w:rPr>
                <w:rFonts w:hint="eastAsia" w:ascii="Times New Roman" w:hAnsi="Times New Roman" w:eastAsia="宋体" w:cs="Times New Roman"/>
                <w:color w:val="auto"/>
                <w:sz w:val="21"/>
                <w:szCs w:val="21"/>
                <w:highlight w:val="none"/>
                <w:u w:val="none" w:color="auto"/>
                <w:lang w:eastAsia="zh-CN"/>
              </w:rPr>
              <w:fldChar w:fldCharType="end"/>
            </w:r>
          </w:p>
        </w:tc>
        <w:tc>
          <w:tcPr>
            <w:tcW w:w="1559" w:type="dxa"/>
            <w:noWrap w:val="0"/>
            <w:tcMar>
              <w:left w:w="28" w:type="dxa"/>
              <w:right w:w="28" w:type="dxa"/>
            </w:tcMar>
            <w:vAlign w:val="center"/>
          </w:tcPr>
          <w:p w14:paraId="73C48B2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本项目</w:t>
            </w:r>
          </w:p>
          <w:p w14:paraId="6005552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排放量（固体废物产生量）</w:t>
            </w:r>
            <w:r>
              <w:rPr>
                <w:rFonts w:hint="eastAsia" w:ascii="Times New Roman" w:hAnsi="Times New Roman" w:eastAsia="宋体" w:cs="Times New Roman"/>
                <w:color w:val="auto"/>
                <w:sz w:val="21"/>
                <w:szCs w:val="21"/>
                <w:highlight w:val="none"/>
                <w:u w:val="none" w:color="auto"/>
                <w:lang w:eastAsia="zh-CN"/>
              </w:rPr>
              <w:fldChar w:fldCharType="begin"/>
            </w:r>
            <w:r>
              <w:rPr>
                <w:rFonts w:hint="eastAsia" w:ascii="Times New Roman" w:hAnsi="Times New Roman" w:eastAsia="宋体" w:cs="Times New Roman"/>
                <w:color w:val="auto"/>
                <w:sz w:val="21"/>
                <w:szCs w:val="21"/>
                <w:highlight w:val="none"/>
                <w:u w:val="none" w:color="auto"/>
                <w:lang w:eastAsia="zh-CN"/>
              </w:rPr>
              <w:instrText xml:space="preserve"> = 4 \* GB3 \* MERGEFORMAT </w:instrText>
            </w:r>
            <w:r>
              <w:rPr>
                <w:rFonts w:hint="eastAsia" w:ascii="Times New Roman" w:hAnsi="Times New Roman" w:eastAsia="宋体" w:cs="Times New Roman"/>
                <w:color w:val="auto"/>
                <w:sz w:val="21"/>
                <w:szCs w:val="21"/>
                <w:highlight w:val="none"/>
                <w:u w:val="none" w:color="auto"/>
                <w:lang w:eastAsia="zh-CN"/>
              </w:rPr>
              <w:fldChar w:fldCharType="separate"/>
            </w:r>
            <w:r>
              <w:rPr>
                <w:rFonts w:hint="eastAsia" w:ascii="Times New Roman" w:hAnsi="Times New Roman" w:eastAsia="宋体" w:cs="Times New Roman"/>
                <w:color w:val="auto"/>
                <w:sz w:val="21"/>
                <w:szCs w:val="21"/>
                <w:highlight w:val="none"/>
                <w:u w:val="none" w:color="auto"/>
                <w:lang w:eastAsia="zh-CN"/>
              </w:rPr>
              <w:t>④</w:t>
            </w:r>
            <w:r>
              <w:rPr>
                <w:rFonts w:hint="eastAsia" w:ascii="Times New Roman" w:hAnsi="Times New Roman" w:eastAsia="宋体" w:cs="Times New Roman"/>
                <w:color w:val="auto"/>
                <w:sz w:val="21"/>
                <w:szCs w:val="21"/>
                <w:highlight w:val="none"/>
                <w:u w:val="none" w:color="auto"/>
                <w:lang w:eastAsia="zh-CN"/>
              </w:rPr>
              <w:fldChar w:fldCharType="end"/>
            </w:r>
          </w:p>
        </w:tc>
        <w:tc>
          <w:tcPr>
            <w:tcW w:w="1761" w:type="dxa"/>
            <w:noWrap w:val="0"/>
            <w:tcMar>
              <w:left w:w="28" w:type="dxa"/>
              <w:right w:w="28" w:type="dxa"/>
            </w:tcMar>
            <w:vAlign w:val="center"/>
          </w:tcPr>
          <w:p w14:paraId="6A5D049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以新带老削减量</w:t>
            </w:r>
          </w:p>
          <w:p w14:paraId="4D108FD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（新建项目不填）</w:t>
            </w:r>
            <w:r>
              <w:rPr>
                <w:rFonts w:hint="eastAsia" w:ascii="Times New Roman" w:hAnsi="Times New Roman" w:eastAsia="宋体" w:cs="Times New Roman"/>
                <w:color w:val="auto"/>
                <w:sz w:val="21"/>
                <w:szCs w:val="21"/>
                <w:highlight w:val="none"/>
                <w:u w:val="none" w:color="auto"/>
                <w:lang w:eastAsia="zh-CN"/>
              </w:rPr>
              <w:fldChar w:fldCharType="begin"/>
            </w:r>
            <w:r>
              <w:rPr>
                <w:rFonts w:hint="eastAsia" w:ascii="Times New Roman" w:hAnsi="Times New Roman" w:eastAsia="宋体" w:cs="Times New Roman"/>
                <w:color w:val="auto"/>
                <w:sz w:val="21"/>
                <w:szCs w:val="21"/>
                <w:highlight w:val="none"/>
                <w:u w:val="none" w:color="auto"/>
                <w:lang w:eastAsia="zh-CN"/>
              </w:rPr>
              <w:instrText xml:space="preserve"> = 5 \* GB3 \* MERGEFORMAT </w:instrText>
            </w:r>
            <w:r>
              <w:rPr>
                <w:rFonts w:hint="eastAsia" w:ascii="Times New Roman" w:hAnsi="Times New Roman" w:eastAsia="宋体" w:cs="Times New Roman"/>
                <w:color w:val="auto"/>
                <w:sz w:val="21"/>
                <w:szCs w:val="21"/>
                <w:highlight w:val="none"/>
                <w:u w:val="none" w:color="auto"/>
                <w:lang w:eastAsia="zh-CN"/>
              </w:rPr>
              <w:fldChar w:fldCharType="separate"/>
            </w:r>
            <w:r>
              <w:rPr>
                <w:rFonts w:hint="eastAsia" w:ascii="Times New Roman" w:hAnsi="Times New Roman" w:eastAsia="宋体" w:cs="Times New Roman"/>
                <w:color w:val="auto"/>
                <w:sz w:val="21"/>
                <w:szCs w:val="21"/>
                <w:highlight w:val="none"/>
                <w:u w:val="none" w:color="auto"/>
                <w:lang w:eastAsia="zh-CN"/>
              </w:rPr>
              <w:t>⑤</w:t>
            </w:r>
            <w:r>
              <w:rPr>
                <w:rFonts w:hint="eastAsia" w:ascii="Times New Roman" w:hAnsi="Times New Roman" w:eastAsia="宋体" w:cs="Times New Roman"/>
                <w:color w:val="auto"/>
                <w:sz w:val="21"/>
                <w:szCs w:val="21"/>
                <w:highlight w:val="none"/>
                <w:u w:val="none" w:color="auto"/>
                <w:lang w:eastAsia="zh-CN"/>
              </w:rPr>
              <w:fldChar w:fldCharType="end"/>
            </w:r>
          </w:p>
        </w:tc>
        <w:tc>
          <w:tcPr>
            <w:tcW w:w="1675" w:type="dxa"/>
            <w:noWrap w:val="0"/>
            <w:tcMar>
              <w:left w:w="28" w:type="dxa"/>
              <w:right w:w="28" w:type="dxa"/>
            </w:tcMar>
            <w:vAlign w:val="center"/>
          </w:tcPr>
          <w:p w14:paraId="15C53E7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本项目建成后</w:t>
            </w:r>
          </w:p>
          <w:p w14:paraId="1B82EA6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全厂排放量（固体废物产生量）</w:t>
            </w:r>
            <w:r>
              <w:rPr>
                <w:rFonts w:hint="eastAsia" w:ascii="Times New Roman" w:hAnsi="Times New Roman" w:eastAsia="宋体" w:cs="Times New Roman"/>
                <w:color w:val="auto"/>
                <w:sz w:val="21"/>
                <w:szCs w:val="21"/>
                <w:highlight w:val="none"/>
                <w:u w:val="none" w:color="auto"/>
                <w:lang w:eastAsia="zh-CN"/>
              </w:rPr>
              <w:fldChar w:fldCharType="begin"/>
            </w:r>
            <w:r>
              <w:rPr>
                <w:rFonts w:hint="eastAsia" w:ascii="Times New Roman" w:hAnsi="Times New Roman" w:eastAsia="宋体" w:cs="Times New Roman"/>
                <w:color w:val="auto"/>
                <w:sz w:val="21"/>
                <w:szCs w:val="21"/>
                <w:highlight w:val="none"/>
                <w:u w:val="none" w:color="auto"/>
                <w:lang w:eastAsia="zh-CN"/>
              </w:rPr>
              <w:instrText xml:space="preserve"> = 6 \* GB3 \* MERGEFORMAT </w:instrText>
            </w:r>
            <w:r>
              <w:rPr>
                <w:rFonts w:hint="eastAsia" w:ascii="Times New Roman" w:hAnsi="Times New Roman" w:eastAsia="宋体" w:cs="Times New Roman"/>
                <w:color w:val="auto"/>
                <w:sz w:val="21"/>
                <w:szCs w:val="21"/>
                <w:highlight w:val="none"/>
                <w:u w:val="none" w:color="auto"/>
                <w:lang w:eastAsia="zh-CN"/>
              </w:rPr>
              <w:fldChar w:fldCharType="separate"/>
            </w:r>
            <w:r>
              <w:rPr>
                <w:rFonts w:hint="eastAsia" w:ascii="Times New Roman" w:hAnsi="Times New Roman" w:eastAsia="宋体" w:cs="Times New Roman"/>
                <w:color w:val="auto"/>
                <w:sz w:val="21"/>
                <w:szCs w:val="21"/>
                <w:highlight w:val="none"/>
                <w:u w:val="none" w:color="auto"/>
                <w:lang w:eastAsia="zh-CN"/>
              </w:rPr>
              <w:t>⑥</w:t>
            </w:r>
            <w:r>
              <w:rPr>
                <w:rFonts w:hint="eastAsia" w:ascii="Times New Roman" w:hAnsi="Times New Roman" w:eastAsia="宋体" w:cs="Times New Roman"/>
                <w:color w:val="auto"/>
                <w:sz w:val="21"/>
                <w:szCs w:val="21"/>
                <w:highlight w:val="none"/>
                <w:u w:val="none" w:color="auto"/>
                <w:lang w:eastAsia="zh-CN"/>
              </w:rPr>
              <w:fldChar w:fldCharType="end"/>
            </w:r>
          </w:p>
        </w:tc>
        <w:tc>
          <w:tcPr>
            <w:tcW w:w="1110" w:type="dxa"/>
            <w:noWrap w:val="0"/>
            <w:tcMar>
              <w:left w:w="28" w:type="dxa"/>
              <w:right w:w="28" w:type="dxa"/>
            </w:tcMar>
            <w:vAlign w:val="center"/>
          </w:tcPr>
          <w:p w14:paraId="2544AD6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变化量</w:t>
            </w:r>
          </w:p>
          <w:p w14:paraId="3B08C182">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fldChar w:fldCharType="begin"/>
            </w:r>
            <w:r>
              <w:rPr>
                <w:rFonts w:hint="eastAsia" w:ascii="Times New Roman" w:hAnsi="Times New Roman" w:eastAsia="宋体" w:cs="Times New Roman"/>
                <w:color w:val="auto"/>
                <w:sz w:val="21"/>
                <w:szCs w:val="21"/>
                <w:highlight w:val="none"/>
                <w:u w:val="none" w:color="auto"/>
                <w:lang w:eastAsia="zh-CN"/>
              </w:rPr>
              <w:instrText xml:space="preserve"> = 7 \* GB3 \* MERGEFORMAT </w:instrText>
            </w:r>
            <w:r>
              <w:rPr>
                <w:rFonts w:hint="eastAsia" w:ascii="Times New Roman" w:hAnsi="Times New Roman" w:eastAsia="宋体" w:cs="Times New Roman"/>
                <w:color w:val="auto"/>
                <w:sz w:val="21"/>
                <w:szCs w:val="21"/>
                <w:highlight w:val="none"/>
                <w:u w:val="none" w:color="auto"/>
                <w:lang w:eastAsia="zh-CN"/>
              </w:rPr>
              <w:fldChar w:fldCharType="separate"/>
            </w:r>
            <w:r>
              <w:rPr>
                <w:rFonts w:hint="eastAsia" w:ascii="Times New Roman" w:hAnsi="Times New Roman" w:eastAsia="宋体" w:cs="Times New Roman"/>
                <w:color w:val="auto"/>
                <w:sz w:val="21"/>
                <w:szCs w:val="21"/>
                <w:highlight w:val="none"/>
                <w:u w:val="none" w:color="auto"/>
                <w:lang w:eastAsia="zh-CN"/>
              </w:rPr>
              <w:t>⑦</w:t>
            </w:r>
            <w:r>
              <w:rPr>
                <w:rFonts w:hint="eastAsia" w:ascii="Times New Roman" w:hAnsi="Times New Roman" w:eastAsia="宋体" w:cs="Times New Roman"/>
                <w:color w:val="auto"/>
                <w:sz w:val="21"/>
                <w:szCs w:val="21"/>
                <w:highlight w:val="none"/>
                <w:u w:val="none" w:color="auto"/>
                <w:lang w:eastAsia="zh-CN"/>
              </w:rPr>
              <w:fldChar w:fldCharType="end"/>
            </w:r>
          </w:p>
        </w:tc>
      </w:tr>
      <w:tr w14:paraId="020A83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88" w:type="dxa"/>
            <w:vMerge w:val="restart"/>
            <w:noWrap w:val="0"/>
            <w:vAlign w:val="center"/>
          </w:tcPr>
          <w:p w14:paraId="5AC26B6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废气</w:t>
            </w:r>
          </w:p>
        </w:tc>
        <w:tc>
          <w:tcPr>
            <w:tcW w:w="1417" w:type="dxa"/>
            <w:noWrap w:val="0"/>
            <w:vAlign w:val="center"/>
          </w:tcPr>
          <w:p w14:paraId="2AE8BCF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颗粒物</w:t>
            </w:r>
          </w:p>
        </w:tc>
        <w:tc>
          <w:tcPr>
            <w:tcW w:w="1701" w:type="dxa"/>
            <w:noWrap w:val="0"/>
            <w:vAlign w:val="center"/>
          </w:tcPr>
          <w:p w14:paraId="24784D7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noWrap w:val="0"/>
            <w:vAlign w:val="center"/>
          </w:tcPr>
          <w:p w14:paraId="1C0357A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noWrap w:val="0"/>
            <w:vAlign w:val="center"/>
          </w:tcPr>
          <w:p w14:paraId="0ED49D5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noWrap w:val="0"/>
            <w:vAlign w:val="center"/>
          </w:tcPr>
          <w:p w14:paraId="10F6696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0.286</w:t>
            </w:r>
            <w:r>
              <w:rPr>
                <w:rFonts w:hint="eastAsia" w:ascii="Times New Roman" w:hAnsi="Times New Roman" w:eastAsia="宋体" w:cs="Times New Roman"/>
                <w:color w:val="auto"/>
                <w:sz w:val="21"/>
                <w:szCs w:val="21"/>
                <w:highlight w:val="none"/>
                <w:u w:val="none" w:color="auto"/>
                <w:lang w:eastAsia="zh-CN"/>
              </w:rPr>
              <w:t>t/a</w:t>
            </w:r>
          </w:p>
        </w:tc>
        <w:tc>
          <w:tcPr>
            <w:tcW w:w="1761" w:type="dxa"/>
            <w:noWrap w:val="0"/>
            <w:vAlign w:val="center"/>
          </w:tcPr>
          <w:p w14:paraId="3BD9848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noWrap w:val="0"/>
            <w:vAlign w:val="center"/>
          </w:tcPr>
          <w:p w14:paraId="0EF0E33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val="en-US" w:eastAsia="zh-CN"/>
              </w:rPr>
              <w:t>0.286</w:t>
            </w:r>
            <w:r>
              <w:rPr>
                <w:rFonts w:hint="eastAsia" w:ascii="Times New Roman" w:hAnsi="Times New Roman" w:eastAsia="宋体" w:cs="Times New Roman"/>
                <w:color w:val="auto"/>
                <w:sz w:val="21"/>
                <w:szCs w:val="21"/>
                <w:highlight w:val="none"/>
                <w:u w:val="none" w:color="auto"/>
                <w:lang w:eastAsia="zh-CN"/>
              </w:rPr>
              <w:t>t/a</w:t>
            </w:r>
          </w:p>
        </w:tc>
        <w:tc>
          <w:tcPr>
            <w:tcW w:w="1110" w:type="dxa"/>
            <w:noWrap w:val="0"/>
            <w:vAlign w:val="center"/>
          </w:tcPr>
          <w:p w14:paraId="517505F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4038F93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88" w:type="dxa"/>
            <w:vMerge w:val="continue"/>
            <w:noWrap w:val="0"/>
            <w:vAlign w:val="center"/>
          </w:tcPr>
          <w:p w14:paraId="659BBC7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noWrap w:val="0"/>
            <w:vAlign w:val="center"/>
          </w:tcPr>
          <w:p w14:paraId="67D982B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eastAsia="zh-CN"/>
              </w:rPr>
              <w:t>非甲烷总烃</w:t>
            </w:r>
          </w:p>
        </w:tc>
        <w:tc>
          <w:tcPr>
            <w:tcW w:w="1701" w:type="dxa"/>
            <w:noWrap w:val="0"/>
            <w:vAlign w:val="center"/>
          </w:tcPr>
          <w:p w14:paraId="2B96D9E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noWrap w:val="0"/>
            <w:vAlign w:val="center"/>
          </w:tcPr>
          <w:p w14:paraId="2FE399D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noWrap w:val="0"/>
            <w:vAlign w:val="center"/>
          </w:tcPr>
          <w:p w14:paraId="41AB572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noWrap w:val="0"/>
            <w:vAlign w:val="center"/>
          </w:tcPr>
          <w:p w14:paraId="19EE0EC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0.108</w:t>
            </w:r>
            <w:r>
              <w:rPr>
                <w:rFonts w:hint="eastAsia" w:ascii="Times New Roman" w:hAnsi="Times New Roman" w:eastAsia="宋体" w:cs="Times New Roman"/>
                <w:color w:val="auto"/>
                <w:sz w:val="21"/>
                <w:szCs w:val="21"/>
                <w:highlight w:val="none"/>
                <w:u w:val="none" w:color="auto"/>
                <w:lang w:eastAsia="zh-CN"/>
              </w:rPr>
              <w:t>t/a</w:t>
            </w:r>
          </w:p>
        </w:tc>
        <w:tc>
          <w:tcPr>
            <w:tcW w:w="1761" w:type="dxa"/>
            <w:noWrap w:val="0"/>
            <w:vAlign w:val="center"/>
          </w:tcPr>
          <w:p w14:paraId="15430A3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noWrap w:val="0"/>
            <w:vAlign w:val="center"/>
          </w:tcPr>
          <w:p w14:paraId="0647619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val="en-US" w:eastAsia="zh-CN"/>
              </w:rPr>
              <w:t>0.108</w:t>
            </w:r>
            <w:r>
              <w:rPr>
                <w:rFonts w:hint="eastAsia" w:ascii="Times New Roman" w:hAnsi="Times New Roman" w:eastAsia="宋体" w:cs="Times New Roman"/>
                <w:color w:val="auto"/>
                <w:sz w:val="21"/>
                <w:szCs w:val="21"/>
                <w:highlight w:val="none"/>
                <w:u w:val="none" w:color="auto"/>
                <w:lang w:eastAsia="zh-CN"/>
              </w:rPr>
              <w:t>t/a</w:t>
            </w:r>
          </w:p>
        </w:tc>
        <w:tc>
          <w:tcPr>
            <w:tcW w:w="1110" w:type="dxa"/>
            <w:noWrap w:val="0"/>
            <w:vAlign w:val="center"/>
          </w:tcPr>
          <w:p w14:paraId="0696344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4BB3BC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88" w:type="dxa"/>
            <w:vMerge w:val="restart"/>
            <w:noWrap w:val="0"/>
            <w:vAlign w:val="center"/>
          </w:tcPr>
          <w:p w14:paraId="4ACF9B9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废水</w:t>
            </w:r>
          </w:p>
        </w:tc>
        <w:tc>
          <w:tcPr>
            <w:tcW w:w="1417" w:type="dxa"/>
            <w:noWrap w:val="0"/>
            <w:vAlign w:val="center"/>
          </w:tcPr>
          <w:p w14:paraId="002C9B9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eastAsia="zh-CN"/>
              </w:rPr>
              <w:t>CODcr</w:t>
            </w:r>
          </w:p>
        </w:tc>
        <w:tc>
          <w:tcPr>
            <w:tcW w:w="1701" w:type="dxa"/>
            <w:noWrap w:val="0"/>
            <w:vAlign w:val="center"/>
          </w:tcPr>
          <w:p w14:paraId="5FDBF70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noWrap w:val="0"/>
            <w:vAlign w:val="center"/>
          </w:tcPr>
          <w:p w14:paraId="58AEDA7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noWrap w:val="0"/>
            <w:vAlign w:val="center"/>
          </w:tcPr>
          <w:p w14:paraId="4D8F979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noWrap w:val="0"/>
            <w:vAlign w:val="center"/>
          </w:tcPr>
          <w:p w14:paraId="63A3724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0.08</w:t>
            </w:r>
            <w:r>
              <w:rPr>
                <w:rFonts w:hint="eastAsia" w:cs="Times New Roman"/>
                <w:color w:val="auto"/>
                <w:sz w:val="21"/>
                <w:szCs w:val="21"/>
                <w:highlight w:val="none"/>
                <w:u w:val="none" w:color="auto"/>
                <w:lang w:val="en-US" w:eastAsia="zh-CN"/>
              </w:rPr>
              <w:t>2</w:t>
            </w:r>
            <w:r>
              <w:rPr>
                <w:rFonts w:hint="eastAsia" w:ascii="Times New Roman" w:hAnsi="Times New Roman" w:eastAsia="宋体" w:cs="Times New Roman"/>
                <w:color w:val="auto"/>
                <w:sz w:val="21"/>
                <w:szCs w:val="21"/>
                <w:highlight w:val="none"/>
                <w:u w:val="none" w:color="auto"/>
                <w:lang w:val="en-US" w:eastAsia="zh-CN"/>
              </w:rPr>
              <w:t>t/a</w:t>
            </w:r>
          </w:p>
        </w:tc>
        <w:tc>
          <w:tcPr>
            <w:tcW w:w="1761" w:type="dxa"/>
            <w:noWrap w:val="0"/>
            <w:vAlign w:val="center"/>
          </w:tcPr>
          <w:p w14:paraId="3B31CFA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noWrap w:val="0"/>
            <w:vAlign w:val="center"/>
          </w:tcPr>
          <w:p w14:paraId="61555FC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0.08</w:t>
            </w:r>
            <w:r>
              <w:rPr>
                <w:rFonts w:hint="eastAsia" w:cs="Times New Roman"/>
                <w:color w:val="auto"/>
                <w:sz w:val="21"/>
                <w:szCs w:val="21"/>
                <w:highlight w:val="none"/>
                <w:u w:val="none" w:color="auto"/>
                <w:lang w:val="en-US" w:eastAsia="zh-CN"/>
              </w:rPr>
              <w:t>2</w:t>
            </w:r>
            <w:r>
              <w:rPr>
                <w:rFonts w:hint="eastAsia" w:ascii="Times New Roman" w:hAnsi="Times New Roman" w:eastAsia="宋体" w:cs="Times New Roman"/>
                <w:color w:val="auto"/>
                <w:sz w:val="21"/>
                <w:szCs w:val="21"/>
                <w:highlight w:val="none"/>
                <w:u w:val="none" w:color="auto"/>
                <w:lang w:val="en-US" w:eastAsia="zh-CN"/>
              </w:rPr>
              <w:t>t/a</w:t>
            </w:r>
          </w:p>
        </w:tc>
        <w:tc>
          <w:tcPr>
            <w:tcW w:w="1110" w:type="dxa"/>
            <w:noWrap w:val="0"/>
            <w:vAlign w:val="center"/>
          </w:tcPr>
          <w:p w14:paraId="761436E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31C8C9A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88" w:type="dxa"/>
            <w:vMerge w:val="continue"/>
            <w:noWrap w:val="0"/>
            <w:vAlign w:val="center"/>
          </w:tcPr>
          <w:p w14:paraId="47C08EE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noWrap w:val="0"/>
            <w:vAlign w:val="center"/>
          </w:tcPr>
          <w:p w14:paraId="753ADF8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eastAsia="zh-CN"/>
              </w:rPr>
              <w:t>BOD</w:t>
            </w:r>
            <w:r>
              <w:rPr>
                <w:rFonts w:hint="default" w:ascii="Times New Roman" w:hAnsi="Times New Roman" w:eastAsia="宋体" w:cs="Times New Roman"/>
                <w:color w:val="auto"/>
                <w:sz w:val="21"/>
                <w:szCs w:val="21"/>
                <w:highlight w:val="none"/>
                <w:u w:val="none" w:color="auto"/>
                <w:vertAlign w:val="subscript"/>
                <w:lang w:eastAsia="zh-CN"/>
              </w:rPr>
              <w:t>5</w:t>
            </w:r>
          </w:p>
        </w:tc>
        <w:tc>
          <w:tcPr>
            <w:tcW w:w="1701" w:type="dxa"/>
            <w:noWrap w:val="0"/>
            <w:vAlign w:val="center"/>
          </w:tcPr>
          <w:p w14:paraId="5593304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noWrap w:val="0"/>
            <w:vAlign w:val="center"/>
          </w:tcPr>
          <w:p w14:paraId="02037C2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noWrap w:val="0"/>
            <w:vAlign w:val="center"/>
          </w:tcPr>
          <w:p w14:paraId="4887414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noWrap w:val="0"/>
            <w:vAlign w:val="center"/>
          </w:tcPr>
          <w:p w14:paraId="597435D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0.049t/a</w:t>
            </w:r>
          </w:p>
        </w:tc>
        <w:tc>
          <w:tcPr>
            <w:tcW w:w="1761" w:type="dxa"/>
            <w:noWrap w:val="0"/>
            <w:vAlign w:val="center"/>
          </w:tcPr>
          <w:p w14:paraId="491D425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noWrap w:val="0"/>
            <w:vAlign w:val="center"/>
          </w:tcPr>
          <w:p w14:paraId="690167A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0.049t/a</w:t>
            </w:r>
          </w:p>
        </w:tc>
        <w:tc>
          <w:tcPr>
            <w:tcW w:w="1110" w:type="dxa"/>
            <w:noWrap w:val="0"/>
            <w:vAlign w:val="center"/>
          </w:tcPr>
          <w:p w14:paraId="2167532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331C46D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88" w:type="dxa"/>
            <w:vMerge w:val="continue"/>
            <w:noWrap w:val="0"/>
            <w:vAlign w:val="center"/>
          </w:tcPr>
          <w:p w14:paraId="34F5460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noWrap w:val="0"/>
            <w:vAlign w:val="center"/>
          </w:tcPr>
          <w:p w14:paraId="63074E3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eastAsia="zh-CN"/>
              </w:rPr>
              <w:t>SS</w:t>
            </w:r>
          </w:p>
        </w:tc>
        <w:tc>
          <w:tcPr>
            <w:tcW w:w="1701" w:type="dxa"/>
            <w:noWrap w:val="0"/>
            <w:vAlign w:val="center"/>
          </w:tcPr>
          <w:p w14:paraId="7752CAD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noWrap w:val="0"/>
            <w:vAlign w:val="center"/>
          </w:tcPr>
          <w:p w14:paraId="42AB289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noWrap w:val="0"/>
            <w:vAlign w:val="center"/>
          </w:tcPr>
          <w:p w14:paraId="01F27C8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noWrap w:val="0"/>
            <w:vAlign w:val="center"/>
          </w:tcPr>
          <w:p w14:paraId="039A532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0.08</w:t>
            </w:r>
            <w:r>
              <w:rPr>
                <w:rFonts w:hint="eastAsia" w:cs="Times New Roman"/>
                <w:color w:val="auto"/>
                <w:sz w:val="21"/>
                <w:szCs w:val="21"/>
                <w:highlight w:val="none"/>
                <w:u w:val="none" w:color="auto"/>
                <w:lang w:val="en-US" w:eastAsia="zh-CN"/>
              </w:rPr>
              <w:t>2</w:t>
            </w:r>
            <w:r>
              <w:rPr>
                <w:rFonts w:hint="eastAsia" w:ascii="Times New Roman" w:hAnsi="Times New Roman" w:eastAsia="宋体" w:cs="Times New Roman"/>
                <w:color w:val="auto"/>
                <w:sz w:val="21"/>
                <w:szCs w:val="21"/>
                <w:highlight w:val="none"/>
                <w:u w:val="none" w:color="auto"/>
                <w:lang w:val="en-US" w:eastAsia="zh-CN"/>
              </w:rPr>
              <w:t>t/a</w:t>
            </w:r>
          </w:p>
        </w:tc>
        <w:tc>
          <w:tcPr>
            <w:tcW w:w="1761" w:type="dxa"/>
            <w:noWrap w:val="0"/>
            <w:vAlign w:val="center"/>
          </w:tcPr>
          <w:p w14:paraId="0AAC6C0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noWrap w:val="0"/>
            <w:vAlign w:val="center"/>
          </w:tcPr>
          <w:p w14:paraId="12FB5BF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0.08</w:t>
            </w:r>
            <w:r>
              <w:rPr>
                <w:rFonts w:hint="eastAsia" w:cs="Times New Roman"/>
                <w:color w:val="auto"/>
                <w:sz w:val="21"/>
                <w:szCs w:val="21"/>
                <w:highlight w:val="none"/>
                <w:u w:val="none" w:color="auto"/>
                <w:lang w:val="en-US" w:eastAsia="zh-CN"/>
              </w:rPr>
              <w:t>2</w:t>
            </w:r>
            <w:r>
              <w:rPr>
                <w:rFonts w:hint="eastAsia" w:ascii="Times New Roman" w:hAnsi="Times New Roman" w:eastAsia="宋体" w:cs="Times New Roman"/>
                <w:color w:val="auto"/>
                <w:sz w:val="21"/>
                <w:szCs w:val="21"/>
                <w:highlight w:val="none"/>
                <w:u w:val="none" w:color="auto"/>
                <w:lang w:val="en-US" w:eastAsia="zh-CN"/>
              </w:rPr>
              <w:t>t/a</w:t>
            </w:r>
          </w:p>
        </w:tc>
        <w:tc>
          <w:tcPr>
            <w:tcW w:w="1110" w:type="dxa"/>
            <w:noWrap w:val="0"/>
            <w:vAlign w:val="center"/>
          </w:tcPr>
          <w:p w14:paraId="5EA7689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509A744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88" w:type="dxa"/>
            <w:vMerge w:val="continue"/>
            <w:noWrap w:val="0"/>
            <w:vAlign w:val="center"/>
          </w:tcPr>
          <w:p w14:paraId="6A74FE4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noWrap w:val="0"/>
            <w:vAlign w:val="center"/>
          </w:tcPr>
          <w:p w14:paraId="67F618F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eastAsia="zh-CN"/>
              </w:rPr>
              <w:t>氨氮</w:t>
            </w:r>
          </w:p>
        </w:tc>
        <w:tc>
          <w:tcPr>
            <w:tcW w:w="1701" w:type="dxa"/>
            <w:noWrap w:val="0"/>
            <w:vAlign w:val="center"/>
          </w:tcPr>
          <w:p w14:paraId="6F714B5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noWrap w:val="0"/>
            <w:vAlign w:val="center"/>
          </w:tcPr>
          <w:p w14:paraId="531F7CB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noWrap w:val="0"/>
            <w:vAlign w:val="center"/>
          </w:tcPr>
          <w:p w14:paraId="24891EE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noWrap w:val="0"/>
            <w:vAlign w:val="center"/>
          </w:tcPr>
          <w:p w14:paraId="344D9C8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0.008t/a</w:t>
            </w:r>
          </w:p>
        </w:tc>
        <w:tc>
          <w:tcPr>
            <w:tcW w:w="1761" w:type="dxa"/>
            <w:noWrap w:val="0"/>
            <w:vAlign w:val="center"/>
          </w:tcPr>
          <w:p w14:paraId="3090107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noWrap w:val="0"/>
            <w:vAlign w:val="center"/>
          </w:tcPr>
          <w:p w14:paraId="2FE985A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0.008t/a</w:t>
            </w:r>
          </w:p>
        </w:tc>
        <w:tc>
          <w:tcPr>
            <w:tcW w:w="1110" w:type="dxa"/>
            <w:noWrap w:val="0"/>
            <w:vAlign w:val="center"/>
          </w:tcPr>
          <w:p w14:paraId="2130A62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7D35A4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88" w:type="dxa"/>
            <w:vMerge w:val="restart"/>
            <w:noWrap w:val="0"/>
            <w:vAlign w:val="center"/>
          </w:tcPr>
          <w:p w14:paraId="219EB13C">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一般工业</w:t>
            </w:r>
          </w:p>
          <w:p w14:paraId="7E23E90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固体废物</w:t>
            </w:r>
          </w:p>
        </w:tc>
        <w:tc>
          <w:tcPr>
            <w:tcW w:w="1417" w:type="dxa"/>
            <w:noWrap w:val="0"/>
            <w:vAlign w:val="center"/>
          </w:tcPr>
          <w:p w14:paraId="1CABFCF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金属废屑</w:t>
            </w:r>
          </w:p>
        </w:tc>
        <w:tc>
          <w:tcPr>
            <w:tcW w:w="1701" w:type="dxa"/>
            <w:noWrap w:val="0"/>
            <w:vAlign w:val="center"/>
          </w:tcPr>
          <w:p w14:paraId="1AE2621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noWrap w:val="0"/>
            <w:vAlign w:val="center"/>
          </w:tcPr>
          <w:p w14:paraId="6145B59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noWrap w:val="0"/>
            <w:vAlign w:val="center"/>
          </w:tcPr>
          <w:p w14:paraId="097BAB9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noWrap w:val="0"/>
            <w:vAlign w:val="center"/>
          </w:tcPr>
          <w:p w14:paraId="49E1C80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24</w:t>
            </w:r>
            <w:r>
              <w:rPr>
                <w:rFonts w:hint="eastAsia" w:ascii="Times New Roman" w:hAnsi="Times New Roman" w:eastAsia="宋体" w:cs="Times New Roman"/>
                <w:color w:val="auto"/>
                <w:sz w:val="21"/>
                <w:szCs w:val="21"/>
                <w:highlight w:val="none"/>
                <w:u w:val="none" w:color="auto"/>
                <w:lang w:val="en-US" w:eastAsia="zh-CN"/>
              </w:rPr>
              <w:t>t/a</w:t>
            </w:r>
          </w:p>
        </w:tc>
        <w:tc>
          <w:tcPr>
            <w:tcW w:w="1761" w:type="dxa"/>
            <w:noWrap w:val="0"/>
            <w:vAlign w:val="center"/>
          </w:tcPr>
          <w:p w14:paraId="72B5292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noWrap w:val="0"/>
            <w:vAlign w:val="center"/>
          </w:tcPr>
          <w:p w14:paraId="2E819E5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val="en-US" w:eastAsia="zh-CN"/>
              </w:rPr>
              <w:t>24</w:t>
            </w:r>
            <w:r>
              <w:rPr>
                <w:rFonts w:hint="eastAsia" w:ascii="Times New Roman" w:hAnsi="Times New Roman" w:eastAsia="宋体" w:cs="Times New Roman"/>
                <w:color w:val="auto"/>
                <w:sz w:val="21"/>
                <w:szCs w:val="21"/>
                <w:highlight w:val="none"/>
                <w:u w:val="none" w:color="auto"/>
                <w:lang w:val="en-US" w:eastAsia="zh-CN"/>
              </w:rPr>
              <w:t>t/a</w:t>
            </w:r>
          </w:p>
        </w:tc>
        <w:tc>
          <w:tcPr>
            <w:tcW w:w="1110" w:type="dxa"/>
            <w:noWrap w:val="0"/>
            <w:vAlign w:val="center"/>
          </w:tcPr>
          <w:p w14:paraId="1BF282D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4E9335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88" w:type="dxa"/>
            <w:vMerge w:val="continue"/>
            <w:noWrap w:val="0"/>
            <w:vAlign w:val="center"/>
          </w:tcPr>
          <w:p w14:paraId="41A19DA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tcBorders>
              <w:bottom w:val="single" w:color="000000" w:sz="4" w:space="0"/>
            </w:tcBorders>
            <w:noWrap w:val="0"/>
            <w:vAlign w:val="center"/>
          </w:tcPr>
          <w:p w14:paraId="44423354">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包装废弃物</w:t>
            </w:r>
          </w:p>
        </w:tc>
        <w:tc>
          <w:tcPr>
            <w:tcW w:w="1701" w:type="dxa"/>
            <w:tcBorders>
              <w:bottom w:val="single" w:color="000000" w:sz="4" w:space="0"/>
            </w:tcBorders>
            <w:noWrap w:val="0"/>
            <w:vAlign w:val="center"/>
          </w:tcPr>
          <w:p w14:paraId="38209B5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tcBorders>
              <w:bottom w:val="single" w:color="000000" w:sz="4" w:space="0"/>
            </w:tcBorders>
            <w:noWrap w:val="0"/>
            <w:vAlign w:val="center"/>
          </w:tcPr>
          <w:p w14:paraId="7C70E6C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tcBorders>
              <w:bottom w:val="single" w:color="000000" w:sz="4" w:space="0"/>
            </w:tcBorders>
            <w:noWrap w:val="0"/>
            <w:vAlign w:val="center"/>
          </w:tcPr>
          <w:p w14:paraId="6E5B627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tcBorders>
              <w:bottom w:val="single" w:color="000000" w:sz="4" w:space="0"/>
            </w:tcBorders>
            <w:noWrap w:val="0"/>
            <w:vAlign w:val="center"/>
          </w:tcPr>
          <w:p w14:paraId="52AEEFF8">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0.5</w:t>
            </w:r>
            <w:r>
              <w:rPr>
                <w:rFonts w:hint="eastAsia" w:ascii="Times New Roman" w:hAnsi="Times New Roman" w:eastAsia="宋体" w:cs="Times New Roman"/>
                <w:color w:val="auto"/>
                <w:sz w:val="21"/>
                <w:szCs w:val="21"/>
                <w:highlight w:val="none"/>
                <w:u w:val="none" w:color="auto"/>
                <w:lang w:val="en-US" w:eastAsia="zh-CN"/>
              </w:rPr>
              <w:t>t/a</w:t>
            </w:r>
          </w:p>
        </w:tc>
        <w:tc>
          <w:tcPr>
            <w:tcW w:w="1761" w:type="dxa"/>
            <w:tcBorders>
              <w:bottom w:val="single" w:color="000000" w:sz="4" w:space="0"/>
            </w:tcBorders>
            <w:noWrap w:val="0"/>
            <w:vAlign w:val="center"/>
          </w:tcPr>
          <w:p w14:paraId="1C187C0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tcBorders>
              <w:bottom w:val="single" w:color="000000" w:sz="4" w:space="0"/>
            </w:tcBorders>
            <w:noWrap w:val="0"/>
            <w:vAlign w:val="center"/>
          </w:tcPr>
          <w:p w14:paraId="6610A87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0.5</w:t>
            </w:r>
            <w:r>
              <w:rPr>
                <w:rFonts w:hint="eastAsia" w:ascii="Times New Roman" w:hAnsi="Times New Roman" w:eastAsia="宋体" w:cs="Times New Roman"/>
                <w:color w:val="auto"/>
                <w:sz w:val="21"/>
                <w:szCs w:val="21"/>
                <w:highlight w:val="none"/>
                <w:u w:val="none" w:color="auto"/>
                <w:lang w:val="en-US" w:eastAsia="zh-CN"/>
              </w:rPr>
              <w:t>t/a</w:t>
            </w:r>
          </w:p>
        </w:tc>
        <w:tc>
          <w:tcPr>
            <w:tcW w:w="1110" w:type="dxa"/>
            <w:tcBorders>
              <w:bottom w:val="single" w:color="000000" w:sz="4" w:space="0"/>
            </w:tcBorders>
            <w:noWrap w:val="0"/>
            <w:vAlign w:val="center"/>
          </w:tcPr>
          <w:p w14:paraId="5FA0EED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3C9283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9" w:hRule="atLeast"/>
        </w:trPr>
        <w:tc>
          <w:tcPr>
            <w:tcW w:w="1588" w:type="dxa"/>
            <w:vMerge w:val="continue"/>
            <w:noWrap w:val="0"/>
            <w:vAlign w:val="center"/>
          </w:tcPr>
          <w:p w14:paraId="25E113B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tcBorders>
              <w:top w:val="single" w:color="000000" w:sz="4" w:space="0"/>
              <w:bottom w:val="single" w:color="000000" w:sz="4" w:space="0"/>
            </w:tcBorders>
            <w:noWrap w:val="0"/>
            <w:vAlign w:val="center"/>
          </w:tcPr>
          <w:p w14:paraId="310A304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eastAsia="zh-CN"/>
              </w:rPr>
              <w:t>废钢丸</w:t>
            </w:r>
          </w:p>
        </w:tc>
        <w:tc>
          <w:tcPr>
            <w:tcW w:w="1701" w:type="dxa"/>
            <w:tcBorders>
              <w:top w:val="single" w:color="000000" w:sz="4" w:space="0"/>
              <w:bottom w:val="single" w:color="000000" w:sz="4" w:space="0"/>
            </w:tcBorders>
            <w:shd w:val="clear" w:color="auto" w:fill="auto"/>
            <w:noWrap w:val="0"/>
            <w:vAlign w:val="center"/>
          </w:tcPr>
          <w:p w14:paraId="58276A2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c>
          <w:tcPr>
            <w:tcW w:w="1276" w:type="dxa"/>
            <w:tcBorders>
              <w:top w:val="single" w:color="000000" w:sz="4" w:space="0"/>
              <w:bottom w:val="single" w:color="000000" w:sz="4" w:space="0"/>
            </w:tcBorders>
            <w:shd w:val="clear" w:color="auto" w:fill="auto"/>
            <w:noWrap w:val="0"/>
            <w:vAlign w:val="center"/>
          </w:tcPr>
          <w:p w14:paraId="5010488C">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c>
          <w:tcPr>
            <w:tcW w:w="1701" w:type="dxa"/>
            <w:tcBorders>
              <w:top w:val="single" w:color="000000" w:sz="4" w:space="0"/>
              <w:bottom w:val="single" w:color="000000" w:sz="4" w:space="0"/>
            </w:tcBorders>
            <w:shd w:val="clear" w:color="auto" w:fill="auto"/>
            <w:noWrap w:val="0"/>
            <w:vAlign w:val="center"/>
          </w:tcPr>
          <w:p w14:paraId="7A1899A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c>
          <w:tcPr>
            <w:tcW w:w="1559" w:type="dxa"/>
            <w:tcBorders>
              <w:top w:val="single" w:color="000000" w:sz="4" w:space="0"/>
              <w:bottom w:val="single" w:color="000000" w:sz="4" w:space="0"/>
            </w:tcBorders>
            <w:noWrap w:val="0"/>
            <w:vAlign w:val="center"/>
          </w:tcPr>
          <w:p w14:paraId="227E74F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val="en-US" w:eastAsia="zh-CN"/>
              </w:rPr>
            </w:pPr>
            <w:r>
              <w:rPr>
                <w:rFonts w:hint="eastAsia" w:cs="Times New Roman"/>
                <w:color w:val="auto"/>
                <w:sz w:val="21"/>
                <w:szCs w:val="21"/>
                <w:highlight w:val="none"/>
                <w:u w:val="none" w:color="auto"/>
                <w:lang w:val="en-US" w:eastAsia="zh-CN"/>
              </w:rPr>
              <w:t>50</w:t>
            </w:r>
            <w:r>
              <w:rPr>
                <w:rFonts w:hint="eastAsia" w:ascii="Times New Roman" w:hAnsi="Times New Roman" w:eastAsia="宋体" w:cs="Times New Roman"/>
                <w:color w:val="auto"/>
                <w:sz w:val="21"/>
                <w:szCs w:val="21"/>
                <w:highlight w:val="none"/>
                <w:u w:val="none" w:color="auto"/>
                <w:lang w:val="en-US" w:eastAsia="zh-CN"/>
              </w:rPr>
              <w:t>t/a</w:t>
            </w:r>
          </w:p>
        </w:tc>
        <w:tc>
          <w:tcPr>
            <w:tcW w:w="1761" w:type="dxa"/>
            <w:tcBorders>
              <w:top w:val="single" w:color="000000" w:sz="4" w:space="0"/>
              <w:bottom w:val="single" w:color="000000" w:sz="4" w:space="0"/>
            </w:tcBorders>
            <w:shd w:val="clear" w:color="auto" w:fill="auto"/>
            <w:noWrap w:val="0"/>
            <w:vAlign w:val="center"/>
          </w:tcPr>
          <w:p w14:paraId="4C2FABF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c>
          <w:tcPr>
            <w:tcW w:w="1675" w:type="dxa"/>
            <w:tcBorders>
              <w:top w:val="single" w:color="000000" w:sz="4" w:space="0"/>
              <w:bottom w:val="single" w:color="000000" w:sz="4" w:space="0"/>
            </w:tcBorders>
            <w:noWrap w:val="0"/>
            <w:vAlign w:val="center"/>
          </w:tcPr>
          <w:p w14:paraId="428DF8E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val="en-US" w:eastAsia="zh-CN"/>
              </w:rPr>
              <w:t>50</w:t>
            </w:r>
            <w:r>
              <w:rPr>
                <w:rFonts w:hint="eastAsia" w:ascii="Times New Roman" w:hAnsi="Times New Roman" w:eastAsia="宋体" w:cs="Times New Roman"/>
                <w:color w:val="auto"/>
                <w:sz w:val="21"/>
                <w:szCs w:val="21"/>
                <w:highlight w:val="none"/>
                <w:u w:val="none" w:color="auto"/>
                <w:lang w:val="en-US" w:eastAsia="zh-CN"/>
              </w:rPr>
              <w:t>t/a</w:t>
            </w:r>
          </w:p>
        </w:tc>
        <w:tc>
          <w:tcPr>
            <w:tcW w:w="1110" w:type="dxa"/>
            <w:tcBorders>
              <w:top w:val="single" w:color="000000" w:sz="4" w:space="0"/>
              <w:bottom w:val="single" w:color="000000" w:sz="4" w:space="0"/>
            </w:tcBorders>
            <w:shd w:val="clear" w:color="auto" w:fill="auto"/>
            <w:noWrap w:val="0"/>
            <w:vAlign w:val="center"/>
          </w:tcPr>
          <w:p w14:paraId="0F423FF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r>
      <w:tr w14:paraId="022BAA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2" w:hRule="atLeast"/>
        </w:trPr>
        <w:tc>
          <w:tcPr>
            <w:tcW w:w="1588" w:type="dxa"/>
            <w:vMerge w:val="continue"/>
            <w:noWrap w:val="0"/>
            <w:vAlign w:val="center"/>
          </w:tcPr>
          <w:p w14:paraId="316146A5">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tcBorders>
              <w:top w:val="single" w:color="000000" w:sz="4" w:space="0"/>
            </w:tcBorders>
            <w:noWrap w:val="0"/>
            <w:vAlign w:val="center"/>
          </w:tcPr>
          <w:p w14:paraId="57683822">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eastAsia="zh-CN"/>
              </w:rPr>
              <w:t>废砂芯</w:t>
            </w:r>
          </w:p>
        </w:tc>
        <w:tc>
          <w:tcPr>
            <w:tcW w:w="1701" w:type="dxa"/>
            <w:tcBorders>
              <w:top w:val="single" w:color="000000" w:sz="4" w:space="0"/>
            </w:tcBorders>
            <w:shd w:val="clear" w:color="auto" w:fill="auto"/>
            <w:noWrap w:val="0"/>
            <w:vAlign w:val="center"/>
          </w:tcPr>
          <w:p w14:paraId="24C4E58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c>
          <w:tcPr>
            <w:tcW w:w="1276" w:type="dxa"/>
            <w:tcBorders>
              <w:top w:val="single" w:color="000000" w:sz="4" w:space="0"/>
            </w:tcBorders>
            <w:shd w:val="clear" w:color="auto" w:fill="auto"/>
            <w:noWrap w:val="0"/>
            <w:vAlign w:val="center"/>
          </w:tcPr>
          <w:p w14:paraId="0B6FF84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c>
          <w:tcPr>
            <w:tcW w:w="1701" w:type="dxa"/>
            <w:tcBorders>
              <w:top w:val="single" w:color="000000" w:sz="4" w:space="0"/>
            </w:tcBorders>
            <w:shd w:val="clear" w:color="auto" w:fill="auto"/>
            <w:noWrap w:val="0"/>
            <w:vAlign w:val="center"/>
          </w:tcPr>
          <w:p w14:paraId="5574F61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c>
          <w:tcPr>
            <w:tcW w:w="1559" w:type="dxa"/>
            <w:tcBorders>
              <w:top w:val="single" w:color="000000" w:sz="4" w:space="0"/>
            </w:tcBorders>
            <w:noWrap w:val="0"/>
            <w:vAlign w:val="center"/>
          </w:tcPr>
          <w:p w14:paraId="021B57C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val="en-US" w:eastAsia="zh-CN"/>
              </w:rPr>
              <w:t>50</w:t>
            </w:r>
            <w:r>
              <w:rPr>
                <w:rFonts w:hint="eastAsia" w:ascii="Times New Roman" w:hAnsi="Times New Roman" w:eastAsia="宋体" w:cs="Times New Roman"/>
                <w:color w:val="auto"/>
                <w:sz w:val="21"/>
                <w:szCs w:val="21"/>
                <w:highlight w:val="none"/>
                <w:u w:val="none" w:color="auto"/>
                <w:lang w:val="en-US" w:eastAsia="zh-CN"/>
              </w:rPr>
              <w:t>t/a</w:t>
            </w:r>
          </w:p>
        </w:tc>
        <w:tc>
          <w:tcPr>
            <w:tcW w:w="1761" w:type="dxa"/>
            <w:tcBorders>
              <w:top w:val="single" w:color="000000" w:sz="4" w:space="0"/>
            </w:tcBorders>
            <w:shd w:val="clear" w:color="auto" w:fill="auto"/>
            <w:noWrap w:val="0"/>
            <w:vAlign w:val="center"/>
          </w:tcPr>
          <w:p w14:paraId="01824CF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c>
          <w:tcPr>
            <w:tcW w:w="1675" w:type="dxa"/>
            <w:tcBorders>
              <w:top w:val="single" w:color="000000" w:sz="4" w:space="0"/>
            </w:tcBorders>
            <w:noWrap w:val="0"/>
            <w:vAlign w:val="center"/>
          </w:tcPr>
          <w:p w14:paraId="55FEBF2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val="en-US" w:eastAsia="zh-CN"/>
              </w:rPr>
              <w:t>50</w:t>
            </w:r>
            <w:r>
              <w:rPr>
                <w:rFonts w:hint="eastAsia" w:ascii="Times New Roman" w:hAnsi="Times New Roman" w:eastAsia="宋体" w:cs="Times New Roman"/>
                <w:color w:val="auto"/>
                <w:sz w:val="21"/>
                <w:szCs w:val="21"/>
                <w:highlight w:val="none"/>
                <w:u w:val="none" w:color="auto"/>
                <w:lang w:val="en-US" w:eastAsia="zh-CN"/>
              </w:rPr>
              <w:t>t/a</w:t>
            </w:r>
          </w:p>
        </w:tc>
        <w:tc>
          <w:tcPr>
            <w:tcW w:w="1110" w:type="dxa"/>
            <w:tcBorders>
              <w:top w:val="single" w:color="000000" w:sz="4" w:space="0"/>
            </w:tcBorders>
            <w:shd w:val="clear" w:color="auto" w:fill="auto"/>
            <w:noWrap w:val="0"/>
            <w:vAlign w:val="center"/>
          </w:tcPr>
          <w:p w14:paraId="3F5DA8E9">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kern w:val="2"/>
                <w:sz w:val="21"/>
                <w:szCs w:val="21"/>
                <w:highlight w:val="none"/>
                <w:u w:val="none" w:color="auto"/>
                <w:lang w:val="en-US" w:eastAsia="zh-CN" w:bidi="ar-SA"/>
              </w:rPr>
            </w:pPr>
            <w:r>
              <w:rPr>
                <w:rFonts w:hint="eastAsia" w:ascii="Times New Roman" w:hAnsi="Times New Roman" w:eastAsia="宋体" w:cs="Times New Roman"/>
                <w:color w:val="auto"/>
                <w:sz w:val="21"/>
                <w:szCs w:val="21"/>
                <w:highlight w:val="none"/>
                <w:u w:val="none" w:color="auto"/>
                <w:lang w:eastAsia="zh-CN"/>
              </w:rPr>
              <w:t>/</w:t>
            </w:r>
          </w:p>
        </w:tc>
      </w:tr>
      <w:tr w14:paraId="01323F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1588" w:type="dxa"/>
            <w:vMerge w:val="restart"/>
            <w:noWrap w:val="0"/>
            <w:vAlign w:val="center"/>
          </w:tcPr>
          <w:p w14:paraId="0F581DD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危险废物</w:t>
            </w:r>
          </w:p>
        </w:tc>
        <w:tc>
          <w:tcPr>
            <w:tcW w:w="1417" w:type="dxa"/>
            <w:noWrap w:val="0"/>
            <w:vAlign w:val="center"/>
          </w:tcPr>
          <w:p w14:paraId="630B92F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default" w:ascii="Times New Roman" w:hAnsi="Times New Roman" w:eastAsia="宋体" w:cs="Times New Roman"/>
                <w:color w:val="auto"/>
                <w:sz w:val="21"/>
                <w:szCs w:val="21"/>
                <w:highlight w:val="none"/>
                <w:u w:val="none" w:color="auto"/>
                <w:lang w:eastAsia="zh-CN"/>
              </w:rPr>
              <w:t>废润滑油</w:t>
            </w:r>
          </w:p>
        </w:tc>
        <w:tc>
          <w:tcPr>
            <w:tcW w:w="1701" w:type="dxa"/>
            <w:noWrap w:val="0"/>
            <w:vAlign w:val="center"/>
          </w:tcPr>
          <w:p w14:paraId="25EE043B">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noWrap w:val="0"/>
            <w:vAlign w:val="center"/>
          </w:tcPr>
          <w:p w14:paraId="3168832D">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noWrap w:val="0"/>
            <w:vAlign w:val="center"/>
          </w:tcPr>
          <w:p w14:paraId="0357017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noWrap w:val="0"/>
            <w:vAlign w:val="center"/>
          </w:tcPr>
          <w:p w14:paraId="4AB875FA">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eastAsia="zh-CN"/>
              </w:rPr>
              <w:t>0.05</w:t>
            </w:r>
            <w:r>
              <w:rPr>
                <w:rFonts w:hint="eastAsia" w:ascii="Times New Roman" w:hAnsi="Times New Roman" w:eastAsia="宋体" w:cs="Times New Roman"/>
                <w:color w:val="auto"/>
                <w:sz w:val="21"/>
                <w:szCs w:val="21"/>
                <w:highlight w:val="none"/>
                <w:u w:val="none" w:color="auto"/>
                <w:lang w:val="en-US" w:eastAsia="zh-CN"/>
              </w:rPr>
              <w:t>t/a</w:t>
            </w:r>
          </w:p>
        </w:tc>
        <w:tc>
          <w:tcPr>
            <w:tcW w:w="1761" w:type="dxa"/>
            <w:noWrap w:val="0"/>
            <w:vAlign w:val="center"/>
          </w:tcPr>
          <w:p w14:paraId="3ED321D3">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noWrap w:val="0"/>
            <w:vAlign w:val="center"/>
          </w:tcPr>
          <w:p w14:paraId="1024FD88">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0.05</w:t>
            </w:r>
            <w:r>
              <w:rPr>
                <w:rFonts w:hint="eastAsia" w:ascii="Times New Roman" w:hAnsi="Times New Roman" w:eastAsia="宋体" w:cs="Times New Roman"/>
                <w:color w:val="auto"/>
                <w:sz w:val="21"/>
                <w:szCs w:val="21"/>
                <w:highlight w:val="none"/>
                <w:u w:val="none" w:color="auto"/>
                <w:lang w:val="en-US" w:eastAsia="zh-CN"/>
              </w:rPr>
              <w:t>t/a</w:t>
            </w:r>
          </w:p>
        </w:tc>
        <w:tc>
          <w:tcPr>
            <w:tcW w:w="1110" w:type="dxa"/>
            <w:noWrap w:val="0"/>
            <w:vAlign w:val="center"/>
          </w:tcPr>
          <w:p w14:paraId="4E009B4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059C4A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588" w:type="dxa"/>
            <w:vMerge w:val="continue"/>
            <w:noWrap w:val="0"/>
            <w:vAlign w:val="center"/>
          </w:tcPr>
          <w:p w14:paraId="6187D7CE">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noWrap w:val="0"/>
            <w:vAlign w:val="center"/>
          </w:tcPr>
          <w:p w14:paraId="4AC9E7F0">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废液压油</w:t>
            </w:r>
          </w:p>
        </w:tc>
        <w:tc>
          <w:tcPr>
            <w:tcW w:w="1701" w:type="dxa"/>
            <w:noWrap w:val="0"/>
            <w:vAlign w:val="center"/>
          </w:tcPr>
          <w:p w14:paraId="13EBF51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noWrap w:val="0"/>
            <w:vAlign w:val="center"/>
          </w:tcPr>
          <w:p w14:paraId="69D911B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noWrap w:val="0"/>
            <w:vAlign w:val="center"/>
          </w:tcPr>
          <w:p w14:paraId="7A0B72E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noWrap w:val="0"/>
            <w:vAlign w:val="center"/>
          </w:tcPr>
          <w:p w14:paraId="2D9B281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0.05t/a</w:t>
            </w:r>
          </w:p>
        </w:tc>
        <w:tc>
          <w:tcPr>
            <w:tcW w:w="1761" w:type="dxa"/>
            <w:noWrap w:val="0"/>
            <w:vAlign w:val="center"/>
          </w:tcPr>
          <w:p w14:paraId="05FE1E13">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noWrap w:val="0"/>
            <w:vAlign w:val="center"/>
          </w:tcPr>
          <w:p w14:paraId="26DDEBB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val="en-US" w:eastAsia="zh-CN"/>
              </w:rPr>
              <w:t>0.05t/a</w:t>
            </w:r>
          </w:p>
        </w:tc>
        <w:tc>
          <w:tcPr>
            <w:tcW w:w="1110" w:type="dxa"/>
            <w:noWrap w:val="0"/>
            <w:vAlign w:val="center"/>
          </w:tcPr>
          <w:p w14:paraId="51EFB92A">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3752172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1588" w:type="dxa"/>
            <w:vMerge w:val="continue"/>
            <w:noWrap w:val="0"/>
            <w:vAlign w:val="center"/>
          </w:tcPr>
          <w:p w14:paraId="5494D61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tcBorders>
              <w:bottom w:val="single" w:color="000000" w:sz="4" w:space="0"/>
            </w:tcBorders>
            <w:noWrap w:val="0"/>
            <w:vAlign w:val="center"/>
          </w:tcPr>
          <w:p w14:paraId="06F9ACFB">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color w:val="auto"/>
                <w:sz w:val="21"/>
                <w:szCs w:val="21"/>
                <w:lang w:val="en-US" w:eastAsia="zh-CN"/>
              </w:rPr>
              <w:t>铝屑切削油混合物</w:t>
            </w:r>
          </w:p>
        </w:tc>
        <w:tc>
          <w:tcPr>
            <w:tcW w:w="1701" w:type="dxa"/>
            <w:tcBorders>
              <w:bottom w:val="single" w:color="000000" w:sz="4" w:space="0"/>
            </w:tcBorders>
            <w:noWrap w:val="0"/>
            <w:vAlign w:val="center"/>
          </w:tcPr>
          <w:p w14:paraId="6D1839A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tcBorders>
              <w:bottom w:val="single" w:color="000000" w:sz="4" w:space="0"/>
            </w:tcBorders>
            <w:noWrap w:val="0"/>
            <w:vAlign w:val="center"/>
          </w:tcPr>
          <w:p w14:paraId="150C60CF">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tcBorders>
              <w:bottom w:val="single" w:color="000000" w:sz="4" w:space="0"/>
            </w:tcBorders>
            <w:noWrap w:val="0"/>
            <w:vAlign w:val="center"/>
          </w:tcPr>
          <w:p w14:paraId="7AEBF8F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tcBorders>
              <w:bottom w:val="single" w:color="000000" w:sz="4" w:space="0"/>
            </w:tcBorders>
            <w:noWrap w:val="0"/>
            <w:vAlign w:val="center"/>
          </w:tcPr>
          <w:p w14:paraId="706A4D96">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val="en-US" w:eastAsia="zh-CN"/>
              </w:rPr>
              <w:t>2.4</w:t>
            </w:r>
            <w:r>
              <w:rPr>
                <w:rFonts w:hint="eastAsia" w:ascii="Times New Roman" w:hAnsi="Times New Roman" w:eastAsia="宋体" w:cs="Times New Roman"/>
                <w:color w:val="auto"/>
                <w:sz w:val="21"/>
                <w:szCs w:val="21"/>
                <w:highlight w:val="none"/>
                <w:u w:val="none" w:color="auto"/>
                <w:lang w:val="en-US" w:eastAsia="zh-CN"/>
              </w:rPr>
              <w:t>t/a</w:t>
            </w:r>
          </w:p>
        </w:tc>
        <w:tc>
          <w:tcPr>
            <w:tcW w:w="1761" w:type="dxa"/>
            <w:tcBorders>
              <w:bottom w:val="single" w:color="000000" w:sz="4" w:space="0"/>
            </w:tcBorders>
            <w:noWrap w:val="0"/>
            <w:vAlign w:val="center"/>
          </w:tcPr>
          <w:p w14:paraId="77477D1D">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tcBorders>
              <w:bottom w:val="single" w:color="000000" w:sz="4" w:space="0"/>
            </w:tcBorders>
            <w:noWrap w:val="0"/>
            <w:vAlign w:val="center"/>
          </w:tcPr>
          <w:p w14:paraId="2F862FD1">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cs="Times New Roman"/>
                <w:color w:val="auto"/>
                <w:sz w:val="21"/>
                <w:szCs w:val="21"/>
                <w:highlight w:val="none"/>
                <w:u w:val="none" w:color="auto"/>
                <w:lang w:val="en-US" w:eastAsia="zh-CN"/>
              </w:rPr>
              <w:t>2.4</w:t>
            </w:r>
            <w:r>
              <w:rPr>
                <w:rFonts w:hint="eastAsia" w:ascii="Times New Roman" w:hAnsi="Times New Roman" w:eastAsia="宋体" w:cs="Times New Roman"/>
                <w:color w:val="auto"/>
                <w:sz w:val="21"/>
                <w:szCs w:val="21"/>
                <w:highlight w:val="none"/>
                <w:u w:val="none" w:color="auto"/>
                <w:lang w:val="en-US" w:eastAsia="zh-CN"/>
              </w:rPr>
              <w:t>t/a</w:t>
            </w:r>
          </w:p>
        </w:tc>
        <w:tc>
          <w:tcPr>
            <w:tcW w:w="1110" w:type="dxa"/>
            <w:tcBorders>
              <w:bottom w:val="single" w:color="000000" w:sz="4" w:space="0"/>
            </w:tcBorders>
            <w:noWrap w:val="0"/>
            <w:vAlign w:val="center"/>
          </w:tcPr>
          <w:p w14:paraId="7B25CE39">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r w14:paraId="1BF860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8" w:hRule="atLeast"/>
        </w:trPr>
        <w:tc>
          <w:tcPr>
            <w:tcW w:w="1588" w:type="dxa"/>
            <w:vMerge w:val="continue"/>
            <w:noWrap w:val="0"/>
            <w:vAlign w:val="center"/>
          </w:tcPr>
          <w:p w14:paraId="511BA337">
            <w:pPr>
              <w:adjustRightInd w:val="0"/>
              <w:snapToGrid w:val="0"/>
              <w:spacing w:before="78" w:beforeLines="25" w:after="78" w:afterLines="25" w:line="240" w:lineRule="auto"/>
              <w:ind w:left="0" w:leftChars="0" w:firstLine="0" w:firstLineChars="0"/>
              <w:jc w:val="center"/>
              <w:rPr>
                <w:rFonts w:hint="default" w:ascii="Times New Roman" w:hAnsi="Times New Roman" w:eastAsia="宋体" w:cs="Times New Roman"/>
                <w:color w:val="auto"/>
                <w:sz w:val="21"/>
                <w:szCs w:val="21"/>
                <w:highlight w:val="none"/>
                <w:u w:val="none" w:color="auto"/>
                <w:lang w:eastAsia="zh-CN"/>
              </w:rPr>
            </w:pPr>
          </w:p>
        </w:tc>
        <w:tc>
          <w:tcPr>
            <w:tcW w:w="1417" w:type="dxa"/>
            <w:tcBorders>
              <w:top w:val="single" w:color="000000" w:sz="4" w:space="0"/>
            </w:tcBorders>
            <w:noWrap w:val="0"/>
            <w:vAlign w:val="center"/>
          </w:tcPr>
          <w:p w14:paraId="1B23B688">
            <w:pPr>
              <w:adjustRightInd w:val="0"/>
              <w:snapToGrid w:val="0"/>
              <w:spacing w:before="78" w:beforeLines="25" w:after="78" w:afterLines="25" w:line="240" w:lineRule="auto"/>
              <w:ind w:left="0" w:leftChars="0" w:firstLine="0" w:firstLineChars="0"/>
              <w:jc w:val="center"/>
              <w:rPr>
                <w:rFonts w:hint="eastAsia"/>
                <w:color w:val="auto"/>
                <w:sz w:val="21"/>
                <w:szCs w:val="21"/>
                <w:lang w:val="en-US" w:eastAsia="zh-CN"/>
              </w:rPr>
            </w:pPr>
            <w:r>
              <w:rPr>
                <w:rFonts w:hint="eastAsia"/>
                <w:color w:val="auto"/>
                <w:sz w:val="21"/>
                <w:szCs w:val="21"/>
                <w:lang w:val="en-US" w:eastAsia="zh-CN"/>
              </w:rPr>
              <w:t>铝灰</w:t>
            </w:r>
          </w:p>
        </w:tc>
        <w:tc>
          <w:tcPr>
            <w:tcW w:w="1701" w:type="dxa"/>
            <w:tcBorders>
              <w:top w:val="single" w:color="000000" w:sz="4" w:space="0"/>
            </w:tcBorders>
            <w:noWrap w:val="0"/>
            <w:vAlign w:val="center"/>
          </w:tcPr>
          <w:p w14:paraId="14437FB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276" w:type="dxa"/>
            <w:tcBorders>
              <w:top w:val="single" w:color="000000" w:sz="4" w:space="0"/>
            </w:tcBorders>
            <w:noWrap w:val="0"/>
            <w:vAlign w:val="center"/>
          </w:tcPr>
          <w:p w14:paraId="686D446F">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701" w:type="dxa"/>
            <w:tcBorders>
              <w:top w:val="single" w:color="000000" w:sz="4" w:space="0"/>
            </w:tcBorders>
            <w:noWrap w:val="0"/>
            <w:vAlign w:val="center"/>
          </w:tcPr>
          <w:p w14:paraId="1C95965E">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559" w:type="dxa"/>
            <w:tcBorders>
              <w:top w:val="single" w:color="000000" w:sz="4" w:space="0"/>
            </w:tcBorders>
            <w:noWrap w:val="0"/>
            <w:vAlign w:val="center"/>
          </w:tcPr>
          <w:p w14:paraId="4ADA9B6A">
            <w:pPr>
              <w:adjustRightInd w:val="0"/>
              <w:snapToGrid w:val="0"/>
              <w:spacing w:before="78" w:beforeLines="25" w:after="78" w:afterLines="25" w:line="240" w:lineRule="auto"/>
              <w:ind w:left="0" w:leftChars="0" w:firstLine="0" w:firstLineChars="0"/>
              <w:jc w:val="center"/>
              <w:rPr>
                <w:rFonts w:hint="eastAsia"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6.0625t/a</w:t>
            </w:r>
          </w:p>
        </w:tc>
        <w:tc>
          <w:tcPr>
            <w:tcW w:w="1761" w:type="dxa"/>
            <w:tcBorders>
              <w:top w:val="single" w:color="000000" w:sz="4" w:space="0"/>
            </w:tcBorders>
            <w:noWrap w:val="0"/>
            <w:vAlign w:val="center"/>
          </w:tcPr>
          <w:p w14:paraId="384E7F27">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c>
          <w:tcPr>
            <w:tcW w:w="1675" w:type="dxa"/>
            <w:tcBorders>
              <w:top w:val="single" w:color="000000" w:sz="4" w:space="0"/>
            </w:tcBorders>
            <w:noWrap w:val="0"/>
            <w:vAlign w:val="center"/>
          </w:tcPr>
          <w:p w14:paraId="62D7DCBD">
            <w:pPr>
              <w:adjustRightInd w:val="0"/>
              <w:snapToGrid w:val="0"/>
              <w:spacing w:before="78" w:beforeLines="25" w:after="78" w:afterLines="25" w:line="240" w:lineRule="auto"/>
              <w:ind w:left="0" w:leftChars="0" w:firstLine="0" w:firstLineChars="0"/>
              <w:jc w:val="center"/>
              <w:rPr>
                <w:rFonts w:hint="eastAsia" w:cs="Times New Roman"/>
                <w:color w:val="auto"/>
                <w:sz w:val="21"/>
                <w:szCs w:val="21"/>
                <w:highlight w:val="none"/>
                <w:u w:val="none" w:color="auto"/>
                <w:lang w:val="en-US" w:eastAsia="zh-CN"/>
              </w:rPr>
            </w:pPr>
            <w:r>
              <w:rPr>
                <w:rFonts w:hint="eastAsia" w:ascii="Times New Roman" w:hAnsi="Times New Roman" w:eastAsia="宋体" w:cs="Times New Roman"/>
                <w:color w:val="auto"/>
                <w:sz w:val="21"/>
                <w:szCs w:val="21"/>
                <w:highlight w:val="none"/>
                <w:u w:val="none" w:color="auto"/>
                <w:lang w:val="en-US" w:eastAsia="zh-CN"/>
              </w:rPr>
              <w:t>6.0625t/a</w:t>
            </w:r>
          </w:p>
        </w:tc>
        <w:tc>
          <w:tcPr>
            <w:tcW w:w="1110" w:type="dxa"/>
            <w:tcBorders>
              <w:top w:val="single" w:color="000000" w:sz="4" w:space="0"/>
            </w:tcBorders>
            <w:noWrap w:val="0"/>
            <w:vAlign w:val="center"/>
          </w:tcPr>
          <w:p w14:paraId="0ED62B70">
            <w:pPr>
              <w:adjustRightInd w:val="0"/>
              <w:snapToGrid w:val="0"/>
              <w:spacing w:before="78" w:beforeLines="25" w:after="78" w:afterLines="25" w:line="240" w:lineRule="auto"/>
              <w:ind w:left="0" w:leftChars="0" w:firstLine="0" w:firstLineChars="0"/>
              <w:jc w:val="center"/>
              <w:rPr>
                <w:rFonts w:hint="eastAsia" w:ascii="Times New Roman" w:hAnsi="Times New Roman" w:eastAsia="宋体" w:cs="Times New Roman"/>
                <w:color w:val="auto"/>
                <w:sz w:val="21"/>
                <w:szCs w:val="21"/>
                <w:highlight w:val="none"/>
                <w:u w:val="none" w:color="auto"/>
                <w:lang w:eastAsia="zh-CN"/>
              </w:rPr>
            </w:pPr>
            <w:r>
              <w:rPr>
                <w:rFonts w:hint="eastAsia" w:ascii="Times New Roman" w:hAnsi="Times New Roman" w:eastAsia="宋体" w:cs="Times New Roman"/>
                <w:color w:val="auto"/>
                <w:sz w:val="21"/>
                <w:szCs w:val="21"/>
                <w:highlight w:val="none"/>
                <w:u w:val="none" w:color="auto"/>
                <w:lang w:eastAsia="zh-CN"/>
              </w:rPr>
              <w:t>/</w:t>
            </w:r>
          </w:p>
        </w:tc>
      </w:tr>
    </w:tbl>
    <w:p w14:paraId="0B63BE5E">
      <w:pPr>
        <w:pStyle w:val="38"/>
        <w:spacing w:before="192" w:beforeLines="80" w:after="24"/>
        <w:jc w:val="left"/>
        <w:rPr>
          <w:color w:val="auto"/>
        </w:rPr>
      </w:pPr>
      <w:r>
        <w:rPr>
          <w:rFonts w:ascii="Times New Roman"/>
          <w:snapToGrid w:val="0"/>
          <w:color w:val="auto"/>
          <w:kern w:val="21"/>
          <w:szCs w:val="21"/>
        </w:rPr>
        <w:t>注：</w:t>
      </w:r>
      <w:r>
        <w:rPr>
          <w:rFonts w:ascii="Times New Roman"/>
          <w:snapToGrid w:val="0"/>
          <w:color w:val="auto"/>
          <w:spacing w:val="-16"/>
          <w:kern w:val="21"/>
          <w:szCs w:val="21"/>
        </w:rPr>
        <w:fldChar w:fldCharType="begin"/>
      </w:r>
      <w:r>
        <w:rPr>
          <w:rFonts w:ascii="Times New Roman"/>
          <w:snapToGrid w:val="0"/>
          <w:color w:val="auto"/>
          <w:spacing w:val="-16"/>
          <w:kern w:val="21"/>
          <w:szCs w:val="21"/>
        </w:rPr>
        <w:instrText xml:space="preserve"> = 6 \* GB3 \* MERGEFORMAT </w:instrText>
      </w:r>
      <w:r>
        <w:rPr>
          <w:rFonts w:ascii="Times New Roman"/>
          <w:snapToGrid w:val="0"/>
          <w:color w:val="auto"/>
          <w:spacing w:val="-16"/>
          <w:kern w:val="21"/>
          <w:szCs w:val="21"/>
        </w:rPr>
        <w:fldChar w:fldCharType="separate"/>
      </w:r>
      <w:r>
        <w:rPr>
          <w:rFonts w:hint="eastAsia" w:hAnsi="宋体" w:cs="宋体"/>
          <w:color w:val="auto"/>
          <w:szCs w:val="21"/>
        </w:rPr>
        <w:t>⑥</w:t>
      </w:r>
      <w:r>
        <w:rPr>
          <w:rFonts w:ascii="Times New Roman"/>
          <w:snapToGrid w:val="0"/>
          <w:color w:val="auto"/>
          <w:spacing w:val="-16"/>
          <w:kern w:val="21"/>
          <w:szCs w:val="21"/>
        </w:rPr>
        <w:fldChar w:fldCharType="end"/>
      </w:r>
      <w:r>
        <w:rPr>
          <w:rFonts w:ascii="Times New Roman"/>
          <w:snapToGrid w:val="0"/>
          <w:color w:val="auto"/>
          <w:spacing w:val="-16"/>
          <w:kern w:val="21"/>
          <w:szCs w:val="21"/>
        </w:rPr>
        <w:t>=</w:t>
      </w:r>
      <w:r>
        <w:rPr>
          <w:rFonts w:ascii="Times New Roman"/>
          <w:snapToGrid w:val="0"/>
          <w:color w:val="auto"/>
          <w:spacing w:val="-6"/>
          <w:kern w:val="21"/>
          <w:szCs w:val="21"/>
        </w:rPr>
        <w:fldChar w:fldCharType="begin"/>
      </w:r>
      <w:r>
        <w:rPr>
          <w:rFonts w:ascii="Times New Roman"/>
          <w:snapToGrid w:val="0"/>
          <w:color w:val="auto"/>
          <w:spacing w:val="-6"/>
          <w:kern w:val="21"/>
          <w:szCs w:val="21"/>
        </w:rPr>
        <w:instrText xml:space="preserve"> = 1 \* GB3 \* MERGEFORMAT </w:instrText>
      </w:r>
      <w:r>
        <w:rPr>
          <w:rFonts w:ascii="Times New Roman"/>
          <w:snapToGrid w:val="0"/>
          <w:color w:val="auto"/>
          <w:spacing w:val="-6"/>
          <w:kern w:val="21"/>
          <w:szCs w:val="21"/>
        </w:rPr>
        <w:fldChar w:fldCharType="separate"/>
      </w:r>
      <w:r>
        <w:rPr>
          <w:rFonts w:hint="eastAsia" w:hAnsi="宋体" w:cs="宋体"/>
          <w:color w:val="auto"/>
          <w:szCs w:val="21"/>
        </w:rPr>
        <w:t>①</w:t>
      </w:r>
      <w:r>
        <w:rPr>
          <w:rFonts w:ascii="Times New Roman"/>
          <w:snapToGrid w:val="0"/>
          <w:color w:val="auto"/>
          <w:spacing w:val="-6"/>
          <w:kern w:val="21"/>
          <w:szCs w:val="21"/>
        </w:rPr>
        <w:fldChar w:fldCharType="end"/>
      </w:r>
      <w:r>
        <w:rPr>
          <w:rFonts w:ascii="Times New Roman"/>
          <w:snapToGrid w:val="0"/>
          <w:color w:val="auto"/>
          <w:spacing w:val="-6"/>
          <w:kern w:val="21"/>
          <w:szCs w:val="21"/>
        </w:rPr>
        <w:t>+</w:t>
      </w:r>
      <w:r>
        <w:rPr>
          <w:rFonts w:ascii="Times New Roman"/>
          <w:snapToGrid w:val="0"/>
          <w:color w:val="auto"/>
          <w:spacing w:val="-6"/>
          <w:kern w:val="21"/>
          <w:szCs w:val="21"/>
        </w:rPr>
        <w:fldChar w:fldCharType="begin"/>
      </w:r>
      <w:r>
        <w:rPr>
          <w:rFonts w:ascii="Times New Roman"/>
          <w:snapToGrid w:val="0"/>
          <w:color w:val="auto"/>
          <w:spacing w:val="-6"/>
          <w:kern w:val="21"/>
          <w:szCs w:val="21"/>
        </w:rPr>
        <w:instrText xml:space="preserve"> = 3 \* GB3 \* MERGEFORMAT </w:instrText>
      </w:r>
      <w:r>
        <w:rPr>
          <w:rFonts w:ascii="Times New Roman"/>
          <w:snapToGrid w:val="0"/>
          <w:color w:val="auto"/>
          <w:spacing w:val="-6"/>
          <w:kern w:val="21"/>
          <w:szCs w:val="21"/>
        </w:rPr>
        <w:fldChar w:fldCharType="separate"/>
      </w:r>
      <w:r>
        <w:rPr>
          <w:rFonts w:hint="eastAsia" w:hAnsi="宋体" w:cs="宋体"/>
          <w:color w:val="auto"/>
          <w:szCs w:val="21"/>
        </w:rPr>
        <w:t>③</w:t>
      </w:r>
      <w:r>
        <w:rPr>
          <w:rFonts w:ascii="Times New Roman"/>
          <w:snapToGrid w:val="0"/>
          <w:color w:val="auto"/>
          <w:spacing w:val="-6"/>
          <w:kern w:val="21"/>
          <w:szCs w:val="21"/>
        </w:rPr>
        <w:fldChar w:fldCharType="end"/>
      </w:r>
      <w:r>
        <w:rPr>
          <w:rFonts w:ascii="Times New Roman"/>
          <w:snapToGrid w:val="0"/>
          <w:color w:val="auto"/>
          <w:spacing w:val="-6"/>
          <w:kern w:val="21"/>
          <w:szCs w:val="21"/>
        </w:rPr>
        <w:t>+</w:t>
      </w:r>
      <w:r>
        <w:rPr>
          <w:rFonts w:ascii="Times New Roman"/>
          <w:snapToGrid w:val="0"/>
          <w:color w:val="auto"/>
          <w:spacing w:val="-6"/>
          <w:kern w:val="21"/>
          <w:szCs w:val="21"/>
        </w:rPr>
        <w:fldChar w:fldCharType="begin"/>
      </w:r>
      <w:r>
        <w:rPr>
          <w:rFonts w:ascii="Times New Roman"/>
          <w:snapToGrid w:val="0"/>
          <w:color w:val="auto"/>
          <w:spacing w:val="-6"/>
          <w:kern w:val="21"/>
          <w:szCs w:val="21"/>
        </w:rPr>
        <w:instrText xml:space="preserve"> = 4 \* GB3 \* MERGEFORMAT </w:instrText>
      </w:r>
      <w:r>
        <w:rPr>
          <w:rFonts w:ascii="Times New Roman"/>
          <w:snapToGrid w:val="0"/>
          <w:color w:val="auto"/>
          <w:spacing w:val="-6"/>
          <w:kern w:val="21"/>
          <w:szCs w:val="21"/>
        </w:rPr>
        <w:fldChar w:fldCharType="separate"/>
      </w:r>
      <w:r>
        <w:rPr>
          <w:rFonts w:hint="eastAsia" w:hAnsi="宋体" w:cs="宋体"/>
          <w:color w:val="auto"/>
          <w:szCs w:val="21"/>
        </w:rPr>
        <w:t>④</w:t>
      </w:r>
      <w:r>
        <w:rPr>
          <w:rFonts w:ascii="Times New Roman"/>
          <w:snapToGrid w:val="0"/>
          <w:color w:val="auto"/>
          <w:spacing w:val="-6"/>
          <w:kern w:val="21"/>
          <w:szCs w:val="21"/>
        </w:rPr>
        <w:fldChar w:fldCharType="end"/>
      </w:r>
      <w:r>
        <w:rPr>
          <w:rFonts w:ascii="Times New Roman"/>
          <w:snapToGrid w:val="0"/>
          <w:color w:val="auto"/>
          <w:spacing w:val="-6"/>
          <w:kern w:val="21"/>
          <w:szCs w:val="21"/>
        </w:rPr>
        <w:t>-</w:t>
      </w:r>
      <w:r>
        <w:rPr>
          <w:rFonts w:ascii="Times New Roman"/>
          <w:snapToGrid w:val="0"/>
          <w:color w:val="auto"/>
          <w:spacing w:val="-16"/>
          <w:kern w:val="21"/>
          <w:szCs w:val="21"/>
        </w:rPr>
        <w:fldChar w:fldCharType="begin"/>
      </w:r>
      <w:r>
        <w:rPr>
          <w:rFonts w:ascii="Times New Roman"/>
          <w:snapToGrid w:val="0"/>
          <w:color w:val="auto"/>
          <w:spacing w:val="-16"/>
          <w:kern w:val="21"/>
          <w:szCs w:val="21"/>
        </w:rPr>
        <w:instrText xml:space="preserve"> = 5 \* GB3 \* MERGEFORMAT </w:instrText>
      </w:r>
      <w:r>
        <w:rPr>
          <w:rFonts w:ascii="Times New Roman"/>
          <w:snapToGrid w:val="0"/>
          <w:color w:val="auto"/>
          <w:spacing w:val="-16"/>
          <w:kern w:val="21"/>
          <w:szCs w:val="21"/>
        </w:rPr>
        <w:fldChar w:fldCharType="separate"/>
      </w:r>
      <w:r>
        <w:rPr>
          <w:rFonts w:hint="eastAsia" w:hAnsi="宋体" w:cs="宋体"/>
          <w:color w:val="auto"/>
          <w:szCs w:val="21"/>
        </w:rPr>
        <w:t>⑤</w:t>
      </w:r>
      <w:r>
        <w:rPr>
          <w:rFonts w:ascii="Times New Roman"/>
          <w:snapToGrid w:val="0"/>
          <w:color w:val="auto"/>
          <w:spacing w:val="-16"/>
          <w:kern w:val="21"/>
          <w:szCs w:val="21"/>
        </w:rPr>
        <w:fldChar w:fldCharType="end"/>
      </w:r>
      <w:r>
        <w:rPr>
          <w:rFonts w:ascii="Times New Roman"/>
          <w:snapToGrid w:val="0"/>
          <w:color w:val="auto"/>
          <w:spacing w:val="-16"/>
          <w:kern w:val="21"/>
          <w:szCs w:val="21"/>
        </w:rPr>
        <w:t>；</w:t>
      </w:r>
      <w:r>
        <w:rPr>
          <w:rFonts w:ascii="Times New Roman"/>
          <w:snapToGrid w:val="0"/>
          <w:color w:val="auto"/>
          <w:spacing w:val="-6"/>
          <w:kern w:val="21"/>
          <w:szCs w:val="21"/>
        </w:rPr>
        <w:fldChar w:fldCharType="begin"/>
      </w:r>
      <w:r>
        <w:rPr>
          <w:rFonts w:ascii="Times New Roman"/>
          <w:snapToGrid w:val="0"/>
          <w:color w:val="auto"/>
          <w:spacing w:val="-6"/>
          <w:kern w:val="21"/>
          <w:szCs w:val="21"/>
        </w:rPr>
        <w:instrText xml:space="preserve"> = 7 \* GB3 \* MERGEFORMAT </w:instrText>
      </w:r>
      <w:r>
        <w:rPr>
          <w:rFonts w:ascii="Times New Roman"/>
          <w:snapToGrid w:val="0"/>
          <w:color w:val="auto"/>
          <w:spacing w:val="-6"/>
          <w:kern w:val="21"/>
          <w:szCs w:val="21"/>
        </w:rPr>
        <w:fldChar w:fldCharType="separate"/>
      </w:r>
      <w:r>
        <w:rPr>
          <w:rFonts w:hint="eastAsia" w:hAnsi="宋体" w:cs="宋体"/>
          <w:color w:val="auto"/>
          <w:szCs w:val="21"/>
        </w:rPr>
        <w:t>⑦</w:t>
      </w:r>
      <w:r>
        <w:rPr>
          <w:rFonts w:ascii="Times New Roman"/>
          <w:snapToGrid w:val="0"/>
          <w:color w:val="auto"/>
          <w:spacing w:val="-6"/>
          <w:kern w:val="21"/>
          <w:szCs w:val="21"/>
        </w:rPr>
        <w:fldChar w:fldCharType="end"/>
      </w:r>
      <w:r>
        <w:rPr>
          <w:rFonts w:ascii="Times New Roman"/>
          <w:snapToGrid w:val="0"/>
          <w:color w:val="auto"/>
          <w:spacing w:val="-6"/>
          <w:kern w:val="21"/>
          <w:szCs w:val="21"/>
        </w:rPr>
        <w:t>=</w:t>
      </w:r>
      <w:r>
        <w:rPr>
          <w:rFonts w:ascii="Times New Roman"/>
          <w:snapToGrid w:val="0"/>
          <w:color w:val="auto"/>
          <w:spacing w:val="-16"/>
          <w:kern w:val="21"/>
          <w:szCs w:val="21"/>
        </w:rPr>
        <w:fldChar w:fldCharType="begin"/>
      </w:r>
      <w:r>
        <w:rPr>
          <w:rFonts w:ascii="Times New Roman"/>
          <w:snapToGrid w:val="0"/>
          <w:color w:val="auto"/>
          <w:spacing w:val="-16"/>
          <w:kern w:val="21"/>
          <w:szCs w:val="21"/>
        </w:rPr>
        <w:instrText xml:space="preserve"> = 6 \* GB3 \* MERGEFORMAT </w:instrText>
      </w:r>
      <w:r>
        <w:rPr>
          <w:rFonts w:ascii="Times New Roman"/>
          <w:snapToGrid w:val="0"/>
          <w:color w:val="auto"/>
          <w:spacing w:val="-16"/>
          <w:kern w:val="21"/>
          <w:szCs w:val="21"/>
        </w:rPr>
        <w:fldChar w:fldCharType="separate"/>
      </w:r>
      <w:r>
        <w:rPr>
          <w:rFonts w:hint="eastAsia" w:hAnsi="宋体" w:cs="宋体"/>
          <w:color w:val="auto"/>
          <w:szCs w:val="21"/>
        </w:rPr>
        <w:t>⑥</w:t>
      </w:r>
      <w:r>
        <w:rPr>
          <w:rFonts w:ascii="Times New Roman"/>
          <w:snapToGrid w:val="0"/>
          <w:color w:val="auto"/>
          <w:spacing w:val="-16"/>
          <w:kern w:val="21"/>
          <w:szCs w:val="21"/>
        </w:rPr>
        <w:fldChar w:fldCharType="end"/>
      </w:r>
      <w:r>
        <w:rPr>
          <w:rFonts w:ascii="Times New Roman"/>
          <w:snapToGrid w:val="0"/>
          <w:color w:val="auto"/>
          <w:spacing w:val="-16"/>
          <w:kern w:val="21"/>
          <w:szCs w:val="21"/>
        </w:rPr>
        <w:t>-</w:t>
      </w:r>
      <w:r>
        <w:rPr>
          <w:rFonts w:ascii="Times New Roman"/>
          <w:snapToGrid w:val="0"/>
          <w:color w:val="auto"/>
          <w:spacing w:val="-6"/>
          <w:kern w:val="21"/>
          <w:szCs w:val="21"/>
        </w:rPr>
        <w:fldChar w:fldCharType="begin"/>
      </w:r>
      <w:r>
        <w:rPr>
          <w:rFonts w:ascii="Times New Roman"/>
          <w:snapToGrid w:val="0"/>
          <w:color w:val="auto"/>
          <w:spacing w:val="-6"/>
          <w:kern w:val="21"/>
          <w:szCs w:val="21"/>
        </w:rPr>
        <w:instrText xml:space="preserve"> = 1 \* GB3 \* MERGEFORMAT </w:instrText>
      </w:r>
      <w:r>
        <w:rPr>
          <w:rFonts w:ascii="Times New Roman"/>
          <w:snapToGrid w:val="0"/>
          <w:color w:val="auto"/>
          <w:spacing w:val="-6"/>
          <w:kern w:val="21"/>
          <w:szCs w:val="21"/>
        </w:rPr>
        <w:fldChar w:fldCharType="separate"/>
      </w:r>
      <w:r>
        <w:rPr>
          <w:rFonts w:hint="eastAsia" w:hAnsi="宋体" w:cs="宋体"/>
          <w:color w:val="auto"/>
          <w:szCs w:val="21"/>
        </w:rPr>
        <w:t>①</w:t>
      </w:r>
      <w:r>
        <w:rPr>
          <w:rFonts w:ascii="Times New Roman"/>
          <w:snapToGrid w:val="0"/>
          <w:color w:val="auto"/>
          <w:spacing w:val="-6"/>
          <w:kern w:val="21"/>
          <w:szCs w:val="21"/>
        </w:rPr>
        <w:fldChar w:fldCharType="end"/>
      </w:r>
      <w:r>
        <w:rPr>
          <w:rFonts w:hint="eastAsia" w:ascii="Times New Roman"/>
          <w:snapToGrid w:val="0"/>
          <w:color w:val="auto"/>
          <w:spacing w:val="-6"/>
          <w:kern w:val="21"/>
          <w:szCs w:val="21"/>
          <w:lang w:eastAsia="zh-CN"/>
        </w:rPr>
        <w:t>。</w:t>
      </w:r>
      <w:r>
        <w:rPr>
          <w:rFonts w:ascii="Times New Roman"/>
          <w:snapToGrid w:val="0"/>
          <w:color w:val="auto"/>
          <w:spacing w:val="-6"/>
          <w:kern w:val="21"/>
          <w:szCs w:val="21"/>
        </w:rPr>
        <w:t xml:space="preserve"> </w:t>
      </w:r>
    </w:p>
    <w:sectPr>
      <w:footerReference r:id="rId9" w:type="default"/>
      <w:pgSz w:w="16838" w:h="11906" w:orient="landscape"/>
      <w:pgMar w:top="1531" w:right="1701" w:bottom="1531" w:left="1701" w:header="851" w:footer="851" w:gutter="0"/>
      <w:pgBorders>
        <w:top w:val="none" w:sz="0" w:space="0"/>
        <w:left w:val="none" w:sz="0" w:space="0"/>
        <w:bottom w:val="none" w:sz="0" w:space="0"/>
        <w:right w:val="none" w:sz="0" w:space="0"/>
      </w:pgBorders>
      <w:pgNumType w:fmt="decimal"/>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方正仿宋_GBK">
    <w:altName w:val="宋体"/>
    <w:panose1 w:val="00000000000000000000"/>
    <w:charset w:val="86"/>
    <w:family w:val="script"/>
    <w:pitch w:val="default"/>
    <w:sig w:usb0="00000000" w:usb1="00000000" w:usb2="00000010" w:usb3="00000000" w:csb0="00040000" w:csb1="00000000"/>
  </w:font>
  <w:font w:name="方正小标宋_GBK">
    <w:altName w:val="微软雅黑"/>
    <w:panose1 w:val="02000000000000000000"/>
    <w:charset w:val="86"/>
    <w:family w:val="auto"/>
    <w:pitch w:val="default"/>
    <w:sig w:usb0="00000000" w:usb1="00000000" w:usb2="00082016" w:usb3="00000000" w:csb0="00040001" w:csb1="00000000"/>
  </w:font>
  <w:font w:name="微软雅黑">
    <w:panose1 w:val="020B0503020204020204"/>
    <w:charset w:val="86"/>
    <w:family w:val="auto"/>
    <w:pitch w:val="default"/>
    <w:sig w:usb0="80000287" w:usb1="2ACF3C50" w:usb2="00000016" w:usb3="00000000" w:csb0="0004001F" w:csb1="00000000"/>
  </w:font>
  <w:font w:name="华文仿宋">
    <w:altName w:val="仿宋"/>
    <w:panose1 w:val="02010600040101010101"/>
    <w:charset w:val="86"/>
    <w:family w:val="auto"/>
    <w:pitch w:val="default"/>
    <w:sig w:usb0="00000000" w:usb1="00000000" w:usb2="00000000" w:usb3="00000000" w:csb0="0004009F" w:csb1="DFD70000"/>
  </w:font>
  <w:font w:name="Wingdings 2">
    <w:altName w:val="Wingdings"/>
    <w:panose1 w:val="05020102010507070707"/>
    <w:charset w:val="02"/>
    <w:family w:val="roman"/>
    <w:pitch w:val="default"/>
    <w:sig w:usb0="00000000" w:usb1="00000000" w:usb2="00000000" w:usb3="00000000" w:csb0="80000000" w:csb1="00000000"/>
  </w:font>
  <w:font w:name="Kingsoft UE">
    <w:panose1 w:val="02000100010000000000"/>
    <w:charset w:val="00"/>
    <w:family w:val="auto"/>
    <w:pitch w:val="default"/>
    <w:sig w:usb0="00000001" w:usb1="00004000" w:usb2="00000000" w:usb3="00000000" w:csb0="0000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528B9A">
    <w:pPr>
      <w:pStyle w:val="18"/>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F0A750">
    <w:pPr>
      <w:pStyle w:val="18"/>
      <w:framePr w:wrap="around" w:vAnchor="text" w:hAnchor="margin" w:xAlign="center" w:y="1"/>
      <w:rPr>
        <w:rStyle w:val="33"/>
      </w:rPr>
    </w:pPr>
    <w:r>
      <w:fldChar w:fldCharType="begin"/>
    </w:r>
    <w:r>
      <w:rPr>
        <w:rStyle w:val="33"/>
      </w:rPr>
      <w:instrText xml:space="preserve">PAGE  </w:instrText>
    </w:r>
    <w:r>
      <w:fldChar w:fldCharType="end"/>
    </w:r>
  </w:p>
  <w:p w14:paraId="03777462">
    <w:pPr>
      <w:pStyle w:val="18"/>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F1404F">
    <w:pPr>
      <w:pStyle w:val="18"/>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F714BB">
    <w:pPr>
      <w:pStyle w:val="18"/>
      <w:ind w:right="360" w:firstLine="36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263535B">
                          <w:pPr>
                            <w:pStyle w:val="18"/>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0XuXI4AgAAcA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fRe5cjgCAABwBAAADgAAAAAAAAABACAAAAAfAQAAZHJzL2Uyb0RvYy54&#10;bWxQSwUGAAAAAAYABgBZAQAAyQUAAAAA&#10;">
              <v:fill on="f" focussize="0,0"/>
              <v:stroke on="f" weight="0.5pt"/>
              <v:imagedata o:title=""/>
              <o:lock v:ext="edit" aspectratio="f"/>
              <v:textbox inset="0mm,0mm,0mm,0mm" style="mso-fit-shape-to-text:t;">
                <w:txbxContent>
                  <w:p w14:paraId="4263535B">
                    <w:pPr>
                      <w:pStyle w:val="18"/>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EB591F">
    <w:pPr>
      <w:pStyle w:val="18"/>
      <w:ind w:right="360"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24CC54A">
                          <w:pPr>
                            <w:pStyle w:val="18"/>
                            <w:rPr>
                              <w:rStyle w:val="33"/>
                              <w:rFonts w:ascii="宋体" w:hAnsi="宋体"/>
                              <w:sz w:val="21"/>
                              <w:szCs w:val="21"/>
                            </w:rPr>
                          </w:pPr>
                          <w:r>
                            <w:rPr>
                              <w:rStyle w:val="33"/>
                              <w:rFonts w:hint="eastAsia" w:ascii="宋体" w:hAnsi="宋体"/>
                              <w:sz w:val="21"/>
                              <w:szCs w:val="21"/>
                            </w:rPr>
                            <w:t xml:space="preserve">—  </w:t>
                          </w:r>
                          <w:r>
                            <w:rPr>
                              <w:rStyle w:val="33"/>
                              <w:rFonts w:ascii="宋体" w:hAnsi="宋体"/>
                              <w:sz w:val="21"/>
                              <w:szCs w:val="21"/>
                            </w:rPr>
                            <w:fldChar w:fldCharType="begin"/>
                          </w:r>
                          <w:r>
                            <w:rPr>
                              <w:rStyle w:val="33"/>
                              <w:rFonts w:ascii="宋体" w:hAnsi="宋体"/>
                              <w:sz w:val="21"/>
                              <w:szCs w:val="21"/>
                            </w:rPr>
                            <w:instrText xml:space="preserve">PAGE  </w:instrText>
                          </w:r>
                          <w:r>
                            <w:rPr>
                              <w:rStyle w:val="33"/>
                              <w:rFonts w:ascii="宋体" w:hAnsi="宋体"/>
                              <w:sz w:val="21"/>
                              <w:szCs w:val="21"/>
                            </w:rPr>
                            <w:fldChar w:fldCharType="separate"/>
                          </w:r>
                          <w:r>
                            <w:rPr>
                              <w:rStyle w:val="33"/>
                              <w:rFonts w:ascii="宋体" w:hAnsi="宋体"/>
                              <w:sz w:val="21"/>
                              <w:szCs w:val="21"/>
                            </w:rPr>
                            <w:t>60</w:t>
                          </w:r>
                          <w:r>
                            <w:rPr>
                              <w:rStyle w:val="33"/>
                              <w:rFonts w:ascii="宋体" w:hAnsi="宋体"/>
                              <w:sz w:val="21"/>
                              <w:szCs w:val="21"/>
                            </w:rPr>
                            <w:fldChar w:fldCharType="end"/>
                          </w:r>
                          <w:r>
                            <w:rPr>
                              <w:rStyle w:val="33"/>
                              <w:rFonts w:hint="eastAsia" w:ascii="宋体" w:hAnsi="宋体"/>
                              <w:sz w:val="21"/>
                              <w:szCs w:val="21"/>
                            </w:rP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iRIDI4AgAAcA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aJEgMjgCAABwBAAADgAAAAAAAAABACAAAAAfAQAAZHJzL2Uyb0RvYy54&#10;bWxQSwUGAAAAAAYABgBZAQAAyQUAAAAA&#10;">
              <v:fill on="f" focussize="0,0"/>
              <v:stroke on="f" weight="0.5pt"/>
              <v:imagedata o:title=""/>
              <o:lock v:ext="edit" aspectratio="f"/>
              <v:textbox inset="0mm,0mm,0mm,0mm" style="mso-fit-shape-to-text:t;">
                <w:txbxContent>
                  <w:p w14:paraId="024CC54A">
                    <w:pPr>
                      <w:pStyle w:val="18"/>
                      <w:rPr>
                        <w:rStyle w:val="33"/>
                        <w:rFonts w:ascii="宋体" w:hAnsi="宋体"/>
                        <w:sz w:val="21"/>
                        <w:szCs w:val="21"/>
                      </w:rPr>
                    </w:pPr>
                    <w:r>
                      <w:rPr>
                        <w:rStyle w:val="33"/>
                        <w:rFonts w:hint="eastAsia" w:ascii="宋体" w:hAnsi="宋体"/>
                        <w:sz w:val="21"/>
                        <w:szCs w:val="21"/>
                      </w:rPr>
                      <w:t xml:space="preserve">—  </w:t>
                    </w:r>
                    <w:r>
                      <w:rPr>
                        <w:rStyle w:val="33"/>
                        <w:rFonts w:ascii="宋体" w:hAnsi="宋体"/>
                        <w:sz w:val="21"/>
                        <w:szCs w:val="21"/>
                      </w:rPr>
                      <w:fldChar w:fldCharType="begin"/>
                    </w:r>
                    <w:r>
                      <w:rPr>
                        <w:rStyle w:val="33"/>
                        <w:rFonts w:ascii="宋体" w:hAnsi="宋体"/>
                        <w:sz w:val="21"/>
                        <w:szCs w:val="21"/>
                      </w:rPr>
                      <w:instrText xml:space="preserve">PAGE  </w:instrText>
                    </w:r>
                    <w:r>
                      <w:rPr>
                        <w:rStyle w:val="33"/>
                        <w:rFonts w:ascii="宋体" w:hAnsi="宋体"/>
                        <w:sz w:val="21"/>
                        <w:szCs w:val="21"/>
                      </w:rPr>
                      <w:fldChar w:fldCharType="separate"/>
                    </w:r>
                    <w:r>
                      <w:rPr>
                        <w:rStyle w:val="33"/>
                        <w:rFonts w:ascii="宋体" w:hAnsi="宋体"/>
                        <w:sz w:val="21"/>
                        <w:szCs w:val="21"/>
                      </w:rPr>
                      <w:t>60</w:t>
                    </w:r>
                    <w:r>
                      <w:rPr>
                        <w:rStyle w:val="33"/>
                        <w:rFonts w:ascii="宋体" w:hAnsi="宋体"/>
                        <w:sz w:val="21"/>
                        <w:szCs w:val="21"/>
                      </w:rPr>
                      <w:fldChar w:fldCharType="end"/>
                    </w:r>
                    <w:r>
                      <w:rPr>
                        <w:rStyle w:val="33"/>
                        <w:rFonts w:hint="eastAsia" w:ascii="宋体" w:hAnsi="宋体"/>
                        <w:sz w:val="21"/>
                        <w:szCs w:val="21"/>
                      </w:rPr>
                      <w:t xml:space="preserve">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5A99468"/>
    <w:multiLevelType w:val="singleLevel"/>
    <w:tmpl w:val="F5A99468"/>
    <w:lvl w:ilvl="0" w:tentative="0">
      <w:start w:val="1"/>
      <w:numFmt w:val="bullet"/>
      <w:pStyle w:val="10"/>
      <w:lvlText w:val=""/>
      <w:lvlJc w:val="left"/>
      <w:pPr>
        <w:tabs>
          <w:tab w:val="left" w:pos="780"/>
        </w:tabs>
        <w:ind w:left="78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trackedChanges" w:enforcement="0"/>
  <w:defaultTabStop w:val="420"/>
  <w:hyphenationZone w:val="36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ˇˉ―‖’”…∶、。〃々〉》」』】〕〗！＂＇），．：；？］｀｜｝～￠"/>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FlN2Y0ZGVlZmY3MDViNGY5NjFkYWY3YzRmYzllOTIifQ=="/>
  </w:docVars>
  <w:rsids>
    <w:rsidRoot w:val="00A14947"/>
    <w:rsid w:val="000027F5"/>
    <w:rsid w:val="00002961"/>
    <w:rsid w:val="0000326D"/>
    <w:rsid w:val="00003312"/>
    <w:rsid w:val="00004A67"/>
    <w:rsid w:val="000060B3"/>
    <w:rsid w:val="0000726F"/>
    <w:rsid w:val="00011839"/>
    <w:rsid w:val="0001285E"/>
    <w:rsid w:val="000203EB"/>
    <w:rsid w:val="00021578"/>
    <w:rsid w:val="000237E2"/>
    <w:rsid w:val="000264DB"/>
    <w:rsid w:val="000274EF"/>
    <w:rsid w:val="0002766E"/>
    <w:rsid w:val="000278A9"/>
    <w:rsid w:val="00032AAB"/>
    <w:rsid w:val="00037C6A"/>
    <w:rsid w:val="000412B9"/>
    <w:rsid w:val="000424F1"/>
    <w:rsid w:val="0004364B"/>
    <w:rsid w:val="00044466"/>
    <w:rsid w:val="00044E01"/>
    <w:rsid w:val="00046650"/>
    <w:rsid w:val="000471D4"/>
    <w:rsid w:val="00047B6A"/>
    <w:rsid w:val="00051D48"/>
    <w:rsid w:val="00056709"/>
    <w:rsid w:val="00061B1F"/>
    <w:rsid w:val="00061CF3"/>
    <w:rsid w:val="00063770"/>
    <w:rsid w:val="00064041"/>
    <w:rsid w:val="000652A6"/>
    <w:rsid w:val="0006716E"/>
    <w:rsid w:val="000733C4"/>
    <w:rsid w:val="00074783"/>
    <w:rsid w:val="00074A4C"/>
    <w:rsid w:val="00074FA2"/>
    <w:rsid w:val="00076112"/>
    <w:rsid w:val="00076617"/>
    <w:rsid w:val="0008070B"/>
    <w:rsid w:val="000810AC"/>
    <w:rsid w:val="00081A02"/>
    <w:rsid w:val="00082231"/>
    <w:rsid w:val="00082E55"/>
    <w:rsid w:val="000835D6"/>
    <w:rsid w:val="0008364C"/>
    <w:rsid w:val="00083B96"/>
    <w:rsid w:val="00083BDF"/>
    <w:rsid w:val="00085808"/>
    <w:rsid w:val="00085D8A"/>
    <w:rsid w:val="00090281"/>
    <w:rsid w:val="000915CE"/>
    <w:rsid w:val="00092D38"/>
    <w:rsid w:val="0009377B"/>
    <w:rsid w:val="0009730A"/>
    <w:rsid w:val="00097740"/>
    <w:rsid w:val="00097BE3"/>
    <w:rsid w:val="000A1A0F"/>
    <w:rsid w:val="000A20C9"/>
    <w:rsid w:val="000A554B"/>
    <w:rsid w:val="000A6DEB"/>
    <w:rsid w:val="000A6F7E"/>
    <w:rsid w:val="000B058F"/>
    <w:rsid w:val="000B0CC5"/>
    <w:rsid w:val="000B439C"/>
    <w:rsid w:val="000B4467"/>
    <w:rsid w:val="000B4DB9"/>
    <w:rsid w:val="000B7202"/>
    <w:rsid w:val="000B7964"/>
    <w:rsid w:val="000B7A05"/>
    <w:rsid w:val="000C09AC"/>
    <w:rsid w:val="000C0A99"/>
    <w:rsid w:val="000C1C95"/>
    <w:rsid w:val="000C413B"/>
    <w:rsid w:val="000C6B8D"/>
    <w:rsid w:val="000C767F"/>
    <w:rsid w:val="000C793B"/>
    <w:rsid w:val="000D1465"/>
    <w:rsid w:val="000D28E5"/>
    <w:rsid w:val="000D50B8"/>
    <w:rsid w:val="000D5A44"/>
    <w:rsid w:val="000E0BF9"/>
    <w:rsid w:val="000E1EA4"/>
    <w:rsid w:val="000E3ED2"/>
    <w:rsid w:val="000E4117"/>
    <w:rsid w:val="000E53CC"/>
    <w:rsid w:val="000F01AD"/>
    <w:rsid w:val="000F0339"/>
    <w:rsid w:val="000F1E5E"/>
    <w:rsid w:val="000F3A16"/>
    <w:rsid w:val="000F3CFE"/>
    <w:rsid w:val="000F46E4"/>
    <w:rsid w:val="000F7E48"/>
    <w:rsid w:val="001011BC"/>
    <w:rsid w:val="00102A6D"/>
    <w:rsid w:val="00102A80"/>
    <w:rsid w:val="00104D26"/>
    <w:rsid w:val="00105EA9"/>
    <w:rsid w:val="001075AB"/>
    <w:rsid w:val="00113EF1"/>
    <w:rsid w:val="001204F5"/>
    <w:rsid w:val="00121872"/>
    <w:rsid w:val="001231BB"/>
    <w:rsid w:val="001240F6"/>
    <w:rsid w:val="00125BC1"/>
    <w:rsid w:val="0012676F"/>
    <w:rsid w:val="00127447"/>
    <w:rsid w:val="00131F42"/>
    <w:rsid w:val="001357F1"/>
    <w:rsid w:val="00135A6C"/>
    <w:rsid w:val="00135EFC"/>
    <w:rsid w:val="001363D8"/>
    <w:rsid w:val="00140FA8"/>
    <w:rsid w:val="00142FEB"/>
    <w:rsid w:val="00143A2D"/>
    <w:rsid w:val="00144BA7"/>
    <w:rsid w:val="00145A41"/>
    <w:rsid w:val="00146737"/>
    <w:rsid w:val="00147609"/>
    <w:rsid w:val="00151675"/>
    <w:rsid w:val="00151844"/>
    <w:rsid w:val="00152452"/>
    <w:rsid w:val="0015364A"/>
    <w:rsid w:val="00154D2B"/>
    <w:rsid w:val="0015546E"/>
    <w:rsid w:val="00157435"/>
    <w:rsid w:val="0016148C"/>
    <w:rsid w:val="001639FF"/>
    <w:rsid w:val="0016413F"/>
    <w:rsid w:val="00165A32"/>
    <w:rsid w:val="00165C75"/>
    <w:rsid w:val="00167077"/>
    <w:rsid w:val="00170185"/>
    <w:rsid w:val="00173458"/>
    <w:rsid w:val="0017361B"/>
    <w:rsid w:val="0017504D"/>
    <w:rsid w:val="001751F0"/>
    <w:rsid w:val="0017671A"/>
    <w:rsid w:val="0017709B"/>
    <w:rsid w:val="00177422"/>
    <w:rsid w:val="00177890"/>
    <w:rsid w:val="00181BA6"/>
    <w:rsid w:val="00184590"/>
    <w:rsid w:val="00186274"/>
    <w:rsid w:val="001870D1"/>
    <w:rsid w:val="0018781E"/>
    <w:rsid w:val="0019092A"/>
    <w:rsid w:val="0019093C"/>
    <w:rsid w:val="00192337"/>
    <w:rsid w:val="0019262D"/>
    <w:rsid w:val="00192D08"/>
    <w:rsid w:val="00193259"/>
    <w:rsid w:val="00197E78"/>
    <w:rsid w:val="00197E7D"/>
    <w:rsid w:val="001A197C"/>
    <w:rsid w:val="001A1B35"/>
    <w:rsid w:val="001A48A2"/>
    <w:rsid w:val="001A4E2C"/>
    <w:rsid w:val="001A565F"/>
    <w:rsid w:val="001A57BA"/>
    <w:rsid w:val="001A6F61"/>
    <w:rsid w:val="001B05A5"/>
    <w:rsid w:val="001B290B"/>
    <w:rsid w:val="001B307F"/>
    <w:rsid w:val="001B4763"/>
    <w:rsid w:val="001B72B8"/>
    <w:rsid w:val="001C163A"/>
    <w:rsid w:val="001C38F1"/>
    <w:rsid w:val="001C3ABE"/>
    <w:rsid w:val="001C3D44"/>
    <w:rsid w:val="001C63A6"/>
    <w:rsid w:val="001C69B3"/>
    <w:rsid w:val="001D1771"/>
    <w:rsid w:val="001D1B17"/>
    <w:rsid w:val="001D5595"/>
    <w:rsid w:val="001D62FA"/>
    <w:rsid w:val="001D67EB"/>
    <w:rsid w:val="001D7874"/>
    <w:rsid w:val="001D7F22"/>
    <w:rsid w:val="001E13C3"/>
    <w:rsid w:val="001E350C"/>
    <w:rsid w:val="001E561D"/>
    <w:rsid w:val="001E7161"/>
    <w:rsid w:val="001F0F17"/>
    <w:rsid w:val="001F2210"/>
    <w:rsid w:val="001F3347"/>
    <w:rsid w:val="001F3568"/>
    <w:rsid w:val="001F69E4"/>
    <w:rsid w:val="002014C3"/>
    <w:rsid w:val="002019F3"/>
    <w:rsid w:val="0020333C"/>
    <w:rsid w:val="00203E30"/>
    <w:rsid w:val="00206603"/>
    <w:rsid w:val="0020689C"/>
    <w:rsid w:val="002076AC"/>
    <w:rsid w:val="00210134"/>
    <w:rsid w:val="0021123C"/>
    <w:rsid w:val="00211AF6"/>
    <w:rsid w:val="002125B4"/>
    <w:rsid w:val="002125DE"/>
    <w:rsid w:val="0021313C"/>
    <w:rsid w:val="002148C6"/>
    <w:rsid w:val="00215409"/>
    <w:rsid w:val="002155B8"/>
    <w:rsid w:val="002159EE"/>
    <w:rsid w:val="00215E38"/>
    <w:rsid w:val="00216F09"/>
    <w:rsid w:val="00220BE3"/>
    <w:rsid w:val="00221085"/>
    <w:rsid w:val="002213B4"/>
    <w:rsid w:val="0022428B"/>
    <w:rsid w:val="00224839"/>
    <w:rsid w:val="002249B1"/>
    <w:rsid w:val="002249B2"/>
    <w:rsid w:val="00226574"/>
    <w:rsid w:val="00227367"/>
    <w:rsid w:val="002278EC"/>
    <w:rsid w:val="0023137E"/>
    <w:rsid w:val="0023280E"/>
    <w:rsid w:val="00233FBD"/>
    <w:rsid w:val="002347C8"/>
    <w:rsid w:val="00235B77"/>
    <w:rsid w:val="002377D1"/>
    <w:rsid w:val="002414E8"/>
    <w:rsid w:val="002423B9"/>
    <w:rsid w:val="00242D30"/>
    <w:rsid w:val="00243E0A"/>
    <w:rsid w:val="00243F0B"/>
    <w:rsid w:val="00245010"/>
    <w:rsid w:val="002469E0"/>
    <w:rsid w:val="00247AC2"/>
    <w:rsid w:val="002506BC"/>
    <w:rsid w:val="002513FF"/>
    <w:rsid w:val="002522A7"/>
    <w:rsid w:val="00253B88"/>
    <w:rsid w:val="00254345"/>
    <w:rsid w:val="0025495C"/>
    <w:rsid w:val="00254DE4"/>
    <w:rsid w:val="00255C1F"/>
    <w:rsid w:val="002562D0"/>
    <w:rsid w:val="00260E6F"/>
    <w:rsid w:val="002626FE"/>
    <w:rsid w:val="00262F3D"/>
    <w:rsid w:val="00263D46"/>
    <w:rsid w:val="00264557"/>
    <w:rsid w:val="002659DE"/>
    <w:rsid w:val="00266CE6"/>
    <w:rsid w:val="00270C60"/>
    <w:rsid w:val="00270DD5"/>
    <w:rsid w:val="00271A6F"/>
    <w:rsid w:val="0027349C"/>
    <w:rsid w:val="00274C56"/>
    <w:rsid w:val="002805AB"/>
    <w:rsid w:val="00281255"/>
    <w:rsid w:val="00281DC9"/>
    <w:rsid w:val="002830F1"/>
    <w:rsid w:val="00283EFA"/>
    <w:rsid w:val="00284030"/>
    <w:rsid w:val="00284204"/>
    <w:rsid w:val="00284E1F"/>
    <w:rsid w:val="00285D85"/>
    <w:rsid w:val="00291773"/>
    <w:rsid w:val="00291F20"/>
    <w:rsid w:val="002943A7"/>
    <w:rsid w:val="00294B10"/>
    <w:rsid w:val="00295CAE"/>
    <w:rsid w:val="0029655A"/>
    <w:rsid w:val="00297AAA"/>
    <w:rsid w:val="002A0B71"/>
    <w:rsid w:val="002A168C"/>
    <w:rsid w:val="002A1C87"/>
    <w:rsid w:val="002A2D82"/>
    <w:rsid w:val="002A3DC7"/>
    <w:rsid w:val="002A44EA"/>
    <w:rsid w:val="002A4729"/>
    <w:rsid w:val="002A5A75"/>
    <w:rsid w:val="002B0091"/>
    <w:rsid w:val="002B079B"/>
    <w:rsid w:val="002B22C6"/>
    <w:rsid w:val="002B31BA"/>
    <w:rsid w:val="002B34C0"/>
    <w:rsid w:val="002B49E2"/>
    <w:rsid w:val="002B5B90"/>
    <w:rsid w:val="002B7B00"/>
    <w:rsid w:val="002B7C44"/>
    <w:rsid w:val="002C1605"/>
    <w:rsid w:val="002C2628"/>
    <w:rsid w:val="002C2B17"/>
    <w:rsid w:val="002C31B5"/>
    <w:rsid w:val="002C3684"/>
    <w:rsid w:val="002C471E"/>
    <w:rsid w:val="002C489E"/>
    <w:rsid w:val="002C714E"/>
    <w:rsid w:val="002D2762"/>
    <w:rsid w:val="002D3DD0"/>
    <w:rsid w:val="002D5661"/>
    <w:rsid w:val="002D5815"/>
    <w:rsid w:val="002D5FAB"/>
    <w:rsid w:val="002E1F3A"/>
    <w:rsid w:val="002E298A"/>
    <w:rsid w:val="002E378D"/>
    <w:rsid w:val="002E43C0"/>
    <w:rsid w:val="002E43EC"/>
    <w:rsid w:val="002E7046"/>
    <w:rsid w:val="002E712C"/>
    <w:rsid w:val="002F0573"/>
    <w:rsid w:val="002F0ECD"/>
    <w:rsid w:val="002F2BC7"/>
    <w:rsid w:val="002F2F0D"/>
    <w:rsid w:val="002F3722"/>
    <w:rsid w:val="002F6469"/>
    <w:rsid w:val="002F7746"/>
    <w:rsid w:val="00301978"/>
    <w:rsid w:val="00302B77"/>
    <w:rsid w:val="0030332C"/>
    <w:rsid w:val="003051C2"/>
    <w:rsid w:val="00306A70"/>
    <w:rsid w:val="00312296"/>
    <w:rsid w:val="00313502"/>
    <w:rsid w:val="003137DA"/>
    <w:rsid w:val="00313E6F"/>
    <w:rsid w:val="00314F0E"/>
    <w:rsid w:val="00320EFA"/>
    <w:rsid w:val="00321D8E"/>
    <w:rsid w:val="00325928"/>
    <w:rsid w:val="00325CF1"/>
    <w:rsid w:val="0032635B"/>
    <w:rsid w:val="003276E1"/>
    <w:rsid w:val="0032776E"/>
    <w:rsid w:val="00331BB9"/>
    <w:rsid w:val="00332863"/>
    <w:rsid w:val="00332EA7"/>
    <w:rsid w:val="00333B6C"/>
    <w:rsid w:val="00333BD6"/>
    <w:rsid w:val="003342B5"/>
    <w:rsid w:val="0033684D"/>
    <w:rsid w:val="00337B42"/>
    <w:rsid w:val="00341B42"/>
    <w:rsid w:val="00341BA0"/>
    <w:rsid w:val="0034348F"/>
    <w:rsid w:val="00343C83"/>
    <w:rsid w:val="00344572"/>
    <w:rsid w:val="00344D2C"/>
    <w:rsid w:val="003459A1"/>
    <w:rsid w:val="00346783"/>
    <w:rsid w:val="00350BB6"/>
    <w:rsid w:val="00353740"/>
    <w:rsid w:val="00355F0D"/>
    <w:rsid w:val="00356653"/>
    <w:rsid w:val="0035743F"/>
    <w:rsid w:val="00357A2A"/>
    <w:rsid w:val="00357BE2"/>
    <w:rsid w:val="0036170C"/>
    <w:rsid w:val="00361A44"/>
    <w:rsid w:val="003620FC"/>
    <w:rsid w:val="00362266"/>
    <w:rsid w:val="00362DB7"/>
    <w:rsid w:val="00363B1C"/>
    <w:rsid w:val="00363C08"/>
    <w:rsid w:val="00364268"/>
    <w:rsid w:val="0036501C"/>
    <w:rsid w:val="00366C3B"/>
    <w:rsid w:val="00366E0F"/>
    <w:rsid w:val="00370B49"/>
    <w:rsid w:val="003734E0"/>
    <w:rsid w:val="00373E8A"/>
    <w:rsid w:val="003758AC"/>
    <w:rsid w:val="00375D38"/>
    <w:rsid w:val="003770EC"/>
    <w:rsid w:val="00381A72"/>
    <w:rsid w:val="00381B5F"/>
    <w:rsid w:val="00381D7F"/>
    <w:rsid w:val="00381E0B"/>
    <w:rsid w:val="00384052"/>
    <w:rsid w:val="0038445D"/>
    <w:rsid w:val="00384676"/>
    <w:rsid w:val="00390857"/>
    <w:rsid w:val="00392378"/>
    <w:rsid w:val="00393E6B"/>
    <w:rsid w:val="00393FCA"/>
    <w:rsid w:val="003951E1"/>
    <w:rsid w:val="0039546E"/>
    <w:rsid w:val="003A0474"/>
    <w:rsid w:val="003A10DD"/>
    <w:rsid w:val="003A1691"/>
    <w:rsid w:val="003A1824"/>
    <w:rsid w:val="003A469D"/>
    <w:rsid w:val="003A4BF3"/>
    <w:rsid w:val="003A67C9"/>
    <w:rsid w:val="003A6A7C"/>
    <w:rsid w:val="003B1DB3"/>
    <w:rsid w:val="003B3905"/>
    <w:rsid w:val="003B420D"/>
    <w:rsid w:val="003B538C"/>
    <w:rsid w:val="003B5536"/>
    <w:rsid w:val="003B74CB"/>
    <w:rsid w:val="003B764F"/>
    <w:rsid w:val="003C0A95"/>
    <w:rsid w:val="003C406C"/>
    <w:rsid w:val="003C5987"/>
    <w:rsid w:val="003C6C16"/>
    <w:rsid w:val="003C71DF"/>
    <w:rsid w:val="003C7797"/>
    <w:rsid w:val="003D3135"/>
    <w:rsid w:val="003D387E"/>
    <w:rsid w:val="003D4EE0"/>
    <w:rsid w:val="003D5641"/>
    <w:rsid w:val="003D794D"/>
    <w:rsid w:val="003E0F88"/>
    <w:rsid w:val="003E3058"/>
    <w:rsid w:val="003E3C5B"/>
    <w:rsid w:val="003E4492"/>
    <w:rsid w:val="003E49AD"/>
    <w:rsid w:val="003E52A9"/>
    <w:rsid w:val="003E68FA"/>
    <w:rsid w:val="003E7176"/>
    <w:rsid w:val="003E76A9"/>
    <w:rsid w:val="003E7D8A"/>
    <w:rsid w:val="003F0809"/>
    <w:rsid w:val="003F0D74"/>
    <w:rsid w:val="003F14F8"/>
    <w:rsid w:val="003F151B"/>
    <w:rsid w:val="003F2544"/>
    <w:rsid w:val="003F3950"/>
    <w:rsid w:val="003F40ED"/>
    <w:rsid w:val="003F49ED"/>
    <w:rsid w:val="003F6A8C"/>
    <w:rsid w:val="003F6C84"/>
    <w:rsid w:val="003F755C"/>
    <w:rsid w:val="00400327"/>
    <w:rsid w:val="00401F48"/>
    <w:rsid w:val="00402DE1"/>
    <w:rsid w:val="0040327E"/>
    <w:rsid w:val="00405023"/>
    <w:rsid w:val="0040507C"/>
    <w:rsid w:val="004055C3"/>
    <w:rsid w:val="004063FE"/>
    <w:rsid w:val="00406F01"/>
    <w:rsid w:val="00410541"/>
    <w:rsid w:val="00410E6D"/>
    <w:rsid w:val="0041159B"/>
    <w:rsid w:val="00412E02"/>
    <w:rsid w:val="00413CCE"/>
    <w:rsid w:val="004140CC"/>
    <w:rsid w:val="00414811"/>
    <w:rsid w:val="00415BBB"/>
    <w:rsid w:val="00415C02"/>
    <w:rsid w:val="00416D50"/>
    <w:rsid w:val="00416FD5"/>
    <w:rsid w:val="00417772"/>
    <w:rsid w:val="00420E6A"/>
    <w:rsid w:val="00421283"/>
    <w:rsid w:val="00421C66"/>
    <w:rsid w:val="00424C1D"/>
    <w:rsid w:val="004255FD"/>
    <w:rsid w:val="00425A9E"/>
    <w:rsid w:val="004260AE"/>
    <w:rsid w:val="00426D6B"/>
    <w:rsid w:val="00427CDF"/>
    <w:rsid w:val="00430608"/>
    <w:rsid w:val="00431E6C"/>
    <w:rsid w:val="00433CE7"/>
    <w:rsid w:val="0043591D"/>
    <w:rsid w:val="00441A68"/>
    <w:rsid w:val="004433BA"/>
    <w:rsid w:val="004450FF"/>
    <w:rsid w:val="004476AF"/>
    <w:rsid w:val="00452738"/>
    <w:rsid w:val="00452E8F"/>
    <w:rsid w:val="004531D7"/>
    <w:rsid w:val="00456091"/>
    <w:rsid w:val="00460D2B"/>
    <w:rsid w:val="00465341"/>
    <w:rsid w:val="00465BE2"/>
    <w:rsid w:val="00466321"/>
    <w:rsid w:val="00466E3B"/>
    <w:rsid w:val="0046758F"/>
    <w:rsid w:val="00470600"/>
    <w:rsid w:val="00472665"/>
    <w:rsid w:val="00472967"/>
    <w:rsid w:val="00472AE5"/>
    <w:rsid w:val="0047415C"/>
    <w:rsid w:val="004748C4"/>
    <w:rsid w:val="004750F3"/>
    <w:rsid w:val="0048342F"/>
    <w:rsid w:val="00483978"/>
    <w:rsid w:val="00484B9B"/>
    <w:rsid w:val="004855F6"/>
    <w:rsid w:val="0048661E"/>
    <w:rsid w:val="004870C8"/>
    <w:rsid w:val="0048798F"/>
    <w:rsid w:val="00494670"/>
    <w:rsid w:val="004972B0"/>
    <w:rsid w:val="004A1A55"/>
    <w:rsid w:val="004A2B10"/>
    <w:rsid w:val="004A323F"/>
    <w:rsid w:val="004A3455"/>
    <w:rsid w:val="004A3823"/>
    <w:rsid w:val="004A3D8A"/>
    <w:rsid w:val="004A3E84"/>
    <w:rsid w:val="004A4CAD"/>
    <w:rsid w:val="004A61E4"/>
    <w:rsid w:val="004A69AD"/>
    <w:rsid w:val="004A721D"/>
    <w:rsid w:val="004B2B0C"/>
    <w:rsid w:val="004B3332"/>
    <w:rsid w:val="004C00B2"/>
    <w:rsid w:val="004C1953"/>
    <w:rsid w:val="004C225A"/>
    <w:rsid w:val="004C2F23"/>
    <w:rsid w:val="004C4558"/>
    <w:rsid w:val="004D031B"/>
    <w:rsid w:val="004D033F"/>
    <w:rsid w:val="004D0D17"/>
    <w:rsid w:val="004D1C9B"/>
    <w:rsid w:val="004D1D27"/>
    <w:rsid w:val="004D1F9D"/>
    <w:rsid w:val="004D2B46"/>
    <w:rsid w:val="004D5CE3"/>
    <w:rsid w:val="004D6C66"/>
    <w:rsid w:val="004E417B"/>
    <w:rsid w:val="004E6946"/>
    <w:rsid w:val="004E7EDA"/>
    <w:rsid w:val="004F0244"/>
    <w:rsid w:val="004F170D"/>
    <w:rsid w:val="004F1AD8"/>
    <w:rsid w:val="004F3804"/>
    <w:rsid w:val="004F53BF"/>
    <w:rsid w:val="005013EE"/>
    <w:rsid w:val="005039CB"/>
    <w:rsid w:val="005053ED"/>
    <w:rsid w:val="0050558F"/>
    <w:rsid w:val="005058AF"/>
    <w:rsid w:val="00506286"/>
    <w:rsid w:val="00507BB8"/>
    <w:rsid w:val="00507E83"/>
    <w:rsid w:val="00510813"/>
    <w:rsid w:val="00510C4C"/>
    <w:rsid w:val="005113D2"/>
    <w:rsid w:val="00511990"/>
    <w:rsid w:val="00511D04"/>
    <w:rsid w:val="00511DE0"/>
    <w:rsid w:val="00511E66"/>
    <w:rsid w:val="00513D00"/>
    <w:rsid w:val="00514870"/>
    <w:rsid w:val="00514B9B"/>
    <w:rsid w:val="0051533B"/>
    <w:rsid w:val="00515A23"/>
    <w:rsid w:val="0051614F"/>
    <w:rsid w:val="00517975"/>
    <w:rsid w:val="00517A87"/>
    <w:rsid w:val="00517F02"/>
    <w:rsid w:val="00524303"/>
    <w:rsid w:val="00524B2D"/>
    <w:rsid w:val="005258A2"/>
    <w:rsid w:val="00525E03"/>
    <w:rsid w:val="005268C2"/>
    <w:rsid w:val="00526B6A"/>
    <w:rsid w:val="00527CFE"/>
    <w:rsid w:val="00527E91"/>
    <w:rsid w:val="00530727"/>
    <w:rsid w:val="00530CAE"/>
    <w:rsid w:val="00531BD6"/>
    <w:rsid w:val="0053307E"/>
    <w:rsid w:val="00534E97"/>
    <w:rsid w:val="00535373"/>
    <w:rsid w:val="00536A90"/>
    <w:rsid w:val="005401AE"/>
    <w:rsid w:val="00540FA3"/>
    <w:rsid w:val="00542E07"/>
    <w:rsid w:val="005432CD"/>
    <w:rsid w:val="005441C5"/>
    <w:rsid w:val="00544BF1"/>
    <w:rsid w:val="00545424"/>
    <w:rsid w:val="005463A8"/>
    <w:rsid w:val="00546A1C"/>
    <w:rsid w:val="00546B62"/>
    <w:rsid w:val="00550712"/>
    <w:rsid w:val="005512B4"/>
    <w:rsid w:val="00551D14"/>
    <w:rsid w:val="00553025"/>
    <w:rsid w:val="00553F31"/>
    <w:rsid w:val="00554A7B"/>
    <w:rsid w:val="0055572C"/>
    <w:rsid w:val="0055619C"/>
    <w:rsid w:val="0056106A"/>
    <w:rsid w:val="00561709"/>
    <w:rsid w:val="005625CA"/>
    <w:rsid w:val="005643B4"/>
    <w:rsid w:val="00564D7E"/>
    <w:rsid w:val="00565900"/>
    <w:rsid w:val="005665CE"/>
    <w:rsid w:val="00566D31"/>
    <w:rsid w:val="00567138"/>
    <w:rsid w:val="005720AE"/>
    <w:rsid w:val="00574CA6"/>
    <w:rsid w:val="00575A30"/>
    <w:rsid w:val="00582392"/>
    <w:rsid w:val="00582CB4"/>
    <w:rsid w:val="00584447"/>
    <w:rsid w:val="00585FDB"/>
    <w:rsid w:val="005872D9"/>
    <w:rsid w:val="00592091"/>
    <w:rsid w:val="0059366E"/>
    <w:rsid w:val="00594965"/>
    <w:rsid w:val="00594D77"/>
    <w:rsid w:val="005969E4"/>
    <w:rsid w:val="005A06B7"/>
    <w:rsid w:val="005A0732"/>
    <w:rsid w:val="005A1759"/>
    <w:rsid w:val="005A302A"/>
    <w:rsid w:val="005A4A6E"/>
    <w:rsid w:val="005A68A7"/>
    <w:rsid w:val="005A719D"/>
    <w:rsid w:val="005B0153"/>
    <w:rsid w:val="005B1458"/>
    <w:rsid w:val="005B19BD"/>
    <w:rsid w:val="005B43B3"/>
    <w:rsid w:val="005B6A39"/>
    <w:rsid w:val="005C2BDD"/>
    <w:rsid w:val="005C393E"/>
    <w:rsid w:val="005C3DF7"/>
    <w:rsid w:val="005C4620"/>
    <w:rsid w:val="005C4999"/>
    <w:rsid w:val="005C67A4"/>
    <w:rsid w:val="005D2520"/>
    <w:rsid w:val="005D36AB"/>
    <w:rsid w:val="005D397A"/>
    <w:rsid w:val="005D56EB"/>
    <w:rsid w:val="005E087F"/>
    <w:rsid w:val="005E2263"/>
    <w:rsid w:val="005E7E15"/>
    <w:rsid w:val="005F0035"/>
    <w:rsid w:val="005F0462"/>
    <w:rsid w:val="005F1F5D"/>
    <w:rsid w:val="005F6211"/>
    <w:rsid w:val="005F7D80"/>
    <w:rsid w:val="00601281"/>
    <w:rsid w:val="00601773"/>
    <w:rsid w:val="00601821"/>
    <w:rsid w:val="00602A5E"/>
    <w:rsid w:val="00602B65"/>
    <w:rsid w:val="0060416B"/>
    <w:rsid w:val="00613336"/>
    <w:rsid w:val="0061636F"/>
    <w:rsid w:val="00617CC3"/>
    <w:rsid w:val="00617FC2"/>
    <w:rsid w:val="0062157B"/>
    <w:rsid w:val="006229D2"/>
    <w:rsid w:val="00623349"/>
    <w:rsid w:val="006300D5"/>
    <w:rsid w:val="006313F8"/>
    <w:rsid w:val="00632CBC"/>
    <w:rsid w:val="006342CA"/>
    <w:rsid w:val="006343F4"/>
    <w:rsid w:val="00636CFB"/>
    <w:rsid w:val="0063701A"/>
    <w:rsid w:val="006377A6"/>
    <w:rsid w:val="00637A3D"/>
    <w:rsid w:val="0064111E"/>
    <w:rsid w:val="006411EF"/>
    <w:rsid w:val="00645158"/>
    <w:rsid w:val="00645632"/>
    <w:rsid w:val="00645CFF"/>
    <w:rsid w:val="00646370"/>
    <w:rsid w:val="00647208"/>
    <w:rsid w:val="00647435"/>
    <w:rsid w:val="0064759D"/>
    <w:rsid w:val="006476EF"/>
    <w:rsid w:val="00650386"/>
    <w:rsid w:val="00654ED9"/>
    <w:rsid w:val="00661102"/>
    <w:rsid w:val="0066689F"/>
    <w:rsid w:val="00666C47"/>
    <w:rsid w:val="006673F5"/>
    <w:rsid w:val="006710BB"/>
    <w:rsid w:val="00672EE1"/>
    <w:rsid w:val="00673E07"/>
    <w:rsid w:val="00673F37"/>
    <w:rsid w:val="00674345"/>
    <w:rsid w:val="006748B8"/>
    <w:rsid w:val="0067578D"/>
    <w:rsid w:val="00675C54"/>
    <w:rsid w:val="006775C3"/>
    <w:rsid w:val="0068015B"/>
    <w:rsid w:val="0068089B"/>
    <w:rsid w:val="00681233"/>
    <w:rsid w:val="006841D2"/>
    <w:rsid w:val="0068461E"/>
    <w:rsid w:val="006856FB"/>
    <w:rsid w:val="00685D8A"/>
    <w:rsid w:val="0068646E"/>
    <w:rsid w:val="00690481"/>
    <w:rsid w:val="00692157"/>
    <w:rsid w:val="0069290A"/>
    <w:rsid w:val="0069775A"/>
    <w:rsid w:val="00697813"/>
    <w:rsid w:val="00697DB8"/>
    <w:rsid w:val="006A0028"/>
    <w:rsid w:val="006A0B07"/>
    <w:rsid w:val="006A2663"/>
    <w:rsid w:val="006A2D39"/>
    <w:rsid w:val="006A2DFB"/>
    <w:rsid w:val="006A3EE8"/>
    <w:rsid w:val="006A4AB3"/>
    <w:rsid w:val="006A72BF"/>
    <w:rsid w:val="006B03F2"/>
    <w:rsid w:val="006B09BB"/>
    <w:rsid w:val="006B2A0F"/>
    <w:rsid w:val="006B2A16"/>
    <w:rsid w:val="006B37DC"/>
    <w:rsid w:val="006B4F68"/>
    <w:rsid w:val="006B5040"/>
    <w:rsid w:val="006B6EC3"/>
    <w:rsid w:val="006C0592"/>
    <w:rsid w:val="006C101B"/>
    <w:rsid w:val="006C1C98"/>
    <w:rsid w:val="006C24BC"/>
    <w:rsid w:val="006C272E"/>
    <w:rsid w:val="006C530A"/>
    <w:rsid w:val="006C5479"/>
    <w:rsid w:val="006C5590"/>
    <w:rsid w:val="006C7204"/>
    <w:rsid w:val="006D0A50"/>
    <w:rsid w:val="006D0C0C"/>
    <w:rsid w:val="006D13B5"/>
    <w:rsid w:val="006D267F"/>
    <w:rsid w:val="006D30F7"/>
    <w:rsid w:val="006D3246"/>
    <w:rsid w:val="006D3362"/>
    <w:rsid w:val="006D3846"/>
    <w:rsid w:val="006D3FC2"/>
    <w:rsid w:val="006E0DAD"/>
    <w:rsid w:val="006E1288"/>
    <w:rsid w:val="006E12FF"/>
    <w:rsid w:val="006E2A47"/>
    <w:rsid w:val="006E4C6E"/>
    <w:rsid w:val="006E5013"/>
    <w:rsid w:val="006E5593"/>
    <w:rsid w:val="006E5616"/>
    <w:rsid w:val="006E607E"/>
    <w:rsid w:val="006E7559"/>
    <w:rsid w:val="006E782A"/>
    <w:rsid w:val="006F190C"/>
    <w:rsid w:val="006F3200"/>
    <w:rsid w:val="006F4572"/>
    <w:rsid w:val="006F6993"/>
    <w:rsid w:val="006F7309"/>
    <w:rsid w:val="007009DF"/>
    <w:rsid w:val="00702129"/>
    <w:rsid w:val="00702EA7"/>
    <w:rsid w:val="007058FC"/>
    <w:rsid w:val="00706074"/>
    <w:rsid w:val="00706C5D"/>
    <w:rsid w:val="00707E59"/>
    <w:rsid w:val="0071084C"/>
    <w:rsid w:val="00710A70"/>
    <w:rsid w:val="00710DE0"/>
    <w:rsid w:val="00711843"/>
    <w:rsid w:val="007128AC"/>
    <w:rsid w:val="00713D38"/>
    <w:rsid w:val="00716B3C"/>
    <w:rsid w:val="00717738"/>
    <w:rsid w:val="00723638"/>
    <w:rsid w:val="0072392C"/>
    <w:rsid w:val="00724A88"/>
    <w:rsid w:val="00724F2F"/>
    <w:rsid w:val="007263FD"/>
    <w:rsid w:val="007275DF"/>
    <w:rsid w:val="00732922"/>
    <w:rsid w:val="00735D4C"/>
    <w:rsid w:val="007365A8"/>
    <w:rsid w:val="00737CDC"/>
    <w:rsid w:val="00741E34"/>
    <w:rsid w:val="007432D3"/>
    <w:rsid w:val="0074380F"/>
    <w:rsid w:val="007441FA"/>
    <w:rsid w:val="00744EF3"/>
    <w:rsid w:val="00745F7F"/>
    <w:rsid w:val="00750029"/>
    <w:rsid w:val="007505B2"/>
    <w:rsid w:val="007508A4"/>
    <w:rsid w:val="0075162E"/>
    <w:rsid w:val="0075252F"/>
    <w:rsid w:val="00754034"/>
    <w:rsid w:val="007564F1"/>
    <w:rsid w:val="00756556"/>
    <w:rsid w:val="00760273"/>
    <w:rsid w:val="00760C70"/>
    <w:rsid w:val="007618C4"/>
    <w:rsid w:val="00761F8F"/>
    <w:rsid w:val="00767368"/>
    <w:rsid w:val="00767980"/>
    <w:rsid w:val="007705A6"/>
    <w:rsid w:val="00770B19"/>
    <w:rsid w:val="0077463F"/>
    <w:rsid w:val="0077473B"/>
    <w:rsid w:val="00774CA9"/>
    <w:rsid w:val="00774F64"/>
    <w:rsid w:val="0077523F"/>
    <w:rsid w:val="00775BC3"/>
    <w:rsid w:val="00776D82"/>
    <w:rsid w:val="00776FE4"/>
    <w:rsid w:val="0078018A"/>
    <w:rsid w:val="00780B4A"/>
    <w:rsid w:val="0078264B"/>
    <w:rsid w:val="007836EA"/>
    <w:rsid w:val="00784CDA"/>
    <w:rsid w:val="00787271"/>
    <w:rsid w:val="007879E0"/>
    <w:rsid w:val="007906C4"/>
    <w:rsid w:val="007940EA"/>
    <w:rsid w:val="007954D7"/>
    <w:rsid w:val="0079656E"/>
    <w:rsid w:val="007967E8"/>
    <w:rsid w:val="007A1750"/>
    <w:rsid w:val="007A1E91"/>
    <w:rsid w:val="007A2170"/>
    <w:rsid w:val="007A22BF"/>
    <w:rsid w:val="007A3323"/>
    <w:rsid w:val="007A33ED"/>
    <w:rsid w:val="007A7942"/>
    <w:rsid w:val="007A7DAE"/>
    <w:rsid w:val="007B365C"/>
    <w:rsid w:val="007B376D"/>
    <w:rsid w:val="007B72B8"/>
    <w:rsid w:val="007B74FA"/>
    <w:rsid w:val="007B7A58"/>
    <w:rsid w:val="007C06BD"/>
    <w:rsid w:val="007C21B5"/>
    <w:rsid w:val="007C5BDF"/>
    <w:rsid w:val="007C6AA1"/>
    <w:rsid w:val="007C6D21"/>
    <w:rsid w:val="007D2E5E"/>
    <w:rsid w:val="007D49A9"/>
    <w:rsid w:val="007D5F45"/>
    <w:rsid w:val="007D6380"/>
    <w:rsid w:val="007E031D"/>
    <w:rsid w:val="007E0AC8"/>
    <w:rsid w:val="007E3ADA"/>
    <w:rsid w:val="007E4BD2"/>
    <w:rsid w:val="007E553C"/>
    <w:rsid w:val="007F13D9"/>
    <w:rsid w:val="007F3E98"/>
    <w:rsid w:val="007F42FC"/>
    <w:rsid w:val="007F458E"/>
    <w:rsid w:val="007F5784"/>
    <w:rsid w:val="007F59D4"/>
    <w:rsid w:val="007F5C66"/>
    <w:rsid w:val="007F786C"/>
    <w:rsid w:val="00801393"/>
    <w:rsid w:val="00802AB9"/>
    <w:rsid w:val="00802C4A"/>
    <w:rsid w:val="00802DD4"/>
    <w:rsid w:val="00802F88"/>
    <w:rsid w:val="008046BA"/>
    <w:rsid w:val="00804934"/>
    <w:rsid w:val="00804E6E"/>
    <w:rsid w:val="008057C8"/>
    <w:rsid w:val="00812708"/>
    <w:rsid w:val="0081293E"/>
    <w:rsid w:val="00815465"/>
    <w:rsid w:val="00817548"/>
    <w:rsid w:val="00817E9A"/>
    <w:rsid w:val="00820053"/>
    <w:rsid w:val="00821361"/>
    <w:rsid w:val="008263BD"/>
    <w:rsid w:val="00826926"/>
    <w:rsid w:val="00826998"/>
    <w:rsid w:val="00827321"/>
    <w:rsid w:val="00827FC8"/>
    <w:rsid w:val="008306BD"/>
    <w:rsid w:val="00831A80"/>
    <w:rsid w:val="008322E8"/>
    <w:rsid w:val="00833743"/>
    <w:rsid w:val="008340A4"/>
    <w:rsid w:val="00836615"/>
    <w:rsid w:val="00837C72"/>
    <w:rsid w:val="00842163"/>
    <w:rsid w:val="00843D2E"/>
    <w:rsid w:val="00844285"/>
    <w:rsid w:val="008467F0"/>
    <w:rsid w:val="00846F8D"/>
    <w:rsid w:val="008479DF"/>
    <w:rsid w:val="00850A8A"/>
    <w:rsid w:val="008543B0"/>
    <w:rsid w:val="008548FA"/>
    <w:rsid w:val="00860FF3"/>
    <w:rsid w:val="00861080"/>
    <w:rsid w:val="00862AD7"/>
    <w:rsid w:val="008636A5"/>
    <w:rsid w:val="008657A5"/>
    <w:rsid w:val="00866111"/>
    <w:rsid w:val="00866862"/>
    <w:rsid w:val="0086771D"/>
    <w:rsid w:val="0087135F"/>
    <w:rsid w:val="00872D94"/>
    <w:rsid w:val="008738B6"/>
    <w:rsid w:val="008752AF"/>
    <w:rsid w:val="00880364"/>
    <w:rsid w:val="00881092"/>
    <w:rsid w:val="00882D7C"/>
    <w:rsid w:val="0088483D"/>
    <w:rsid w:val="00885300"/>
    <w:rsid w:val="008861DB"/>
    <w:rsid w:val="008866EE"/>
    <w:rsid w:val="008871B2"/>
    <w:rsid w:val="00891592"/>
    <w:rsid w:val="00891E9E"/>
    <w:rsid w:val="00891FD2"/>
    <w:rsid w:val="00894EA2"/>
    <w:rsid w:val="00895C99"/>
    <w:rsid w:val="008961E9"/>
    <w:rsid w:val="00896F20"/>
    <w:rsid w:val="00896FC5"/>
    <w:rsid w:val="0089798D"/>
    <w:rsid w:val="008A17B9"/>
    <w:rsid w:val="008A1C35"/>
    <w:rsid w:val="008A2C6B"/>
    <w:rsid w:val="008A2F68"/>
    <w:rsid w:val="008A333B"/>
    <w:rsid w:val="008A45FF"/>
    <w:rsid w:val="008A4EE0"/>
    <w:rsid w:val="008A70AA"/>
    <w:rsid w:val="008A7E51"/>
    <w:rsid w:val="008B1027"/>
    <w:rsid w:val="008B47EB"/>
    <w:rsid w:val="008B4FA6"/>
    <w:rsid w:val="008B5282"/>
    <w:rsid w:val="008B5690"/>
    <w:rsid w:val="008B5CC9"/>
    <w:rsid w:val="008B5E10"/>
    <w:rsid w:val="008B7C17"/>
    <w:rsid w:val="008B7F63"/>
    <w:rsid w:val="008C11C7"/>
    <w:rsid w:val="008C1712"/>
    <w:rsid w:val="008C2D01"/>
    <w:rsid w:val="008C40E6"/>
    <w:rsid w:val="008C4964"/>
    <w:rsid w:val="008C6683"/>
    <w:rsid w:val="008D0F7A"/>
    <w:rsid w:val="008D1768"/>
    <w:rsid w:val="008D2CFD"/>
    <w:rsid w:val="008D4308"/>
    <w:rsid w:val="008D68E4"/>
    <w:rsid w:val="008D7D21"/>
    <w:rsid w:val="008E0506"/>
    <w:rsid w:val="008E0CFF"/>
    <w:rsid w:val="008E1D86"/>
    <w:rsid w:val="008E2549"/>
    <w:rsid w:val="008E4CD8"/>
    <w:rsid w:val="008E5D6B"/>
    <w:rsid w:val="008E76F0"/>
    <w:rsid w:val="008F08C2"/>
    <w:rsid w:val="008F15FE"/>
    <w:rsid w:val="008F23B5"/>
    <w:rsid w:val="008F2D29"/>
    <w:rsid w:val="008F5187"/>
    <w:rsid w:val="008F5CC7"/>
    <w:rsid w:val="008F60D8"/>
    <w:rsid w:val="008F7101"/>
    <w:rsid w:val="00900363"/>
    <w:rsid w:val="00900C22"/>
    <w:rsid w:val="00901218"/>
    <w:rsid w:val="00902727"/>
    <w:rsid w:val="00902CF6"/>
    <w:rsid w:val="0090312B"/>
    <w:rsid w:val="009036A4"/>
    <w:rsid w:val="009072EE"/>
    <w:rsid w:val="00913137"/>
    <w:rsid w:val="00914951"/>
    <w:rsid w:val="009157A6"/>
    <w:rsid w:val="0091736D"/>
    <w:rsid w:val="00917798"/>
    <w:rsid w:val="00920657"/>
    <w:rsid w:val="009230C8"/>
    <w:rsid w:val="00926119"/>
    <w:rsid w:val="009268C8"/>
    <w:rsid w:val="0093021C"/>
    <w:rsid w:val="0093037A"/>
    <w:rsid w:val="00930950"/>
    <w:rsid w:val="00932D40"/>
    <w:rsid w:val="0094154D"/>
    <w:rsid w:val="00942840"/>
    <w:rsid w:val="009436AF"/>
    <w:rsid w:val="00943DCD"/>
    <w:rsid w:val="00945968"/>
    <w:rsid w:val="0095062D"/>
    <w:rsid w:val="00951361"/>
    <w:rsid w:val="0095155F"/>
    <w:rsid w:val="00954429"/>
    <w:rsid w:val="009563CE"/>
    <w:rsid w:val="00956CFE"/>
    <w:rsid w:val="00961E7D"/>
    <w:rsid w:val="009641D2"/>
    <w:rsid w:val="009657CE"/>
    <w:rsid w:val="00966350"/>
    <w:rsid w:val="0096734E"/>
    <w:rsid w:val="0096777D"/>
    <w:rsid w:val="00967CAA"/>
    <w:rsid w:val="00971AB4"/>
    <w:rsid w:val="009745FE"/>
    <w:rsid w:val="00976328"/>
    <w:rsid w:val="0097680D"/>
    <w:rsid w:val="00976B63"/>
    <w:rsid w:val="00977A0E"/>
    <w:rsid w:val="00977F2A"/>
    <w:rsid w:val="00980A0B"/>
    <w:rsid w:val="0098174A"/>
    <w:rsid w:val="00982438"/>
    <w:rsid w:val="0098337F"/>
    <w:rsid w:val="0098404C"/>
    <w:rsid w:val="009844FB"/>
    <w:rsid w:val="00985283"/>
    <w:rsid w:val="00987CB5"/>
    <w:rsid w:val="00990103"/>
    <w:rsid w:val="00990A79"/>
    <w:rsid w:val="0099131A"/>
    <w:rsid w:val="009928A7"/>
    <w:rsid w:val="00995992"/>
    <w:rsid w:val="00996677"/>
    <w:rsid w:val="0099786D"/>
    <w:rsid w:val="00997D4F"/>
    <w:rsid w:val="009A03E5"/>
    <w:rsid w:val="009A075E"/>
    <w:rsid w:val="009A0DEA"/>
    <w:rsid w:val="009A0F3B"/>
    <w:rsid w:val="009A1BB4"/>
    <w:rsid w:val="009A209B"/>
    <w:rsid w:val="009A2628"/>
    <w:rsid w:val="009A2B5E"/>
    <w:rsid w:val="009A3200"/>
    <w:rsid w:val="009A65B8"/>
    <w:rsid w:val="009B0897"/>
    <w:rsid w:val="009B0C04"/>
    <w:rsid w:val="009B1110"/>
    <w:rsid w:val="009B211D"/>
    <w:rsid w:val="009B2984"/>
    <w:rsid w:val="009B3AFA"/>
    <w:rsid w:val="009B4CCA"/>
    <w:rsid w:val="009B549D"/>
    <w:rsid w:val="009B5826"/>
    <w:rsid w:val="009B6A84"/>
    <w:rsid w:val="009B740F"/>
    <w:rsid w:val="009B7BD9"/>
    <w:rsid w:val="009C1BEB"/>
    <w:rsid w:val="009C36A0"/>
    <w:rsid w:val="009C5014"/>
    <w:rsid w:val="009C61EA"/>
    <w:rsid w:val="009C7DD5"/>
    <w:rsid w:val="009D13BA"/>
    <w:rsid w:val="009D179D"/>
    <w:rsid w:val="009D460E"/>
    <w:rsid w:val="009D57A2"/>
    <w:rsid w:val="009E01ED"/>
    <w:rsid w:val="009E227D"/>
    <w:rsid w:val="009E2DC2"/>
    <w:rsid w:val="009E323C"/>
    <w:rsid w:val="009E373D"/>
    <w:rsid w:val="009E3DA1"/>
    <w:rsid w:val="009E5019"/>
    <w:rsid w:val="009E529D"/>
    <w:rsid w:val="009E62B3"/>
    <w:rsid w:val="009E6925"/>
    <w:rsid w:val="009E6A33"/>
    <w:rsid w:val="009E701F"/>
    <w:rsid w:val="009E7B3B"/>
    <w:rsid w:val="009F1918"/>
    <w:rsid w:val="009F1F7B"/>
    <w:rsid w:val="009F37D7"/>
    <w:rsid w:val="009F498C"/>
    <w:rsid w:val="009F59D9"/>
    <w:rsid w:val="009F7BCC"/>
    <w:rsid w:val="00A00E51"/>
    <w:rsid w:val="00A012BB"/>
    <w:rsid w:val="00A013BA"/>
    <w:rsid w:val="00A021D4"/>
    <w:rsid w:val="00A04F1B"/>
    <w:rsid w:val="00A0501B"/>
    <w:rsid w:val="00A1230A"/>
    <w:rsid w:val="00A1304B"/>
    <w:rsid w:val="00A13947"/>
    <w:rsid w:val="00A14947"/>
    <w:rsid w:val="00A167EF"/>
    <w:rsid w:val="00A2315B"/>
    <w:rsid w:val="00A231AB"/>
    <w:rsid w:val="00A25A56"/>
    <w:rsid w:val="00A25C46"/>
    <w:rsid w:val="00A26479"/>
    <w:rsid w:val="00A30A2D"/>
    <w:rsid w:val="00A30C21"/>
    <w:rsid w:val="00A31431"/>
    <w:rsid w:val="00A3231E"/>
    <w:rsid w:val="00A32A83"/>
    <w:rsid w:val="00A3560B"/>
    <w:rsid w:val="00A368DB"/>
    <w:rsid w:val="00A377BC"/>
    <w:rsid w:val="00A40941"/>
    <w:rsid w:val="00A410D1"/>
    <w:rsid w:val="00A423AA"/>
    <w:rsid w:val="00A45753"/>
    <w:rsid w:val="00A4686C"/>
    <w:rsid w:val="00A4798B"/>
    <w:rsid w:val="00A50408"/>
    <w:rsid w:val="00A53EC6"/>
    <w:rsid w:val="00A54939"/>
    <w:rsid w:val="00A54C19"/>
    <w:rsid w:val="00A55C0F"/>
    <w:rsid w:val="00A55CB1"/>
    <w:rsid w:val="00A56591"/>
    <w:rsid w:val="00A56DFF"/>
    <w:rsid w:val="00A60CE9"/>
    <w:rsid w:val="00A619AE"/>
    <w:rsid w:val="00A61D35"/>
    <w:rsid w:val="00A629EA"/>
    <w:rsid w:val="00A63F99"/>
    <w:rsid w:val="00A648DD"/>
    <w:rsid w:val="00A649C3"/>
    <w:rsid w:val="00A6589A"/>
    <w:rsid w:val="00A659D1"/>
    <w:rsid w:val="00A70D11"/>
    <w:rsid w:val="00A7302B"/>
    <w:rsid w:val="00A73A80"/>
    <w:rsid w:val="00A746AB"/>
    <w:rsid w:val="00A7504D"/>
    <w:rsid w:val="00A75914"/>
    <w:rsid w:val="00A76A2D"/>
    <w:rsid w:val="00A77162"/>
    <w:rsid w:val="00A81117"/>
    <w:rsid w:val="00A81247"/>
    <w:rsid w:val="00A8216E"/>
    <w:rsid w:val="00A84AB2"/>
    <w:rsid w:val="00A84CFB"/>
    <w:rsid w:val="00A85391"/>
    <w:rsid w:val="00A857EC"/>
    <w:rsid w:val="00A86652"/>
    <w:rsid w:val="00A8713F"/>
    <w:rsid w:val="00A87807"/>
    <w:rsid w:val="00A90AD0"/>
    <w:rsid w:val="00A90BA1"/>
    <w:rsid w:val="00A9132D"/>
    <w:rsid w:val="00A91C4E"/>
    <w:rsid w:val="00A92AD5"/>
    <w:rsid w:val="00A93F38"/>
    <w:rsid w:val="00A96E14"/>
    <w:rsid w:val="00A97A9A"/>
    <w:rsid w:val="00AA0671"/>
    <w:rsid w:val="00AA0C3C"/>
    <w:rsid w:val="00AA2531"/>
    <w:rsid w:val="00AA2A72"/>
    <w:rsid w:val="00AA3A84"/>
    <w:rsid w:val="00AA3CBA"/>
    <w:rsid w:val="00AA3DF7"/>
    <w:rsid w:val="00AB00AF"/>
    <w:rsid w:val="00AB00DD"/>
    <w:rsid w:val="00AB07AA"/>
    <w:rsid w:val="00AB1099"/>
    <w:rsid w:val="00AB1E09"/>
    <w:rsid w:val="00AB2215"/>
    <w:rsid w:val="00AB5330"/>
    <w:rsid w:val="00AB7747"/>
    <w:rsid w:val="00AB7C24"/>
    <w:rsid w:val="00AC0243"/>
    <w:rsid w:val="00AC0756"/>
    <w:rsid w:val="00AC09C2"/>
    <w:rsid w:val="00AC14CE"/>
    <w:rsid w:val="00AC1605"/>
    <w:rsid w:val="00AC1B03"/>
    <w:rsid w:val="00AC239A"/>
    <w:rsid w:val="00AC2998"/>
    <w:rsid w:val="00AC2A56"/>
    <w:rsid w:val="00AC4C55"/>
    <w:rsid w:val="00AD055E"/>
    <w:rsid w:val="00AD2865"/>
    <w:rsid w:val="00AD47A7"/>
    <w:rsid w:val="00AD5648"/>
    <w:rsid w:val="00AD5928"/>
    <w:rsid w:val="00AE2924"/>
    <w:rsid w:val="00AE2F52"/>
    <w:rsid w:val="00AE466A"/>
    <w:rsid w:val="00AE5D97"/>
    <w:rsid w:val="00AE6119"/>
    <w:rsid w:val="00AF0CBF"/>
    <w:rsid w:val="00AF0D90"/>
    <w:rsid w:val="00AF17B2"/>
    <w:rsid w:val="00AF257F"/>
    <w:rsid w:val="00AF33CF"/>
    <w:rsid w:val="00AF4D50"/>
    <w:rsid w:val="00AF6179"/>
    <w:rsid w:val="00B01382"/>
    <w:rsid w:val="00B0314A"/>
    <w:rsid w:val="00B05D85"/>
    <w:rsid w:val="00B064C0"/>
    <w:rsid w:val="00B10D29"/>
    <w:rsid w:val="00B114D7"/>
    <w:rsid w:val="00B1264C"/>
    <w:rsid w:val="00B128CE"/>
    <w:rsid w:val="00B1295A"/>
    <w:rsid w:val="00B12E64"/>
    <w:rsid w:val="00B14E90"/>
    <w:rsid w:val="00B15CF6"/>
    <w:rsid w:val="00B20A45"/>
    <w:rsid w:val="00B20F99"/>
    <w:rsid w:val="00B21E5A"/>
    <w:rsid w:val="00B22006"/>
    <w:rsid w:val="00B22C5C"/>
    <w:rsid w:val="00B23472"/>
    <w:rsid w:val="00B24F30"/>
    <w:rsid w:val="00B255C0"/>
    <w:rsid w:val="00B269AE"/>
    <w:rsid w:val="00B26F96"/>
    <w:rsid w:val="00B303BE"/>
    <w:rsid w:val="00B31ABF"/>
    <w:rsid w:val="00B33BE3"/>
    <w:rsid w:val="00B360D7"/>
    <w:rsid w:val="00B406C6"/>
    <w:rsid w:val="00B4288F"/>
    <w:rsid w:val="00B42D30"/>
    <w:rsid w:val="00B43DFD"/>
    <w:rsid w:val="00B45779"/>
    <w:rsid w:val="00B477B8"/>
    <w:rsid w:val="00B477D9"/>
    <w:rsid w:val="00B47F16"/>
    <w:rsid w:val="00B52E7A"/>
    <w:rsid w:val="00B5304E"/>
    <w:rsid w:val="00B53B5D"/>
    <w:rsid w:val="00B53E22"/>
    <w:rsid w:val="00B5543E"/>
    <w:rsid w:val="00B6055E"/>
    <w:rsid w:val="00B6214F"/>
    <w:rsid w:val="00B62184"/>
    <w:rsid w:val="00B6317D"/>
    <w:rsid w:val="00B64397"/>
    <w:rsid w:val="00B65655"/>
    <w:rsid w:val="00B70238"/>
    <w:rsid w:val="00B71043"/>
    <w:rsid w:val="00B71B4E"/>
    <w:rsid w:val="00B72440"/>
    <w:rsid w:val="00B72C87"/>
    <w:rsid w:val="00B7339E"/>
    <w:rsid w:val="00B74207"/>
    <w:rsid w:val="00B76A5C"/>
    <w:rsid w:val="00B7723F"/>
    <w:rsid w:val="00B80534"/>
    <w:rsid w:val="00B8255B"/>
    <w:rsid w:val="00B8271F"/>
    <w:rsid w:val="00B82A4A"/>
    <w:rsid w:val="00B8433C"/>
    <w:rsid w:val="00B8534E"/>
    <w:rsid w:val="00B87491"/>
    <w:rsid w:val="00B90113"/>
    <w:rsid w:val="00B91767"/>
    <w:rsid w:val="00B947C1"/>
    <w:rsid w:val="00BA0431"/>
    <w:rsid w:val="00BA1D60"/>
    <w:rsid w:val="00BA1DE8"/>
    <w:rsid w:val="00BA29E9"/>
    <w:rsid w:val="00BA3AEA"/>
    <w:rsid w:val="00BA3C93"/>
    <w:rsid w:val="00BA6996"/>
    <w:rsid w:val="00BA7142"/>
    <w:rsid w:val="00BA7AC5"/>
    <w:rsid w:val="00BB16DF"/>
    <w:rsid w:val="00BB1930"/>
    <w:rsid w:val="00BB1D50"/>
    <w:rsid w:val="00BB237C"/>
    <w:rsid w:val="00BB41A3"/>
    <w:rsid w:val="00BB4B73"/>
    <w:rsid w:val="00BB7DBF"/>
    <w:rsid w:val="00BC0EF4"/>
    <w:rsid w:val="00BC1353"/>
    <w:rsid w:val="00BC2332"/>
    <w:rsid w:val="00BC2D35"/>
    <w:rsid w:val="00BC2E3A"/>
    <w:rsid w:val="00BC32DC"/>
    <w:rsid w:val="00BC334D"/>
    <w:rsid w:val="00BC35B6"/>
    <w:rsid w:val="00BC3C1F"/>
    <w:rsid w:val="00BC6A9D"/>
    <w:rsid w:val="00BD0624"/>
    <w:rsid w:val="00BD1B51"/>
    <w:rsid w:val="00BD22A6"/>
    <w:rsid w:val="00BD22A8"/>
    <w:rsid w:val="00BD41D3"/>
    <w:rsid w:val="00BD4596"/>
    <w:rsid w:val="00BE0025"/>
    <w:rsid w:val="00BE036E"/>
    <w:rsid w:val="00BE0E1E"/>
    <w:rsid w:val="00BE1405"/>
    <w:rsid w:val="00BE1993"/>
    <w:rsid w:val="00BE2B78"/>
    <w:rsid w:val="00BE312D"/>
    <w:rsid w:val="00BE6163"/>
    <w:rsid w:val="00BE7339"/>
    <w:rsid w:val="00BF1C20"/>
    <w:rsid w:val="00BF2A5F"/>
    <w:rsid w:val="00BF33D5"/>
    <w:rsid w:val="00BF7383"/>
    <w:rsid w:val="00BF744F"/>
    <w:rsid w:val="00C05124"/>
    <w:rsid w:val="00C0611E"/>
    <w:rsid w:val="00C07206"/>
    <w:rsid w:val="00C07209"/>
    <w:rsid w:val="00C10578"/>
    <w:rsid w:val="00C11C29"/>
    <w:rsid w:val="00C135BC"/>
    <w:rsid w:val="00C1472F"/>
    <w:rsid w:val="00C15647"/>
    <w:rsid w:val="00C15C95"/>
    <w:rsid w:val="00C16E83"/>
    <w:rsid w:val="00C20085"/>
    <w:rsid w:val="00C21ED5"/>
    <w:rsid w:val="00C22278"/>
    <w:rsid w:val="00C245BD"/>
    <w:rsid w:val="00C2596A"/>
    <w:rsid w:val="00C27427"/>
    <w:rsid w:val="00C27537"/>
    <w:rsid w:val="00C323D1"/>
    <w:rsid w:val="00C328FE"/>
    <w:rsid w:val="00C32ECB"/>
    <w:rsid w:val="00C33507"/>
    <w:rsid w:val="00C33543"/>
    <w:rsid w:val="00C34638"/>
    <w:rsid w:val="00C34EB4"/>
    <w:rsid w:val="00C35389"/>
    <w:rsid w:val="00C40153"/>
    <w:rsid w:val="00C40AC7"/>
    <w:rsid w:val="00C42356"/>
    <w:rsid w:val="00C4409D"/>
    <w:rsid w:val="00C44B4F"/>
    <w:rsid w:val="00C44E72"/>
    <w:rsid w:val="00C45A06"/>
    <w:rsid w:val="00C47E5B"/>
    <w:rsid w:val="00C52C99"/>
    <w:rsid w:val="00C55DFF"/>
    <w:rsid w:val="00C57450"/>
    <w:rsid w:val="00C6134D"/>
    <w:rsid w:val="00C61E4B"/>
    <w:rsid w:val="00C622E5"/>
    <w:rsid w:val="00C636BF"/>
    <w:rsid w:val="00C64941"/>
    <w:rsid w:val="00C64BFF"/>
    <w:rsid w:val="00C64D52"/>
    <w:rsid w:val="00C66E55"/>
    <w:rsid w:val="00C704E9"/>
    <w:rsid w:val="00C70925"/>
    <w:rsid w:val="00C70DE0"/>
    <w:rsid w:val="00C7126F"/>
    <w:rsid w:val="00C73484"/>
    <w:rsid w:val="00C737F9"/>
    <w:rsid w:val="00C75704"/>
    <w:rsid w:val="00C75DEB"/>
    <w:rsid w:val="00C763C9"/>
    <w:rsid w:val="00C7795D"/>
    <w:rsid w:val="00C77CC9"/>
    <w:rsid w:val="00C77D4D"/>
    <w:rsid w:val="00C80057"/>
    <w:rsid w:val="00C81117"/>
    <w:rsid w:val="00C812EA"/>
    <w:rsid w:val="00C81C15"/>
    <w:rsid w:val="00C82232"/>
    <w:rsid w:val="00C824A7"/>
    <w:rsid w:val="00C82913"/>
    <w:rsid w:val="00C85784"/>
    <w:rsid w:val="00C86646"/>
    <w:rsid w:val="00C87916"/>
    <w:rsid w:val="00C916E9"/>
    <w:rsid w:val="00C934B4"/>
    <w:rsid w:val="00C9437F"/>
    <w:rsid w:val="00C972B1"/>
    <w:rsid w:val="00CA01E7"/>
    <w:rsid w:val="00CA2CCE"/>
    <w:rsid w:val="00CA2E7B"/>
    <w:rsid w:val="00CA43FD"/>
    <w:rsid w:val="00CA7EF8"/>
    <w:rsid w:val="00CB321E"/>
    <w:rsid w:val="00CB404F"/>
    <w:rsid w:val="00CB6D8D"/>
    <w:rsid w:val="00CB746D"/>
    <w:rsid w:val="00CC1482"/>
    <w:rsid w:val="00CC2DDD"/>
    <w:rsid w:val="00CC3F26"/>
    <w:rsid w:val="00CC489B"/>
    <w:rsid w:val="00CC4E1E"/>
    <w:rsid w:val="00CC5677"/>
    <w:rsid w:val="00CC61D5"/>
    <w:rsid w:val="00CC7958"/>
    <w:rsid w:val="00CD0492"/>
    <w:rsid w:val="00CD1984"/>
    <w:rsid w:val="00CD2BCD"/>
    <w:rsid w:val="00CD3A4C"/>
    <w:rsid w:val="00CD7A8D"/>
    <w:rsid w:val="00CE10E9"/>
    <w:rsid w:val="00CE2910"/>
    <w:rsid w:val="00CE5393"/>
    <w:rsid w:val="00CF236F"/>
    <w:rsid w:val="00CF36BE"/>
    <w:rsid w:val="00CF38E3"/>
    <w:rsid w:val="00CF4834"/>
    <w:rsid w:val="00CF54C0"/>
    <w:rsid w:val="00CF6000"/>
    <w:rsid w:val="00CF779C"/>
    <w:rsid w:val="00D003F3"/>
    <w:rsid w:val="00D00A15"/>
    <w:rsid w:val="00D0134B"/>
    <w:rsid w:val="00D030A1"/>
    <w:rsid w:val="00D0364F"/>
    <w:rsid w:val="00D03AAB"/>
    <w:rsid w:val="00D05BE6"/>
    <w:rsid w:val="00D06834"/>
    <w:rsid w:val="00D078B9"/>
    <w:rsid w:val="00D112DA"/>
    <w:rsid w:val="00D17724"/>
    <w:rsid w:val="00D2035B"/>
    <w:rsid w:val="00D225FF"/>
    <w:rsid w:val="00D308ED"/>
    <w:rsid w:val="00D30C3C"/>
    <w:rsid w:val="00D34E4B"/>
    <w:rsid w:val="00D36D86"/>
    <w:rsid w:val="00D37823"/>
    <w:rsid w:val="00D4055D"/>
    <w:rsid w:val="00D40B1C"/>
    <w:rsid w:val="00D41115"/>
    <w:rsid w:val="00D4199A"/>
    <w:rsid w:val="00D41C3A"/>
    <w:rsid w:val="00D41F63"/>
    <w:rsid w:val="00D428AA"/>
    <w:rsid w:val="00D42E86"/>
    <w:rsid w:val="00D430BC"/>
    <w:rsid w:val="00D431CD"/>
    <w:rsid w:val="00D434AF"/>
    <w:rsid w:val="00D44011"/>
    <w:rsid w:val="00D45AE8"/>
    <w:rsid w:val="00D50A34"/>
    <w:rsid w:val="00D53891"/>
    <w:rsid w:val="00D53EFA"/>
    <w:rsid w:val="00D54072"/>
    <w:rsid w:val="00D54C0F"/>
    <w:rsid w:val="00D57A6F"/>
    <w:rsid w:val="00D57CB8"/>
    <w:rsid w:val="00D61B42"/>
    <w:rsid w:val="00D63FED"/>
    <w:rsid w:val="00D65B94"/>
    <w:rsid w:val="00D70757"/>
    <w:rsid w:val="00D7189C"/>
    <w:rsid w:val="00D7245A"/>
    <w:rsid w:val="00D73FA4"/>
    <w:rsid w:val="00D7563B"/>
    <w:rsid w:val="00D76CBA"/>
    <w:rsid w:val="00D76D02"/>
    <w:rsid w:val="00D77106"/>
    <w:rsid w:val="00D82B4E"/>
    <w:rsid w:val="00D83578"/>
    <w:rsid w:val="00D84BAD"/>
    <w:rsid w:val="00D86788"/>
    <w:rsid w:val="00D91584"/>
    <w:rsid w:val="00D92BB2"/>
    <w:rsid w:val="00D94A7C"/>
    <w:rsid w:val="00D94FFB"/>
    <w:rsid w:val="00D95896"/>
    <w:rsid w:val="00D95CAD"/>
    <w:rsid w:val="00D96EA5"/>
    <w:rsid w:val="00D96FCD"/>
    <w:rsid w:val="00DA33EF"/>
    <w:rsid w:val="00DA3499"/>
    <w:rsid w:val="00DA52FC"/>
    <w:rsid w:val="00DA64C5"/>
    <w:rsid w:val="00DB1B07"/>
    <w:rsid w:val="00DB1B1D"/>
    <w:rsid w:val="00DB2983"/>
    <w:rsid w:val="00DC0411"/>
    <w:rsid w:val="00DC1257"/>
    <w:rsid w:val="00DC208E"/>
    <w:rsid w:val="00DC3DC0"/>
    <w:rsid w:val="00DC3FF8"/>
    <w:rsid w:val="00DC5220"/>
    <w:rsid w:val="00DC5B2B"/>
    <w:rsid w:val="00DD1259"/>
    <w:rsid w:val="00DD318D"/>
    <w:rsid w:val="00DE0405"/>
    <w:rsid w:val="00DE20C4"/>
    <w:rsid w:val="00DE2472"/>
    <w:rsid w:val="00DE2B16"/>
    <w:rsid w:val="00DE4C82"/>
    <w:rsid w:val="00DE53C5"/>
    <w:rsid w:val="00DE592D"/>
    <w:rsid w:val="00DE5978"/>
    <w:rsid w:val="00DE7C28"/>
    <w:rsid w:val="00DF0E5A"/>
    <w:rsid w:val="00DF1679"/>
    <w:rsid w:val="00DF1D57"/>
    <w:rsid w:val="00DF1FDB"/>
    <w:rsid w:val="00DF23D8"/>
    <w:rsid w:val="00DF2E12"/>
    <w:rsid w:val="00DF2E56"/>
    <w:rsid w:val="00DF3ABC"/>
    <w:rsid w:val="00DF514A"/>
    <w:rsid w:val="00DF56F1"/>
    <w:rsid w:val="00DF6139"/>
    <w:rsid w:val="00DF6690"/>
    <w:rsid w:val="00DF6804"/>
    <w:rsid w:val="00E002C0"/>
    <w:rsid w:val="00E004BB"/>
    <w:rsid w:val="00E009DE"/>
    <w:rsid w:val="00E013DC"/>
    <w:rsid w:val="00E01A0B"/>
    <w:rsid w:val="00E01C03"/>
    <w:rsid w:val="00E02C91"/>
    <w:rsid w:val="00E0358D"/>
    <w:rsid w:val="00E03727"/>
    <w:rsid w:val="00E04323"/>
    <w:rsid w:val="00E070A2"/>
    <w:rsid w:val="00E07D6A"/>
    <w:rsid w:val="00E07EB3"/>
    <w:rsid w:val="00E14739"/>
    <w:rsid w:val="00E14AD2"/>
    <w:rsid w:val="00E20925"/>
    <w:rsid w:val="00E214DF"/>
    <w:rsid w:val="00E215D6"/>
    <w:rsid w:val="00E23D51"/>
    <w:rsid w:val="00E2656A"/>
    <w:rsid w:val="00E26E5B"/>
    <w:rsid w:val="00E26E8B"/>
    <w:rsid w:val="00E274FD"/>
    <w:rsid w:val="00E309C1"/>
    <w:rsid w:val="00E336C9"/>
    <w:rsid w:val="00E34C99"/>
    <w:rsid w:val="00E40118"/>
    <w:rsid w:val="00E40F7D"/>
    <w:rsid w:val="00E412D0"/>
    <w:rsid w:val="00E41561"/>
    <w:rsid w:val="00E42259"/>
    <w:rsid w:val="00E4650E"/>
    <w:rsid w:val="00E47107"/>
    <w:rsid w:val="00E47392"/>
    <w:rsid w:val="00E4764C"/>
    <w:rsid w:val="00E47D53"/>
    <w:rsid w:val="00E50DB0"/>
    <w:rsid w:val="00E51880"/>
    <w:rsid w:val="00E529C8"/>
    <w:rsid w:val="00E53BD4"/>
    <w:rsid w:val="00E5505D"/>
    <w:rsid w:val="00E56322"/>
    <w:rsid w:val="00E6010B"/>
    <w:rsid w:val="00E60982"/>
    <w:rsid w:val="00E62247"/>
    <w:rsid w:val="00E62C62"/>
    <w:rsid w:val="00E6382C"/>
    <w:rsid w:val="00E63D8C"/>
    <w:rsid w:val="00E64466"/>
    <w:rsid w:val="00E654C1"/>
    <w:rsid w:val="00E65D97"/>
    <w:rsid w:val="00E6670F"/>
    <w:rsid w:val="00E668CA"/>
    <w:rsid w:val="00E677B2"/>
    <w:rsid w:val="00E718B9"/>
    <w:rsid w:val="00E72A5A"/>
    <w:rsid w:val="00E73354"/>
    <w:rsid w:val="00E75E83"/>
    <w:rsid w:val="00E77097"/>
    <w:rsid w:val="00E81BB0"/>
    <w:rsid w:val="00E81D4F"/>
    <w:rsid w:val="00E8392D"/>
    <w:rsid w:val="00E83AD0"/>
    <w:rsid w:val="00E855AE"/>
    <w:rsid w:val="00E85A75"/>
    <w:rsid w:val="00E8612B"/>
    <w:rsid w:val="00E87567"/>
    <w:rsid w:val="00E87E29"/>
    <w:rsid w:val="00E91426"/>
    <w:rsid w:val="00E9242D"/>
    <w:rsid w:val="00E92767"/>
    <w:rsid w:val="00E928CA"/>
    <w:rsid w:val="00E94FA9"/>
    <w:rsid w:val="00E96825"/>
    <w:rsid w:val="00E9758F"/>
    <w:rsid w:val="00E97C50"/>
    <w:rsid w:val="00EA05C5"/>
    <w:rsid w:val="00EA291C"/>
    <w:rsid w:val="00EA30A1"/>
    <w:rsid w:val="00EA3285"/>
    <w:rsid w:val="00EA670A"/>
    <w:rsid w:val="00EB0EBF"/>
    <w:rsid w:val="00EB41E5"/>
    <w:rsid w:val="00EB5255"/>
    <w:rsid w:val="00EB5C47"/>
    <w:rsid w:val="00EC5562"/>
    <w:rsid w:val="00EC655C"/>
    <w:rsid w:val="00EC720D"/>
    <w:rsid w:val="00EC7EC6"/>
    <w:rsid w:val="00ED0025"/>
    <w:rsid w:val="00ED0639"/>
    <w:rsid w:val="00ED0D03"/>
    <w:rsid w:val="00ED2492"/>
    <w:rsid w:val="00ED3F9E"/>
    <w:rsid w:val="00ED6A82"/>
    <w:rsid w:val="00ED6DB7"/>
    <w:rsid w:val="00ED73C0"/>
    <w:rsid w:val="00EE0898"/>
    <w:rsid w:val="00EE0C91"/>
    <w:rsid w:val="00EE26A8"/>
    <w:rsid w:val="00EE4E52"/>
    <w:rsid w:val="00EE6E54"/>
    <w:rsid w:val="00EF0594"/>
    <w:rsid w:val="00EF0799"/>
    <w:rsid w:val="00EF0E22"/>
    <w:rsid w:val="00EF16AA"/>
    <w:rsid w:val="00EF1911"/>
    <w:rsid w:val="00EF32E9"/>
    <w:rsid w:val="00EF4755"/>
    <w:rsid w:val="00EF60CF"/>
    <w:rsid w:val="00EF6963"/>
    <w:rsid w:val="00EF7135"/>
    <w:rsid w:val="00EF7295"/>
    <w:rsid w:val="00F001D0"/>
    <w:rsid w:val="00F027DB"/>
    <w:rsid w:val="00F028B5"/>
    <w:rsid w:val="00F056AC"/>
    <w:rsid w:val="00F06C56"/>
    <w:rsid w:val="00F10DA0"/>
    <w:rsid w:val="00F115A4"/>
    <w:rsid w:val="00F1231B"/>
    <w:rsid w:val="00F13AC0"/>
    <w:rsid w:val="00F13FE1"/>
    <w:rsid w:val="00F14A7A"/>
    <w:rsid w:val="00F1613A"/>
    <w:rsid w:val="00F1613F"/>
    <w:rsid w:val="00F178FB"/>
    <w:rsid w:val="00F20A98"/>
    <w:rsid w:val="00F21712"/>
    <w:rsid w:val="00F22985"/>
    <w:rsid w:val="00F3176C"/>
    <w:rsid w:val="00F3383E"/>
    <w:rsid w:val="00F37E63"/>
    <w:rsid w:val="00F406F4"/>
    <w:rsid w:val="00F4249B"/>
    <w:rsid w:val="00F436FC"/>
    <w:rsid w:val="00F43E92"/>
    <w:rsid w:val="00F443FA"/>
    <w:rsid w:val="00F44720"/>
    <w:rsid w:val="00F465A7"/>
    <w:rsid w:val="00F50688"/>
    <w:rsid w:val="00F50B7C"/>
    <w:rsid w:val="00F51558"/>
    <w:rsid w:val="00F5423F"/>
    <w:rsid w:val="00F544CF"/>
    <w:rsid w:val="00F550E6"/>
    <w:rsid w:val="00F5643A"/>
    <w:rsid w:val="00F61204"/>
    <w:rsid w:val="00F62239"/>
    <w:rsid w:val="00F6261F"/>
    <w:rsid w:val="00F65331"/>
    <w:rsid w:val="00F65CD7"/>
    <w:rsid w:val="00F74345"/>
    <w:rsid w:val="00F744C4"/>
    <w:rsid w:val="00F753F6"/>
    <w:rsid w:val="00F758EE"/>
    <w:rsid w:val="00F7592B"/>
    <w:rsid w:val="00F761AB"/>
    <w:rsid w:val="00F763A8"/>
    <w:rsid w:val="00F76C15"/>
    <w:rsid w:val="00F80A0A"/>
    <w:rsid w:val="00F82B19"/>
    <w:rsid w:val="00F852BB"/>
    <w:rsid w:val="00F858F9"/>
    <w:rsid w:val="00F87A37"/>
    <w:rsid w:val="00F907CE"/>
    <w:rsid w:val="00F9212D"/>
    <w:rsid w:val="00F94F93"/>
    <w:rsid w:val="00F965DA"/>
    <w:rsid w:val="00F96D92"/>
    <w:rsid w:val="00F97992"/>
    <w:rsid w:val="00FA03BC"/>
    <w:rsid w:val="00FA0A5E"/>
    <w:rsid w:val="00FA406A"/>
    <w:rsid w:val="00FA63E2"/>
    <w:rsid w:val="00FA6F45"/>
    <w:rsid w:val="00FB047E"/>
    <w:rsid w:val="00FB296F"/>
    <w:rsid w:val="00FB40C0"/>
    <w:rsid w:val="00FB47E7"/>
    <w:rsid w:val="00FB503A"/>
    <w:rsid w:val="00FB516C"/>
    <w:rsid w:val="00FB59AA"/>
    <w:rsid w:val="00FB68F3"/>
    <w:rsid w:val="00FB7428"/>
    <w:rsid w:val="00FC2074"/>
    <w:rsid w:val="00FC5F5E"/>
    <w:rsid w:val="00FC6078"/>
    <w:rsid w:val="00FC6D65"/>
    <w:rsid w:val="00FC77D2"/>
    <w:rsid w:val="00FC78B4"/>
    <w:rsid w:val="00FC7981"/>
    <w:rsid w:val="00FD0236"/>
    <w:rsid w:val="00FD1442"/>
    <w:rsid w:val="00FD18F4"/>
    <w:rsid w:val="00FD41D1"/>
    <w:rsid w:val="00FD54DB"/>
    <w:rsid w:val="00FD619F"/>
    <w:rsid w:val="00FD64E0"/>
    <w:rsid w:val="00FE0768"/>
    <w:rsid w:val="00FE1440"/>
    <w:rsid w:val="00FE255B"/>
    <w:rsid w:val="00FE5DE3"/>
    <w:rsid w:val="00FE61F7"/>
    <w:rsid w:val="00FE6263"/>
    <w:rsid w:val="00FF17EC"/>
    <w:rsid w:val="00FF39EF"/>
    <w:rsid w:val="00FF3D5F"/>
    <w:rsid w:val="00FF57A2"/>
    <w:rsid w:val="011772F8"/>
    <w:rsid w:val="01290F7E"/>
    <w:rsid w:val="015D1E09"/>
    <w:rsid w:val="016C55B9"/>
    <w:rsid w:val="016F45ED"/>
    <w:rsid w:val="017E0CD4"/>
    <w:rsid w:val="019416EE"/>
    <w:rsid w:val="01A4698D"/>
    <w:rsid w:val="01AD5116"/>
    <w:rsid w:val="022D63D2"/>
    <w:rsid w:val="022E26FA"/>
    <w:rsid w:val="025645F5"/>
    <w:rsid w:val="02697903"/>
    <w:rsid w:val="028D5673"/>
    <w:rsid w:val="029F53A6"/>
    <w:rsid w:val="02DC5A07"/>
    <w:rsid w:val="02F96569"/>
    <w:rsid w:val="031D6263"/>
    <w:rsid w:val="03237D85"/>
    <w:rsid w:val="0346596A"/>
    <w:rsid w:val="036A2751"/>
    <w:rsid w:val="03C350C4"/>
    <w:rsid w:val="03E63879"/>
    <w:rsid w:val="03EA43FF"/>
    <w:rsid w:val="03EA7B21"/>
    <w:rsid w:val="03F7652D"/>
    <w:rsid w:val="041E22FB"/>
    <w:rsid w:val="042C4A18"/>
    <w:rsid w:val="045F6B9B"/>
    <w:rsid w:val="04900898"/>
    <w:rsid w:val="04936845"/>
    <w:rsid w:val="049E7FB3"/>
    <w:rsid w:val="04BB7F4A"/>
    <w:rsid w:val="04DB0285"/>
    <w:rsid w:val="053153E6"/>
    <w:rsid w:val="053F7FAA"/>
    <w:rsid w:val="056A6750"/>
    <w:rsid w:val="05793C8D"/>
    <w:rsid w:val="057C6008"/>
    <w:rsid w:val="05C15080"/>
    <w:rsid w:val="05F83EAE"/>
    <w:rsid w:val="05FF6A84"/>
    <w:rsid w:val="060355F6"/>
    <w:rsid w:val="06206C00"/>
    <w:rsid w:val="063E7D85"/>
    <w:rsid w:val="066C559F"/>
    <w:rsid w:val="067C3D26"/>
    <w:rsid w:val="06F44178"/>
    <w:rsid w:val="072365A6"/>
    <w:rsid w:val="07293586"/>
    <w:rsid w:val="07295285"/>
    <w:rsid w:val="07487DBA"/>
    <w:rsid w:val="07636392"/>
    <w:rsid w:val="07770C56"/>
    <w:rsid w:val="07A8169D"/>
    <w:rsid w:val="07B27A2E"/>
    <w:rsid w:val="08214630"/>
    <w:rsid w:val="0854278F"/>
    <w:rsid w:val="0901567C"/>
    <w:rsid w:val="092217DD"/>
    <w:rsid w:val="093A7294"/>
    <w:rsid w:val="0941208F"/>
    <w:rsid w:val="09556FEC"/>
    <w:rsid w:val="097061AF"/>
    <w:rsid w:val="097E191C"/>
    <w:rsid w:val="09CB7533"/>
    <w:rsid w:val="0A263993"/>
    <w:rsid w:val="0A2D3AC2"/>
    <w:rsid w:val="0A362E60"/>
    <w:rsid w:val="0A410AF1"/>
    <w:rsid w:val="0AA755DF"/>
    <w:rsid w:val="0ACA6D38"/>
    <w:rsid w:val="0ACC0D02"/>
    <w:rsid w:val="0B120D44"/>
    <w:rsid w:val="0B2E376B"/>
    <w:rsid w:val="0B3568A8"/>
    <w:rsid w:val="0B6158EF"/>
    <w:rsid w:val="0B7D3DAB"/>
    <w:rsid w:val="0BB66944"/>
    <w:rsid w:val="0BD27BF6"/>
    <w:rsid w:val="0BDF4000"/>
    <w:rsid w:val="0C1C1816"/>
    <w:rsid w:val="0C3B3C7D"/>
    <w:rsid w:val="0CAB2EAE"/>
    <w:rsid w:val="0CB101B0"/>
    <w:rsid w:val="0CFB0967"/>
    <w:rsid w:val="0D621C7D"/>
    <w:rsid w:val="0D6B035F"/>
    <w:rsid w:val="0D957AD2"/>
    <w:rsid w:val="0E0D3701"/>
    <w:rsid w:val="0E260860"/>
    <w:rsid w:val="0E651252"/>
    <w:rsid w:val="0E73034D"/>
    <w:rsid w:val="0E867414"/>
    <w:rsid w:val="0F13775A"/>
    <w:rsid w:val="0F1B4006"/>
    <w:rsid w:val="0F1D1B2D"/>
    <w:rsid w:val="0F2749E1"/>
    <w:rsid w:val="0F5F45FE"/>
    <w:rsid w:val="0F6C6610"/>
    <w:rsid w:val="0F71204C"/>
    <w:rsid w:val="0F7B02F4"/>
    <w:rsid w:val="0F9A112B"/>
    <w:rsid w:val="0F9B0EE8"/>
    <w:rsid w:val="0FA20284"/>
    <w:rsid w:val="0FAB0EE6"/>
    <w:rsid w:val="0FD77F2D"/>
    <w:rsid w:val="0FEB5787"/>
    <w:rsid w:val="106D2F64"/>
    <w:rsid w:val="10923E54"/>
    <w:rsid w:val="10AF4A06"/>
    <w:rsid w:val="10B63710"/>
    <w:rsid w:val="10CB7E10"/>
    <w:rsid w:val="10DB57FB"/>
    <w:rsid w:val="10E072B6"/>
    <w:rsid w:val="10E23C55"/>
    <w:rsid w:val="10F10820"/>
    <w:rsid w:val="10F845FF"/>
    <w:rsid w:val="110765F0"/>
    <w:rsid w:val="111C2F7A"/>
    <w:rsid w:val="11665CA1"/>
    <w:rsid w:val="11CA303C"/>
    <w:rsid w:val="122F0AC1"/>
    <w:rsid w:val="12411FD6"/>
    <w:rsid w:val="126857B5"/>
    <w:rsid w:val="126D2DCB"/>
    <w:rsid w:val="12B72298"/>
    <w:rsid w:val="12C64289"/>
    <w:rsid w:val="12D1335A"/>
    <w:rsid w:val="12FC71A9"/>
    <w:rsid w:val="131E0C0A"/>
    <w:rsid w:val="136844F9"/>
    <w:rsid w:val="13951726"/>
    <w:rsid w:val="13B27CB2"/>
    <w:rsid w:val="13DF4ACA"/>
    <w:rsid w:val="13E7095B"/>
    <w:rsid w:val="1419089A"/>
    <w:rsid w:val="142C636E"/>
    <w:rsid w:val="14396509"/>
    <w:rsid w:val="14771CDF"/>
    <w:rsid w:val="149E295B"/>
    <w:rsid w:val="149F2FE4"/>
    <w:rsid w:val="14DD2C3C"/>
    <w:rsid w:val="14EE28E4"/>
    <w:rsid w:val="150D2743"/>
    <w:rsid w:val="15485429"/>
    <w:rsid w:val="154A0756"/>
    <w:rsid w:val="15636C89"/>
    <w:rsid w:val="157D66F5"/>
    <w:rsid w:val="158935B2"/>
    <w:rsid w:val="15EA1883"/>
    <w:rsid w:val="15F829AC"/>
    <w:rsid w:val="16087E1D"/>
    <w:rsid w:val="1649511F"/>
    <w:rsid w:val="167C0930"/>
    <w:rsid w:val="16925DB0"/>
    <w:rsid w:val="16F44096"/>
    <w:rsid w:val="1706559C"/>
    <w:rsid w:val="172244D9"/>
    <w:rsid w:val="17367C2F"/>
    <w:rsid w:val="17563E2E"/>
    <w:rsid w:val="17701D14"/>
    <w:rsid w:val="17735226"/>
    <w:rsid w:val="17A0154D"/>
    <w:rsid w:val="17A62E5D"/>
    <w:rsid w:val="17C41564"/>
    <w:rsid w:val="17CA38CA"/>
    <w:rsid w:val="17CC40F0"/>
    <w:rsid w:val="17FD7D6F"/>
    <w:rsid w:val="18357EE7"/>
    <w:rsid w:val="1855213E"/>
    <w:rsid w:val="18773984"/>
    <w:rsid w:val="189F624C"/>
    <w:rsid w:val="18AA6B24"/>
    <w:rsid w:val="18AC1086"/>
    <w:rsid w:val="18D144BA"/>
    <w:rsid w:val="19006747"/>
    <w:rsid w:val="193C5FF6"/>
    <w:rsid w:val="194A661E"/>
    <w:rsid w:val="196A1E12"/>
    <w:rsid w:val="196F11D7"/>
    <w:rsid w:val="1977008B"/>
    <w:rsid w:val="197C38F4"/>
    <w:rsid w:val="19A76A2D"/>
    <w:rsid w:val="1A030919"/>
    <w:rsid w:val="1A1C3150"/>
    <w:rsid w:val="1A1C66C0"/>
    <w:rsid w:val="1A42393B"/>
    <w:rsid w:val="1A6745A4"/>
    <w:rsid w:val="1A7B3BAB"/>
    <w:rsid w:val="1AAD45DE"/>
    <w:rsid w:val="1AAE21D3"/>
    <w:rsid w:val="1AB95B35"/>
    <w:rsid w:val="1AF916A0"/>
    <w:rsid w:val="1B046F80"/>
    <w:rsid w:val="1B2D55B3"/>
    <w:rsid w:val="1B3267B5"/>
    <w:rsid w:val="1B373F76"/>
    <w:rsid w:val="1B383EF0"/>
    <w:rsid w:val="1B40161D"/>
    <w:rsid w:val="1B441859"/>
    <w:rsid w:val="1B447311"/>
    <w:rsid w:val="1B64761F"/>
    <w:rsid w:val="1B6606B1"/>
    <w:rsid w:val="1B66485B"/>
    <w:rsid w:val="1B6A0F8A"/>
    <w:rsid w:val="1B7E7CEF"/>
    <w:rsid w:val="1BAC3A42"/>
    <w:rsid w:val="1BC34E9C"/>
    <w:rsid w:val="1C057BD0"/>
    <w:rsid w:val="1C5D5C5E"/>
    <w:rsid w:val="1C5E7925"/>
    <w:rsid w:val="1C6B44E3"/>
    <w:rsid w:val="1C7D00AF"/>
    <w:rsid w:val="1C9F6277"/>
    <w:rsid w:val="1CAD6CD0"/>
    <w:rsid w:val="1CFD070F"/>
    <w:rsid w:val="1D1D5DEA"/>
    <w:rsid w:val="1D1F4CC2"/>
    <w:rsid w:val="1D2E49B4"/>
    <w:rsid w:val="1D4B3D09"/>
    <w:rsid w:val="1D5F6196"/>
    <w:rsid w:val="1D6132A5"/>
    <w:rsid w:val="1D8E56D5"/>
    <w:rsid w:val="1DF148B0"/>
    <w:rsid w:val="1DF93765"/>
    <w:rsid w:val="1DFD647E"/>
    <w:rsid w:val="1E2E4FF3"/>
    <w:rsid w:val="1E3E386E"/>
    <w:rsid w:val="1E450758"/>
    <w:rsid w:val="1E5E4B58"/>
    <w:rsid w:val="1E7A43DA"/>
    <w:rsid w:val="1EB404BF"/>
    <w:rsid w:val="1EE07337"/>
    <w:rsid w:val="1F090F0F"/>
    <w:rsid w:val="1F345F2A"/>
    <w:rsid w:val="1F572E39"/>
    <w:rsid w:val="1F603109"/>
    <w:rsid w:val="1F745799"/>
    <w:rsid w:val="1FB64432"/>
    <w:rsid w:val="1FC658C9"/>
    <w:rsid w:val="1FE7539E"/>
    <w:rsid w:val="20472B90"/>
    <w:rsid w:val="20671BE0"/>
    <w:rsid w:val="20963CB8"/>
    <w:rsid w:val="20A418E6"/>
    <w:rsid w:val="20A81A1B"/>
    <w:rsid w:val="20B07FB6"/>
    <w:rsid w:val="20B646FB"/>
    <w:rsid w:val="20EF2BFD"/>
    <w:rsid w:val="210C7C53"/>
    <w:rsid w:val="213B74B1"/>
    <w:rsid w:val="215A2310"/>
    <w:rsid w:val="215D170A"/>
    <w:rsid w:val="2179553A"/>
    <w:rsid w:val="21833C7E"/>
    <w:rsid w:val="21A5122B"/>
    <w:rsid w:val="21AE1416"/>
    <w:rsid w:val="21DE318A"/>
    <w:rsid w:val="21EF5B80"/>
    <w:rsid w:val="22181FFD"/>
    <w:rsid w:val="22576990"/>
    <w:rsid w:val="227E3EA9"/>
    <w:rsid w:val="229E31B8"/>
    <w:rsid w:val="22A243CB"/>
    <w:rsid w:val="22A83F2B"/>
    <w:rsid w:val="22C71A27"/>
    <w:rsid w:val="22F47480"/>
    <w:rsid w:val="230C4F8E"/>
    <w:rsid w:val="230F7587"/>
    <w:rsid w:val="23362D65"/>
    <w:rsid w:val="23671DAE"/>
    <w:rsid w:val="23DE1C48"/>
    <w:rsid w:val="240210CD"/>
    <w:rsid w:val="245628AC"/>
    <w:rsid w:val="245C52E2"/>
    <w:rsid w:val="246D529E"/>
    <w:rsid w:val="24833D88"/>
    <w:rsid w:val="249935AC"/>
    <w:rsid w:val="24A501A2"/>
    <w:rsid w:val="24BF09F7"/>
    <w:rsid w:val="24D34D10"/>
    <w:rsid w:val="24D7096A"/>
    <w:rsid w:val="24F20F0E"/>
    <w:rsid w:val="250A6257"/>
    <w:rsid w:val="250C1FD0"/>
    <w:rsid w:val="250D7AF6"/>
    <w:rsid w:val="251026CF"/>
    <w:rsid w:val="252D225C"/>
    <w:rsid w:val="252D53FE"/>
    <w:rsid w:val="25477C36"/>
    <w:rsid w:val="25583121"/>
    <w:rsid w:val="257264FC"/>
    <w:rsid w:val="25EC2D81"/>
    <w:rsid w:val="25F767DC"/>
    <w:rsid w:val="25FA0BAF"/>
    <w:rsid w:val="26377AE4"/>
    <w:rsid w:val="265A7639"/>
    <w:rsid w:val="269478D8"/>
    <w:rsid w:val="269D2766"/>
    <w:rsid w:val="26B96187"/>
    <w:rsid w:val="26C1158E"/>
    <w:rsid w:val="26EE6AE8"/>
    <w:rsid w:val="27075A7C"/>
    <w:rsid w:val="275D57BF"/>
    <w:rsid w:val="277057A2"/>
    <w:rsid w:val="27B003BD"/>
    <w:rsid w:val="27D66E34"/>
    <w:rsid w:val="27E67338"/>
    <w:rsid w:val="2813617D"/>
    <w:rsid w:val="281C6FDC"/>
    <w:rsid w:val="2826784C"/>
    <w:rsid w:val="283312BD"/>
    <w:rsid w:val="283771E3"/>
    <w:rsid w:val="283D06F2"/>
    <w:rsid w:val="28777BF4"/>
    <w:rsid w:val="289E73E3"/>
    <w:rsid w:val="28A41755"/>
    <w:rsid w:val="28AD5878"/>
    <w:rsid w:val="28CE18BA"/>
    <w:rsid w:val="291562CA"/>
    <w:rsid w:val="29206EB8"/>
    <w:rsid w:val="293935AF"/>
    <w:rsid w:val="293B0155"/>
    <w:rsid w:val="29595666"/>
    <w:rsid w:val="298505A2"/>
    <w:rsid w:val="29874881"/>
    <w:rsid w:val="29D663D9"/>
    <w:rsid w:val="29E11FE0"/>
    <w:rsid w:val="29E325E0"/>
    <w:rsid w:val="2A2C0A1E"/>
    <w:rsid w:val="2A2E29E8"/>
    <w:rsid w:val="2A3A138D"/>
    <w:rsid w:val="2A452503"/>
    <w:rsid w:val="2A6C52BE"/>
    <w:rsid w:val="2A81520E"/>
    <w:rsid w:val="2A9A007E"/>
    <w:rsid w:val="2B0C0D2B"/>
    <w:rsid w:val="2B940F71"/>
    <w:rsid w:val="2B997BFD"/>
    <w:rsid w:val="2BA936A8"/>
    <w:rsid w:val="2BC83FDD"/>
    <w:rsid w:val="2C152862"/>
    <w:rsid w:val="2C163734"/>
    <w:rsid w:val="2C1A3467"/>
    <w:rsid w:val="2C315A5A"/>
    <w:rsid w:val="2C4B1C25"/>
    <w:rsid w:val="2C4B6DE5"/>
    <w:rsid w:val="2C611306"/>
    <w:rsid w:val="2C9E2A58"/>
    <w:rsid w:val="2CF9552F"/>
    <w:rsid w:val="2CFF241A"/>
    <w:rsid w:val="2D542766"/>
    <w:rsid w:val="2D5D4EA8"/>
    <w:rsid w:val="2D811081"/>
    <w:rsid w:val="2D856DC3"/>
    <w:rsid w:val="2D9E56F5"/>
    <w:rsid w:val="2DAC4350"/>
    <w:rsid w:val="2DBE4083"/>
    <w:rsid w:val="2DD65871"/>
    <w:rsid w:val="2DDF2977"/>
    <w:rsid w:val="2DF06932"/>
    <w:rsid w:val="2E064CDA"/>
    <w:rsid w:val="2E0F261D"/>
    <w:rsid w:val="2E166977"/>
    <w:rsid w:val="2E3478A2"/>
    <w:rsid w:val="2E3E709D"/>
    <w:rsid w:val="2E5549E7"/>
    <w:rsid w:val="2E667F96"/>
    <w:rsid w:val="2E6932C2"/>
    <w:rsid w:val="2E8226AB"/>
    <w:rsid w:val="2F165021"/>
    <w:rsid w:val="2F373384"/>
    <w:rsid w:val="2F7361D1"/>
    <w:rsid w:val="2F875074"/>
    <w:rsid w:val="2F9F0FB4"/>
    <w:rsid w:val="2FA06136"/>
    <w:rsid w:val="2FD065E6"/>
    <w:rsid w:val="2FD14541"/>
    <w:rsid w:val="2FD96870"/>
    <w:rsid w:val="30116F1B"/>
    <w:rsid w:val="301F52AD"/>
    <w:rsid w:val="304E5AF3"/>
    <w:rsid w:val="3050190A"/>
    <w:rsid w:val="30580BC9"/>
    <w:rsid w:val="305A4537"/>
    <w:rsid w:val="30960D42"/>
    <w:rsid w:val="309B47E7"/>
    <w:rsid w:val="30A0509E"/>
    <w:rsid w:val="30D75B88"/>
    <w:rsid w:val="30D862EC"/>
    <w:rsid w:val="30DF7B32"/>
    <w:rsid w:val="31097D0B"/>
    <w:rsid w:val="311E2ED7"/>
    <w:rsid w:val="315619EE"/>
    <w:rsid w:val="315C449C"/>
    <w:rsid w:val="31B82709"/>
    <w:rsid w:val="31D05482"/>
    <w:rsid w:val="31D72D5E"/>
    <w:rsid w:val="31F345DE"/>
    <w:rsid w:val="32116E77"/>
    <w:rsid w:val="321E5749"/>
    <w:rsid w:val="32400B34"/>
    <w:rsid w:val="32476D3D"/>
    <w:rsid w:val="32627887"/>
    <w:rsid w:val="329E6876"/>
    <w:rsid w:val="32A60965"/>
    <w:rsid w:val="32B048E2"/>
    <w:rsid w:val="32B37F2E"/>
    <w:rsid w:val="32D007AA"/>
    <w:rsid w:val="32D23EF0"/>
    <w:rsid w:val="331D4740"/>
    <w:rsid w:val="333015F2"/>
    <w:rsid w:val="334B6320"/>
    <w:rsid w:val="33685C64"/>
    <w:rsid w:val="3373240F"/>
    <w:rsid w:val="33823918"/>
    <w:rsid w:val="33CB12A8"/>
    <w:rsid w:val="33D934D4"/>
    <w:rsid w:val="33F16F60"/>
    <w:rsid w:val="33FE2F6A"/>
    <w:rsid w:val="340E07E5"/>
    <w:rsid w:val="34216A83"/>
    <w:rsid w:val="34235BF7"/>
    <w:rsid w:val="342B4CAF"/>
    <w:rsid w:val="3469472C"/>
    <w:rsid w:val="347A51A8"/>
    <w:rsid w:val="347B4A7C"/>
    <w:rsid w:val="34984755"/>
    <w:rsid w:val="34E87E10"/>
    <w:rsid w:val="34F14D3E"/>
    <w:rsid w:val="35346101"/>
    <w:rsid w:val="35366BF5"/>
    <w:rsid w:val="35411821"/>
    <w:rsid w:val="354E0A01"/>
    <w:rsid w:val="355C3908"/>
    <w:rsid w:val="358C5FA8"/>
    <w:rsid w:val="35B4484A"/>
    <w:rsid w:val="35B77D36"/>
    <w:rsid w:val="35C15DF1"/>
    <w:rsid w:val="35CF4C10"/>
    <w:rsid w:val="35F10E57"/>
    <w:rsid w:val="36074A7F"/>
    <w:rsid w:val="36394754"/>
    <w:rsid w:val="368E228F"/>
    <w:rsid w:val="36923549"/>
    <w:rsid w:val="36B75FBF"/>
    <w:rsid w:val="36BD0C45"/>
    <w:rsid w:val="36D44917"/>
    <w:rsid w:val="372101A5"/>
    <w:rsid w:val="375B2943"/>
    <w:rsid w:val="375C6D13"/>
    <w:rsid w:val="376B702A"/>
    <w:rsid w:val="3783450A"/>
    <w:rsid w:val="37BB130F"/>
    <w:rsid w:val="37C91822"/>
    <w:rsid w:val="37D75821"/>
    <w:rsid w:val="37E00298"/>
    <w:rsid w:val="38084800"/>
    <w:rsid w:val="380A6843"/>
    <w:rsid w:val="38211538"/>
    <w:rsid w:val="38416AD3"/>
    <w:rsid w:val="38431D54"/>
    <w:rsid w:val="38787C50"/>
    <w:rsid w:val="38966D15"/>
    <w:rsid w:val="389C3213"/>
    <w:rsid w:val="38A05F80"/>
    <w:rsid w:val="38B302F9"/>
    <w:rsid w:val="38F12CD3"/>
    <w:rsid w:val="38F94775"/>
    <w:rsid w:val="392971ED"/>
    <w:rsid w:val="39325651"/>
    <w:rsid w:val="398048E2"/>
    <w:rsid w:val="39953A8F"/>
    <w:rsid w:val="39DA635D"/>
    <w:rsid w:val="39F5613A"/>
    <w:rsid w:val="3A154E29"/>
    <w:rsid w:val="3A5113EB"/>
    <w:rsid w:val="3A654204"/>
    <w:rsid w:val="3A872856"/>
    <w:rsid w:val="3AA06196"/>
    <w:rsid w:val="3AC0768C"/>
    <w:rsid w:val="3B082DE1"/>
    <w:rsid w:val="3B146F31"/>
    <w:rsid w:val="3B3763D1"/>
    <w:rsid w:val="3B691AD2"/>
    <w:rsid w:val="3B7B1805"/>
    <w:rsid w:val="3BB57729"/>
    <w:rsid w:val="3BB8124D"/>
    <w:rsid w:val="3BCF0085"/>
    <w:rsid w:val="3C053593"/>
    <w:rsid w:val="3C2F6E1E"/>
    <w:rsid w:val="3C4F64BA"/>
    <w:rsid w:val="3CB925E5"/>
    <w:rsid w:val="3CDA245A"/>
    <w:rsid w:val="3CE5157D"/>
    <w:rsid w:val="3CF8135F"/>
    <w:rsid w:val="3CFE3C20"/>
    <w:rsid w:val="3D1E06B7"/>
    <w:rsid w:val="3D267363"/>
    <w:rsid w:val="3D7D6EF6"/>
    <w:rsid w:val="3DB74195"/>
    <w:rsid w:val="3DC67DE5"/>
    <w:rsid w:val="3DF80EEB"/>
    <w:rsid w:val="3E1A3557"/>
    <w:rsid w:val="3E4A3876"/>
    <w:rsid w:val="3E704F26"/>
    <w:rsid w:val="3EA13331"/>
    <w:rsid w:val="3EC97E6D"/>
    <w:rsid w:val="3EDA0523"/>
    <w:rsid w:val="3EF773F5"/>
    <w:rsid w:val="3F051E09"/>
    <w:rsid w:val="3F272DF1"/>
    <w:rsid w:val="3F586511"/>
    <w:rsid w:val="3F593597"/>
    <w:rsid w:val="3F6251B6"/>
    <w:rsid w:val="3F79605C"/>
    <w:rsid w:val="3F8140A9"/>
    <w:rsid w:val="3FBB1061"/>
    <w:rsid w:val="400B5E21"/>
    <w:rsid w:val="400D69A7"/>
    <w:rsid w:val="404E1D8E"/>
    <w:rsid w:val="40582115"/>
    <w:rsid w:val="40752CC7"/>
    <w:rsid w:val="407A6407"/>
    <w:rsid w:val="40880C6E"/>
    <w:rsid w:val="40B023B8"/>
    <w:rsid w:val="40C45A2F"/>
    <w:rsid w:val="40ED209F"/>
    <w:rsid w:val="40F55A1F"/>
    <w:rsid w:val="41334602"/>
    <w:rsid w:val="41591156"/>
    <w:rsid w:val="415D05F6"/>
    <w:rsid w:val="41647357"/>
    <w:rsid w:val="419015F0"/>
    <w:rsid w:val="41961147"/>
    <w:rsid w:val="41AA158D"/>
    <w:rsid w:val="41B5230C"/>
    <w:rsid w:val="41F45941"/>
    <w:rsid w:val="4200449D"/>
    <w:rsid w:val="423A3BCC"/>
    <w:rsid w:val="424E57D2"/>
    <w:rsid w:val="42624938"/>
    <w:rsid w:val="42B26C49"/>
    <w:rsid w:val="42BB47F0"/>
    <w:rsid w:val="42E317A9"/>
    <w:rsid w:val="42FE5942"/>
    <w:rsid w:val="433A6FE6"/>
    <w:rsid w:val="43480868"/>
    <w:rsid w:val="4350713C"/>
    <w:rsid w:val="436653E0"/>
    <w:rsid w:val="43B43B06"/>
    <w:rsid w:val="43C4431A"/>
    <w:rsid w:val="43D84F41"/>
    <w:rsid w:val="442C48AE"/>
    <w:rsid w:val="4439635B"/>
    <w:rsid w:val="444255B6"/>
    <w:rsid w:val="447B2CC9"/>
    <w:rsid w:val="44B951CC"/>
    <w:rsid w:val="44CD1324"/>
    <w:rsid w:val="44CD14E0"/>
    <w:rsid w:val="44D83C45"/>
    <w:rsid w:val="44F20B0B"/>
    <w:rsid w:val="452C47F7"/>
    <w:rsid w:val="452E5F4C"/>
    <w:rsid w:val="45612018"/>
    <w:rsid w:val="45620AE1"/>
    <w:rsid w:val="4577128F"/>
    <w:rsid w:val="458946E9"/>
    <w:rsid w:val="45A47C0E"/>
    <w:rsid w:val="45BF7797"/>
    <w:rsid w:val="45EA7CB3"/>
    <w:rsid w:val="461A0599"/>
    <w:rsid w:val="462A00B0"/>
    <w:rsid w:val="46521A6E"/>
    <w:rsid w:val="46577FD6"/>
    <w:rsid w:val="465869CB"/>
    <w:rsid w:val="465B470D"/>
    <w:rsid w:val="465E1505"/>
    <w:rsid w:val="466B2BA2"/>
    <w:rsid w:val="467D28D5"/>
    <w:rsid w:val="46D11FBC"/>
    <w:rsid w:val="46D955A7"/>
    <w:rsid w:val="46DD5122"/>
    <w:rsid w:val="46E86CE5"/>
    <w:rsid w:val="46F247F2"/>
    <w:rsid w:val="47133957"/>
    <w:rsid w:val="472E3BD0"/>
    <w:rsid w:val="47A07E0C"/>
    <w:rsid w:val="47CA38F8"/>
    <w:rsid w:val="47CF0F0F"/>
    <w:rsid w:val="47D93B3C"/>
    <w:rsid w:val="47E14CCD"/>
    <w:rsid w:val="48032CFE"/>
    <w:rsid w:val="4820176A"/>
    <w:rsid w:val="48360F8E"/>
    <w:rsid w:val="484F4AA5"/>
    <w:rsid w:val="48555247"/>
    <w:rsid w:val="485E3F45"/>
    <w:rsid w:val="48681A62"/>
    <w:rsid w:val="486A5733"/>
    <w:rsid w:val="4870272E"/>
    <w:rsid w:val="487970CD"/>
    <w:rsid w:val="48900745"/>
    <w:rsid w:val="48C20A74"/>
    <w:rsid w:val="497C7C92"/>
    <w:rsid w:val="498B355B"/>
    <w:rsid w:val="49B22896"/>
    <w:rsid w:val="49B503C3"/>
    <w:rsid w:val="49DC7715"/>
    <w:rsid w:val="4A023139"/>
    <w:rsid w:val="4A0A4518"/>
    <w:rsid w:val="4A435BE4"/>
    <w:rsid w:val="4A5B2F2E"/>
    <w:rsid w:val="4A791606"/>
    <w:rsid w:val="4A7A7858"/>
    <w:rsid w:val="4A7B576F"/>
    <w:rsid w:val="4AAA68CA"/>
    <w:rsid w:val="4AB14D43"/>
    <w:rsid w:val="4AD625B4"/>
    <w:rsid w:val="4AE22CDE"/>
    <w:rsid w:val="4AF561A9"/>
    <w:rsid w:val="4B0A24F4"/>
    <w:rsid w:val="4B2257F9"/>
    <w:rsid w:val="4B3B68BB"/>
    <w:rsid w:val="4B5A0632"/>
    <w:rsid w:val="4B5A577B"/>
    <w:rsid w:val="4B6B53F2"/>
    <w:rsid w:val="4B6E0A3F"/>
    <w:rsid w:val="4B83273C"/>
    <w:rsid w:val="4BB959EE"/>
    <w:rsid w:val="4BE966D9"/>
    <w:rsid w:val="4BED4059"/>
    <w:rsid w:val="4C2A27F6"/>
    <w:rsid w:val="4C2A705C"/>
    <w:rsid w:val="4C4A0649"/>
    <w:rsid w:val="4C4F1766"/>
    <w:rsid w:val="4C6F0F12"/>
    <w:rsid w:val="4C7E5ECA"/>
    <w:rsid w:val="4C876AA5"/>
    <w:rsid w:val="4C9A41A0"/>
    <w:rsid w:val="4CA94424"/>
    <w:rsid w:val="4CCF19B1"/>
    <w:rsid w:val="4CE35942"/>
    <w:rsid w:val="4CEE1E37"/>
    <w:rsid w:val="4CEF795D"/>
    <w:rsid w:val="4D0E00FB"/>
    <w:rsid w:val="4D176606"/>
    <w:rsid w:val="4D24529F"/>
    <w:rsid w:val="4D73501E"/>
    <w:rsid w:val="4D882021"/>
    <w:rsid w:val="4D8D01AA"/>
    <w:rsid w:val="4DA7089B"/>
    <w:rsid w:val="4DB52C4D"/>
    <w:rsid w:val="4DC94652"/>
    <w:rsid w:val="4DD74748"/>
    <w:rsid w:val="4DEC4FB0"/>
    <w:rsid w:val="4DF55709"/>
    <w:rsid w:val="4E075D8A"/>
    <w:rsid w:val="4E235B10"/>
    <w:rsid w:val="4E5B026D"/>
    <w:rsid w:val="4E656129"/>
    <w:rsid w:val="4E6B0868"/>
    <w:rsid w:val="4E880069"/>
    <w:rsid w:val="4EAD211D"/>
    <w:rsid w:val="4EB33338"/>
    <w:rsid w:val="4EC00FAD"/>
    <w:rsid w:val="4ECE600A"/>
    <w:rsid w:val="4F0A0A7E"/>
    <w:rsid w:val="4F105D44"/>
    <w:rsid w:val="4F377047"/>
    <w:rsid w:val="4F4C0128"/>
    <w:rsid w:val="4F815FE9"/>
    <w:rsid w:val="4F9843DC"/>
    <w:rsid w:val="4FC62A8C"/>
    <w:rsid w:val="4FE20F0D"/>
    <w:rsid w:val="4FE51552"/>
    <w:rsid w:val="500B7261"/>
    <w:rsid w:val="502A2D3A"/>
    <w:rsid w:val="50504C4B"/>
    <w:rsid w:val="505C7995"/>
    <w:rsid w:val="509727E6"/>
    <w:rsid w:val="509A3E79"/>
    <w:rsid w:val="509C6E7C"/>
    <w:rsid w:val="50CC06E1"/>
    <w:rsid w:val="50E517A3"/>
    <w:rsid w:val="510D6DCA"/>
    <w:rsid w:val="51134A3C"/>
    <w:rsid w:val="512F0C70"/>
    <w:rsid w:val="5162104E"/>
    <w:rsid w:val="51694182"/>
    <w:rsid w:val="51937451"/>
    <w:rsid w:val="51A0193A"/>
    <w:rsid w:val="51A83F98"/>
    <w:rsid w:val="5212481A"/>
    <w:rsid w:val="526D7CA2"/>
    <w:rsid w:val="52761C01"/>
    <w:rsid w:val="527A572D"/>
    <w:rsid w:val="52A55F44"/>
    <w:rsid w:val="52C612AB"/>
    <w:rsid w:val="52D95337"/>
    <w:rsid w:val="52DE64AA"/>
    <w:rsid w:val="531A4661"/>
    <w:rsid w:val="53213917"/>
    <w:rsid w:val="5325057D"/>
    <w:rsid w:val="53334A48"/>
    <w:rsid w:val="53367966"/>
    <w:rsid w:val="536267DA"/>
    <w:rsid w:val="53A039CC"/>
    <w:rsid w:val="53A1505A"/>
    <w:rsid w:val="53A545DD"/>
    <w:rsid w:val="53AC2173"/>
    <w:rsid w:val="53B06098"/>
    <w:rsid w:val="53B20179"/>
    <w:rsid w:val="53BB67EB"/>
    <w:rsid w:val="53D05D7A"/>
    <w:rsid w:val="53D61877"/>
    <w:rsid w:val="54063E08"/>
    <w:rsid w:val="543437E8"/>
    <w:rsid w:val="54C067AF"/>
    <w:rsid w:val="54CB4FB3"/>
    <w:rsid w:val="54F73313"/>
    <w:rsid w:val="54F80955"/>
    <w:rsid w:val="55402F1C"/>
    <w:rsid w:val="555170A7"/>
    <w:rsid w:val="5587536D"/>
    <w:rsid w:val="559317CE"/>
    <w:rsid w:val="559B174B"/>
    <w:rsid w:val="55BF00BC"/>
    <w:rsid w:val="55CE0CF4"/>
    <w:rsid w:val="55DC1BEA"/>
    <w:rsid w:val="56151261"/>
    <w:rsid w:val="563332FB"/>
    <w:rsid w:val="56496330"/>
    <w:rsid w:val="56705D08"/>
    <w:rsid w:val="56B22A9C"/>
    <w:rsid w:val="56C26355"/>
    <w:rsid w:val="56E039A1"/>
    <w:rsid w:val="57062473"/>
    <w:rsid w:val="57290679"/>
    <w:rsid w:val="57507A01"/>
    <w:rsid w:val="57906FDF"/>
    <w:rsid w:val="579A244F"/>
    <w:rsid w:val="57B72A76"/>
    <w:rsid w:val="57C3426C"/>
    <w:rsid w:val="57CE1F93"/>
    <w:rsid w:val="57D904B8"/>
    <w:rsid w:val="57DB07C0"/>
    <w:rsid w:val="57E260FA"/>
    <w:rsid w:val="57F347D8"/>
    <w:rsid w:val="584119B5"/>
    <w:rsid w:val="585722FF"/>
    <w:rsid w:val="58727DC0"/>
    <w:rsid w:val="587363AB"/>
    <w:rsid w:val="5877067E"/>
    <w:rsid w:val="587D0513"/>
    <w:rsid w:val="588743D1"/>
    <w:rsid w:val="5887701A"/>
    <w:rsid w:val="59247D94"/>
    <w:rsid w:val="59A5419F"/>
    <w:rsid w:val="59BA3E3C"/>
    <w:rsid w:val="59C0439F"/>
    <w:rsid w:val="59C56616"/>
    <w:rsid w:val="59D57095"/>
    <w:rsid w:val="59EF5441"/>
    <w:rsid w:val="5A056A12"/>
    <w:rsid w:val="5A0636D9"/>
    <w:rsid w:val="5A272E2C"/>
    <w:rsid w:val="5A2D03B3"/>
    <w:rsid w:val="5A3A6C02"/>
    <w:rsid w:val="5A4F2439"/>
    <w:rsid w:val="5A812F78"/>
    <w:rsid w:val="5AA20705"/>
    <w:rsid w:val="5ABA15AB"/>
    <w:rsid w:val="5ABE2233"/>
    <w:rsid w:val="5AF842C9"/>
    <w:rsid w:val="5B5639C9"/>
    <w:rsid w:val="5B590DC3"/>
    <w:rsid w:val="5B767BC7"/>
    <w:rsid w:val="5B7B5B4F"/>
    <w:rsid w:val="5B975C54"/>
    <w:rsid w:val="5BA069F2"/>
    <w:rsid w:val="5BC326E1"/>
    <w:rsid w:val="5BC53530"/>
    <w:rsid w:val="5BDF5D95"/>
    <w:rsid w:val="5BE16AFB"/>
    <w:rsid w:val="5BF714F0"/>
    <w:rsid w:val="5BF8682E"/>
    <w:rsid w:val="5BFE7528"/>
    <w:rsid w:val="5C0128BF"/>
    <w:rsid w:val="5C3B2BBF"/>
    <w:rsid w:val="5C451348"/>
    <w:rsid w:val="5C4750C0"/>
    <w:rsid w:val="5C4C76A2"/>
    <w:rsid w:val="5C6A0DAE"/>
    <w:rsid w:val="5CFD039B"/>
    <w:rsid w:val="5D0373C8"/>
    <w:rsid w:val="5D131446"/>
    <w:rsid w:val="5D457532"/>
    <w:rsid w:val="5D563694"/>
    <w:rsid w:val="5D73710A"/>
    <w:rsid w:val="5D9702C9"/>
    <w:rsid w:val="5D9D188F"/>
    <w:rsid w:val="5DA261B0"/>
    <w:rsid w:val="5DB76275"/>
    <w:rsid w:val="5DF12ACB"/>
    <w:rsid w:val="5E2467F1"/>
    <w:rsid w:val="5EB6652D"/>
    <w:rsid w:val="5EEB4428"/>
    <w:rsid w:val="5F1A2B43"/>
    <w:rsid w:val="5F2A60C1"/>
    <w:rsid w:val="5F481A98"/>
    <w:rsid w:val="5FA647F3"/>
    <w:rsid w:val="5FAF185D"/>
    <w:rsid w:val="5FB837BB"/>
    <w:rsid w:val="5FBB029F"/>
    <w:rsid w:val="5FC23D09"/>
    <w:rsid w:val="5FCF3D4A"/>
    <w:rsid w:val="602A3054"/>
    <w:rsid w:val="604069F6"/>
    <w:rsid w:val="604638E0"/>
    <w:rsid w:val="60477D84"/>
    <w:rsid w:val="604E7E90"/>
    <w:rsid w:val="60602BF4"/>
    <w:rsid w:val="60642034"/>
    <w:rsid w:val="608B3359"/>
    <w:rsid w:val="608F04AC"/>
    <w:rsid w:val="60BE39C7"/>
    <w:rsid w:val="60CC405A"/>
    <w:rsid w:val="60D94755"/>
    <w:rsid w:val="613B0C96"/>
    <w:rsid w:val="61720E31"/>
    <w:rsid w:val="619E3640"/>
    <w:rsid w:val="61B82FAF"/>
    <w:rsid w:val="61B9080E"/>
    <w:rsid w:val="61BC48CB"/>
    <w:rsid w:val="61E215D8"/>
    <w:rsid w:val="61F56EE9"/>
    <w:rsid w:val="621B3775"/>
    <w:rsid w:val="622A170C"/>
    <w:rsid w:val="62364782"/>
    <w:rsid w:val="62467BC8"/>
    <w:rsid w:val="62684560"/>
    <w:rsid w:val="62912A31"/>
    <w:rsid w:val="62A34AB8"/>
    <w:rsid w:val="62AA0157"/>
    <w:rsid w:val="62B37C10"/>
    <w:rsid w:val="62D35345"/>
    <w:rsid w:val="62D84CC4"/>
    <w:rsid w:val="62E5554B"/>
    <w:rsid w:val="62F17359"/>
    <w:rsid w:val="6300246C"/>
    <w:rsid w:val="63696E29"/>
    <w:rsid w:val="636C18B0"/>
    <w:rsid w:val="6394356A"/>
    <w:rsid w:val="639C03E7"/>
    <w:rsid w:val="63AE3C76"/>
    <w:rsid w:val="63BE591D"/>
    <w:rsid w:val="63C61B2C"/>
    <w:rsid w:val="63D40BE9"/>
    <w:rsid w:val="63F36C31"/>
    <w:rsid w:val="640359B6"/>
    <w:rsid w:val="64102431"/>
    <w:rsid w:val="641D2282"/>
    <w:rsid w:val="64800B74"/>
    <w:rsid w:val="64A15589"/>
    <w:rsid w:val="64A5243A"/>
    <w:rsid w:val="64EE1E1B"/>
    <w:rsid w:val="64F531DE"/>
    <w:rsid w:val="65063F6A"/>
    <w:rsid w:val="65373578"/>
    <w:rsid w:val="65970920"/>
    <w:rsid w:val="661D1895"/>
    <w:rsid w:val="66647FB8"/>
    <w:rsid w:val="66AD6A92"/>
    <w:rsid w:val="66B200F2"/>
    <w:rsid w:val="66B23A7E"/>
    <w:rsid w:val="66ED66EB"/>
    <w:rsid w:val="67010561"/>
    <w:rsid w:val="6708569D"/>
    <w:rsid w:val="671F124A"/>
    <w:rsid w:val="67572304"/>
    <w:rsid w:val="677A33C6"/>
    <w:rsid w:val="679C4F33"/>
    <w:rsid w:val="67A27F96"/>
    <w:rsid w:val="67A65B19"/>
    <w:rsid w:val="67C27CF0"/>
    <w:rsid w:val="67E1247B"/>
    <w:rsid w:val="67F24A7A"/>
    <w:rsid w:val="68122C4A"/>
    <w:rsid w:val="681F6961"/>
    <w:rsid w:val="68262975"/>
    <w:rsid w:val="68610A2F"/>
    <w:rsid w:val="68805514"/>
    <w:rsid w:val="68B8295B"/>
    <w:rsid w:val="69151573"/>
    <w:rsid w:val="69316E2F"/>
    <w:rsid w:val="693469CC"/>
    <w:rsid w:val="694E2071"/>
    <w:rsid w:val="69766163"/>
    <w:rsid w:val="697A3B33"/>
    <w:rsid w:val="69B64C48"/>
    <w:rsid w:val="69C46BA7"/>
    <w:rsid w:val="69D106BF"/>
    <w:rsid w:val="69D44760"/>
    <w:rsid w:val="69D8120E"/>
    <w:rsid w:val="69DE0C00"/>
    <w:rsid w:val="6A0509AF"/>
    <w:rsid w:val="6A2133F4"/>
    <w:rsid w:val="6A3B3D8A"/>
    <w:rsid w:val="6A4F51B0"/>
    <w:rsid w:val="6A520EC7"/>
    <w:rsid w:val="6A6257BB"/>
    <w:rsid w:val="6AF87E20"/>
    <w:rsid w:val="6B2A5D00"/>
    <w:rsid w:val="6B322639"/>
    <w:rsid w:val="6B4F5D3F"/>
    <w:rsid w:val="6B85552B"/>
    <w:rsid w:val="6BCA2EC5"/>
    <w:rsid w:val="6BDB5825"/>
    <w:rsid w:val="6BE648F5"/>
    <w:rsid w:val="6C636C38"/>
    <w:rsid w:val="6C673FDC"/>
    <w:rsid w:val="6C6A0AC0"/>
    <w:rsid w:val="6C8F152E"/>
    <w:rsid w:val="6C9E0378"/>
    <w:rsid w:val="6CA23A97"/>
    <w:rsid w:val="6CA65E33"/>
    <w:rsid w:val="6CB74A85"/>
    <w:rsid w:val="6D002DBD"/>
    <w:rsid w:val="6D035033"/>
    <w:rsid w:val="6D1234C8"/>
    <w:rsid w:val="6D262AD0"/>
    <w:rsid w:val="6D272B8A"/>
    <w:rsid w:val="6D5238C5"/>
    <w:rsid w:val="6D9F7A88"/>
    <w:rsid w:val="6DA700B4"/>
    <w:rsid w:val="6DB34098"/>
    <w:rsid w:val="6DB545B6"/>
    <w:rsid w:val="6DC7127D"/>
    <w:rsid w:val="6DD10C8D"/>
    <w:rsid w:val="6DDC18E2"/>
    <w:rsid w:val="6DE02FB4"/>
    <w:rsid w:val="6E514CED"/>
    <w:rsid w:val="6E58315D"/>
    <w:rsid w:val="6E657628"/>
    <w:rsid w:val="6E6B5FBC"/>
    <w:rsid w:val="6E873A42"/>
    <w:rsid w:val="6EB16E5B"/>
    <w:rsid w:val="6EB421D4"/>
    <w:rsid w:val="6EB563D5"/>
    <w:rsid w:val="6ED92677"/>
    <w:rsid w:val="6F225983"/>
    <w:rsid w:val="6F394D3C"/>
    <w:rsid w:val="6F56490C"/>
    <w:rsid w:val="6F5E29F5"/>
    <w:rsid w:val="6F631DB9"/>
    <w:rsid w:val="6F854516"/>
    <w:rsid w:val="6FA348AB"/>
    <w:rsid w:val="6FCE5186"/>
    <w:rsid w:val="6FF43F68"/>
    <w:rsid w:val="6FF5793D"/>
    <w:rsid w:val="6FFC5590"/>
    <w:rsid w:val="706D1DD0"/>
    <w:rsid w:val="70744BF2"/>
    <w:rsid w:val="70856B87"/>
    <w:rsid w:val="708A7E30"/>
    <w:rsid w:val="70BF74C3"/>
    <w:rsid w:val="70CB669B"/>
    <w:rsid w:val="70D527EE"/>
    <w:rsid w:val="70F37CFE"/>
    <w:rsid w:val="710F7167"/>
    <w:rsid w:val="71203349"/>
    <w:rsid w:val="715B5300"/>
    <w:rsid w:val="71976CE9"/>
    <w:rsid w:val="71D27F8A"/>
    <w:rsid w:val="71D6713E"/>
    <w:rsid w:val="72553024"/>
    <w:rsid w:val="72594BA8"/>
    <w:rsid w:val="72A2117C"/>
    <w:rsid w:val="72A6176D"/>
    <w:rsid w:val="72AB5F51"/>
    <w:rsid w:val="72B172DF"/>
    <w:rsid w:val="72D559C0"/>
    <w:rsid w:val="73122968"/>
    <w:rsid w:val="731F5D5E"/>
    <w:rsid w:val="732652DA"/>
    <w:rsid w:val="737F6CE7"/>
    <w:rsid w:val="739E43F6"/>
    <w:rsid w:val="73A82490"/>
    <w:rsid w:val="73AA4AA2"/>
    <w:rsid w:val="73C51AD5"/>
    <w:rsid w:val="73EC1AA2"/>
    <w:rsid w:val="741E793C"/>
    <w:rsid w:val="743A4A54"/>
    <w:rsid w:val="74454183"/>
    <w:rsid w:val="745820F0"/>
    <w:rsid w:val="745E3944"/>
    <w:rsid w:val="747109AD"/>
    <w:rsid w:val="74B11819"/>
    <w:rsid w:val="752913AF"/>
    <w:rsid w:val="754238C3"/>
    <w:rsid w:val="75596138"/>
    <w:rsid w:val="75660FA8"/>
    <w:rsid w:val="75662603"/>
    <w:rsid w:val="75703730"/>
    <w:rsid w:val="75822AEB"/>
    <w:rsid w:val="75AD0232"/>
    <w:rsid w:val="75B96BD7"/>
    <w:rsid w:val="75EB2B08"/>
    <w:rsid w:val="75F42AD2"/>
    <w:rsid w:val="760A11E0"/>
    <w:rsid w:val="76216307"/>
    <w:rsid w:val="763111CC"/>
    <w:rsid w:val="7635099D"/>
    <w:rsid w:val="766318DF"/>
    <w:rsid w:val="77456248"/>
    <w:rsid w:val="77762421"/>
    <w:rsid w:val="77B56B1F"/>
    <w:rsid w:val="77DB5AAF"/>
    <w:rsid w:val="780F09F4"/>
    <w:rsid w:val="781B279B"/>
    <w:rsid w:val="781F4CEB"/>
    <w:rsid w:val="786A240A"/>
    <w:rsid w:val="78A81A30"/>
    <w:rsid w:val="78A90480"/>
    <w:rsid w:val="78C2117C"/>
    <w:rsid w:val="78D51BC9"/>
    <w:rsid w:val="78FF4092"/>
    <w:rsid w:val="793C344E"/>
    <w:rsid w:val="79543C98"/>
    <w:rsid w:val="7965010E"/>
    <w:rsid w:val="79B17BC5"/>
    <w:rsid w:val="79D331F8"/>
    <w:rsid w:val="79EA1A55"/>
    <w:rsid w:val="7A1A39BC"/>
    <w:rsid w:val="7A364017"/>
    <w:rsid w:val="7A381810"/>
    <w:rsid w:val="7A3F3423"/>
    <w:rsid w:val="7A4E4855"/>
    <w:rsid w:val="7A8265E1"/>
    <w:rsid w:val="7A9131A4"/>
    <w:rsid w:val="7A9A4690"/>
    <w:rsid w:val="7B5063FC"/>
    <w:rsid w:val="7B573A13"/>
    <w:rsid w:val="7B686D42"/>
    <w:rsid w:val="7B6C46EB"/>
    <w:rsid w:val="7B6E2211"/>
    <w:rsid w:val="7B841746"/>
    <w:rsid w:val="7BA72113"/>
    <w:rsid w:val="7BCD518A"/>
    <w:rsid w:val="7BF73FB5"/>
    <w:rsid w:val="7BFD36FB"/>
    <w:rsid w:val="7C142DB9"/>
    <w:rsid w:val="7C6C5AC7"/>
    <w:rsid w:val="7C9A0DE4"/>
    <w:rsid w:val="7CAD2B45"/>
    <w:rsid w:val="7CB74D32"/>
    <w:rsid w:val="7CC6544B"/>
    <w:rsid w:val="7CEA5772"/>
    <w:rsid w:val="7CF95B0B"/>
    <w:rsid w:val="7D0239FF"/>
    <w:rsid w:val="7D050953"/>
    <w:rsid w:val="7D380574"/>
    <w:rsid w:val="7D4F1BCF"/>
    <w:rsid w:val="7D5E40CD"/>
    <w:rsid w:val="7D6863C4"/>
    <w:rsid w:val="7DCD56F2"/>
    <w:rsid w:val="7E1B7C6B"/>
    <w:rsid w:val="7E307C52"/>
    <w:rsid w:val="7E3D5B93"/>
    <w:rsid w:val="7E3E74AD"/>
    <w:rsid w:val="7E6D055E"/>
    <w:rsid w:val="7E90436D"/>
    <w:rsid w:val="7E930F53"/>
    <w:rsid w:val="7EEC1DCB"/>
    <w:rsid w:val="7F001CE7"/>
    <w:rsid w:val="7F0F1615"/>
    <w:rsid w:val="7FA501CC"/>
    <w:rsid w:val="7FB32A6F"/>
    <w:rsid w:val="7FDC00D6"/>
    <w:rsid w:val="7FE47E5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iPriority="0"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qFormat="1" w:unhideWhenUsed="0" w:uiPriority="39" w:semiHidden="0" w:name="toc 1" w:locked="1"/>
    <w:lsdException w:qFormat="1" w:unhideWhenUsed="0" w:uiPriority="39"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nhideWhenUsed="0" w:uiPriority="0" w:semiHidden="0" w:name="Normal Indent" w:locked="1"/>
    <w:lsdException w:unhideWhenUsed="0" w:uiPriority="0" w:semiHidden="0" w:name="footnote text" w:locked="1"/>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ocked="1"/>
    <w:lsdException w:qFormat="1" w:unhideWhenUsed="0" w:uiPriority="0" w:semiHidden="0" w:name="caption" w:locked="1"/>
    <w:lsdException w:unhideWhenUsed="0" w:uiPriority="0" w:semiHidden="0" w:name="table of figures" w:locked="1"/>
    <w:lsdException w:unhideWhenUsed="0" w:uiPriority="0" w:semiHidden="0" w:name="envelope address" w:locked="1"/>
    <w:lsdException w:unhideWhenUsed="0" w:uiPriority="0" w:semiHidden="0" w:name="envelope return" w:locked="1"/>
    <w:lsdException w:unhideWhenUsed="0" w:uiPriority="0" w:semiHidden="0" w:name="footnote reference" w:locked="1"/>
    <w:lsdException w:qFormat="1" w:unhideWhenUsed="0" w:uiPriority="0" w:semiHidden="0" w:name="annotation reference"/>
    <w:lsdException w:unhideWhenUsed="0" w:uiPriority="0" w:semiHidden="0" w:name="line number" w:locked="1"/>
    <w:lsdException w:qFormat="1" w:unhideWhenUsed="0" w:uiPriority="0" w:semiHidden="0" w:name="page number" w:locked="1"/>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ocked="1"/>
    <w:lsdException w:unhideWhenUsed="0" w:uiPriority="0" w:semiHidden="0" w:name="toa heading" w:locked="1"/>
    <w:lsdException w:qFormat="1" w:unhideWhenUsed="0" w:uiPriority="0" w:semiHidden="0" w:name="List" w:locked="1"/>
    <w:lsdException w:unhideWhenUsed="0" w:uiPriority="0" w:semiHidden="0" w:name="List Bullet" w:locked="1"/>
    <w:lsdException w:unhideWhenUsed="0" w:uiPriority="0" w:semiHidden="0" w:name="List Number" w:locked="1"/>
    <w:lsdException w:unhideWhenUsed="0" w:uiPriority="0" w:semiHidden="0" w:name="List 2" w:locked="1"/>
    <w:lsdException w:unhideWhenUsed="0" w:uiPriority="0" w:semiHidden="0" w:name="List 3" w:locked="1"/>
    <w:lsdException w:unhideWhenUsed="0" w:uiPriority="0" w:semiHidden="0" w:name="List 4" w:locked="1"/>
    <w:lsdException w:unhideWhenUsed="0" w:uiPriority="0" w:semiHidden="0" w:name="List 5" w:locked="1"/>
    <w:lsdException w:qFormat="1" w:unhideWhenUsed="0" w:uiPriority="0" w:semiHidden="0" w:name="List Bullet 2" w:locked="1"/>
    <w:lsdException w:unhideWhenUsed="0" w:uiPriority="0" w:semiHidden="0" w:name="List Bullet 3" w:locked="1"/>
    <w:lsdException w:unhideWhenUsed="0" w:uiPriority="0" w:semiHidden="0" w:name="List Bullet 4" w:locked="1"/>
    <w:lsdException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0" w:semiHidden="0" w:name="Title" w:locked="1"/>
    <w:lsdException w:unhideWhenUsed="0" w:uiPriority="0" w:semiHidden="0" w:name="Closing" w:locked="1"/>
    <w:lsdException w:unhideWhenUsed="0" w:uiPriority="0" w:semiHidden="0" w:name="Signature" w:locked="1"/>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ocked="1"/>
    <w:lsdException w:unhideWhenUsed="0" w:uiPriority="0" w:semiHidden="0" w:name="List Continue 4" w:locked="1"/>
    <w:lsdException w:unhideWhenUsed="0" w:uiPriority="0" w:semiHidden="0" w:name="List Continue 5" w:locked="1"/>
    <w:lsdException w:unhideWhenUsed="0" w:uiPriority="0" w:semiHidden="0" w:name="Message Header" w:locked="1"/>
    <w:lsdException w:qFormat="1" w:unhideWhenUsed="0" w:uiPriority="0" w:semiHidden="0" w:name="Subtitle" w:locked="1"/>
    <w:lsdException w:unhideWhenUsed="0" w:uiPriority="0" w:semiHidden="0" w:name="Salutation" w:locked="1"/>
    <w:lsdException w:qFormat="1" w:unhideWhenUsed="0" w:uiPriority="0" w:semiHidden="0" w:name="Date"/>
    <w:lsdException w:qFormat="1" w:unhideWhenUsed="0" w:uiPriority="0" w:semiHidden="0" w:name="Body Text First Indent" w:locked="1"/>
    <w:lsdException w:qFormat="1" w:unhideWhenUsed="0" w:uiPriority="0" w:semiHidden="0" w:name="Body Text First Indent 2" w:locked="1"/>
    <w:lsdException w:unhideWhenUsed="0" w:uiPriority="0" w:semiHidden="0" w:name="Note Heading" w:locked="1"/>
    <w:lsdException w:qFormat="1" w:unhideWhenUsed="0" w:uiPriority="0" w:semiHidden="0" w:name="Body Text 2" w:locked="1"/>
    <w:lsdException w:unhideWhenUsed="0" w:uiPriority="0" w:semiHidden="0" w:name="Body Text 3" w:locked="1"/>
    <w:lsdException w:qFormat="1" w:unhideWhenUsed="0" w:uiPriority="0" w:semiHidden="0" w:name="Body Text Indent 2" w:locked="1"/>
    <w:lsdException w:unhideWhenUsed="0" w:uiPriority="0" w:semiHidden="0" w:name="Body Text Indent 3" w:locked="1"/>
    <w:lsdException w:unhideWhenUsed="0" w:uiPriority="0" w:semiHidden="0" w:name="Block Text" w:locked="1"/>
    <w:lsdException w:qFormat="1" w:uiPriority="99" w:semiHidden="0" w:name="Hyperlink" w:locked="1"/>
    <w:lsdException w:unhideWhenUsed="0" w:uiPriority="0" w:semiHidden="0" w:name="FollowedHyperlink" w:locked="1"/>
    <w:lsdException w:qFormat="1" w:unhideWhenUsed="0" w:uiPriority="0" w:semiHidden="0" w:name="Strong" w:locked="1"/>
    <w:lsdException w:qFormat="1" w:unhideWhenUsed="0" w:uiPriority="0" w:semiHidden="0" w:name="Emphasis" w:locked="1"/>
    <w:lsdException w:unhideWhenUsed="0" w:uiPriority="0" w:semiHidden="0" w:name="Document Map" w:locked="1"/>
    <w:lsdException w:qFormat="1" w:unhideWhenUsed="0" w:uiPriority="0" w:semiHidden="0" w:name="Plain Text" w:locked="1"/>
    <w:lsdException w:unhideWhenUsed="0" w:uiPriority="0" w:semiHidden="0" w:name="E-mail Signature" w:locked="1"/>
    <w:lsdException w:qFormat="1" w:unhideWhenUsed="0" w:uiPriority="0"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iPriority="0" w:name="HTML Keyboard" w:locked="1"/>
    <w:lsdException w:qFormat="1" w:uiPriority="99" w:semiHidden="0" w:name="HTML Preformatted" w:locked="1"/>
    <w:lsdException w:unhideWhenUsed="0" w:uiPriority="0" w:semiHidden="0" w:name="HTML Sample" w:locked="1"/>
    <w:lsdException w:unhideWhenUsed="0" w:uiPriority="0" w:semiHidden="0" w:name="HTML Typewriter" w:locked="1"/>
    <w:lsdException w:unhideWhenUsed="0" w:uiPriority="0" w:semiHidden="0" w:name="HTML Variable" w:locked="1"/>
    <w:lsdException w:qFormat="1" w:uiPriority="99" w:semiHidden="0" w:name="Normal Table"/>
    <w:lsdException w:qFormat="1" w:unhideWhenUsed="0" w:uiPriority="0"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uiPriority="0" w:name="Table Elegant" w:locked="1"/>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nhideWhenUsed="0" w:uiPriority="0" w:name="Balloon Text"/>
    <w:lsdException w:qFormat="1" w:unhideWhenUsed="0" w:uiPriority="0" w:semiHidden="0" w:name="Table Grid"/>
    <w:lsdException w:uiPriority="0" w:name="Table Theme" w:locked="1"/>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720" w:firstLineChars="200"/>
      <w:jc w:val="both"/>
    </w:pPr>
    <w:rPr>
      <w:rFonts w:ascii="Times New Roman" w:hAnsi="Times New Roman" w:eastAsia="宋体" w:cs="Times New Roman"/>
      <w:kern w:val="2"/>
      <w:sz w:val="24"/>
      <w:szCs w:val="24"/>
      <w:lang w:val="en-US" w:eastAsia="zh-CN" w:bidi="ar-SA"/>
    </w:rPr>
  </w:style>
  <w:style w:type="paragraph" w:styleId="4">
    <w:name w:val="heading 1"/>
    <w:basedOn w:val="1"/>
    <w:next w:val="1"/>
    <w:qFormat/>
    <w:locked/>
    <w:uiPriority w:val="99"/>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5">
    <w:name w:val="heading 2"/>
    <w:basedOn w:val="1"/>
    <w:next w:val="1"/>
    <w:link w:val="36"/>
    <w:unhideWhenUsed/>
    <w:qFormat/>
    <w:locked/>
    <w:uiPriority w:val="0"/>
    <w:pPr>
      <w:keepNext/>
      <w:keepLines/>
      <w:spacing w:before="260" w:after="260" w:line="416" w:lineRule="auto"/>
      <w:outlineLvl w:val="1"/>
    </w:pPr>
    <w:rPr>
      <w:rFonts w:ascii="等线 Light" w:hAnsi="等线 Light" w:eastAsia="等线 Light" w:cs="Times New Roman"/>
      <w:b/>
      <w:bCs/>
      <w:sz w:val="32"/>
      <w:szCs w:val="32"/>
    </w:rPr>
  </w:style>
  <w:style w:type="character" w:default="1" w:styleId="31">
    <w:name w:val="Default Paragraph Font"/>
    <w:unhideWhenUsed/>
    <w:qFormat/>
    <w:uiPriority w:val="1"/>
  </w:style>
  <w:style w:type="table" w:default="1" w:styleId="29">
    <w:name w:val="Normal Table"/>
    <w:unhideWhenUsed/>
    <w:qFormat/>
    <w:uiPriority w:val="99"/>
    <w:tblPr>
      <w:tblCellMar>
        <w:top w:w="0" w:type="dxa"/>
        <w:left w:w="108" w:type="dxa"/>
        <w:bottom w:w="0" w:type="dxa"/>
        <w:right w:w="108" w:type="dxa"/>
      </w:tblCellMar>
    </w:tblPr>
  </w:style>
  <w:style w:type="paragraph" w:customStyle="1" w:styleId="2">
    <w:name w:val="guo-正文缩进2"/>
    <w:basedOn w:val="3"/>
    <w:autoRedefine/>
    <w:qFormat/>
    <w:uiPriority w:val="0"/>
    <w:pPr>
      <w:tabs>
        <w:tab w:val="left" w:pos="1021"/>
      </w:tabs>
      <w:ind w:firstLine="562"/>
    </w:pPr>
  </w:style>
  <w:style w:type="paragraph" w:customStyle="1" w:styleId="3">
    <w:name w:val="guo-正文不缩进"/>
    <w:basedOn w:val="1"/>
    <w:autoRedefine/>
    <w:qFormat/>
    <w:uiPriority w:val="0"/>
    <w:pPr>
      <w:tabs>
        <w:tab w:val="left" w:pos="1021"/>
      </w:tabs>
      <w:ind w:firstLine="0"/>
    </w:pPr>
  </w:style>
  <w:style w:type="paragraph" w:styleId="6">
    <w:name w:val="caption"/>
    <w:basedOn w:val="1"/>
    <w:next w:val="1"/>
    <w:qFormat/>
    <w:locked/>
    <w:uiPriority w:val="0"/>
    <w:pPr>
      <w:adjustRightInd w:val="0"/>
      <w:snapToGrid w:val="0"/>
      <w:spacing w:line="360" w:lineRule="auto"/>
      <w:jc w:val="left"/>
    </w:pPr>
    <w:rPr>
      <w:rFonts w:eastAsia="黑体"/>
      <w:sz w:val="24"/>
      <w:szCs w:val="20"/>
    </w:rPr>
  </w:style>
  <w:style w:type="paragraph" w:styleId="7">
    <w:name w:val="annotation text"/>
    <w:basedOn w:val="1"/>
    <w:link w:val="40"/>
    <w:qFormat/>
    <w:uiPriority w:val="99"/>
    <w:pPr>
      <w:jc w:val="left"/>
    </w:pPr>
    <w:rPr>
      <w:kern w:val="0"/>
      <w:sz w:val="24"/>
      <w:szCs w:val="20"/>
    </w:rPr>
  </w:style>
  <w:style w:type="paragraph" w:styleId="8">
    <w:name w:val="Body Text"/>
    <w:basedOn w:val="1"/>
    <w:link w:val="41"/>
    <w:qFormat/>
    <w:uiPriority w:val="0"/>
    <w:pPr>
      <w:widowControl/>
      <w:snapToGrid w:val="0"/>
      <w:spacing w:before="60" w:after="160" w:line="259" w:lineRule="auto"/>
      <w:ind w:right="113"/>
    </w:pPr>
    <w:rPr>
      <w:kern w:val="0"/>
      <w:sz w:val="18"/>
      <w:szCs w:val="20"/>
    </w:rPr>
  </w:style>
  <w:style w:type="paragraph" w:styleId="9">
    <w:name w:val="Body Text Indent"/>
    <w:basedOn w:val="1"/>
    <w:link w:val="42"/>
    <w:qFormat/>
    <w:uiPriority w:val="0"/>
    <w:pPr>
      <w:spacing w:after="120"/>
      <w:ind w:left="420" w:leftChars="200"/>
    </w:pPr>
    <w:rPr>
      <w:kern w:val="0"/>
      <w:sz w:val="24"/>
      <w:szCs w:val="20"/>
    </w:rPr>
  </w:style>
  <w:style w:type="paragraph" w:styleId="10">
    <w:name w:val="List Bullet 2"/>
    <w:basedOn w:val="1"/>
    <w:next w:val="11"/>
    <w:qFormat/>
    <w:locked/>
    <w:uiPriority w:val="0"/>
    <w:pPr>
      <w:numPr>
        <w:ilvl w:val="0"/>
        <w:numId w:val="1"/>
      </w:numPr>
    </w:pPr>
  </w:style>
  <w:style w:type="paragraph" w:customStyle="1" w:styleId="11">
    <w:name w:val="xl70"/>
    <w:basedOn w:val="1"/>
    <w:next w:val="12"/>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kern w:val="0"/>
      <w:sz w:val="24"/>
    </w:rPr>
  </w:style>
  <w:style w:type="paragraph" w:customStyle="1" w:styleId="12">
    <w:name w:val="正文缩进1"/>
    <w:basedOn w:val="1"/>
    <w:next w:val="13"/>
    <w:qFormat/>
    <w:uiPriority w:val="0"/>
    <w:pPr>
      <w:ind w:firstLine="420"/>
    </w:pPr>
    <w:rPr>
      <w:rFonts w:ascii="Times New Roman" w:eastAsia="宋体"/>
    </w:rPr>
  </w:style>
  <w:style w:type="paragraph" w:customStyle="1" w:styleId="13">
    <w:name w:val="td1"/>
    <w:basedOn w:val="1"/>
    <w:next w:val="1"/>
    <w:qFormat/>
    <w:uiPriority w:val="0"/>
    <w:pPr>
      <w:widowControl/>
      <w:spacing w:before="280" w:after="280" w:line="300" w:lineRule="atLeast"/>
    </w:pPr>
    <w:rPr>
      <w:rFonts w:ascii="Times New Roman" w:eastAsia="宋体"/>
      <w:color w:val="000000"/>
      <w:sz w:val="18"/>
    </w:rPr>
  </w:style>
  <w:style w:type="paragraph" w:styleId="14">
    <w:name w:val="Plain Text"/>
    <w:basedOn w:val="1"/>
    <w:qFormat/>
    <w:locked/>
    <w:uiPriority w:val="0"/>
    <w:pPr>
      <w:spacing w:line="380" w:lineRule="exact"/>
      <w:jc w:val="center"/>
    </w:pPr>
    <w:rPr>
      <w:rFonts w:hAnsi="宋体"/>
      <w:color w:val="000000"/>
      <w:kern w:val="21"/>
      <w:lang w:val="de-DE"/>
    </w:rPr>
  </w:style>
  <w:style w:type="paragraph" w:styleId="15">
    <w:name w:val="Date"/>
    <w:basedOn w:val="1"/>
    <w:next w:val="1"/>
    <w:link w:val="43"/>
    <w:qFormat/>
    <w:uiPriority w:val="0"/>
    <w:pPr>
      <w:ind w:left="100" w:leftChars="2500"/>
    </w:pPr>
    <w:rPr>
      <w:kern w:val="0"/>
      <w:sz w:val="24"/>
      <w:szCs w:val="20"/>
    </w:rPr>
  </w:style>
  <w:style w:type="paragraph" w:styleId="16">
    <w:name w:val="Body Text Indent 2"/>
    <w:basedOn w:val="1"/>
    <w:link w:val="44"/>
    <w:qFormat/>
    <w:locked/>
    <w:uiPriority w:val="0"/>
    <w:pPr>
      <w:spacing w:after="120" w:line="480" w:lineRule="auto"/>
      <w:ind w:left="420" w:leftChars="200"/>
    </w:pPr>
  </w:style>
  <w:style w:type="paragraph" w:styleId="17">
    <w:name w:val="Balloon Text"/>
    <w:basedOn w:val="1"/>
    <w:link w:val="45"/>
    <w:semiHidden/>
    <w:qFormat/>
    <w:uiPriority w:val="0"/>
    <w:rPr>
      <w:kern w:val="0"/>
      <w:sz w:val="18"/>
      <w:szCs w:val="20"/>
    </w:rPr>
  </w:style>
  <w:style w:type="paragraph" w:styleId="18">
    <w:name w:val="footer"/>
    <w:basedOn w:val="1"/>
    <w:link w:val="46"/>
    <w:qFormat/>
    <w:uiPriority w:val="99"/>
    <w:pPr>
      <w:tabs>
        <w:tab w:val="center" w:pos="4153"/>
        <w:tab w:val="right" w:pos="8306"/>
      </w:tabs>
      <w:snapToGrid w:val="0"/>
      <w:jc w:val="left"/>
    </w:pPr>
    <w:rPr>
      <w:kern w:val="0"/>
      <w:sz w:val="18"/>
      <w:szCs w:val="20"/>
    </w:rPr>
  </w:style>
  <w:style w:type="paragraph" w:styleId="19">
    <w:name w:val="header"/>
    <w:basedOn w:val="1"/>
    <w:link w:val="47"/>
    <w:qFormat/>
    <w:uiPriority w:val="0"/>
    <w:pPr>
      <w:pBdr>
        <w:bottom w:val="single" w:color="auto" w:sz="6" w:space="1"/>
      </w:pBdr>
      <w:tabs>
        <w:tab w:val="center" w:pos="4153"/>
        <w:tab w:val="right" w:pos="8306"/>
      </w:tabs>
      <w:snapToGrid w:val="0"/>
      <w:jc w:val="center"/>
    </w:pPr>
    <w:rPr>
      <w:kern w:val="0"/>
      <w:sz w:val="18"/>
      <w:szCs w:val="20"/>
    </w:rPr>
  </w:style>
  <w:style w:type="paragraph" w:styleId="20">
    <w:name w:val="toc 1"/>
    <w:basedOn w:val="1"/>
    <w:next w:val="1"/>
    <w:qFormat/>
    <w:locked/>
    <w:uiPriority w:val="39"/>
    <w:pPr>
      <w:tabs>
        <w:tab w:val="right" w:leader="dot" w:pos="8834"/>
      </w:tabs>
      <w:ind w:firstLine="0" w:firstLineChars="0"/>
      <w:jc w:val="center"/>
    </w:pPr>
  </w:style>
  <w:style w:type="paragraph" w:styleId="21">
    <w:name w:val="List"/>
    <w:basedOn w:val="1"/>
    <w:next w:val="10"/>
    <w:qFormat/>
    <w:locked/>
    <w:uiPriority w:val="0"/>
    <w:pPr>
      <w:ind w:left="200" w:hanging="200" w:hangingChars="200"/>
      <w:jc w:val="center"/>
    </w:pPr>
  </w:style>
  <w:style w:type="paragraph" w:styleId="22">
    <w:name w:val="toc 2"/>
    <w:basedOn w:val="1"/>
    <w:next w:val="1"/>
    <w:qFormat/>
    <w:locked/>
    <w:uiPriority w:val="39"/>
    <w:pPr>
      <w:ind w:left="420" w:leftChars="200"/>
    </w:pPr>
  </w:style>
  <w:style w:type="paragraph" w:styleId="23">
    <w:name w:val="Body Text 2"/>
    <w:basedOn w:val="1"/>
    <w:link w:val="48"/>
    <w:qFormat/>
    <w:locked/>
    <w:uiPriority w:val="0"/>
    <w:pPr>
      <w:spacing w:after="120" w:line="480" w:lineRule="auto"/>
    </w:pPr>
  </w:style>
  <w:style w:type="paragraph" w:styleId="24">
    <w:name w:val="HTML Preformatted"/>
    <w:basedOn w:val="1"/>
    <w:link w:val="49"/>
    <w:unhideWhenUsed/>
    <w:qFormat/>
    <w:locked/>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5">
    <w:name w:val="Normal (Web)"/>
    <w:basedOn w:val="1"/>
    <w:link w:val="50"/>
    <w:qFormat/>
    <w:uiPriority w:val="0"/>
    <w:pPr>
      <w:widowControl/>
      <w:spacing w:before="100" w:beforeAutospacing="1" w:after="100" w:afterAutospacing="1"/>
      <w:jc w:val="left"/>
    </w:pPr>
    <w:rPr>
      <w:rFonts w:ascii="宋体" w:hAnsi="宋体"/>
      <w:kern w:val="0"/>
      <w:sz w:val="24"/>
      <w:szCs w:val="20"/>
    </w:rPr>
  </w:style>
  <w:style w:type="paragraph" w:styleId="26">
    <w:name w:val="annotation subject"/>
    <w:basedOn w:val="7"/>
    <w:next w:val="7"/>
    <w:link w:val="51"/>
    <w:semiHidden/>
    <w:qFormat/>
    <w:uiPriority w:val="0"/>
    <w:rPr>
      <w:b/>
    </w:rPr>
  </w:style>
  <w:style w:type="paragraph" w:styleId="27">
    <w:name w:val="Body Text First Indent"/>
    <w:basedOn w:val="8"/>
    <w:link w:val="52"/>
    <w:qFormat/>
    <w:locked/>
    <w:uiPriority w:val="0"/>
    <w:pPr>
      <w:widowControl w:val="0"/>
      <w:snapToGrid/>
      <w:spacing w:before="0" w:after="120" w:line="240" w:lineRule="auto"/>
      <w:ind w:right="0" w:firstLine="420" w:firstLineChars="100"/>
    </w:pPr>
    <w:rPr>
      <w:kern w:val="2"/>
      <w:sz w:val="21"/>
      <w:szCs w:val="24"/>
    </w:rPr>
  </w:style>
  <w:style w:type="paragraph" w:styleId="28">
    <w:name w:val="Body Text First Indent 2"/>
    <w:basedOn w:val="9"/>
    <w:link w:val="53"/>
    <w:qFormat/>
    <w:locked/>
    <w:uiPriority w:val="0"/>
    <w:pPr>
      <w:ind w:firstLine="420" w:firstLineChars="200"/>
    </w:pPr>
    <w:rPr>
      <w:kern w:val="2"/>
      <w:sz w:val="21"/>
      <w:szCs w:val="24"/>
    </w:rPr>
  </w:style>
  <w:style w:type="table" w:styleId="30">
    <w:name w:val="Table Grid"/>
    <w:basedOn w:val="2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Strong"/>
    <w:qFormat/>
    <w:locked/>
    <w:uiPriority w:val="0"/>
    <w:rPr>
      <w:b/>
    </w:rPr>
  </w:style>
  <w:style w:type="character" w:styleId="33">
    <w:name w:val="page number"/>
    <w:basedOn w:val="31"/>
    <w:qFormat/>
    <w:locked/>
    <w:uiPriority w:val="0"/>
  </w:style>
  <w:style w:type="character" w:styleId="34">
    <w:name w:val="Hyperlink"/>
    <w:basedOn w:val="31"/>
    <w:unhideWhenUsed/>
    <w:qFormat/>
    <w:locked/>
    <w:uiPriority w:val="99"/>
    <w:rPr>
      <w:color w:val="0563C1"/>
      <w:u w:val="single"/>
    </w:rPr>
  </w:style>
  <w:style w:type="character" w:styleId="35">
    <w:name w:val="annotation reference"/>
    <w:qFormat/>
    <w:uiPriority w:val="0"/>
    <w:rPr>
      <w:sz w:val="21"/>
    </w:rPr>
  </w:style>
  <w:style w:type="character" w:customStyle="1" w:styleId="36">
    <w:name w:val="标题 2 字符"/>
    <w:basedOn w:val="31"/>
    <w:link w:val="5"/>
    <w:semiHidden/>
    <w:qFormat/>
    <w:uiPriority w:val="0"/>
    <w:rPr>
      <w:rFonts w:ascii="等线 Light" w:hAnsi="等线 Light" w:eastAsia="等线 Light" w:cs="Times New Roman"/>
      <w:b/>
      <w:bCs/>
      <w:kern w:val="2"/>
      <w:sz w:val="32"/>
      <w:szCs w:val="32"/>
    </w:rPr>
  </w:style>
  <w:style w:type="paragraph" w:customStyle="1" w:styleId="37">
    <w:name w:val="表格文字"/>
    <w:basedOn w:val="1"/>
    <w:link w:val="54"/>
    <w:qFormat/>
    <w:uiPriority w:val="0"/>
    <w:pPr>
      <w:tabs>
        <w:tab w:val="left" w:pos="-2848"/>
      </w:tabs>
      <w:spacing w:line="240" w:lineRule="auto"/>
      <w:ind w:firstLine="0" w:firstLineChars="0"/>
      <w:jc w:val="center"/>
    </w:pPr>
    <w:rPr>
      <w:position w:val="-10"/>
      <w:sz w:val="21"/>
      <w:szCs w:val="20"/>
    </w:rPr>
  </w:style>
  <w:style w:type="paragraph" w:customStyle="1" w:styleId="38">
    <w:name w:val="表格"/>
    <w:basedOn w:val="21"/>
    <w:next w:val="1"/>
    <w:link w:val="61"/>
    <w:qFormat/>
    <w:uiPriority w:val="0"/>
    <w:pPr>
      <w:adjustRightInd w:val="0"/>
      <w:snapToGrid w:val="0"/>
      <w:spacing w:beforeLines="10" w:afterLines="10" w:line="259" w:lineRule="auto"/>
      <w:jc w:val="center"/>
    </w:pPr>
    <w:rPr>
      <w:rFonts w:ascii="宋体"/>
      <w:kern w:val="0"/>
      <w:szCs w:val="20"/>
    </w:rPr>
  </w:style>
  <w:style w:type="paragraph" w:customStyle="1" w:styleId="39">
    <w:name w:val="样式9"/>
    <w:basedOn w:val="1"/>
    <w:qFormat/>
    <w:uiPriority w:val="0"/>
    <w:pPr>
      <w:adjustRightInd w:val="0"/>
      <w:snapToGrid w:val="0"/>
      <w:spacing w:line="460" w:lineRule="exact"/>
      <w:ind w:firstLine="520" w:firstLineChars="200"/>
    </w:pPr>
    <w:rPr>
      <w:sz w:val="26"/>
      <w:szCs w:val="26"/>
    </w:rPr>
  </w:style>
  <w:style w:type="character" w:customStyle="1" w:styleId="40">
    <w:name w:val="批注文字 字符"/>
    <w:link w:val="7"/>
    <w:qFormat/>
    <w:locked/>
    <w:uiPriority w:val="0"/>
    <w:rPr>
      <w:rFonts w:ascii="Times New Roman" w:hAnsi="Times New Roman" w:eastAsia="宋体"/>
      <w:sz w:val="24"/>
    </w:rPr>
  </w:style>
  <w:style w:type="character" w:customStyle="1" w:styleId="41">
    <w:name w:val="正文文本 字符"/>
    <w:link w:val="8"/>
    <w:qFormat/>
    <w:locked/>
    <w:uiPriority w:val="0"/>
    <w:rPr>
      <w:sz w:val="18"/>
    </w:rPr>
  </w:style>
  <w:style w:type="character" w:customStyle="1" w:styleId="42">
    <w:name w:val="正文文本缩进 字符"/>
    <w:link w:val="9"/>
    <w:semiHidden/>
    <w:qFormat/>
    <w:locked/>
    <w:uiPriority w:val="0"/>
    <w:rPr>
      <w:rFonts w:ascii="Times New Roman" w:hAnsi="Times New Roman" w:eastAsia="宋体"/>
      <w:sz w:val="24"/>
    </w:rPr>
  </w:style>
  <w:style w:type="character" w:customStyle="1" w:styleId="43">
    <w:name w:val="日期 字符1"/>
    <w:link w:val="15"/>
    <w:qFormat/>
    <w:locked/>
    <w:uiPriority w:val="0"/>
    <w:rPr>
      <w:rFonts w:ascii="Times New Roman" w:hAnsi="Times New Roman" w:eastAsia="宋体"/>
      <w:sz w:val="24"/>
    </w:rPr>
  </w:style>
  <w:style w:type="character" w:customStyle="1" w:styleId="44">
    <w:name w:val="正文文本缩进 2 字符"/>
    <w:link w:val="16"/>
    <w:qFormat/>
    <w:uiPriority w:val="0"/>
    <w:rPr>
      <w:kern w:val="2"/>
      <w:sz w:val="21"/>
      <w:szCs w:val="24"/>
    </w:rPr>
  </w:style>
  <w:style w:type="character" w:customStyle="1" w:styleId="45">
    <w:name w:val="批注框文本 字符"/>
    <w:link w:val="17"/>
    <w:semiHidden/>
    <w:qFormat/>
    <w:locked/>
    <w:uiPriority w:val="0"/>
    <w:rPr>
      <w:rFonts w:ascii="Times New Roman" w:hAnsi="Times New Roman" w:eastAsia="宋体"/>
      <w:sz w:val="18"/>
    </w:rPr>
  </w:style>
  <w:style w:type="character" w:customStyle="1" w:styleId="46">
    <w:name w:val="页脚 字符1"/>
    <w:link w:val="18"/>
    <w:qFormat/>
    <w:locked/>
    <w:uiPriority w:val="99"/>
    <w:rPr>
      <w:sz w:val="18"/>
    </w:rPr>
  </w:style>
  <w:style w:type="character" w:customStyle="1" w:styleId="47">
    <w:name w:val="页眉 字符"/>
    <w:link w:val="19"/>
    <w:qFormat/>
    <w:locked/>
    <w:uiPriority w:val="0"/>
    <w:rPr>
      <w:sz w:val="18"/>
    </w:rPr>
  </w:style>
  <w:style w:type="character" w:customStyle="1" w:styleId="48">
    <w:name w:val="正文文本 2 字符"/>
    <w:link w:val="23"/>
    <w:qFormat/>
    <w:uiPriority w:val="0"/>
    <w:rPr>
      <w:kern w:val="2"/>
      <w:sz w:val="21"/>
      <w:szCs w:val="24"/>
    </w:rPr>
  </w:style>
  <w:style w:type="character" w:customStyle="1" w:styleId="49">
    <w:name w:val="HTML 预设格式 字符1"/>
    <w:link w:val="24"/>
    <w:qFormat/>
    <w:uiPriority w:val="99"/>
    <w:rPr>
      <w:rFonts w:ascii="宋体" w:hAnsi="宋体" w:cs="宋体"/>
      <w:sz w:val="24"/>
      <w:szCs w:val="24"/>
    </w:rPr>
  </w:style>
  <w:style w:type="character" w:customStyle="1" w:styleId="50">
    <w:name w:val="普通(网站) 字符"/>
    <w:link w:val="25"/>
    <w:qFormat/>
    <w:locked/>
    <w:uiPriority w:val="0"/>
    <w:rPr>
      <w:rFonts w:ascii="宋体" w:hAnsi="宋体" w:eastAsia="宋体"/>
      <w:sz w:val="24"/>
    </w:rPr>
  </w:style>
  <w:style w:type="character" w:customStyle="1" w:styleId="51">
    <w:name w:val="批注主题 字符"/>
    <w:link w:val="26"/>
    <w:semiHidden/>
    <w:qFormat/>
    <w:locked/>
    <w:uiPriority w:val="0"/>
    <w:rPr>
      <w:rFonts w:ascii="Times New Roman" w:hAnsi="Times New Roman" w:eastAsia="宋体"/>
      <w:b/>
      <w:kern w:val="2"/>
      <w:sz w:val="24"/>
    </w:rPr>
  </w:style>
  <w:style w:type="character" w:customStyle="1" w:styleId="52">
    <w:name w:val="正文首行缩进 字符"/>
    <w:link w:val="27"/>
    <w:qFormat/>
    <w:uiPriority w:val="0"/>
    <w:rPr>
      <w:kern w:val="2"/>
      <w:sz w:val="21"/>
      <w:szCs w:val="24"/>
    </w:rPr>
  </w:style>
  <w:style w:type="character" w:customStyle="1" w:styleId="53">
    <w:name w:val="正文首行缩进 2 字符"/>
    <w:basedOn w:val="42"/>
    <w:link w:val="28"/>
    <w:qFormat/>
    <w:uiPriority w:val="0"/>
    <w:rPr>
      <w:rFonts w:ascii="Times New Roman" w:hAnsi="Times New Roman" w:eastAsia="宋体"/>
      <w:kern w:val="2"/>
      <w:sz w:val="21"/>
      <w:szCs w:val="24"/>
    </w:rPr>
  </w:style>
  <w:style w:type="character" w:customStyle="1" w:styleId="54">
    <w:name w:val="纯文本1 Char"/>
    <w:link w:val="37"/>
    <w:qFormat/>
    <w:uiPriority w:val="0"/>
    <w:rPr>
      <w:rFonts w:eastAsia="宋体"/>
      <w:kern w:val="2"/>
      <w:position w:val="-10"/>
      <w:sz w:val="21"/>
    </w:rPr>
  </w:style>
  <w:style w:type="paragraph" w:styleId="55">
    <w:name w:val="List Paragraph"/>
    <w:basedOn w:val="1"/>
    <w:qFormat/>
    <w:uiPriority w:val="99"/>
    <w:pPr>
      <w:ind w:firstLine="420" w:firstLineChars="200"/>
    </w:pPr>
  </w:style>
  <w:style w:type="paragraph" w:customStyle="1" w:styleId="56">
    <w:name w:val="Default"/>
    <w:basedOn w:val="57"/>
    <w:next w:val="58"/>
    <w:qFormat/>
    <w:uiPriority w:val="0"/>
    <w:pPr>
      <w:autoSpaceDE w:val="0"/>
      <w:autoSpaceDN w:val="0"/>
      <w:adjustRightInd w:val="0"/>
      <w:jc w:val="left"/>
    </w:pPr>
    <w:rPr>
      <w:rFonts w:ascii="宋体" w:hAnsi="宋体" w:cs="宋体"/>
      <w:color w:val="000000"/>
      <w:sz w:val="24"/>
    </w:rPr>
  </w:style>
  <w:style w:type="paragraph" w:customStyle="1" w:styleId="57">
    <w:name w:val="纯文本1"/>
    <w:basedOn w:val="1"/>
    <w:qFormat/>
    <w:uiPriority w:val="0"/>
    <w:rPr>
      <w:rFonts w:hint="eastAsia" w:ascii="宋体" w:hAnsi="Courier New"/>
      <w:szCs w:val="22"/>
    </w:rPr>
  </w:style>
  <w:style w:type="paragraph" w:customStyle="1" w:styleId="58">
    <w:name w:val="xl44"/>
    <w:basedOn w:val="1"/>
    <w:qFormat/>
    <w:uiPriority w:val="0"/>
    <w:pPr>
      <w:widowControl/>
      <w:pBdr>
        <w:top w:val="single" w:color="auto" w:sz="8" w:space="0"/>
        <w:left w:val="single" w:color="auto" w:sz="4" w:space="0"/>
        <w:right w:val="single" w:color="auto" w:sz="8" w:space="0"/>
      </w:pBdr>
      <w:spacing w:before="100" w:beforeAutospacing="1" w:after="100" w:afterAutospacing="1"/>
      <w:jc w:val="center"/>
      <w:textAlignment w:val="center"/>
    </w:pPr>
    <w:rPr>
      <w:rFonts w:ascii="宋体"/>
      <w:kern w:val="0"/>
      <w:sz w:val="20"/>
      <w:szCs w:val="20"/>
    </w:rPr>
  </w:style>
  <w:style w:type="character" w:customStyle="1" w:styleId="59">
    <w:name w:val="页脚 字符"/>
    <w:basedOn w:val="31"/>
    <w:qFormat/>
    <w:uiPriority w:val="99"/>
  </w:style>
  <w:style w:type="character" w:customStyle="1" w:styleId="60">
    <w:name w:val="正文文本 字符1"/>
    <w:semiHidden/>
    <w:qFormat/>
    <w:uiPriority w:val="0"/>
    <w:rPr>
      <w:rFonts w:ascii="Times New Roman" w:hAnsi="Times New Roman" w:eastAsia="宋体"/>
      <w:sz w:val="24"/>
    </w:rPr>
  </w:style>
  <w:style w:type="character" w:customStyle="1" w:styleId="61">
    <w:name w:val="表格 Char"/>
    <w:link w:val="38"/>
    <w:qFormat/>
    <w:locked/>
    <w:uiPriority w:val="0"/>
    <w:rPr>
      <w:rFonts w:ascii="宋体"/>
      <w:sz w:val="21"/>
    </w:rPr>
  </w:style>
  <w:style w:type="character" w:customStyle="1" w:styleId="62">
    <w:name w:val="日期 字符"/>
    <w:semiHidden/>
    <w:qFormat/>
    <w:uiPriority w:val="0"/>
    <w:rPr>
      <w:rFonts w:ascii="Times New Roman" w:hAnsi="Times New Roman" w:eastAsia="宋体"/>
      <w:sz w:val="24"/>
    </w:rPr>
  </w:style>
  <w:style w:type="character" w:customStyle="1" w:styleId="63">
    <w:name w:val="批注文字 字符1"/>
    <w:semiHidden/>
    <w:qFormat/>
    <w:uiPriority w:val="0"/>
    <w:rPr>
      <w:rFonts w:ascii="Times New Roman" w:hAnsi="Times New Roman" w:eastAsia="宋体"/>
      <w:sz w:val="24"/>
    </w:rPr>
  </w:style>
  <w:style w:type="paragraph" w:customStyle="1" w:styleId="64">
    <w:name w:val="正文_1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65">
    <w:name w:val="普通(网站)2"/>
    <w:basedOn w:val="1"/>
    <w:qFormat/>
    <w:uiPriority w:val="0"/>
    <w:pPr>
      <w:widowControl/>
      <w:spacing w:before="100" w:beforeAutospacing="1" w:after="100" w:afterAutospacing="1"/>
      <w:jc w:val="left"/>
    </w:pPr>
    <w:rPr>
      <w:rFonts w:ascii="宋体" w:hAnsi="宋体"/>
      <w:sz w:val="24"/>
      <w:szCs w:val="20"/>
    </w:rPr>
  </w:style>
  <w:style w:type="paragraph" w:customStyle="1" w:styleId="66">
    <w:name w:val="常用表头样式"/>
    <w:basedOn w:val="27"/>
    <w:qFormat/>
    <w:uiPriority w:val="0"/>
    <w:pPr>
      <w:overflowPunct w:val="0"/>
      <w:autoSpaceDE w:val="0"/>
      <w:autoSpaceDN w:val="0"/>
      <w:adjustRightInd w:val="0"/>
      <w:spacing w:after="0" w:line="360" w:lineRule="auto"/>
      <w:ind w:firstLine="0" w:firstLineChars="0"/>
      <w:jc w:val="center"/>
      <w:textAlignment w:val="baseline"/>
    </w:pPr>
    <w:rPr>
      <w:rFonts w:ascii="黑体" w:eastAsia="仿宋_GB2312"/>
      <w:b/>
      <w:szCs w:val="21"/>
    </w:rPr>
  </w:style>
  <w:style w:type="paragraph" w:customStyle="1" w:styleId="67">
    <w:name w:val="表格名称"/>
    <w:basedOn w:val="1"/>
    <w:link w:val="68"/>
    <w:qFormat/>
    <w:uiPriority w:val="0"/>
    <w:pPr>
      <w:spacing w:before="50" w:beforeLines="50"/>
      <w:jc w:val="center"/>
    </w:pPr>
    <w:rPr>
      <w:rFonts w:cs="宋体"/>
      <w:b/>
      <w:bCs/>
      <w:szCs w:val="21"/>
    </w:rPr>
  </w:style>
  <w:style w:type="character" w:customStyle="1" w:styleId="68">
    <w:name w:val="表格名称 Char"/>
    <w:link w:val="67"/>
    <w:qFormat/>
    <w:uiPriority w:val="0"/>
    <w:rPr>
      <w:rFonts w:cs="宋体"/>
      <w:b/>
      <w:bCs/>
      <w:kern w:val="2"/>
      <w:sz w:val="21"/>
      <w:szCs w:val="21"/>
    </w:rPr>
  </w:style>
  <w:style w:type="paragraph" w:customStyle="1" w:styleId="69">
    <w:name w:val="正文3"/>
    <w:basedOn w:val="23"/>
    <w:qFormat/>
    <w:uiPriority w:val="0"/>
    <w:pPr>
      <w:adjustRightInd w:val="0"/>
      <w:snapToGrid w:val="0"/>
      <w:spacing w:after="0" w:line="360" w:lineRule="auto"/>
      <w:ind w:firstLine="200" w:firstLineChars="200"/>
    </w:pPr>
    <w:rPr>
      <w:sz w:val="24"/>
    </w:rPr>
  </w:style>
  <w:style w:type="character" w:customStyle="1" w:styleId="70">
    <w:name w:val="HTML 预设格式 字符"/>
    <w:qFormat/>
    <w:uiPriority w:val="0"/>
    <w:rPr>
      <w:rFonts w:ascii="Courier New" w:hAnsi="Courier New" w:cs="Courier New"/>
      <w:kern w:val="2"/>
    </w:rPr>
  </w:style>
  <w:style w:type="paragraph" w:customStyle="1" w:styleId="71">
    <w:name w:val="样式1"/>
    <w:basedOn w:val="1"/>
    <w:qFormat/>
    <w:uiPriority w:val="0"/>
    <w:pPr>
      <w:spacing w:after="40" w:line="300" w:lineRule="atLeast"/>
      <w:jc w:val="center"/>
      <w:outlineLvl w:val="2"/>
    </w:pPr>
    <w:rPr>
      <w:rFonts w:eastAsia="楷体_GB2312"/>
      <w:szCs w:val="20"/>
    </w:rPr>
  </w:style>
  <w:style w:type="paragraph" w:customStyle="1" w:styleId="72">
    <w:name w:val="表格内文字5号"/>
    <w:basedOn w:val="1"/>
    <w:link w:val="73"/>
    <w:qFormat/>
    <w:uiPriority w:val="0"/>
    <w:pPr>
      <w:jc w:val="center"/>
    </w:pPr>
  </w:style>
  <w:style w:type="character" w:customStyle="1" w:styleId="73">
    <w:name w:val="表格内文字5号 Char"/>
    <w:link w:val="72"/>
    <w:qFormat/>
    <w:uiPriority w:val="0"/>
    <w:rPr>
      <w:kern w:val="2"/>
      <w:sz w:val="21"/>
      <w:szCs w:val="24"/>
    </w:rPr>
  </w:style>
  <w:style w:type="paragraph" w:customStyle="1" w:styleId="74">
    <w:name w:val="表格图片名称"/>
    <w:basedOn w:val="1"/>
    <w:link w:val="75"/>
    <w:qFormat/>
    <w:uiPriority w:val="0"/>
    <w:pPr>
      <w:adjustRightInd w:val="0"/>
      <w:snapToGrid w:val="0"/>
      <w:jc w:val="center"/>
    </w:pPr>
    <w:rPr>
      <w:b/>
      <w:kern w:val="18"/>
      <w:sz w:val="24"/>
      <w:szCs w:val="21"/>
    </w:rPr>
  </w:style>
  <w:style w:type="character" w:customStyle="1" w:styleId="75">
    <w:name w:val="表格图片名称 Char"/>
    <w:link w:val="74"/>
    <w:qFormat/>
    <w:uiPriority w:val="0"/>
    <w:rPr>
      <w:b/>
      <w:kern w:val="18"/>
      <w:sz w:val="24"/>
      <w:szCs w:val="21"/>
    </w:rPr>
  </w:style>
  <w:style w:type="character" w:customStyle="1" w:styleId="76">
    <w:name w:val="正文文本 2 Char"/>
    <w:qFormat/>
    <w:uiPriority w:val="0"/>
    <w:rPr>
      <w:kern w:val="2"/>
      <w:sz w:val="21"/>
      <w:szCs w:val="24"/>
    </w:rPr>
  </w:style>
  <w:style w:type="character" w:customStyle="1" w:styleId="77">
    <w:name w:val="NormalCharacter"/>
    <w:qFormat/>
    <w:uiPriority w:val="0"/>
  </w:style>
  <w:style w:type="character" w:customStyle="1" w:styleId="78">
    <w:name w:val="正文文本缩进 2 字符1"/>
    <w:qFormat/>
    <w:uiPriority w:val="0"/>
    <w:rPr>
      <w:kern w:val="2"/>
      <w:sz w:val="21"/>
      <w:szCs w:val="24"/>
    </w:rPr>
  </w:style>
  <w:style w:type="paragraph" w:customStyle="1" w:styleId="79">
    <w:name w:val="D表内"/>
    <w:basedOn w:val="1"/>
    <w:qFormat/>
    <w:uiPriority w:val="99"/>
    <w:pPr>
      <w:spacing w:before="40" w:after="40"/>
      <w:jc w:val="center"/>
    </w:pPr>
    <w:rPr>
      <w:szCs w:val="21"/>
    </w:rPr>
  </w:style>
  <w:style w:type="paragraph" w:customStyle="1" w:styleId="80">
    <w:name w:val="样式 方正仿宋_GBK 三号 行距: 固定值 28 磅"/>
    <w:basedOn w:val="1"/>
    <w:qFormat/>
    <w:uiPriority w:val="0"/>
    <w:pPr>
      <w:spacing w:line="360" w:lineRule="auto"/>
      <w:ind w:firstLine="200" w:firstLineChars="200"/>
      <w:jc w:val="left"/>
    </w:pPr>
    <w:rPr>
      <w:rFonts w:ascii="方正仿宋_GBK" w:hAnsi="方正仿宋_GBK" w:cs="宋体"/>
      <w:sz w:val="28"/>
      <w:szCs w:val="20"/>
    </w:rPr>
  </w:style>
  <w:style w:type="paragraph" w:customStyle="1" w:styleId="81">
    <w:name w:val="A表内"/>
    <w:basedOn w:val="1"/>
    <w:link w:val="82"/>
    <w:qFormat/>
    <w:uiPriority w:val="0"/>
    <w:pPr>
      <w:spacing w:line="0" w:lineRule="atLeast"/>
      <w:jc w:val="center"/>
    </w:pPr>
    <w:rPr>
      <w:rFonts w:cs="宋体"/>
      <w:szCs w:val="20"/>
    </w:rPr>
  </w:style>
  <w:style w:type="character" w:customStyle="1" w:styleId="82">
    <w:name w:val="A表内 Char"/>
    <w:link w:val="81"/>
    <w:qFormat/>
    <w:uiPriority w:val="0"/>
    <w:rPr>
      <w:rFonts w:cs="宋体"/>
      <w:kern w:val="2"/>
      <w:sz w:val="21"/>
    </w:rPr>
  </w:style>
  <w:style w:type="paragraph" w:customStyle="1" w:styleId="83">
    <w:name w:val="Table Paragraph"/>
    <w:basedOn w:val="1"/>
    <w:qFormat/>
    <w:uiPriority w:val="1"/>
    <w:pPr>
      <w:autoSpaceDE w:val="0"/>
      <w:autoSpaceDN w:val="0"/>
      <w:adjustRightInd w:val="0"/>
      <w:jc w:val="left"/>
    </w:pPr>
    <w:rPr>
      <w:rFonts w:ascii="宋体" w:cs="宋体"/>
      <w:kern w:val="0"/>
      <w:sz w:val="24"/>
    </w:rPr>
  </w:style>
  <w:style w:type="paragraph" w:customStyle="1" w:styleId="84">
    <w:name w:val="样式 方正仿宋_GBK 三号 加粗 黑色 居中 行距: 固定值 26 磅"/>
    <w:basedOn w:val="1"/>
    <w:qFormat/>
    <w:uiPriority w:val="0"/>
    <w:pPr>
      <w:adjustRightInd w:val="0"/>
      <w:snapToGrid w:val="0"/>
      <w:jc w:val="center"/>
    </w:pPr>
    <w:rPr>
      <w:b/>
      <w:bCs/>
      <w:szCs w:val="21"/>
    </w:rPr>
  </w:style>
  <w:style w:type="paragraph" w:customStyle="1" w:styleId="85">
    <w:name w:val="默认段落字体 Para Char Char Char Char"/>
    <w:basedOn w:val="1"/>
    <w:qFormat/>
    <w:uiPriority w:val="0"/>
    <w:rPr>
      <w:rFonts w:ascii="Calibri" w:hAnsi="Calibri"/>
    </w:rPr>
  </w:style>
  <w:style w:type="character" w:customStyle="1" w:styleId="86">
    <w:name w:val="表格 Char1"/>
    <w:qFormat/>
    <w:uiPriority w:val="0"/>
    <w:rPr>
      <w:rFonts w:eastAsia="仿宋_GB2312"/>
      <w:kern w:val="2"/>
      <w:sz w:val="21"/>
      <w:lang w:val="en-US" w:eastAsia="zh-CN" w:bidi="ar-SA"/>
    </w:rPr>
  </w:style>
  <w:style w:type="character" w:customStyle="1" w:styleId="87">
    <w:name w:val="B表内 Char"/>
    <w:link w:val="88"/>
    <w:qFormat/>
    <w:uiPriority w:val="0"/>
    <w:rPr>
      <w:rFonts w:cs="宋体"/>
      <w:kern w:val="2"/>
      <w:sz w:val="21"/>
    </w:rPr>
  </w:style>
  <w:style w:type="paragraph" w:customStyle="1" w:styleId="88">
    <w:name w:val="B表内"/>
    <w:basedOn w:val="1"/>
    <w:link w:val="87"/>
    <w:qFormat/>
    <w:uiPriority w:val="0"/>
    <w:pPr>
      <w:spacing w:line="0" w:lineRule="atLeast"/>
      <w:jc w:val="center"/>
    </w:pPr>
    <w:rPr>
      <w:rFonts w:cs="宋体"/>
      <w:szCs w:val="20"/>
    </w:rPr>
  </w:style>
  <w:style w:type="character" w:customStyle="1" w:styleId="89">
    <w:name w:val="Body text|1_"/>
    <w:link w:val="90"/>
    <w:qFormat/>
    <w:uiPriority w:val="0"/>
    <w:rPr>
      <w:rFonts w:ascii="宋体" w:hAnsi="宋体" w:cs="宋体"/>
      <w:sz w:val="26"/>
      <w:szCs w:val="26"/>
      <w:lang w:val="zh-TW" w:eastAsia="zh-TW" w:bidi="zh-TW"/>
    </w:rPr>
  </w:style>
  <w:style w:type="paragraph" w:customStyle="1" w:styleId="90">
    <w:name w:val="Body text|1"/>
    <w:basedOn w:val="1"/>
    <w:link w:val="89"/>
    <w:qFormat/>
    <w:uiPriority w:val="0"/>
    <w:pPr>
      <w:spacing w:line="442" w:lineRule="auto"/>
      <w:ind w:firstLine="400"/>
      <w:jc w:val="left"/>
    </w:pPr>
    <w:rPr>
      <w:rFonts w:ascii="宋体" w:hAnsi="宋体" w:cs="宋体"/>
      <w:kern w:val="0"/>
      <w:sz w:val="26"/>
      <w:szCs w:val="26"/>
      <w:lang w:val="zh-TW" w:eastAsia="zh-TW" w:bidi="zh-TW"/>
    </w:rPr>
  </w:style>
  <w:style w:type="character" w:customStyle="1" w:styleId="91">
    <w:name w:val="正文1 Char Char"/>
    <w:link w:val="92"/>
    <w:qFormat/>
    <w:uiPriority w:val="0"/>
    <w:rPr>
      <w:rFonts w:ascii="宋体" w:hAnsi="宋体"/>
      <w:kern w:val="21"/>
      <w:sz w:val="24"/>
    </w:rPr>
  </w:style>
  <w:style w:type="paragraph" w:customStyle="1" w:styleId="92">
    <w:name w:val="正文1 Char"/>
    <w:basedOn w:val="1"/>
    <w:link w:val="91"/>
    <w:qFormat/>
    <w:uiPriority w:val="0"/>
    <w:pPr>
      <w:adjustRightInd w:val="0"/>
      <w:spacing w:line="360" w:lineRule="auto"/>
      <w:ind w:firstLine="480" w:firstLineChars="200"/>
      <w:textAlignment w:val="baseline"/>
    </w:pPr>
    <w:rPr>
      <w:rFonts w:ascii="宋体" w:hAnsi="宋体"/>
      <w:kern w:val="21"/>
      <w:sz w:val="24"/>
      <w:szCs w:val="20"/>
    </w:rPr>
  </w:style>
  <w:style w:type="paragraph" w:customStyle="1" w:styleId="93">
    <w:name w:val="00表格内容小五"/>
    <w:basedOn w:val="1"/>
    <w:qFormat/>
    <w:uiPriority w:val="0"/>
    <w:pPr>
      <w:jc w:val="center"/>
    </w:pPr>
    <w:rPr>
      <w:szCs w:val="18"/>
      <w:lang w:val="zh-CN"/>
    </w:rPr>
  </w:style>
  <w:style w:type="character" w:customStyle="1" w:styleId="94">
    <w:name w:val="批注文字 字符2"/>
    <w:qFormat/>
    <w:uiPriority w:val="0"/>
    <w:rPr>
      <w:kern w:val="2"/>
      <w:sz w:val="21"/>
      <w:szCs w:val="24"/>
    </w:rPr>
  </w:style>
  <w:style w:type="table" w:customStyle="1" w:styleId="95">
    <w:name w:val="网格型1"/>
    <w:basedOn w:val="29"/>
    <w:qFormat/>
    <w:uiPriority w:val="0"/>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6">
    <w:name w:val="Default1"/>
    <w:basedOn w:val="1"/>
    <w:next w:val="1"/>
    <w:qFormat/>
    <w:uiPriority w:val="0"/>
    <w:pPr>
      <w:autoSpaceDE w:val="0"/>
      <w:autoSpaceDN w:val="0"/>
      <w:adjustRightInd w:val="0"/>
      <w:spacing w:before="120" w:after="240"/>
    </w:pPr>
    <w:rPr>
      <w:rFonts w:ascii="宋体" w:hAnsi="Calibri" w:cs="宋体"/>
      <w:color w:val="000000"/>
      <w:kern w:val="0"/>
      <w:sz w:val="24"/>
    </w:rPr>
  </w:style>
  <w:style w:type="paragraph" w:customStyle="1" w:styleId="97">
    <w:name w:val="Default2"/>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98">
    <w:name w:val="表格1"/>
    <w:basedOn w:val="1"/>
    <w:qFormat/>
    <w:uiPriority w:val="0"/>
    <w:pPr>
      <w:adjustRightInd w:val="0"/>
      <w:spacing w:line="400" w:lineRule="atLeast"/>
      <w:jc w:val="center"/>
    </w:pPr>
    <w:rPr>
      <w:kern w:val="0"/>
    </w:rPr>
  </w:style>
  <w:style w:type="paragraph" w:customStyle="1" w:styleId="99">
    <w:name w:val="A正文1"/>
    <w:basedOn w:val="1"/>
    <w:qFormat/>
    <w:uiPriority w:val="0"/>
    <w:pPr>
      <w:spacing w:line="360" w:lineRule="auto"/>
      <w:ind w:firstLine="480" w:firstLineChars="200"/>
    </w:pPr>
    <w:rPr>
      <w:sz w:val="24"/>
      <w:szCs w:val="28"/>
    </w:rPr>
  </w:style>
  <w:style w:type="paragraph" w:customStyle="1" w:styleId="100">
    <w:name w:val="报告书正文"/>
    <w:basedOn w:val="1"/>
    <w:qFormat/>
    <w:uiPriority w:val="0"/>
    <w:pPr>
      <w:adjustRightInd w:val="0"/>
      <w:snapToGrid w:val="0"/>
      <w:spacing w:line="360" w:lineRule="auto"/>
      <w:ind w:firstLine="425"/>
      <w:textAlignment w:val="baseline"/>
    </w:pPr>
    <w:rPr>
      <w:rFonts w:ascii="Arial" w:hAnsi="Arial"/>
      <w:kern w:val="0"/>
      <w:sz w:val="24"/>
    </w:rPr>
  </w:style>
  <w:style w:type="paragraph" w:customStyle="1" w:styleId="101">
    <w:name w:val="段落 Char1"/>
    <w:basedOn w:val="1"/>
    <w:qFormat/>
    <w:uiPriority w:val="0"/>
    <w:pPr>
      <w:tabs>
        <w:tab w:val="left" w:pos="1021"/>
      </w:tabs>
      <w:spacing w:line="360" w:lineRule="auto"/>
      <w:ind w:firstLine="504" w:firstLineChars="200"/>
    </w:pPr>
    <w:rPr>
      <w:rFonts w:hAnsi="宋体"/>
      <w:bCs/>
      <w:color w:val="000000"/>
      <w:spacing w:val="6"/>
      <w:kern w:val="0"/>
      <w:sz w:val="24"/>
      <w:szCs w:val="28"/>
    </w:rPr>
  </w:style>
  <w:style w:type="paragraph" w:customStyle="1" w:styleId="102">
    <w:name w:val="1文章"/>
    <w:basedOn w:val="1"/>
    <w:qFormat/>
    <w:uiPriority w:val="0"/>
    <w:pPr>
      <w:snapToGrid w:val="0"/>
      <w:spacing w:line="360" w:lineRule="auto"/>
      <w:ind w:firstLine="573"/>
    </w:pPr>
    <w:rPr>
      <w:rFonts w:eastAsia="仿宋_GB2312"/>
      <w:sz w:val="28"/>
      <w:szCs w:val="20"/>
    </w:rPr>
  </w:style>
  <w:style w:type="paragraph" w:customStyle="1" w:styleId="103">
    <w:name w:val="Other|1"/>
    <w:basedOn w:val="1"/>
    <w:qFormat/>
    <w:uiPriority w:val="0"/>
    <w:pPr>
      <w:widowControl w:val="0"/>
      <w:shd w:val="clear" w:color="auto" w:fill="auto"/>
      <w:spacing w:line="480" w:lineRule="auto"/>
      <w:ind w:firstLine="400"/>
    </w:pPr>
    <w:rPr>
      <w:rFonts w:ascii="宋体" w:hAnsi="宋体" w:eastAsia="宋体" w:cs="宋体"/>
      <w:sz w:val="22"/>
      <w:szCs w:val="22"/>
      <w:u w:val="none"/>
      <w:shd w:val="clear" w:color="auto" w:fill="auto"/>
      <w:lang w:val="zh-TW" w:eastAsia="zh-TW" w:bidi="zh-TW"/>
    </w:rPr>
  </w:style>
  <w:style w:type="paragraph" w:customStyle="1" w:styleId="104">
    <w:name w:val="目录 9166"/>
    <w:next w:val="1"/>
    <w:qFormat/>
    <w:uiPriority w:val="0"/>
    <w:pPr>
      <w:wordWrap w:val="0"/>
      <w:ind w:left="2975"/>
      <w:jc w:val="both"/>
    </w:pPr>
    <w:rPr>
      <w:rFonts w:ascii="Times New Roman" w:hAnsi="Times New Roman" w:eastAsia="宋体" w:cs="Times New Roman"/>
      <w:sz w:val="21"/>
      <w:lang w:val="en-US" w:eastAsia="zh-CN" w:bidi="ar-SA"/>
    </w:rPr>
  </w:style>
  <w:style w:type="character" w:customStyle="1" w:styleId="105">
    <w:name w:val="content1"/>
    <w:basedOn w:val="31"/>
    <w:qFormat/>
    <w:uiPriority w:val="0"/>
    <w:rPr>
      <w:rFonts w:eastAsia="黑体"/>
      <w:color w:val="000000"/>
      <w:kern w:val="2"/>
      <w:sz w:val="20"/>
      <w:szCs w:val="20"/>
      <w:lang w:val="en-US" w:eastAsia="zh-CN" w:bidi="ar-SA"/>
    </w:rPr>
  </w:style>
  <w:style w:type="paragraph" w:customStyle="1" w:styleId="106">
    <w:name w:val="S表格文字"/>
    <w:basedOn w:val="27"/>
    <w:qFormat/>
    <w:uiPriority w:val="0"/>
    <w:pPr>
      <w:adjustRightInd w:val="0"/>
      <w:snapToGrid w:val="0"/>
      <w:spacing w:before="20" w:after="20"/>
      <w:ind w:firstLine="0" w:firstLineChars="0"/>
      <w:jc w:val="center"/>
    </w:pPr>
    <w:rPr>
      <w:szCs w:val="20"/>
    </w:rPr>
  </w:style>
  <w:style w:type="paragraph" w:customStyle="1" w:styleId="107">
    <w:name w:val="报告文本"/>
    <w:basedOn w:val="1"/>
    <w:qFormat/>
    <w:uiPriority w:val="0"/>
    <w:pPr>
      <w:widowControl/>
      <w:spacing w:line="360" w:lineRule="auto"/>
      <w:ind w:firstLine="200" w:firstLineChars="200"/>
    </w:pPr>
    <w:rPr>
      <w:kern w:val="0"/>
      <w:sz w:val="24"/>
      <w:szCs w:val="24"/>
      <w:lang w:val="zh-CN"/>
    </w:rPr>
  </w:style>
  <w:style w:type="paragraph" w:styleId="108">
    <w:name w:val="No Spacing"/>
    <w:qFormat/>
    <w:uiPriority w:val="0"/>
    <w:pPr>
      <w:widowControl w:val="0"/>
      <w:jc w:val="center"/>
      <w:outlineLvl w:val="7"/>
    </w:pPr>
    <w:rPr>
      <w:rFonts w:ascii="Times New Roman" w:hAnsi="Times New Roman" w:eastAsia="宋体" w:cs="Times New Roman"/>
      <w:kern w:val="2"/>
      <w:sz w:val="21"/>
      <w:szCs w:val="24"/>
      <w:lang w:val="en-US" w:eastAsia="zh-CN" w:bidi="ar-SA"/>
    </w:rPr>
  </w:style>
  <w:style w:type="paragraph" w:customStyle="1" w:styleId="109">
    <w:name w:val="表"/>
    <w:basedOn w:val="1"/>
    <w:qFormat/>
    <w:uiPriority w:val="0"/>
    <w:pPr>
      <w:snapToGrid w:val="0"/>
      <w:spacing w:line="240" w:lineRule="auto"/>
      <w:ind w:firstLine="0" w:firstLineChars="0"/>
      <w:jc w:val="center"/>
    </w:pPr>
    <w:rPr>
      <w:spacing w:val="2"/>
      <w:sz w:val="21"/>
    </w:rPr>
  </w:style>
  <w:style w:type="paragraph" w:customStyle="1" w:styleId="110">
    <w:name w:val="BG-表头"/>
    <w:basedOn w:val="1"/>
    <w:qFormat/>
    <w:uiPriority w:val="0"/>
    <w:pPr>
      <w:spacing w:line="240" w:lineRule="auto"/>
      <w:ind w:firstLine="0" w:firstLineChars="0"/>
      <w:jc w:val="center"/>
    </w:pPr>
    <w:rPr>
      <w:b/>
      <w:sz w:val="21"/>
    </w:rPr>
  </w:style>
  <w:style w:type="paragraph" w:customStyle="1" w:styleId="111">
    <w:name w:val="S报告正文"/>
    <w:basedOn w:val="1"/>
    <w:qFormat/>
    <w:uiPriority w:val="0"/>
    <w:pPr>
      <w:adjustRightInd w:val="0"/>
      <w:snapToGrid w:val="0"/>
      <w:spacing w:line="480" w:lineRule="exact"/>
      <w:ind w:firstLine="510"/>
      <w:jc w:val="left"/>
    </w:pPr>
    <w:rPr>
      <w:sz w:val="24"/>
    </w:rPr>
  </w:style>
  <w:style w:type="paragraph" w:customStyle="1" w:styleId="112">
    <w:name w:val="永环表内格式"/>
    <w:basedOn w:val="1"/>
    <w:qFormat/>
    <w:uiPriority w:val="0"/>
    <w:pPr>
      <w:spacing w:line="360" w:lineRule="exact"/>
      <w:jc w:val="center"/>
    </w:pPr>
    <w:rPr>
      <w:szCs w:val="21"/>
    </w:rPr>
  </w:style>
  <w:style w:type="paragraph" w:customStyle="1" w:styleId="113">
    <w:name w:val="Table Text"/>
    <w:basedOn w:val="1"/>
    <w:semiHidden/>
    <w:qFormat/>
    <w:uiPriority w:val="0"/>
    <w:rPr>
      <w:rFonts w:ascii="宋体" w:hAnsi="宋体" w:eastAsia="宋体" w:cs="宋体"/>
      <w:sz w:val="24"/>
      <w:szCs w:val="24"/>
      <w:lang w:val="en-US" w:eastAsia="en-US" w:bidi="ar-SA"/>
    </w:rPr>
  </w:style>
  <w:style w:type="paragraph" w:customStyle="1" w:styleId="114">
    <w:name w:val="宋文杰-表标题"/>
    <w:basedOn w:val="115"/>
    <w:qFormat/>
    <w:uiPriority w:val="0"/>
    <w:pPr>
      <w:spacing w:line="240" w:lineRule="auto"/>
      <w:ind w:firstLine="0" w:firstLineChars="0"/>
      <w:jc w:val="center"/>
    </w:pPr>
    <w:rPr>
      <w:b/>
      <w:sz w:val="21"/>
    </w:rPr>
  </w:style>
  <w:style w:type="paragraph" w:customStyle="1" w:styleId="115">
    <w:name w:val="宋文杰-正文"/>
    <w:basedOn w:val="1"/>
    <w:qFormat/>
    <w:uiPriority w:val="0"/>
    <w:rPr>
      <w:color w:val="000000"/>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"/>
    </extobj>
    <extobj name="ECB019B1-382A-4266-B25C-5B523AA43C14-2">
      <extobjdata type="ECB019B1-382A-4266-B25C-5B523AA43C14" data="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wdzx97</Template>
  <Company>微软中国</Company>
  <Pages>57</Pages>
  <Words>403</Words>
  <Characters>433</Characters>
  <Lines>330</Lines>
  <Paragraphs>92</Paragraphs>
  <TotalTime>2</TotalTime>
  <ScaleCrop>false</ScaleCrop>
  <LinksUpToDate>false</LinksUpToDate>
  <CharactersWithSpaces>529</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2021-11-05T03:06:00Z</dcterms:created>
  <dc:creator>lhj</dc:creator>
  <cp:lastModifiedBy>赵海文</cp:lastModifiedBy>
  <cp:lastPrinted>2023-06-27T03:27:00Z</cp:lastPrinted>
  <dcterms:modified xsi:type="dcterms:W3CDTF">2025-09-28T02:30:16Z</dcterms:modified>
  <dc:title>附件2</dc:title>
  <cp:revision>210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00FEB9FDC4B34D2DBF6301B55206F03D_13</vt:lpwstr>
  </property>
  <property fmtid="{D5CDD505-2E9C-101B-9397-08002B2CF9AE}" pid="4" name="KSOTemplateDocerSaveRecord">
    <vt:lpwstr>eyJoZGlkIjoiMTFlN2Y0ZGVlZmY3MDViNGY5NjFkYWY3YzRmYzllOTIiLCJ1c2VySWQiOiIzMDU4OTg1In0=</vt:lpwstr>
  </property>
</Properties>
</file>