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jc w:val="center"/>
        <w:rPr>
          <w:rFonts w:hint="eastAsia" w:ascii="新宋体" w:hAnsi="新宋体" w:eastAsia="新宋体" w:cs="新宋体"/>
          <w:b/>
          <w:bCs/>
          <w:sz w:val="44"/>
          <w:szCs w:val="44"/>
          <w:u w:val="none" w:color="auto"/>
          <w:lang w:val="en-US" w:eastAsia="zh-CN"/>
        </w:rPr>
      </w:pPr>
    </w:p>
    <w:p>
      <w:pPr>
        <w:spacing w:line="580" w:lineRule="exact"/>
        <w:jc w:val="center"/>
        <w:rPr>
          <w:rFonts w:hint="eastAsia" w:ascii="新宋体" w:hAnsi="新宋体" w:eastAsia="新宋体" w:cs="新宋体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val="zh-CN"/>
        </w:rPr>
        <w:t>关于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  <w:lang w:eastAsia="zh-CN"/>
        </w:rPr>
        <w:t>江永县福升冷链物流有限责任公司江永县1万吨冷链储运中心及农产品深加工项目</w:t>
      </w:r>
      <w:r>
        <w:rPr>
          <w:rFonts w:hint="eastAsia" w:ascii="新宋体" w:hAnsi="新宋体" w:eastAsia="新宋体" w:cs="新宋体"/>
          <w:b/>
          <w:bCs/>
          <w:sz w:val="44"/>
          <w:szCs w:val="44"/>
        </w:rPr>
        <w:t>环境影响报告表</w:t>
      </w: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  <w:lang w:val="zh-CN"/>
        </w:rPr>
        <w:t>的批复</w:t>
      </w:r>
    </w:p>
    <w:p>
      <w:pPr>
        <w:spacing w:line="600" w:lineRule="exact"/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</w:pPr>
    </w:p>
    <w:p>
      <w:pPr>
        <w:spacing w:line="600" w:lineRule="exac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江永县福升冷链物流有限责任公司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zh-CN"/>
        </w:rPr>
        <w:t>：</w:t>
      </w:r>
    </w:p>
    <w:p>
      <w:pPr>
        <w:pStyle w:val="36"/>
        <w:spacing w:before="0" w:line="600" w:lineRule="exact"/>
        <w:ind w:firstLine="64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单位报送的《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江永县1万吨冷链储运中心及农产品深加工项目</w:t>
      </w:r>
      <w:r>
        <w:rPr>
          <w:rFonts w:hint="eastAsia" w:ascii="仿宋" w:hAnsi="仿宋" w:eastAsia="仿宋" w:cs="仿宋"/>
          <w:b w:val="0"/>
          <w:bCs w:val="0"/>
          <w:spacing w:val="2"/>
          <w:sz w:val="32"/>
          <w:szCs w:val="32"/>
        </w:rPr>
        <w:t>环境影响报告表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》（以下简称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《报告表》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）审批申请及相关附件收悉，经研究，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批复如下：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一、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你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江永县1万吨冷链储运中心及农产品深加工项目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位于永州市江永县桃川镇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马山铺原供销社仓库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000000"/>
          <w:kern w:val="32"/>
          <w:sz w:val="32"/>
          <w:szCs w:val="32"/>
          <w:lang w:val="en-US" w:eastAsia="zh-CN" w:bidi="ar-SA"/>
        </w:rPr>
        <w:t>项目占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地面积</w:t>
      </w:r>
      <w:r>
        <w:rPr>
          <w:rFonts w:hint="eastAsia" w:ascii="仿宋" w:hAnsi="仿宋" w:eastAsia="仿宋" w:cs="仿宋"/>
          <w:color w:val="000000"/>
          <w:kern w:val="32"/>
          <w:sz w:val="32"/>
          <w:szCs w:val="32"/>
          <w:lang w:val="en-US" w:eastAsia="zh-CN" w:bidi="ar-SA"/>
        </w:rPr>
        <w:t>5028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m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perscript"/>
          <w:lang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u w:val="none" w:color="auto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建筑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面积</w:t>
      </w:r>
      <w:r>
        <w:rPr>
          <w:rFonts w:hint="eastAsia" w:ascii="仿宋" w:hAnsi="仿宋" w:eastAsia="仿宋" w:cs="仿宋"/>
          <w:color w:val="000000"/>
          <w:kern w:val="32"/>
          <w:sz w:val="32"/>
          <w:szCs w:val="32"/>
          <w:lang w:val="en-US" w:eastAsia="zh-CN" w:bidi="ar-SA"/>
        </w:rPr>
        <w:t>5800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m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perscript"/>
          <w:lang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32"/>
          <w:sz w:val="32"/>
          <w:szCs w:val="32"/>
          <w:lang w:val="en-US" w:eastAsia="zh-CN" w:bidi="ar-SA"/>
        </w:rPr>
        <w:t>建设内容主要有原料库、生产车间、冷库及办公生活区、环保工程等。项目建成后，形成年产7000吨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速冻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制品(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速冻</w:t>
      </w:r>
      <w:r>
        <w:rPr>
          <w:rStyle w:val="41"/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>油炸香芋角、香芋条、冷冻生南瓜块、冷冻芒果、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</w:rPr>
        <w:t>其他果蔬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冻干等)</w:t>
      </w:r>
      <w:r>
        <w:rPr>
          <w:rFonts w:hint="eastAsia" w:ascii="仿宋" w:hAnsi="仿宋" w:eastAsia="仿宋" w:cs="仿宋"/>
          <w:color w:val="000000"/>
          <w:kern w:val="32"/>
          <w:sz w:val="32"/>
          <w:szCs w:val="32"/>
          <w:lang w:val="en-US" w:eastAsia="zh-CN" w:bidi="ar-SA"/>
        </w:rPr>
        <w:t>及3000吨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果蔬馅料、</w:t>
      </w:r>
      <w:r>
        <w:rPr>
          <w:rStyle w:val="41"/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>芋圆、芋丸、芋泥等食品</w:t>
      </w:r>
      <w:r>
        <w:rPr>
          <w:rFonts w:hint="eastAsia" w:ascii="仿宋" w:hAnsi="仿宋" w:eastAsia="仿宋" w:cs="仿宋"/>
          <w:color w:val="000000"/>
          <w:kern w:val="32"/>
          <w:sz w:val="32"/>
          <w:szCs w:val="32"/>
          <w:lang w:val="en-US" w:eastAsia="zh-CN" w:bidi="ar-SA"/>
        </w:rPr>
        <w:t>深加工的能力。项目总投资5000万元，其中环保投资43.5万元，占总投资的0.87%。</w:t>
      </w:r>
    </w:p>
    <w:p>
      <w:pPr>
        <w:numPr>
          <w:ilvl w:val="0"/>
          <w:numId w:val="0"/>
        </w:numPr>
        <w:wordWrap/>
        <w:autoSpaceDE w:val="0"/>
        <w:autoSpaceDN w:val="0"/>
        <w:snapToGrid/>
        <w:spacing w:before="0" w:after="0" w:line="360" w:lineRule="auto"/>
        <w:jc w:val="both"/>
        <w:rPr>
          <w:rFonts w:hint="eastAsia" w:ascii="仿宋" w:hAnsi="仿宋" w:eastAsia="仿宋" w:cs="仿宋"/>
          <w:b w:val="0"/>
          <w:color w:val="00000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《报告表》</w:t>
      </w:r>
      <w:r>
        <w:rPr>
          <w:rFonts w:hint="eastAsia" w:ascii="仿宋" w:hAnsi="仿宋" w:eastAsia="仿宋" w:cs="仿宋"/>
          <w:sz w:val="32"/>
          <w:szCs w:val="32"/>
        </w:rPr>
        <w:t>分析结论和专家意见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，该项目符合国家产业政策，在严格落实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《报告表》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提出的各项污染</w:t>
      </w:r>
      <w:r>
        <w:rPr>
          <w:rFonts w:hint="eastAsia" w:ascii="仿宋" w:hAnsi="仿宋" w:eastAsia="仿宋" w:cs="仿宋"/>
          <w:sz w:val="32"/>
          <w:szCs w:val="32"/>
        </w:rPr>
        <w:t>防治设施和本批复要求的前提下，依据《中华人民共和国环境影响评价法》第二十二条规定，我局同意该项目建设。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本批复及有关附件是该项目环保审批的法律文件。自批复之日起超过5年方开工建设，或改变项目性质、规模、地点、工艺、环境保护措施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</w:rPr>
        <w:t>，必须依法重新报批。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w w:val="100"/>
          <w:sz w:val="32"/>
          <w:szCs w:val="32"/>
          <w:lang w:eastAsia="zh-CN"/>
        </w:rPr>
        <w:t>二、你单位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项目设计、建设和运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期间，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必须严格执行环境保护设施与主体工程同时设计、同时施工、同时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用的“三同时”制度，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并着重做好以下工作：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（一）废水污染防治。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排水实施雨污分流、清污分流，项目生产废水(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清洗废水、浸泡废水、蒸煮废水、设备及地面清洗废水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)经三级沉淀池处理后排入厂区西南面设置的总沉淀池，用于周边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柚园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地灌溉;生活污水经化粪池处理后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用作农肥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（二）废气污染防治。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营运期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真空油炸产生的油烟废气经配套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设置油烟净化设备处理后通过设备附属排烟竖管引至楼顶排放，厨房油烟经油烟净化设施处理，满足《饮食业油烟排放标准(试行)》（GB18483-200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1）相关标准。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（三）加强噪声污染防治。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优化设备选型，合理布置高噪声设备并采取隔声、消声、减振</w:t>
      </w:r>
      <w:r>
        <w:rPr>
          <w:rFonts w:hint="eastAsia" w:ascii="仿宋" w:hAnsi="仿宋" w:eastAsia="仿宋" w:cs="仿宋"/>
          <w:sz w:val="32"/>
          <w:szCs w:val="32"/>
        </w:rPr>
        <w:t>措施，确保厂界噪声达到《工业企业厂界环境噪声排放标准》（GB12348-2008）相关标准。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四）固体废物处置。营运期产生的固废主要为不合格原料、不合格产品等，去皮、切片、整形过程中产生的皮及不符合规格的边角料，沉淀池沉渣，废油渣，废弃包装袋，生活垃圾等。一般工业固体废物执行《一般工业固体废物贮存和填埋场污染控制标准》（GB18599-2020）；废油渣暂存于一般固废间单独的桶内，交由有资质单位处置；</w:t>
      </w:r>
      <w:r>
        <w:rPr>
          <w:rFonts w:hint="eastAsia" w:ascii="仿宋" w:hAnsi="仿宋" w:eastAsia="仿宋" w:cs="仿宋"/>
          <w:sz w:val="32"/>
          <w:szCs w:val="32"/>
        </w:rPr>
        <w:t>生活垃圾经收集后交环卫部门处理。</w:t>
      </w:r>
    </w:p>
    <w:p>
      <w:pPr>
        <w:wordWrap/>
        <w:spacing w:before="0" w:after="0" w:line="240" w:lineRule="auto"/>
        <w:ind w:left="0" w:leftChars="0" w:right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2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pacing w:val="22"/>
          <w:sz w:val="32"/>
          <w:szCs w:val="32"/>
        </w:rPr>
        <w:t>(</w:t>
      </w:r>
      <w:r>
        <w:rPr>
          <w:rFonts w:hint="eastAsia" w:ascii="仿宋" w:hAnsi="仿宋" w:eastAsia="仿宋" w:cs="仿宋"/>
          <w:spacing w:val="2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pacing w:val="22"/>
          <w:sz w:val="32"/>
          <w:szCs w:val="32"/>
        </w:rPr>
        <w:t>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环境风险防治工作。建立环境管理制度，按要求制定突发环境事件应急预案和落实风险防范措施。明确环保管理人员，加强环保设施运行管理，确保各类污染物稳定达标排放，严防环境污染事故发生。</w:t>
      </w:r>
    </w:p>
    <w:p>
      <w:pPr>
        <w:wordWrap/>
        <w:adjustRightInd/>
        <w:spacing w:before="0" w:line="36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三、项目在环保申报过程中不得隐情不报，如有瞒报、谎报属违法行为，建设单位将承担由此产生的一切后果。本批复各项内容必须严格执行，如有违反，将依法追究法律责任。</w:t>
      </w:r>
    </w:p>
    <w:p>
      <w:pPr>
        <w:wordWrap/>
        <w:adjustRightInd/>
        <w:spacing w:before="0"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项目应当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投运前依法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办理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排污许可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手续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按照《环境建设项目环境保护管理条例》的有关规定自行组织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环保</w:t>
      </w:r>
      <w:r>
        <w:rPr>
          <w:rFonts w:hint="eastAsia" w:ascii="仿宋" w:hAnsi="仿宋" w:eastAsia="仿宋" w:cs="仿宋"/>
          <w:sz w:val="32"/>
          <w:szCs w:val="32"/>
        </w:rPr>
        <w:t>验收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wordWrap/>
        <w:autoSpaceDE w:val="0"/>
        <w:autoSpaceDN w:val="0"/>
        <w:adjustRightInd/>
        <w:spacing w:before="0" w:line="360" w:lineRule="auto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、你单位应主动接受各级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生态环境</w:t>
      </w:r>
      <w:r>
        <w:rPr>
          <w:rFonts w:hint="eastAsia" w:ascii="仿宋" w:hAnsi="仿宋" w:eastAsia="仿宋" w:cs="仿宋"/>
          <w:sz w:val="32"/>
          <w:szCs w:val="32"/>
        </w:rPr>
        <w:t>部门的监督检查。该项目的日常环境监督管理工作由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永州市生态环境局江永分局具体负责。</w:t>
      </w:r>
    </w:p>
    <w:p>
      <w:pPr>
        <w:wordWrap/>
        <w:spacing w:before="0" w:after="0" w:line="240" w:lineRule="auto"/>
        <w:ind w:left="0" w:leftChars="0" w:right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wordWrap/>
        <w:adjustRightInd w:val="0"/>
        <w:snapToGrid w:val="0"/>
        <w:spacing w:before="0" w:after="0" w:line="240" w:lineRule="auto"/>
        <w:ind w:left="0" w:leftChars="0" w:right="0" w:firstLine="4000" w:firstLineChars="1250"/>
        <w:jc w:val="center"/>
        <w:textAlignment w:val="auto"/>
        <w:outlineLvl w:val="0"/>
        <w:rPr>
          <w:rFonts w:hint="eastAsia" w:ascii="仿宋" w:hAnsi="仿宋" w:eastAsia="仿宋" w:cs="仿宋"/>
          <w:color w:val="00000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永州市生态环境局</w:t>
      </w:r>
      <w:r>
        <w:rPr>
          <w:rFonts w:hint="eastAsia" w:ascii="仿宋" w:hAnsi="仿宋" w:eastAsia="仿宋" w:cs="仿宋"/>
          <w:b w:val="0"/>
          <w:w w:val="100"/>
          <w:sz w:val="32"/>
          <w:szCs w:val="32"/>
          <w:lang w:val="en-US" w:eastAsia="zh-CN"/>
        </w:rPr>
        <w:t xml:space="preserve">   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240" w:lineRule="auto"/>
        <w:ind w:left="0" w:leftChars="0" w:right="0" w:firstLine="4000" w:firstLineChars="125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zh-CN"/>
        </w:rPr>
        <w:t>日</w:t>
      </w:r>
    </w:p>
    <w:sectPr>
      <w:footerReference r:id="rId3" w:type="default"/>
      <w:pgSz w:w="11906" w:h="16838"/>
      <w:pgMar w:top="1860" w:right="1576" w:bottom="1440" w:left="1689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2049" o:spt="1" style="position:absolute;left:0pt;margin-top:0pt;height:144pt;width:144pt;mso-position-horizontal:right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19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C8D84"/>
    <w:multiLevelType w:val="multilevel"/>
    <w:tmpl w:val="8E6C8D84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0739E28"/>
    <w:multiLevelType w:val="multilevel"/>
    <w:tmpl w:val="A0739E2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ZkNTA5NDFlNmYzNzJhZjI4NjY4NTk3ZGNlNWUxNzcifQ=="/>
  </w:docVars>
  <w:rsids>
    <w:rsidRoot w:val="00000000"/>
    <w:rsid w:val="4B444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numPr>
        <w:ilvl w:val="0"/>
        <w:numId w:val="1"/>
      </w:numPr>
      <w:adjustRightInd w:val="0"/>
      <w:snapToGrid w:val="0"/>
      <w:spacing w:line="360" w:lineRule="auto"/>
      <w:outlineLvl w:val="0"/>
    </w:pPr>
    <w:rPr>
      <w:rFonts w:ascii="Times New Roman" w:hAnsi="Times New Roman" w:eastAsia="宋体" w:cs="黑体"/>
      <w:b/>
      <w:bCs/>
      <w:kern w:val="2"/>
      <w:sz w:val="32"/>
      <w:szCs w:val="30"/>
      <w:lang w:val="zh-CN" w:bidi="zh-CN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eastAsia="仿宋"/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tabs>
        <w:tab w:val="left" w:pos="0"/>
      </w:tabs>
      <w:spacing w:before="280" w:beforeAutospacing="0" w:after="29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character" w:default="1" w:styleId="27">
    <w:name w:val="Default Paragraph Font"/>
    <w:link w:val="28"/>
    <w:semiHidden/>
    <w:qFormat/>
    <w:uiPriority w:val="0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next w:val="1"/>
    <w:uiPriority w:val="0"/>
    <w:pPr>
      <w:widowControl/>
      <w:adjustRightInd w:val="0"/>
      <w:snapToGrid w:val="0"/>
      <w:spacing w:after="0" w:line="360" w:lineRule="auto"/>
      <w:ind w:firstLine="200" w:firstLineChars="200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4">
    <w:name w:val="Body Text"/>
    <w:basedOn w:val="1"/>
    <w:next w:val="5"/>
    <w:uiPriority w:val="0"/>
    <w:pPr>
      <w:widowControl/>
      <w:snapToGrid w:val="0"/>
      <w:spacing w:line="360" w:lineRule="auto"/>
      <w:ind w:right="0" w:firstLine="1440" w:firstLineChars="200"/>
      <w:jc w:val="both"/>
    </w:pPr>
    <w:rPr>
      <w:rFonts w:ascii="Times New Roman" w:hAnsi="Times New Roman" w:eastAsia="宋体"/>
      <w:kern w:val="0"/>
    </w:rPr>
  </w:style>
  <w:style w:type="paragraph" w:customStyle="1" w:styleId="5">
    <w:name w:val="xl27"/>
    <w:basedOn w:val="1"/>
    <w:next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1"/>
      <w:szCs w:val="21"/>
    </w:rPr>
  </w:style>
  <w:style w:type="paragraph" w:styleId="8">
    <w:name w:val="Normal Indent"/>
    <w:uiPriority w:val="0"/>
    <w:pPr>
      <w:spacing w:beforeLines="0"/>
      <w:ind w:firstLine="0" w:firstLineChars="0"/>
      <w:jc w:val="center"/>
    </w:pPr>
    <w:rPr>
      <w:rFonts w:ascii="Times New Roman" w:hAnsi="Times New Roman" w:eastAsia="黑体" w:cs="Times New Roman"/>
      <w:szCs w:val="21"/>
      <w:lang w:val="en-US" w:eastAsia="zh-CN" w:bidi="ar-SA"/>
    </w:rPr>
  </w:style>
  <w:style w:type="paragraph" w:styleId="9">
    <w:name w:val="annotation text"/>
    <w:basedOn w:val="1"/>
    <w:uiPriority w:val="0"/>
    <w:pPr>
      <w:spacing w:line="360" w:lineRule="auto"/>
      <w:ind w:firstLine="200" w:firstLineChars="200"/>
      <w:jc w:val="left"/>
    </w:pPr>
    <w:rPr>
      <w:sz w:val="24"/>
    </w:rPr>
  </w:style>
  <w:style w:type="paragraph" w:styleId="10">
    <w:name w:val="Closing"/>
    <w:basedOn w:val="1"/>
    <w:next w:val="11"/>
    <w:uiPriority w:val="0"/>
    <w:pPr>
      <w:ind w:left="100" w:leftChars="2100"/>
    </w:pPr>
  </w:style>
  <w:style w:type="paragraph" w:customStyle="1" w:styleId="11">
    <w:name w:val="段落"/>
    <w:basedOn w:val="1"/>
    <w:next w:val="12"/>
    <w:uiPriority w:val="0"/>
    <w:pPr>
      <w:tabs>
        <w:tab w:val="left" w:pos="0"/>
        <w:tab w:val="left" w:pos="1021"/>
        <w:tab w:val="left" w:pos="3420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12">
    <w:name w:val="默认段落字体 Para Char"/>
    <w:basedOn w:val="1"/>
    <w:next w:val="13"/>
    <w:uiPriority w:val="0"/>
    <w:rPr>
      <w:rFonts w:ascii="Times New Roman" w:hAnsi="Times New Roman"/>
      <w:szCs w:val="28"/>
    </w:rPr>
  </w:style>
  <w:style w:type="paragraph" w:customStyle="1" w:styleId="13">
    <w:name w:val="样式 正文首行缩进 2 + 左侧:  2 字符 首行缩进:  2 字符 +"/>
    <w:basedOn w:val="1"/>
    <w:next w:val="14"/>
    <w:semiHidden/>
    <w:uiPriority w:val="0"/>
    <w:pPr>
      <w:spacing w:beforeLines="50"/>
      <w:ind w:firstLine="561"/>
    </w:pPr>
    <w:rPr>
      <w:rFonts w:cs="宋体"/>
    </w:rPr>
  </w:style>
  <w:style w:type="paragraph" w:customStyle="1" w:styleId="14">
    <w:name w:val="正文 32"/>
    <w:basedOn w:val="1"/>
    <w:next w:val="15"/>
    <w:qFormat/>
    <w:uiPriority w:val="0"/>
    <w:pPr>
      <w:autoSpaceDE w:val="0"/>
      <w:autoSpaceDN w:val="0"/>
      <w:adjustRightInd w:val="0"/>
      <w:spacing w:line="300" w:lineRule="auto"/>
      <w:ind w:firstLine="567"/>
      <w:textAlignment w:val="baseline"/>
    </w:pPr>
    <w:rPr>
      <w:rFonts w:ascii="Times New Roman" w:hAnsi="Times New Roman" w:eastAsia="楷体_GB2312"/>
      <w:kern w:val="0"/>
      <w:sz w:val="24"/>
      <w:szCs w:val="20"/>
    </w:rPr>
  </w:style>
  <w:style w:type="paragraph" w:customStyle="1" w:styleId="15">
    <w:name w:val="xl30"/>
    <w:basedOn w:val="1"/>
    <w:next w:val="16"/>
    <w:qFormat/>
    <w:uiPriority w:val="0"/>
    <w:pPr>
      <w:widowControl/>
      <w:pBdr>
        <w:bottom w:val="single" w:color="auto" w:sz="4" w:space="0"/>
      </w:pBdr>
      <w:spacing w:beforeLines="50"/>
      <w:jc w:val="center"/>
      <w:textAlignment w:val="center"/>
    </w:pPr>
    <w:rPr>
      <w:rFonts w:eastAsia="Arial Unicode MS"/>
      <w:kern w:val="0"/>
    </w:rPr>
  </w:style>
  <w:style w:type="paragraph" w:styleId="16">
    <w:name w:val="annotation subject"/>
    <w:basedOn w:val="9"/>
    <w:next w:val="17"/>
    <w:uiPriority w:val="0"/>
    <w:pPr>
      <w:spacing w:line="240" w:lineRule="auto"/>
      <w:ind w:firstLine="0" w:firstLineChars="0"/>
    </w:pPr>
    <w:rPr>
      <w:b/>
      <w:bCs/>
      <w:sz w:val="21"/>
    </w:rPr>
  </w:style>
  <w:style w:type="paragraph" w:customStyle="1" w:styleId="17">
    <w:name w:val="样式 标题 1 + 黑色"/>
    <w:basedOn w:val="2"/>
    <w:next w:val="1"/>
    <w:qFormat/>
    <w:uiPriority w:val="0"/>
    <w:pPr>
      <w:pageBreakBefore/>
      <w:widowControl/>
      <w:numPr>
        <w:ilvl w:val="0"/>
        <w:numId w:val="0"/>
      </w:numPr>
      <w:tabs>
        <w:tab w:val="left" w:pos="567"/>
        <w:tab w:val="clear" w:pos="0"/>
      </w:tabs>
      <w:spacing w:before="240" w:line="240" w:lineRule="auto"/>
      <w:ind w:left="431" w:hanging="431"/>
      <w:jc w:val="left"/>
    </w:pPr>
    <w:rPr>
      <w:color w:val="000000"/>
      <w:kern w:val="32"/>
      <w:sz w:val="32"/>
      <w:szCs w:val="32"/>
    </w:rPr>
  </w:style>
  <w:style w:type="paragraph" w:styleId="18">
    <w:name w:val="Body Text Indent"/>
    <w:basedOn w:val="1"/>
    <w:uiPriority w:val="0"/>
    <w:pPr>
      <w:spacing w:after="120"/>
      <w:ind w:left="200" w:leftChars="200"/>
    </w:pPr>
    <w:rPr>
      <w:rFonts w:eastAsia="宋体"/>
      <w:kern w:val="2"/>
      <w:sz w:val="21"/>
      <w:szCs w:val="24"/>
      <w:lang w:val="en-US" w:eastAsia="zh-CN" w:bidi="ar-SA"/>
    </w:rPr>
  </w:style>
  <w:style w:type="paragraph" w:styleId="1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Normal (Web)"/>
    <w:basedOn w:val="1"/>
    <w:uiPriority w:val="0"/>
    <w:rPr>
      <w:rFonts w:hint="eastAsia"/>
      <w:sz w:val="24"/>
    </w:rPr>
  </w:style>
  <w:style w:type="paragraph" w:styleId="22">
    <w:name w:val="List Continue 3"/>
    <w:basedOn w:val="1"/>
    <w:next w:val="23"/>
    <w:uiPriority w:val="0"/>
    <w:pPr>
      <w:spacing w:after="120"/>
      <w:ind w:left="1260" w:leftChars="600"/>
    </w:pPr>
  </w:style>
  <w:style w:type="paragraph" w:customStyle="1" w:styleId="23">
    <w:name w:val="表编号文字"/>
    <w:basedOn w:val="4"/>
    <w:next w:val="24"/>
    <w:semiHidden/>
    <w:qFormat/>
    <w:uiPriority w:val="0"/>
    <w:rPr>
      <w:sz w:val="21"/>
      <w:szCs w:val="24"/>
    </w:rPr>
  </w:style>
  <w:style w:type="paragraph" w:customStyle="1" w:styleId="24">
    <w:name w:val="默认段落字体 Para Char Char Char 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styleId="25">
    <w:name w:val="Body Text First Indent 2"/>
    <w:basedOn w:val="18"/>
    <w:next w:val="3"/>
    <w:uiPriority w:val="0"/>
    <w:pPr>
      <w:ind w:firstLine="200" w:firstLineChars="200"/>
    </w:pPr>
    <w:rPr>
      <w:rFonts w:eastAsia="仿宋_GB2312"/>
      <w:kern w:val="2"/>
      <w:sz w:val="28"/>
      <w:szCs w:val="24"/>
      <w:lang w:val="en-US" w:eastAsia="zh-CN" w:bidi="ar-SA"/>
    </w:rPr>
  </w:style>
  <w:style w:type="paragraph" w:customStyle="1" w:styleId="28">
    <w:name w:val="Char2 Char Char Char"/>
    <w:basedOn w:val="1"/>
    <w:link w:val="27"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560" w:firstLineChars="200"/>
    </w:pPr>
  </w:style>
  <w:style w:type="character" w:styleId="29">
    <w:name w:val="page number"/>
    <w:basedOn w:val="27"/>
    <w:uiPriority w:val="0"/>
    <w:rPr>
      <w:rFonts w:cs="Times New Roman"/>
    </w:rPr>
  </w:style>
  <w:style w:type="character" w:styleId="30">
    <w:name w:val="FollowedHyperlink"/>
    <w:basedOn w:val="27"/>
    <w:qFormat/>
    <w:uiPriority w:val="0"/>
    <w:rPr>
      <w:color w:val="800080"/>
      <w:u w:val="single"/>
    </w:rPr>
  </w:style>
  <w:style w:type="paragraph" w:customStyle="1" w:styleId="31">
    <w:name w:val=" Char Char1 Char Char"/>
    <w:basedOn w:val="1"/>
    <w:next w:val="32"/>
    <w:qFormat/>
    <w:uiPriority w:val="0"/>
    <w:pPr>
      <w:widowControl w:val="0"/>
      <w:spacing w:before="0" w:after="0" w:line="240" w:lineRule="auto"/>
      <w:ind w:left="0" w:firstLine="0"/>
      <w:jc w:val="both"/>
    </w:pPr>
    <w:rPr>
      <w:rFonts w:ascii="Times New Roman" w:eastAsia="宋体"/>
      <w:sz w:val="24"/>
    </w:rPr>
  </w:style>
  <w:style w:type="paragraph" w:customStyle="1" w:styleId="32">
    <w:name w:val="xl42"/>
    <w:basedOn w:val="1"/>
    <w:next w:val="10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33">
    <w:name w:val="xl48"/>
    <w:basedOn w:val="1"/>
    <w:next w:val="22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5">
    <w:name w:val="List Paragraph"/>
    <w:basedOn w:val="1"/>
    <w:qFormat/>
    <w:uiPriority w:val="0"/>
    <w:pPr>
      <w:ind w:firstLine="420" w:firstLineChars="200"/>
    </w:pPr>
  </w:style>
  <w:style w:type="paragraph" w:customStyle="1" w:styleId="36">
    <w:name w:val="永环书正文"/>
    <w:basedOn w:val="1"/>
    <w:unhideWhenUsed/>
    <w:uiPriority w:val="99"/>
    <w:pPr>
      <w:spacing w:beforeLines="20" w:afterLines="20" w:line="360" w:lineRule="auto"/>
      <w:ind w:firstLine="200" w:firstLineChars="200"/>
    </w:pPr>
    <w:rPr>
      <w:rFonts w:hint="eastAsia"/>
      <w:sz w:val="24"/>
    </w:rPr>
  </w:style>
  <w:style w:type="paragraph" w:customStyle="1" w:styleId="37">
    <w:name w:val="_cyj_正文"/>
    <w:basedOn w:val="1"/>
    <w:qFormat/>
    <w:uiPriority w:val="0"/>
    <w:pPr>
      <w:spacing w:line="480" w:lineRule="exact"/>
      <w:ind w:firstLine="200" w:firstLineChars="200"/>
    </w:pPr>
    <w:rPr>
      <w:rFonts w:hAnsi="宋体"/>
      <w:sz w:val="24"/>
    </w:rPr>
  </w:style>
  <w:style w:type="paragraph" w:customStyle="1" w:styleId="38">
    <w:name w:val="Body text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39">
    <w:name w:val="333正文"/>
    <w:qFormat/>
    <w:uiPriority w:val="0"/>
    <w:pPr>
      <w:spacing w:line="360" w:lineRule="auto"/>
      <w:ind w:firstLine="1440" w:firstLineChars="200"/>
      <w:jc w:val="left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40">
    <w:name w:val="fontstyle01"/>
    <w:basedOn w:val="27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41">
    <w:name w:val="font21"/>
    <w:basedOn w:val="27"/>
    <w:uiPriority w:val="0"/>
    <w:rPr>
      <w:rFonts w:hint="default" w:ascii="Times New Roman" w:hAnsi="Times New Roman" w:cs="Times New Roman"/>
      <w:color w:val="66666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1293</Words>
  <Characters>1357</Characters>
  <Lines>0</Lines>
  <Paragraphs>0</Paragraphs>
  <TotalTime>534</TotalTime>
  <ScaleCrop>false</ScaleCrop>
  <LinksUpToDate>false</LinksUpToDate>
  <CharactersWithSpaces>1385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2021-05-25T01:23:00Z</dcterms:created>
  <dc:creator>M</dc:creator>
  <cp:lastModifiedBy>飞翔的</cp:lastModifiedBy>
  <cp:lastPrinted>2023-07-03T00:40:00Z</cp:lastPrinted>
  <dcterms:modified xsi:type="dcterms:W3CDTF">2023-11-24T02:10:37Z</dcterms:modified>
  <dc:title>永州市生态环境局文件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D90D67F03CE14084B005804481077C09</vt:lpwstr>
  </property>
</Properties>
</file>