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2021</w:t>
      </w:r>
      <w:r>
        <w:rPr>
          <w:rFonts w:eastAsia="仿宋_GB2312"/>
          <w:color w:val="000000"/>
          <w:kern w:val="0"/>
          <w:szCs w:val="21"/>
        </w:rPr>
        <w:t xml:space="preserve">  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公路养护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交通运输局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实施所管养公路水毁抢修、危桥改造、日常养护和维修工作、道路绿化和养护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  <w:lang w:eastAsia="zh-CN"/>
              </w:rPr>
              <w:t>实施所管养公路水毁抢修、危桥改造、日常养护和维修工作、道路绿化和养护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养护管理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 99%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公路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护工程合格成率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资金使用及时率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预算成本控制情况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≤99万元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路面技术状况养护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保障公路路况稳定、通畅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而道路的舒适、美观只能作中期目标。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t>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2022-04-29T04:03:07Z</dcterms:created>
  <dc:creator>Administrator</dc:creator>
  <cp:lastModifiedBy>WPS_1559721584</cp:lastModifiedBy>
  <dcterms:modified xsi:type="dcterms:W3CDTF">2022-04-29T04:03:45Z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6FE62FAE11F243A08789E0974F7AACF7</vt:lpwstr>
  </property>
</Properties>
</file>