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kinsoku/>
        <w:autoSpaceDE/>
        <w:autoSpaceDN/>
        <w:adjustRightInd/>
        <w:snapToGrid/>
        <w:spacing w:line="360" w:lineRule="auto"/>
        <w:jc w:val="center"/>
        <w:rPr>
          <w:rFonts w:ascii="楷体" w:hAnsi="楷体" w:eastAsia="楷体" w:cs="楷体"/>
          <w:bCs/>
          <w:color w:val="auto"/>
          <w:sz w:val="52"/>
          <w:szCs w:val="52"/>
          <w:lang w:eastAsia="zh-CN"/>
        </w:rPr>
      </w:pPr>
      <w:r>
        <w:rPr>
          <w:rFonts w:hint="eastAsia" w:ascii="楷体" w:hAnsi="楷体" w:eastAsia="楷体" w:cs="楷体"/>
          <w:bCs/>
          <w:color w:val="auto"/>
          <w:sz w:val="52"/>
          <w:szCs w:val="52"/>
          <w:lang w:eastAsia="zh-CN"/>
        </w:rPr>
        <w:t>江永县源口瑶族乡三源村横开河一组滑坡地质灾害防治工程</w:t>
      </w:r>
    </w:p>
    <w:p>
      <w:pPr>
        <w:spacing w:line="288" w:lineRule="auto"/>
        <w:jc w:val="center"/>
        <w:rPr>
          <w:rFonts w:ascii="楷体" w:hAnsi="楷体" w:eastAsia="楷体" w:cs="楷体"/>
          <w:b/>
          <w:bCs/>
          <w:color w:val="auto"/>
          <w:sz w:val="52"/>
          <w:szCs w:val="52"/>
          <w:lang w:eastAsia="zh-CN"/>
        </w:rPr>
      </w:pPr>
    </w:p>
    <w:p>
      <w:pPr>
        <w:spacing w:line="288" w:lineRule="auto"/>
        <w:jc w:val="center"/>
        <w:rPr>
          <w:rFonts w:ascii="楷体" w:hAnsi="楷体" w:eastAsia="楷体" w:cs="楷体"/>
          <w:b/>
          <w:bCs/>
          <w:color w:val="auto"/>
          <w:szCs w:val="52"/>
          <w:lang w:eastAsia="zh-CN"/>
        </w:rPr>
      </w:pPr>
    </w:p>
    <w:p>
      <w:pPr>
        <w:pStyle w:val="10"/>
        <w:ind w:left="0" w:leftChars="0" w:firstLine="0" w:firstLineChars="0"/>
        <w:rPr>
          <w:color w:val="auto"/>
          <w:lang w:eastAsia="zh-CN"/>
        </w:rPr>
      </w:pPr>
    </w:p>
    <w:p>
      <w:pPr>
        <w:pStyle w:val="10"/>
        <w:rPr>
          <w:color w:val="auto"/>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spacing w:line="288" w:lineRule="auto"/>
        <w:jc w:val="center"/>
        <w:rPr>
          <w:rFonts w:ascii="楷体" w:hAnsi="楷体" w:eastAsia="楷体" w:cs="楷体"/>
          <w:b/>
          <w:bCs/>
          <w:color w:val="auto"/>
          <w:szCs w:val="52"/>
          <w:lang w:eastAsia="zh-CN"/>
        </w:rPr>
      </w:pPr>
    </w:p>
    <w:p>
      <w:pPr>
        <w:jc w:val="center"/>
        <w:rPr>
          <w:rFonts w:ascii="楷体" w:hAnsi="楷体" w:eastAsia="楷体" w:cs="楷体"/>
          <w:color w:val="auto"/>
          <w:sz w:val="106"/>
          <w:szCs w:val="106"/>
          <w:lang w:eastAsia="zh-CN"/>
        </w:rPr>
      </w:pPr>
      <w:r>
        <w:rPr>
          <w:rFonts w:hint="eastAsia" w:ascii="楷体" w:hAnsi="楷体" w:eastAsia="楷体" w:cs="楷体"/>
          <w:color w:val="auto"/>
          <w:sz w:val="106"/>
          <w:szCs w:val="106"/>
          <w:lang w:eastAsia="zh-CN"/>
        </w:rPr>
        <w:t>招 标 文 件</w:t>
      </w:r>
    </w:p>
    <w:p>
      <w:pPr>
        <w:spacing w:line="600" w:lineRule="exact"/>
        <w:jc w:val="center"/>
        <w:rPr>
          <w:rFonts w:ascii="楷体" w:hAnsi="楷体" w:eastAsia="楷体" w:cs="楷体"/>
          <w:b/>
          <w:bCs/>
          <w:color w:val="auto"/>
          <w:sz w:val="72"/>
          <w:szCs w:val="72"/>
          <w:lang w:eastAsia="zh-CN"/>
        </w:rPr>
      </w:pPr>
    </w:p>
    <w:p>
      <w:pPr>
        <w:jc w:val="center"/>
        <w:rPr>
          <w:rFonts w:ascii="楷体" w:hAnsi="楷体" w:eastAsia="楷体" w:cs="楷体"/>
          <w:b/>
          <w:bCs/>
          <w:color w:val="auto"/>
          <w:sz w:val="32"/>
          <w:szCs w:val="30"/>
          <w:lang w:eastAsia="zh-CN"/>
        </w:rPr>
      </w:pPr>
      <w:r>
        <w:rPr>
          <w:rFonts w:hint="eastAsia" w:ascii="楷体" w:hAnsi="楷体" w:eastAsia="楷体" w:cs="楷体"/>
          <w:b/>
          <w:bCs/>
          <w:color w:val="auto"/>
          <w:sz w:val="32"/>
          <w:szCs w:val="30"/>
          <w:lang w:eastAsia="zh-CN"/>
        </w:rPr>
        <w:t>（项目管理编号：ZLZJ-YZ-20241022）</w:t>
      </w:r>
    </w:p>
    <w:p>
      <w:pPr>
        <w:spacing w:line="600" w:lineRule="exact"/>
        <w:jc w:val="center"/>
        <w:rPr>
          <w:rFonts w:ascii="楷体" w:hAnsi="楷体" w:eastAsia="楷体" w:cs="楷体"/>
          <w:b/>
          <w:bCs/>
          <w:color w:val="auto"/>
          <w:sz w:val="72"/>
          <w:szCs w:val="72"/>
          <w:lang w:eastAsia="zh-CN"/>
        </w:rPr>
      </w:pPr>
    </w:p>
    <w:p>
      <w:pPr>
        <w:spacing w:line="600" w:lineRule="exact"/>
        <w:jc w:val="both"/>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72"/>
          <w:szCs w:val="72"/>
          <w:lang w:eastAsia="zh-CN"/>
        </w:rPr>
      </w:pPr>
    </w:p>
    <w:p>
      <w:pPr>
        <w:spacing w:line="600" w:lineRule="exact"/>
        <w:jc w:val="center"/>
        <w:rPr>
          <w:rFonts w:ascii="楷体" w:hAnsi="楷体" w:eastAsia="楷体" w:cs="楷体"/>
          <w:b/>
          <w:bCs/>
          <w:color w:val="auto"/>
          <w:sz w:val="28"/>
          <w:szCs w:val="28"/>
          <w:lang w:eastAsia="zh-CN"/>
        </w:rPr>
      </w:pPr>
    </w:p>
    <w:p>
      <w:pPr>
        <w:pStyle w:val="10"/>
        <w:spacing w:after="0" w:line="240" w:lineRule="exact"/>
        <w:rPr>
          <w:color w:val="auto"/>
          <w:lang w:eastAsia="zh-CN"/>
        </w:rPr>
      </w:pP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招  标  人：江永县自然资源局</w:t>
      </w:r>
    </w:p>
    <w:p>
      <w:pPr>
        <w:tabs>
          <w:tab w:val="left" w:pos="7544"/>
        </w:tabs>
        <w:spacing w:line="800" w:lineRule="exact"/>
        <w:ind w:firstLine="639" w:firstLineChars="188"/>
        <w:rPr>
          <w:rFonts w:ascii="楷体" w:hAnsi="楷体" w:eastAsia="楷体" w:cs="楷体"/>
          <w:bCs/>
          <w:color w:val="auto"/>
          <w:sz w:val="34"/>
          <w:szCs w:val="34"/>
          <w:lang w:eastAsia="zh-CN"/>
        </w:rPr>
      </w:pPr>
      <w:r>
        <w:rPr>
          <w:rFonts w:hint="eastAsia" w:ascii="楷体" w:hAnsi="楷体" w:eastAsia="楷体" w:cs="楷体"/>
          <w:bCs/>
          <w:color w:val="auto"/>
          <w:sz w:val="34"/>
          <w:szCs w:val="34"/>
          <w:lang w:eastAsia="zh-CN"/>
        </w:rPr>
        <w:t xml:space="preserve">招标代理：中林智建控股集团有限公司 </w:t>
      </w:r>
      <w:r>
        <w:rPr>
          <w:rFonts w:hint="eastAsia" w:ascii="楷体" w:hAnsi="楷体" w:eastAsia="楷体" w:cs="楷体"/>
          <w:bCs/>
          <w:color w:val="auto"/>
          <w:sz w:val="34"/>
          <w:szCs w:val="34"/>
          <w:lang w:eastAsia="zh-CN"/>
        </w:rPr>
        <w:tab/>
      </w:r>
    </w:p>
    <w:p>
      <w:pPr>
        <w:tabs>
          <w:tab w:val="left" w:pos="7544"/>
        </w:tabs>
        <w:spacing w:line="800" w:lineRule="exact"/>
        <w:ind w:firstLine="639" w:firstLineChars="188"/>
        <w:jc w:val="center"/>
        <w:rPr>
          <w:rFonts w:ascii="楷体" w:hAnsi="楷体" w:eastAsia="楷体" w:cs="楷体"/>
          <w:bCs/>
          <w:color w:val="auto"/>
          <w:sz w:val="34"/>
          <w:szCs w:val="34"/>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17" w:right="1418" w:bottom="1417" w:left="1418" w:header="1021" w:footer="1021" w:gutter="0"/>
          <w:pgNumType w:start="0"/>
          <w:cols w:space="720" w:num="1"/>
          <w:titlePg/>
          <w:docGrid w:linePitch="312" w:charSpace="0"/>
        </w:sectPr>
      </w:pPr>
      <w:r>
        <w:rPr>
          <w:rFonts w:hint="eastAsia" w:ascii="楷体" w:hAnsi="楷体" w:eastAsia="楷体" w:cs="楷体"/>
          <w:bCs/>
          <w:color w:val="auto"/>
          <w:sz w:val="34"/>
          <w:szCs w:val="34"/>
          <w:lang w:eastAsia="zh-CN"/>
        </w:rPr>
        <w:t>2024 年 10月</w:t>
      </w:r>
    </w:p>
    <w:p>
      <w:pPr>
        <w:pStyle w:val="3"/>
        <w:spacing w:line="260" w:lineRule="auto"/>
        <w:rPr>
          <w:color w:val="auto"/>
        </w:rPr>
      </w:pPr>
    </w:p>
    <w:p>
      <w:pPr>
        <w:pStyle w:val="3"/>
        <w:spacing w:line="261" w:lineRule="auto"/>
        <w:rPr>
          <w:color w:val="auto"/>
        </w:rPr>
      </w:pPr>
    </w:p>
    <w:p>
      <w:pPr>
        <w:pStyle w:val="3"/>
        <w:spacing w:line="261" w:lineRule="auto"/>
        <w:rPr>
          <w:color w:val="auto"/>
        </w:rPr>
      </w:pPr>
    </w:p>
    <w:sdt>
      <w:sdtPr>
        <w:rPr>
          <w:rFonts w:ascii="黑体" w:hAnsi="黑体" w:eastAsia="黑体" w:cs="黑体"/>
          <w:color w:val="auto"/>
          <w:sz w:val="31"/>
          <w:szCs w:val="31"/>
        </w:rPr>
        <w:id w:val="147468339"/>
        <w:docPartObj>
          <w:docPartGallery w:val="Table of Contents"/>
          <w:docPartUnique/>
        </w:docPartObj>
      </w:sdtPr>
      <w:sdtEndPr>
        <w:rPr>
          <w:rFonts w:ascii="Calibri" w:hAnsi="Calibri" w:eastAsia="Calibri" w:cs="Calibri"/>
          <w:color w:val="auto"/>
          <w:sz w:val="20"/>
          <w:szCs w:val="20"/>
        </w:rPr>
      </w:sdtEndPr>
      <w:sdtContent>
        <w:p>
          <w:pPr>
            <w:pStyle w:val="3"/>
            <w:spacing w:line="600" w:lineRule="exact"/>
            <w:jc w:val="center"/>
            <w:rPr>
              <w:rFonts w:ascii="楷体" w:hAnsi="楷体" w:eastAsia="楷体" w:cs="楷体"/>
              <w:b/>
              <w:color w:val="auto"/>
              <w:sz w:val="40"/>
              <w:szCs w:val="36"/>
            </w:rPr>
          </w:pPr>
          <w:r>
            <w:rPr>
              <w:rFonts w:hint="eastAsia" w:ascii="楷体" w:hAnsi="楷体" w:eastAsia="楷体" w:cs="楷体"/>
              <w:b/>
              <w:color w:val="auto"/>
              <w:sz w:val="40"/>
              <w:szCs w:val="36"/>
            </w:rPr>
            <w:t>目    录</w:t>
          </w:r>
        </w:p>
        <w:p>
          <w:pPr>
            <w:rPr>
              <w:rFonts w:ascii="楷体" w:hAnsi="楷体" w:eastAsia="楷体" w:cs="楷体"/>
              <w:color w:val="auto"/>
            </w:rPr>
          </w:pPr>
        </w:p>
        <w:p>
          <w:pPr>
            <w:pStyle w:val="8"/>
            <w:tabs>
              <w:tab w:val="right" w:leader="dot" w:pos="9070"/>
            </w:tabs>
            <w:spacing w:before="0" w:after="0" w:line="560" w:lineRule="exact"/>
            <w:rPr>
              <w:rFonts w:ascii="楷体" w:hAnsi="楷体" w:eastAsia="楷体" w:cs="楷体"/>
              <w:b w:val="0"/>
              <w:bCs w:val="0"/>
              <w:color w:val="auto"/>
              <w:sz w:val="26"/>
              <w:szCs w:val="26"/>
            </w:rPr>
          </w:pP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TOC \o "1-3" \h \z \u </w:instrText>
          </w:r>
          <w:r>
            <w:rPr>
              <w:rFonts w:hint="eastAsia" w:ascii="楷体" w:hAnsi="楷体" w:eastAsia="楷体" w:cs="楷体"/>
              <w:b w:val="0"/>
              <w:bCs w:val="0"/>
              <w:color w:val="auto"/>
              <w:sz w:val="26"/>
              <w:szCs w:val="26"/>
            </w:rPr>
            <w:fldChar w:fldCharType="separate"/>
          </w:r>
          <w:r>
            <w:rPr>
              <w:color w:val="auto"/>
            </w:rPr>
            <w:fldChar w:fldCharType="begin"/>
          </w:r>
          <w:r>
            <w:rPr>
              <w:color w:val="auto"/>
            </w:rPr>
            <w:instrText xml:space="preserve"> HYPERLINK \l "_Toc516" </w:instrText>
          </w:r>
          <w:r>
            <w:rPr>
              <w:color w:val="auto"/>
            </w:rPr>
            <w:fldChar w:fldCharType="separate"/>
          </w:r>
          <w:r>
            <w:rPr>
              <w:rFonts w:hint="eastAsia" w:ascii="楷体" w:hAnsi="楷体" w:eastAsia="楷体" w:cs="楷体"/>
              <w:b w:val="0"/>
              <w:bCs w:val="0"/>
              <w:color w:val="auto"/>
              <w:sz w:val="26"/>
              <w:szCs w:val="26"/>
            </w:rPr>
            <w:t>第一章  招标公告</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_Toc516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"_Toc6035" </w:instrText>
          </w:r>
          <w:r>
            <w:rPr>
              <w:color w:val="auto"/>
            </w:rPr>
            <w:fldChar w:fldCharType="separate"/>
          </w:r>
          <w:r>
            <w:rPr>
              <w:rFonts w:hint="eastAsia" w:ascii="楷体" w:hAnsi="楷体" w:eastAsia="楷体" w:cs="楷体"/>
              <w:b w:val="0"/>
              <w:bCs w:val="0"/>
              <w:color w:val="auto"/>
              <w:sz w:val="26"/>
              <w:szCs w:val="26"/>
            </w:rPr>
            <w:t>第二章  投标人须知</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_Toc6035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"_Toc13939" </w:instrText>
          </w:r>
          <w:r>
            <w:rPr>
              <w:color w:val="auto"/>
            </w:rPr>
            <w:fldChar w:fldCharType="separate"/>
          </w:r>
          <w:r>
            <w:rPr>
              <w:rFonts w:hint="eastAsia" w:ascii="楷体" w:hAnsi="楷体" w:eastAsia="楷体" w:cs="楷体"/>
              <w:b w:val="0"/>
              <w:bCs w:val="0"/>
              <w:color w:val="auto"/>
              <w:sz w:val="26"/>
              <w:szCs w:val="26"/>
            </w:rPr>
            <w:t>第三章  评标办法（综合评估法I）</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_Toc13939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31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"_Toc2137" </w:instrText>
          </w:r>
          <w:r>
            <w:rPr>
              <w:color w:val="auto"/>
            </w:rPr>
            <w:fldChar w:fldCharType="separate"/>
          </w:r>
          <w:r>
            <w:rPr>
              <w:rFonts w:hint="eastAsia" w:ascii="楷体" w:hAnsi="楷体" w:eastAsia="楷体" w:cs="楷体"/>
              <w:b w:val="0"/>
              <w:bCs w:val="0"/>
              <w:color w:val="auto"/>
              <w:sz w:val="26"/>
              <w:szCs w:val="26"/>
            </w:rPr>
            <w:t>第四章  合同条款及格式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_Toc2137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58</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"_Toc4435" </w:instrText>
          </w:r>
          <w:r>
            <w:rPr>
              <w:color w:val="auto"/>
            </w:rPr>
            <w:fldChar w:fldCharType="separate"/>
          </w:r>
          <w:r>
            <w:rPr>
              <w:rFonts w:hint="eastAsia" w:ascii="楷体" w:hAnsi="楷体" w:eastAsia="楷体" w:cs="楷体"/>
              <w:b w:val="0"/>
              <w:bCs w:val="0"/>
              <w:color w:val="auto"/>
              <w:sz w:val="26"/>
              <w:szCs w:val="26"/>
            </w:rPr>
            <w:t>第五章  工程量清单</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_Toc4435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81</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"_Toc6908" </w:instrText>
          </w:r>
          <w:r>
            <w:rPr>
              <w:color w:val="auto"/>
            </w:rPr>
            <w:fldChar w:fldCharType="separate"/>
          </w:r>
          <w:r>
            <w:rPr>
              <w:rFonts w:hint="eastAsia" w:ascii="楷体" w:hAnsi="楷体" w:eastAsia="楷体" w:cs="楷体"/>
              <w:b w:val="0"/>
              <w:bCs w:val="0"/>
              <w:color w:val="auto"/>
              <w:sz w:val="26"/>
              <w:szCs w:val="26"/>
            </w:rPr>
            <w:t>第六章  图纸（</w:t>
          </w:r>
          <w:r>
            <w:rPr>
              <w:rFonts w:hint="eastAsia" w:ascii="楷体" w:hAnsi="楷体" w:eastAsia="楷体" w:cs="楷体"/>
              <w:b w:val="0"/>
              <w:bCs w:val="0"/>
              <w:color w:val="auto"/>
              <w:sz w:val="26"/>
              <w:szCs w:val="26"/>
              <w:lang w:eastAsia="zh-CN"/>
            </w:rPr>
            <w:t>另册</w:t>
          </w:r>
          <w:r>
            <w:rPr>
              <w:rFonts w:hint="eastAsia" w:ascii="楷体" w:hAnsi="楷体" w:eastAsia="楷体" w:cs="楷体"/>
              <w:b w:val="0"/>
              <w:bCs w:val="0"/>
              <w:color w:val="auto"/>
              <w:sz w:val="26"/>
              <w:szCs w:val="26"/>
            </w:rPr>
            <w:t>）</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_Toc6908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102</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"_Toc11306" </w:instrText>
          </w:r>
          <w:r>
            <w:rPr>
              <w:color w:val="auto"/>
            </w:rPr>
            <w:fldChar w:fldCharType="separate"/>
          </w:r>
          <w:r>
            <w:rPr>
              <w:rFonts w:hint="eastAsia" w:ascii="楷体" w:hAnsi="楷体" w:eastAsia="楷体" w:cs="楷体"/>
              <w:b w:val="0"/>
              <w:bCs w:val="0"/>
              <w:color w:val="auto"/>
              <w:sz w:val="26"/>
              <w:szCs w:val="26"/>
            </w:rPr>
            <w:t>第七章  技术标准和要求（合同技术条款）</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_Toc11306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103</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pStyle w:val="8"/>
            <w:tabs>
              <w:tab w:val="right" w:leader="dot" w:pos="9070"/>
            </w:tabs>
            <w:spacing w:before="0" w:after="0" w:line="560" w:lineRule="exact"/>
            <w:rPr>
              <w:rFonts w:ascii="楷体" w:hAnsi="楷体" w:eastAsia="楷体" w:cs="楷体"/>
              <w:b w:val="0"/>
              <w:bCs w:val="0"/>
              <w:color w:val="auto"/>
              <w:sz w:val="26"/>
              <w:szCs w:val="26"/>
            </w:rPr>
          </w:pPr>
          <w:r>
            <w:rPr>
              <w:color w:val="auto"/>
            </w:rPr>
            <w:fldChar w:fldCharType="begin"/>
          </w:r>
          <w:r>
            <w:rPr>
              <w:color w:val="auto"/>
            </w:rPr>
            <w:instrText xml:space="preserve"> HYPERLINK \l "_Toc5363" </w:instrText>
          </w:r>
          <w:r>
            <w:rPr>
              <w:color w:val="auto"/>
            </w:rPr>
            <w:fldChar w:fldCharType="separate"/>
          </w:r>
          <w:r>
            <w:rPr>
              <w:rFonts w:hint="eastAsia" w:ascii="楷体" w:hAnsi="楷体" w:eastAsia="楷体" w:cs="楷体"/>
              <w:b w:val="0"/>
              <w:bCs w:val="0"/>
              <w:color w:val="auto"/>
              <w:sz w:val="26"/>
              <w:szCs w:val="26"/>
            </w:rPr>
            <w:t>第八章  投标文件格式</w:t>
          </w:r>
          <w:r>
            <w:rPr>
              <w:rFonts w:hint="eastAsia" w:ascii="楷体" w:hAnsi="楷体" w:eastAsia="楷体" w:cs="楷体"/>
              <w:b w:val="0"/>
              <w:bCs w:val="0"/>
              <w:color w:val="auto"/>
              <w:sz w:val="26"/>
              <w:szCs w:val="26"/>
            </w:rPr>
            <w:tab/>
          </w:r>
          <w:r>
            <w:rPr>
              <w:rFonts w:hint="eastAsia" w:ascii="楷体" w:hAnsi="楷体" w:eastAsia="楷体" w:cs="楷体"/>
              <w:b w:val="0"/>
              <w:bCs w:val="0"/>
              <w:color w:val="auto"/>
              <w:sz w:val="26"/>
              <w:szCs w:val="26"/>
            </w:rPr>
            <w:fldChar w:fldCharType="begin"/>
          </w:r>
          <w:r>
            <w:rPr>
              <w:rFonts w:hint="eastAsia" w:ascii="楷体" w:hAnsi="楷体" w:eastAsia="楷体" w:cs="楷体"/>
              <w:b w:val="0"/>
              <w:bCs w:val="0"/>
              <w:color w:val="auto"/>
              <w:sz w:val="26"/>
              <w:szCs w:val="26"/>
            </w:rPr>
            <w:instrText xml:space="preserve"> PAGEREF _Toc5363 \h </w:instrText>
          </w:r>
          <w:r>
            <w:rPr>
              <w:rFonts w:hint="eastAsia" w:ascii="楷体" w:hAnsi="楷体" w:eastAsia="楷体" w:cs="楷体"/>
              <w:b w:val="0"/>
              <w:bCs w:val="0"/>
              <w:color w:val="auto"/>
              <w:sz w:val="26"/>
              <w:szCs w:val="26"/>
            </w:rPr>
            <w:fldChar w:fldCharType="separate"/>
          </w:r>
          <w:r>
            <w:rPr>
              <w:rFonts w:hint="eastAsia" w:ascii="楷体" w:hAnsi="楷体" w:eastAsia="楷体" w:cs="楷体"/>
              <w:b w:val="0"/>
              <w:bCs w:val="0"/>
              <w:color w:val="auto"/>
              <w:sz w:val="26"/>
              <w:szCs w:val="26"/>
            </w:rPr>
            <w:t>104</w:t>
          </w:r>
          <w:r>
            <w:rPr>
              <w:rFonts w:hint="eastAsia" w:ascii="楷体" w:hAnsi="楷体" w:eastAsia="楷体" w:cs="楷体"/>
              <w:b w:val="0"/>
              <w:bCs w:val="0"/>
              <w:color w:val="auto"/>
              <w:sz w:val="26"/>
              <w:szCs w:val="26"/>
            </w:rPr>
            <w:fldChar w:fldCharType="end"/>
          </w:r>
          <w:r>
            <w:rPr>
              <w:rFonts w:hint="eastAsia" w:ascii="楷体" w:hAnsi="楷体" w:eastAsia="楷体" w:cs="楷体"/>
              <w:b w:val="0"/>
              <w:bCs w:val="0"/>
              <w:color w:val="auto"/>
              <w:sz w:val="26"/>
              <w:szCs w:val="26"/>
            </w:rPr>
            <w:fldChar w:fldCharType="end"/>
          </w:r>
        </w:p>
        <w:p>
          <w:pPr>
            <w:spacing w:line="196" w:lineRule="auto"/>
            <w:rPr>
              <w:rFonts w:ascii="华文中宋" w:hAnsi="华文中宋" w:eastAsia="华文中宋" w:cs="华文中宋"/>
              <w:color w:val="auto"/>
              <w:sz w:val="43"/>
              <w:szCs w:val="43"/>
            </w:rPr>
            <w:sectPr>
              <w:footerReference r:id="rId9" w:type="default"/>
              <w:pgSz w:w="11906" w:h="16839"/>
              <w:pgMar w:top="1431" w:right="1785" w:bottom="1355" w:left="1785" w:header="0" w:footer="1191" w:gutter="0"/>
              <w:cols w:space="720" w:num="1"/>
              <w:docGrid w:linePitch="0" w:charSpace="0"/>
            </w:sectPr>
          </w:pPr>
          <w:r>
            <w:rPr>
              <w:rFonts w:hint="eastAsia" w:ascii="楷体" w:hAnsi="楷体" w:eastAsia="楷体" w:cs="楷体"/>
              <w:caps/>
              <w:color w:val="auto"/>
              <w:sz w:val="26"/>
              <w:szCs w:val="26"/>
            </w:rPr>
            <w:fldChar w:fldCharType="end"/>
          </w:r>
        </w:p>
      </w:sdtContent>
    </w:sdt>
    <w:p>
      <w:pPr>
        <w:pStyle w:val="3"/>
        <w:spacing w:line="277" w:lineRule="auto"/>
        <w:rPr>
          <w:color w:val="auto"/>
        </w:rPr>
      </w:pPr>
    </w:p>
    <w:p>
      <w:pPr>
        <w:pStyle w:val="3"/>
        <w:spacing w:line="277" w:lineRule="auto"/>
        <w:rPr>
          <w:color w:val="auto"/>
        </w:rPr>
      </w:pPr>
    </w:p>
    <w:p>
      <w:pPr>
        <w:pStyle w:val="2"/>
        <w:keepNext w:val="0"/>
        <w:keepLines w:val="0"/>
        <w:numPr>
          <w:ilvl w:val="0"/>
          <w:numId w:val="1"/>
        </w:numPr>
        <w:spacing w:before="0" w:after="0" w:line="490" w:lineRule="exact"/>
        <w:jc w:val="center"/>
        <w:rPr>
          <w:rFonts w:eastAsia="方正小标宋_GBK"/>
          <w:color w:val="auto"/>
          <w:sz w:val="36"/>
          <w:szCs w:val="32"/>
        </w:rPr>
      </w:pPr>
      <w:bookmarkStart w:id="0" w:name="bookmark4"/>
      <w:bookmarkEnd w:id="0"/>
      <w:bookmarkStart w:id="1" w:name="bookmark3"/>
      <w:bookmarkEnd w:id="1"/>
      <w:r>
        <w:rPr>
          <w:rFonts w:hint="eastAsia" w:eastAsia="方正小标宋_GBK"/>
          <w:color w:val="auto"/>
          <w:sz w:val="36"/>
          <w:szCs w:val="32"/>
        </w:rPr>
        <w:t>招标公告</w:t>
      </w:r>
    </w:p>
    <w:p>
      <w:pPr>
        <w:rPr>
          <w:color w:val="auto"/>
        </w:rPr>
      </w:pPr>
    </w:p>
    <w:p>
      <w:pPr>
        <w:pStyle w:val="13"/>
        <w:rPr>
          <w:color w:val="auto"/>
        </w:rPr>
      </w:pPr>
    </w:p>
    <w:p>
      <w:pPr>
        <w:spacing w:before="65" w:line="226" w:lineRule="auto"/>
        <w:ind w:left="928"/>
        <w:rPr>
          <w:rFonts w:ascii="宋体" w:hAnsi="宋体" w:eastAsia="宋体" w:cs="宋体"/>
          <w:color w:val="auto"/>
          <w:lang w:eastAsia="zh-CN"/>
        </w:rPr>
      </w:pPr>
      <w:r>
        <w:rPr>
          <w:rFonts w:hint="eastAsia" w:ascii="宋体" w:hAnsi="宋体" w:eastAsia="宋体" w:cs="宋体"/>
          <w:color w:val="auto"/>
          <w:spacing w:val="10"/>
          <w:lang w:eastAsia="zh-CN"/>
        </w:rPr>
        <w:t>江永县源口瑶族乡三源村横开河一组滑坡地质灾害防治工程</w:t>
      </w:r>
      <w:r>
        <w:rPr>
          <w:rFonts w:hint="eastAsia" w:ascii="宋体" w:hAnsi="宋体" w:eastAsia="宋体" w:cs="宋体"/>
          <w:color w:val="auto"/>
          <w:spacing w:val="9"/>
          <w:lang w:eastAsia="zh-CN"/>
        </w:rPr>
        <w:t>施工招标公告</w:t>
      </w:r>
    </w:p>
    <w:p>
      <w:pPr>
        <w:spacing w:before="101" w:line="360" w:lineRule="auto"/>
        <w:ind w:left="21"/>
        <w:outlineLvl w:val="1"/>
        <w:rPr>
          <w:rFonts w:ascii="宋体" w:hAnsi="宋体" w:eastAsia="宋体" w:cs="宋体"/>
          <w:color w:val="auto"/>
          <w:sz w:val="28"/>
          <w:szCs w:val="28"/>
          <w:lang w:eastAsia="zh-CN"/>
        </w:rPr>
      </w:pPr>
      <w:bookmarkStart w:id="2" w:name="bookmark5"/>
      <w:bookmarkEnd w:id="2"/>
      <w:bookmarkStart w:id="3" w:name="bookmark6"/>
      <w:bookmarkEnd w:id="3"/>
      <w:bookmarkStart w:id="4" w:name="bookmark503"/>
      <w:bookmarkEnd w:id="4"/>
      <w:r>
        <w:rPr>
          <w:rFonts w:hint="eastAsia" w:ascii="宋体" w:hAnsi="宋体" w:eastAsia="宋体" w:cs="宋体"/>
          <w:b/>
          <w:bCs/>
          <w:color w:val="auto"/>
          <w:spacing w:val="1"/>
          <w:sz w:val="28"/>
          <w:szCs w:val="28"/>
          <w:lang w:eastAsia="zh-CN"/>
        </w:rPr>
        <w:t>1.招标条件</w:t>
      </w:r>
    </w:p>
    <w:p>
      <w:pPr>
        <w:spacing w:before="65" w:line="417" w:lineRule="auto"/>
        <w:ind w:left="1" w:firstLine="420"/>
        <w:rPr>
          <w:rFonts w:ascii="宋体" w:hAnsi="宋体" w:eastAsia="宋体" w:cs="宋体"/>
          <w:color w:val="auto"/>
          <w:lang w:eastAsia="zh-CN"/>
        </w:rPr>
      </w:pPr>
      <w:r>
        <w:rPr>
          <w:rFonts w:hint="eastAsia" w:ascii="宋体" w:hAnsi="宋体" w:eastAsia="宋体" w:cs="宋体"/>
          <w:color w:val="auto"/>
          <w:spacing w:val="9"/>
          <w:lang w:eastAsia="zh-CN"/>
        </w:rPr>
        <w:t>本招标项目江永县源口瑶族乡三源村横开河一组滑坡地质灾害防治工程已由江永县发展和</w:t>
      </w:r>
      <w:r>
        <w:rPr>
          <w:rFonts w:hint="eastAsia" w:ascii="宋体" w:hAnsi="宋体" w:eastAsia="宋体" w:cs="宋体"/>
          <w:color w:val="auto"/>
          <w:spacing w:val="8"/>
          <w:lang w:eastAsia="zh-CN"/>
        </w:rPr>
        <w:t>改革局（项目</w:t>
      </w:r>
      <w:r>
        <w:rPr>
          <w:rFonts w:hint="eastAsia" w:ascii="宋体" w:hAnsi="宋体" w:eastAsia="宋体" w:cs="宋体"/>
          <w:color w:val="auto"/>
          <w:spacing w:val="10"/>
          <w:lang w:eastAsia="zh-CN"/>
        </w:rPr>
        <w:t>审批、核准或备案机关名称）以江永发改许准字【2</w:t>
      </w:r>
      <w:r>
        <w:rPr>
          <w:rFonts w:hint="eastAsia" w:ascii="宋体" w:hAnsi="宋体" w:eastAsia="宋体" w:cs="宋体"/>
          <w:color w:val="auto"/>
          <w:spacing w:val="9"/>
          <w:lang w:eastAsia="zh-CN"/>
        </w:rPr>
        <w:t>024】</w:t>
      </w:r>
      <w:r>
        <w:rPr>
          <w:rFonts w:hint="eastAsia" w:ascii="宋体" w:hAnsi="宋体" w:eastAsia="宋体" w:cs="宋体"/>
          <w:color w:val="auto"/>
          <w:spacing w:val="9"/>
          <w:lang w:val="en-US" w:eastAsia="zh-CN"/>
        </w:rPr>
        <w:t>简17</w:t>
      </w:r>
      <w:r>
        <w:rPr>
          <w:rFonts w:hint="eastAsia" w:ascii="宋体" w:hAnsi="宋体" w:eastAsia="宋体" w:cs="宋体"/>
          <w:color w:val="auto"/>
          <w:spacing w:val="9"/>
          <w:lang w:eastAsia="zh-CN"/>
        </w:rPr>
        <w:t>号（批文名称及编号）批准建设，</w:t>
      </w:r>
      <w:r>
        <w:rPr>
          <w:rFonts w:hint="eastAsia" w:ascii="宋体" w:hAnsi="宋体" w:eastAsia="宋体" w:cs="宋体"/>
          <w:color w:val="auto"/>
          <w:spacing w:val="7"/>
          <w:lang w:eastAsia="zh-CN"/>
        </w:rPr>
        <w:t>项目业主为江永县自然资源局，建设资金来自国债资金（资金来源</w:t>
      </w:r>
      <w:r>
        <w:rPr>
          <w:rFonts w:hint="eastAsia" w:ascii="宋体" w:hAnsi="宋体" w:eastAsia="宋体" w:cs="宋体"/>
          <w:color w:val="auto"/>
          <w:lang w:eastAsia="zh-CN"/>
        </w:rPr>
        <w:t>），</w:t>
      </w:r>
      <w:r>
        <w:rPr>
          <w:rFonts w:hint="eastAsia" w:ascii="宋体" w:hAnsi="宋体" w:eastAsia="宋体" w:cs="宋体"/>
          <w:color w:val="auto"/>
          <w:spacing w:val="7"/>
          <w:lang w:eastAsia="zh-CN"/>
        </w:rPr>
        <w:t>项目出资比例为100%，招</w:t>
      </w:r>
      <w:r>
        <w:rPr>
          <w:rFonts w:hint="eastAsia" w:ascii="宋体" w:hAnsi="宋体" w:eastAsia="宋体" w:cs="宋体"/>
          <w:color w:val="auto"/>
          <w:spacing w:val="9"/>
          <w:lang w:eastAsia="zh-CN"/>
        </w:rPr>
        <w:t>标人为江永县自然资源局。项目已具备招标条件，现对该项目的施工进行公开招标。</w:t>
      </w:r>
    </w:p>
    <w:p>
      <w:pPr>
        <w:spacing w:before="101" w:line="360" w:lineRule="auto"/>
        <w:ind w:left="21"/>
        <w:outlineLvl w:val="1"/>
        <w:rPr>
          <w:rFonts w:ascii="宋体" w:hAnsi="宋体" w:eastAsia="宋体" w:cs="宋体"/>
          <w:color w:val="auto"/>
          <w:lang w:eastAsia="zh-CN"/>
        </w:rPr>
      </w:pPr>
      <w:bookmarkStart w:id="5" w:name="bookmark7"/>
      <w:bookmarkEnd w:id="5"/>
      <w:bookmarkStart w:id="6" w:name="bookmark8"/>
      <w:bookmarkEnd w:id="6"/>
      <w:r>
        <w:rPr>
          <w:rFonts w:hint="eastAsia" w:ascii="宋体" w:hAnsi="宋体" w:eastAsia="宋体" w:cs="宋体"/>
          <w:b/>
          <w:bCs/>
          <w:color w:val="auto"/>
          <w:spacing w:val="1"/>
          <w:sz w:val="28"/>
          <w:szCs w:val="28"/>
          <w:lang w:eastAsia="zh-CN"/>
        </w:rPr>
        <w:t>2.项目概况与招标范围</w:t>
      </w:r>
    </w:p>
    <w:p>
      <w:pPr>
        <w:spacing w:before="65"/>
        <w:ind w:left="3"/>
        <w:rPr>
          <w:rFonts w:ascii="宋体" w:hAnsi="宋体" w:eastAsia="宋体" w:cs="宋体"/>
          <w:color w:val="auto"/>
          <w:lang w:eastAsia="zh-CN"/>
        </w:rPr>
      </w:pPr>
      <w:r>
        <w:rPr>
          <w:rFonts w:hint="eastAsia" w:ascii="宋体" w:hAnsi="宋体" w:eastAsia="宋体" w:cs="宋体"/>
          <w:color w:val="auto"/>
          <w:spacing w:val="6"/>
          <w:lang w:eastAsia="zh-CN"/>
        </w:rPr>
        <w:t>2.1  项目名称：江永县源口瑶族乡三源村横开河一组滑坡地质灾害防治工程</w:t>
      </w:r>
    </w:p>
    <w:p>
      <w:pPr>
        <w:spacing w:before="215"/>
        <w:ind w:left="3"/>
        <w:rPr>
          <w:rFonts w:ascii="宋体" w:hAnsi="宋体" w:eastAsia="宋体" w:cs="宋体"/>
          <w:color w:val="auto"/>
          <w:lang w:eastAsia="zh-CN"/>
        </w:rPr>
      </w:pPr>
      <w:r>
        <w:rPr>
          <w:rFonts w:hint="eastAsia" w:ascii="宋体" w:hAnsi="宋体" w:eastAsia="宋体" w:cs="宋体"/>
          <w:color w:val="auto"/>
          <w:spacing w:val="7"/>
          <w:lang w:eastAsia="zh-CN"/>
        </w:rPr>
        <w:t>2.2  建设地点：永州市江永县境内；</w:t>
      </w:r>
    </w:p>
    <w:p>
      <w:pPr>
        <w:spacing w:before="215" w:line="360" w:lineRule="auto"/>
        <w:ind w:firstLine="3"/>
        <w:rPr>
          <w:rFonts w:ascii="宋体" w:hAnsi="宋体" w:eastAsia="宋体" w:cs="宋体"/>
          <w:color w:val="auto"/>
          <w:lang w:eastAsia="zh-CN"/>
        </w:rPr>
      </w:pPr>
      <w:r>
        <w:rPr>
          <w:rFonts w:hint="eastAsia" w:ascii="宋体" w:hAnsi="宋体" w:eastAsia="宋体" w:cs="宋体"/>
          <w:color w:val="auto"/>
          <w:spacing w:val="11"/>
          <w:lang w:eastAsia="zh-CN"/>
        </w:rPr>
        <w:t>2.3  项目规模</w:t>
      </w:r>
      <w:r>
        <w:rPr>
          <w:rFonts w:hint="eastAsia" w:ascii="宋体" w:hAnsi="宋体" w:eastAsia="宋体" w:cs="宋体"/>
          <w:color w:val="auto"/>
          <w:spacing w:val="6"/>
          <w:lang w:eastAsia="zh-CN"/>
        </w:rPr>
        <w:t>：修建抗滑桩、格构梁、排导槽、截排水沟等内容。 (详见工程量清单及图纸)本次工程招标金额约 1479029.55元</w:t>
      </w:r>
      <w:r>
        <w:rPr>
          <w:rFonts w:hint="eastAsia" w:ascii="宋体" w:hAnsi="宋体" w:eastAsia="宋体" w:cs="宋体"/>
          <w:color w:val="auto"/>
          <w:spacing w:val="5"/>
          <w:lang w:eastAsia="zh-CN"/>
        </w:rPr>
        <w:t>。</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8"/>
        <w:ind w:left="3"/>
        <w:rPr>
          <w:rFonts w:ascii="宋体" w:hAnsi="宋体" w:eastAsia="宋体" w:cs="宋体"/>
          <w:color w:val="auto"/>
          <w:lang w:eastAsia="zh-CN"/>
        </w:rPr>
      </w:pPr>
      <w:r>
        <w:rPr>
          <w:rFonts w:hint="eastAsia" w:ascii="宋体" w:hAnsi="宋体" w:eastAsia="宋体" w:cs="宋体"/>
          <w:color w:val="auto"/>
          <w:spacing w:val="10"/>
          <w:lang w:eastAsia="zh-CN"/>
        </w:rPr>
        <w:t>2.4 招标范围：</w:t>
      </w:r>
      <w:r>
        <w:rPr>
          <w:rFonts w:hint="eastAsia" w:ascii="宋体" w:hAnsi="宋体" w:eastAsia="宋体" w:cs="宋体"/>
          <w:color w:val="auto"/>
          <w:spacing w:val="6"/>
          <w:lang w:eastAsia="zh-CN"/>
        </w:rPr>
        <w:t>江永县源口瑶族乡三源村横开河一组滑坡地质灾害防治工程</w:t>
      </w:r>
      <w:r>
        <w:rPr>
          <w:rFonts w:hint="eastAsia" w:ascii="宋体" w:hAnsi="宋体" w:eastAsia="宋体" w:cs="宋体"/>
          <w:color w:val="auto"/>
          <w:spacing w:val="62"/>
          <w:lang w:eastAsia="zh-CN"/>
        </w:rPr>
        <w:t>（</w:t>
      </w:r>
      <w:r>
        <w:rPr>
          <w:rFonts w:hint="eastAsia" w:ascii="宋体" w:hAnsi="宋体" w:eastAsia="宋体" w:cs="宋体"/>
          <w:color w:val="auto"/>
          <w:spacing w:val="10"/>
          <w:lang w:eastAsia="zh-CN"/>
        </w:rPr>
        <w:t>具体以招标</w:t>
      </w:r>
      <w:r>
        <w:rPr>
          <w:rFonts w:hint="eastAsia" w:ascii="宋体" w:hAnsi="宋体" w:eastAsia="宋体" w:cs="宋体"/>
          <w:color w:val="auto"/>
          <w:spacing w:val="7"/>
          <w:lang w:eastAsia="zh-CN"/>
        </w:rPr>
        <w:t>工程量清单及图纸为准）；</w:t>
      </w:r>
    </w:p>
    <w:p>
      <w:pPr>
        <w:spacing w:before="214"/>
        <w:ind w:left="3"/>
        <w:rPr>
          <w:rFonts w:ascii="宋体" w:hAnsi="宋体" w:eastAsia="宋体" w:cs="宋体"/>
          <w:color w:val="auto"/>
          <w:lang w:eastAsia="zh-CN"/>
        </w:rPr>
      </w:pPr>
      <w:r>
        <w:rPr>
          <w:rFonts w:hint="eastAsia" w:ascii="宋体" w:hAnsi="宋体" w:eastAsia="宋体" w:cs="宋体"/>
          <w:color w:val="auto"/>
          <w:spacing w:val="2"/>
          <w:lang w:eastAsia="zh-CN"/>
        </w:rPr>
        <w:t>2.5 工期：120日历天；</w:t>
      </w:r>
    </w:p>
    <w:p>
      <w:pPr>
        <w:spacing w:before="211"/>
        <w:ind w:left="3"/>
        <w:rPr>
          <w:rFonts w:ascii="宋体" w:hAnsi="宋体" w:eastAsia="宋体" w:cs="宋体"/>
          <w:color w:val="auto"/>
          <w:lang w:eastAsia="zh-CN"/>
        </w:rPr>
      </w:pPr>
      <w:r>
        <w:rPr>
          <w:rFonts w:hint="eastAsia" w:ascii="宋体" w:hAnsi="宋体" w:eastAsia="宋体" w:cs="宋体"/>
          <w:color w:val="auto"/>
          <w:spacing w:val="8"/>
          <w:lang w:eastAsia="zh-CN"/>
        </w:rPr>
        <w:t>2.6 质量要求：按国家和省验收规范，验收合格及以上；</w:t>
      </w:r>
    </w:p>
    <w:p>
      <w:pPr>
        <w:tabs>
          <w:tab w:val="left" w:pos="643"/>
        </w:tabs>
        <w:spacing w:line="360" w:lineRule="auto"/>
        <w:rPr>
          <w:rFonts w:ascii="宋体" w:hAnsi="宋体" w:eastAsia="宋体" w:cs="宋体"/>
          <w:color w:val="auto"/>
          <w:lang w:eastAsia="zh-CN"/>
        </w:rPr>
      </w:pPr>
      <w:r>
        <w:rPr>
          <w:rFonts w:hint="eastAsia" w:ascii="宋体" w:hAnsi="宋体" w:eastAsia="宋体" w:cs="宋体"/>
          <w:color w:val="auto"/>
          <w:spacing w:val="10"/>
          <w:lang w:eastAsia="zh-CN"/>
        </w:rPr>
        <w:t>2.7 保修要求：按国家相关法律法规规定执行及业主提供的</w:t>
      </w:r>
      <w:r>
        <w:rPr>
          <w:rFonts w:hint="eastAsia" w:ascii="宋体" w:hAnsi="宋体" w:eastAsia="宋体" w:cs="宋体"/>
          <w:color w:val="auto"/>
          <w:spacing w:val="9"/>
          <w:lang w:eastAsia="zh-CN"/>
        </w:rPr>
        <w:t>设计修复方案要求执行</w:t>
      </w:r>
      <w:r>
        <w:rPr>
          <w:rFonts w:hint="eastAsia" w:ascii="宋体" w:hAnsi="宋体" w:eastAsia="宋体" w:cs="宋体"/>
          <w:color w:val="auto"/>
          <w:spacing w:val="-17"/>
          <w:lang w:eastAsia="zh-CN"/>
        </w:rPr>
        <w:t>；（</w:t>
      </w:r>
      <w:r>
        <w:rPr>
          <w:rFonts w:hint="eastAsia" w:ascii="宋体" w:hAnsi="宋体" w:eastAsia="宋体" w:cs="宋体"/>
          <w:color w:val="auto"/>
          <w:spacing w:val="9"/>
          <w:lang w:eastAsia="zh-CN"/>
        </w:rPr>
        <w:t>说明本次招标项目的建设地点、规模、计划工期、招标范围、标段划分</w:t>
      </w:r>
      <w:r>
        <w:rPr>
          <w:rFonts w:hint="eastAsia" w:ascii="宋体" w:hAnsi="宋体" w:eastAsia="宋体" w:cs="宋体"/>
          <w:color w:val="auto"/>
          <w:spacing w:val="8"/>
          <w:lang w:eastAsia="zh-CN"/>
        </w:rPr>
        <w:t>等）。</w:t>
      </w:r>
    </w:p>
    <w:p>
      <w:pPr>
        <w:spacing w:before="101" w:line="360" w:lineRule="auto"/>
        <w:ind w:left="21"/>
        <w:outlineLvl w:val="1"/>
        <w:rPr>
          <w:rFonts w:ascii="宋体" w:hAnsi="宋体" w:eastAsia="宋体" w:cs="宋体"/>
          <w:color w:val="auto"/>
          <w:lang w:eastAsia="zh-CN"/>
        </w:rPr>
      </w:pPr>
      <w:bookmarkStart w:id="7" w:name="bookmark9"/>
      <w:bookmarkEnd w:id="7"/>
      <w:bookmarkStart w:id="8" w:name="bookmark10"/>
      <w:bookmarkEnd w:id="8"/>
      <w:r>
        <w:rPr>
          <w:rFonts w:hint="eastAsia" w:ascii="宋体" w:hAnsi="宋体" w:eastAsia="宋体" w:cs="宋体"/>
          <w:b/>
          <w:bCs/>
          <w:color w:val="auto"/>
          <w:spacing w:val="1"/>
          <w:sz w:val="28"/>
          <w:szCs w:val="28"/>
          <w:lang w:eastAsia="zh-CN"/>
        </w:rPr>
        <w:t>3.投标人资格要求</w:t>
      </w:r>
    </w:p>
    <w:p>
      <w:pPr>
        <w:spacing w:before="65" w:line="227" w:lineRule="auto"/>
        <w:ind w:left="425"/>
        <w:rPr>
          <w:rFonts w:ascii="宋体" w:hAnsi="宋体" w:eastAsia="宋体" w:cs="宋体"/>
          <w:color w:val="auto"/>
          <w:lang w:eastAsia="zh-CN"/>
        </w:rPr>
      </w:pPr>
      <w:r>
        <w:rPr>
          <w:rFonts w:hint="eastAsia" w:ascii="宋体" w:hAnsi="宋体" w:eastAsia="宋体" w:cs="宋体"/>
          <w:color w:val="auto"/>
          <w:spacing w:val="8"/>
          <w:lang w:eastAsia="zh-CN"/>
        </w:rPr>
        <w:t>3.1 本次招标投标人应具备的资质条件、能力和信誉要求：</w:t>
      </w:r>
    </w:p>
    <w:p>
      <w:pPr>
        <w:spacing w:before="214" w:line="376" w:lineRule="auto"/>
        <w:ind w:left="2" w:right="70" w:firstLine="429"/>
        <w:rPr>
          <w:rFonts w:ascii="宋体" w:hAnsi="宋体" w:eastAsia="宋体" w:cs="宋体"/>
          <w:color w:val="auto"/>
          <w:lang w:eastAsia="zh-CN"/>
        </w:rPr>
      </w:pPr>
      <w:r>
        <w:rPr>
          <w:rFonts w:hint="eastAsia" w:ascii="宋体" w:hAnsi="宋体" w:eastAsia="宋体" w:cs="宋体"/>
          <w:color w:val="auto"/>
          <w:spacing w:val="2"/>
          <w:lang w:eastAsia="zh-CN"/>
        </w:rPr>
        <w:t>（1）资质条件：具有独立法人资格并依法取得企业营业执照，营业执照处于有效期；具备自</w:t>
      </w:r>
      <w:r>
        <w:rPr>
          <w:rFonts w:hint="eastAsia" w:ascii="宋体" w:hAnsi="宋体" w:eastAsia="宋体" w:cs="宋体"/>
          <w:color w:val="auto"/>
          <w:spacing w:val="6"/>
          <w:lang w:eastAsia="zh-CN"/>
        </w:rPr>
        <w:t>然资源部门颁发的地质灾害治理工程施工乙级及以上资质，安全生产许可证处于有效期；并在人员、设备、资金等方面具备相应的施工能力；湖南省外企业需按要求办理省外入湘企业基本情 况</w:t>
      </w:r>
      <w:r>
        <w:rPr>
          <w:rFonts w:hint="eastAsia" w:ascii="宋体" w:hAnsi="宋体" w:eastAsia="宋体" w:cs="宋体"/>
          <w:color w:val="auto"/>
          <w:spacing w:val="2"/>
          <w:lang w:eastAsia="zh-CN"/>
        </w:rPr>
        <w:t>登记；</w:t>
      </w:r>
    </w:p>
    <w:p>
      <w:pPr>
        <w:spacing w:before="211" w:line="325" w:lineRule="auto"/>
        <w:ind w:left="2" w:right="70" w:firstLine="429"/>
        <w:rPr>
          <w:rFonts w:ascii="宋体" w:hAnsi="宋体" w:eastAsia="宋体" w:cs="宋体"/>
          <w:color w:val="auto"/>
          <w:lang w:eastAsia="zh-CN"/>
        </w:rPr>
      </w:pPr>
      <w:r>
        <w:rPr>
          <w:rFonts w:hint="eastAsia" w:ascii="宋体" w:hAnsi="宋体" w:eastAsia="宋体" w:cs="宋体"/>
          <w:color w:val="auto"/>
          <w:spacing w:val="5"/>
          <w:lang w:eastAsia="zh-CN"/>
        </w:rPr>
        <w:t>（2）财务要求：财务状况良好，提供(202</w:t>
      </w:r>
      <w:r>
        <w:rPr>
          <w:rFonts w:hint="eastAsia" w:ascii="宋体" w:hAnsi="宋体" w:eastAsia="宋体" w:cs="宋体"/>
          <w:color w:val="auto"/>
          <w:spacing w:val="4"/>
          <w:lang w:eastAsia="zh-CN"/>
        </w:rPr>
        <w:t>3年) 经会计师事务所或审计机构审计的</w:t>
      </w:r>
      <w:r>
        <w:rPr>
          <w:rFonts w:hint="eastAsia" w:ascii="宋体" w:hAnsi="宋体" w:eastAsia="宋体" w:cs="宋体"/>
          <w:color w:val="auto"/>
          <w:spacing w:val="6"/>
          <w:lang w:eastAsia="zh-CN"/>
        </w:rPr>
        <w:t>财务审计报告；</w:t>
      </w:r>
    </w:p>
    <w:p>
      <w:pPr>
        <w:spacing w:before="216" w:line="228" w:lineRule="auto"/>
        <w:ind w:left="431"/>
        <w:rPr>
          <w:rFonts w:ascii="宋体" w:hAnsi="宋体" w:eastAsia="宋体" w:cs="宋体"/>
          <w:color w:val="auto"/>
          <w:lang w:eastAsia="zh-CN"/>
        </w:rPr>
      </w:pPr>
      <w:r>
        <w:rPr>
          <w:rFonts w:hint="eastAsia" w:ascii="宋体" w:hAnsi="宋体" w:eastAsia="宋体" w:cs="宋体"/>
          <w:color w:val="auto"/>
          <w:spacing w:val="7"/>
          <w:lang w:eastAsia="zh-CN"/>
        </w:rPr>
        <w:t>（3）业绩要求：投标人近五年(2019 年 10 月-投标截止时间止) 企业承担过单项合同金额达到93万元及以上的地质灾害防治或生态修复类似项目业绩；完成时间以合同工程竣工或完工验收文件中建设单位签字之日为准。</w:t>
      </w:r>
    </w:p>
    <w:p>
      <w:pPr>
        <w:spacing w:before="214" w:line="408" w:lineRule="auto"/>
        <w:ind w:left="5" w:right="70" w:firstLine="426"/>
        <w:rPr>
          <w:rFonts w:ascii="宋体" w:hAnsi="宋体" w:eastAsia="宋体" w:cs="宋体"/>
          <w:color w:val="auto"/>
          <w:lang w:eastAsia="zh-CN"/>
        </w:rPr>
      </w:pPr>
      <w:r>
        <w:rPr>
          <w:rFonts w:hint="eastAsia" w:ascii="宋体" w:hAnsi="宋体" w:eastAsia="宋体" w:cs="宋体"/>
          <w:color w:val="auto"/>
          <w:spacing w:val="9"/>
          <w:lang w:eastAsia="zh-CN"/>
        </w:rPr>
        <w:t>（说明：业绩应为投标人满足完成该项目能力的证明材</w:t>
      </w:r>
      <w:r>
        <w:rPr>
          <w:rFonts w:hint="eastAsia" w:ascii="宋体" w:hAnsi="宋体" w:eastAsia="宋体" w:cs="宋体"/>
          <w:color w:val="auto"/>
          <w:spacing w:val="8"/>
          <w:lang w:eastAsia="zh-CN"/>
        </w:rPr>
        <w:t>料，仅能设置一项工程业绩且该项业</w:t>
      </w:r>
      <w:r>
        <w:rPr>
          <w:rFonts w:hint="eastAsia" w:ascii="宋体" w:hAnsi="宋体" w:eastAsia="宋体" w:cs="宋体"/>
          <w:color w:val="auto"/>
          <w:spacing w:val="9"/>
          <w:lang w:eastAsia="zh-CN"/>
        </w:rPr>
        <w:t>绩的具体要求参数（如长度，面积，高度，金额）不</w:t>
      </w:r>
      <w:r>
        <w:rPr>
          <w:rFonts w:hint="eastAsia" w:ascii="宋体" w:hAnsi="宋体" w:eastAsia="宋体" w:cs="宋体"/>
          <w:color w:val="auto"/>
          <w:spacing w:val="8"/>
          <w:lang w:eastAsia="zh-CN"/>
        </w:rPr>
        <w:t>得超过招标项目规模的50%）</w:t>
      </w:r>
    </w:p>
    <w:p>
      <w:pPr>
        <w:spacing w:before="35" w:line="326" w:lineRule="auto"/>
        <w:ind w:left="3" w:right="71" w:firstLine="428"/>
        <w:rPr>
          <w:rFonts w:ascii="宋体" w:hAnsi="宋体" w:eastAsia="宋体" w:cs="宋体"/>
          <w:color w:val="auto"/>
          <w:lang w:eastAsia="zh-CN"/>
        </w:rPr>
      </w:pPr>
      <w:r>
        <w:rPr>
          <w:rFonts w:hint="eastAsia" w:ascii="宋体" w:hAnsi="宋体" w:eastAsia="宋体" w:cs="宋体"/>
          <w:color w:val="auto"/>
          <w:spacing w:val="11"/>
          <w:lang w:eastAsia="zh-CN"/>
        </w:rPr>
        <w:t>（4）信誉要求：招标人不接受在全国企业信用信息公示系统中被列入严重违法失信企业名</w:t>
      </w:r>
      <w:r>
        <w:rPr>
          <w:rFonts w:hint="eastAsia" w:ascii="宋体" w:hAnsi="宋体" w:eastAsia="宋体" w:cs="宋体"/>
          <w:color w:val="auto"/>
          <w:spacing w:val="8"/>
          <w:lang w:eastAsia="zh-CN"/>
        </w:rPr>
        <w:t>单的或在“信用中国”网站中被列入失信被执行人名单的投标人投标；</w:t>
      </w:r>
    </w:p>
    <w:p>
      <w:pPr>
        <w:spacing w:before="212" w:line="326" w:lineRule="auto"/>
        <w:ind w:left="5" w:right="70" w:firstLine="426"/>
        <w:rPr>
          <w:rFonts w:ascii="宋体" w:hAnsi="宋体" w:eastAsia="宋体" w:cs="宋体"/>
          <w:color w:val="auto"/>
          <w:lang w:eastAsia="zh-CN"/>
        </w:rPr>
      </w:pPr>
      <w:r>
        <w:rPr>
          <w:rFonts w:hint="eastAsia" w:ascii="宋体" w:hAnsi="宋体" w:eastAsia="宋体" w:cs="宋体"/>
          <w:color w:val="auto"/>
          <w:spacing w:val="3"/>
          <w:lang w:eastAsia="zh-CN"/>
        </w:rPr>
        <w:t>（5）项目经理（建造师，下同）资格：具有市政公用工程专业贰级及以上或建筑工程专业 贰</w:t>
      </w:r>
      <w:r>
        <w:rPr>
          <w:rFonts w:hint="eastAsia" w:ascii="宋体" w:hAnsi="宋体" w:eastAsia="宋体" w:cs="宋体"/>
          <w:color w:val="auto"/>
          <w:spacing w:val="9"/>
          <w:lang w:eastAsia="zh-CN"/>
        </w:rPr>
        <w:t>级及以上注册建造师执业资格，具备项目负责人安全生产考核合格证书且无在建工程；</w:t>
      </w:r>
    </w:p>
    <w:p>
      <w:pPr>
        <w:spacing w:before="215" w:line="227" w:lineRule="auto"/>
        <w:ind w:left="425"/>
        <w:rPr>
          <w:rFonts w:ascii="宋体" w:hAnsi="宋体" w:eastAsia="宋体" w:cs="宋体"/>
          <w:color w:val="auto"/>
          <w:lang w:eastAsia="zh-CN"/>
        </w:rPr>
      </w:pPr>
      <w:r>
        <w:rPr>
          <w:rFonts w:hint="eastAsia" w:ascii="宋体" w:hAnsi="宋体" w:eastAsia="宋体" w:cs="宋体"/>
          <w:color w:val="auto"/>
          <w:spacing w:val="9"/>
          <w:lang w:eastAsia="zh-CN"/>
        </w:rPr>
        <w:t>3.2 本次招标不接受（接受或不接受）联合体投标。联合体投标的，应满足</w:t>
      </w:r>
      <w:r>
        <w:rPr>
          <w:rFonts w:hint="eastAsia" w:ascii="宋体" w:hAnsi="宋体" w:eastAsia="宋体" w:cs="宋体"/>
          <w:color w:val="auto"/>
          <w:spacing w:val="8"/>
          <w:lang w:eastAsia="zh-CN"/>
        </w:rPr>
        <w:t>下列要求：/。</w:t>
      </w:r>
    </w:p>
    <w:p>
      <w:pPr>
        <w:spacing w:before="217" w:line="399" w:lineRule="auto"/>
        <w:ind w:firstLine="425"/>
        <w:rPr>
          <w:rFonts w:ascii="宋体" w:hAnsi="宋体" w:eastAsia="宋体" w:cs="宋体"/>
          <w:color w:val="auto"/>
          <w:spacing w:val="8"/>
          <w:lang w:eastAsia="zh-CN"/>
        </w:rPr>
      </w:pPr>
      <w:r>
        <w:rPr>
          <w:rFonts w:hint="eastAsia" w:ascii="宋体" w:hAnsi="宋体" w:eastAsia="宋体" w:cs="宋体"/>
          <w:color w:val="auto"/>
          <w:spacing w:val="8"/>
          <w:lang w:eastAsia="zh-CN"/>
        </w:rPr>
        <w:t>3.3 其他要求：</w:t>
      </w:r>
    </w:p>
    <w:p>
      <w:pPr>
        <w:spacing w:before="217" w:line="399" w:lineRule="auto"/>
        <w:ind w:firstLine="425"/>
        <w:rPr>
          <w:rFonts w:ascii="宋体" w:hAnsi="宋体" w:eastAsia="宋体" w:cs="宋体"/>
          <w:color w:val="auto"/>
          <w:spacing w:val="2"/>
          <w:lang w:eastAsia="zh-CN"/>
        </w:rPr>
      </w:pPr>
      <w:r>
        <w:rPr>
          <w:rFonts w:hint="eastAsia" w:ascii="宋体" w:hAnsi="宋体" w:eastAsia="宋体" w:cs="宋体"/>
          <w:color w:val="auto"/>
          <w:spacing w:val="8"/>
          <w:lang w:eastAsia="zh-CN"/>
        </w:rPr>
        <w:t>1  、技术负责人须具有地质调査和矿产勘查专业中级及以上职称或水工</w:t>
      </w:r>
      <w:r>
        <w:rPr>
          <w:rFonts w:hint="eastAsia" w:ascii="宋体" w:hAnsi="宋体" w:eastAsia="宋体" w:cs="宋体"/>
          <w:color w:val="auto"/>
          <w:spacing w:val="7"/>
          <w:lang w:eastAsia="zh-CN"/>
        </w:rPr>
        <w:t>环专</w:t>
      </w:r>
      <w:r>
        <w:rPr>
          <w:rFonts w:hint="eastAsia" w:ascii="宋体" w:hAnsi="宋体" w:eastAsia="宋体" w:cs="宋体"/>
          <w:color w:val="auto"/>
          <w:spacing w:val="2"/>
          <w:lang w:eastAsia="zh-CN"/>
        </w:rPr>
        <w:t>业中级及以上职称，且无在建工程；</w:t>
      </w:r>
    </w:p>
    <w:p>
      <w:pPr>
        <w:spacing w:before="217" w:line="399" w:lineRule="auto"/>
        <w:ind w:firstLine="425"/>
        <w:rPr>
          <w:rFonts w:ascii="宋体" w:hAnsi="宋体" w:eastAsia="宋体" w:cs="宋体"/>
          <w:color w:val="auto"/>
          <w:spacing w:val="11"/>
          <w:lang w:eastAsia="zh-CN"/>
        </w:rPr>
      </w:pPr>
      <w:r>
        <w:rPr>
          <w:rFonts w:hint="eastAsia" w:ascii="宋体" w:hAnsi="宋体" w:eastAsia="宋体" w:cs="宋体"/>
          <w:color w:val="auto"/>
          <w:spacing w:val="2"/>
          <w:lang w:eastAsia="zh-CN"/>
        </w:rPr>
        <w:t>2  、除项目负责人、技术负责人外，其他关键岗位人员 (包 括</w:t>
      </w:r>
      <w:r>
        <w:rPr>
          <w:rFonts w:hint="eastAsia" w:ascii="宋体" w:hAnsi="宋体" w:eastAsia="宋体" w:cs="宋体"/>
          <w:color w:val="auto"/>
          <w:spacing w:val="4"/>
          <w:lang w:eastAsia="zh-CN"/>
        </w:rPr>
        <w:t>但不限于：施工员、专职安全员、质量员)  采用承诺制，评标时不对其他关键岗位人员进行</w:t>
      </w:r>
      <w:r>
        <w:rPr>
          <w:rFonts w:hint="eastAsia" w:ascii="宋体" w:hAnsi="宋体" w:eastAsia="宋体" w:cs="宋体"/>
          <w:color w:val="auto"/>
          <w:spacing w:val="3"/>
          <w:lang w:eastAsia="zh-CN"/>
        </w:rPr>
        <w:t>评审。</w:t>
      </w:r>
      <w:r>
        <w:rPr>
          <w:rFonts w:hint="eastAsia" w:ascii="宋体" w:hAnsi="宋体" w:eastAsia="宋体" w:cs="宋体"/>
          <w:color w:val="auto"/>
          <w:spacing w:val="11"/>
          <w:lang w:eastAsia="zh-CN"/>
        </w:rPr>
        <w:t>投标单位中标后向建设单位提供以上人员配置名单；</w:t>
      </w:r>
    </w:p>
    <w:p>
      <w:pPr>
        <w:spacing w:before="217" w:line="399" w:lineRule="auto"/>
        <w:ind w:firstLine="425"/>
        <w:rPr>
          <w:rFonts w:ascii="宋体" w:hAnsi="宋体" w:eastAsia="宋体" w:cs="宋体"/>
          <w:color w:val="auto"/>
          <w:spacing w:val="10"/>
          <w:lang w:eastAsia="zh-CN"/>
        </w:rPr>
      </w:pPr>
      <w:r>
        <w:rPr>
          <w:rFonts w:hint="eastAsia" w:ascii="宋体" w:hAnsi="宋体" w:eastAsia="宋体" w:cs="宋体"/>
          <w:color w:val="auto"/>
          <w:spacing w:val="11"/>
          <w:lang w:eastAsia="zh-CN"/>
        </w:rPr>
        <w:t>3  、在江永县境内因实施</w:t>
      </w:r>
      <w:r>
        <w:rPr>
          <w:rFonts w:hint="eastAsia" w:ascii="宋体" w:hAnsi="宋体" w:eastAsia="宋体" w:cs="宋体"/>
          <w:color w:val="auto"/>
          <w:spacing w:val="10"/>
          <w:lang w:eastAsia="zh-CN"/>
        </w:rPr>
        <w:t>江永县自然 资源</w:t>
      </w:r>
      <w:r>
        <w:rPr>
          <w:rFonts w:hint="eastAsia" w:ascii="宋体" w:hAnsi="宋体" w:eastAsia="宋体" w:cs="宋体"/>
          <w:color w:val="auto"/>
          <w:spacing w:val="11"/>
          <w:lang w:eastAsia="zh-CN"/>
        </w:rPr>
        <w:t>工程施工项目在合同期内无故拖延造成项目未按时验收的施工企业本</w:t>
      </w:r>
      <w:r>
        <w:rPr>
          <w:rFonts w:hint="eastAsia" w:ascii="宋体" w:hAnsi="宋体" w:eastAsia="宋体" w:cs="宋体"/>
          <w:color w:val="auto"/>
          <w:spacing w:val="10"/>
          <w:lang w:eastAsia="zh-CN"/>
        </w:rPr>
        <w:t>次不准参与投标；</w:t>
      </w:r>
    </w:p>
    <w:p>
      <w:pPr>
        <w:spacing w:before="217" w:line="399" w:lineRule="auto"/>
        <w:ind w:firstLine="425"/>
        <w:rPr>
          <w:color w:val="auto"/>
          <w:lang w:eastAsia="zh-CN"/>
        </w:rPr>
      </w:pPr>
      <w:r>
        <w:rPr>
          <w:rFonts w:hint="eastAsia" w:ascii="宋体" w:hAnsi="宋体" w:eastAsia="宋体" w:cs="宋体"/>
          <w:color w:val="auto"/>
          <w:spacing w:val="10"/>
          <w:lang w:eastAsia="zh-CN"/>
        </w:rPr>
        <w:t>4、本项</w:t>
      </w:r>
      <w:r>
        <w:rPr>
          <w:rFonts w:hint="eastAsia" w:ascii="宋体" w:hAnsi="宋体" w:eastAsia="宋体" w:cs="宋体"/>
          <w:color w:val="auto"/>
          <w:spacing w:val="41"/>
          <w:lang w:eastAsia="zh-CN"/>
        </w:rPr>
        <w:t>目采用失信被执行人否决性惩戒方式。招标人不接受</w:t>
      </w:r>
      <w:r>
        <w:rPr>
          <w:rFonts w:hint="eastAsia" w:ascii="宋体" w:hAnsi="宋体" w:eastAsia="宋体" w:cs="宋体"/>
          <w:color w:val="auto"/>
          <w:spacing w:val="40"/>
          <w:lang w:eastAsia="zh-CN"/>
        </w:rPr>
        <w:t>在全国企业信用信息公示系统</w:t>
      </w:r>
      <w:r>
        <w:rPr>
          <w:rFonts w:hint="eastAsia" w:ascii="宋体" w:hAnsi="宋体" w:eastAsia="宋体" w:cs="宋体"/>
          <w:color w:val="auto"/>
          <w:lang w:eastAsia="zh-CN"/>
        </w:rPr>
        <w:t xml:space="preserve"> (</w:t>
      </w:r>
      <w:r>
        <w:rPr>
          <w:color w:val="auto"/>
        </w:rPr>
        <w:fldChar w:fldCharType="begin"/>
      </w:r>
      <w:r>
        <w:rPr>
          <w:color w:val="auto"/>
        </w:rPr>
        <w:instrText xml:space="preserve"> HYPERLINK "http://www.gsxt.gov.cn" </w:instrText>
      </w:r>
      <w:r>
        <w:rPr>
          <w:color w:val="auto"/>
        </w:rPr>
        <w:fldChar w:fldCharType="separate"/>
      </w:r>
      <w:r>
        <w:rPr>
          <w:rFonts w:hint="eastAsia" w:ascii="宋体" w:hAnsi="宋体" w:eastAsia="宋体" w:cs="宋体"/>
          <w:color w:val="auto"/>
          <w:lang w:eastAsia="zh-CN"/>
        </w:rPr>
        <w:t>http://www.gsxt.gov.cn</w:t>
      </w:r>
      <w:r>
        <w:rPr>
          <w:rFonts w:hint="eastAsia" w:ascii="宋体" w:hAnsi="宋体" w:eastAsia="宋体" w:cs="宋体"/>
          <w:color w:val="auto"/>
          <w:lang w:eastAsia="zh-CN"/>
        </w:rPr>
        <w:fldChar w:fldCharType="end"/>
      </w:r>
      <w:r>
        <w:rPr>
          <w:rFonts w:hint="eastAsia" w:ascii="宋体" w:hAnsi="宋体" w:eastAsia="宋体" w:cs="宋体"/>
          <w:color w:val="auto"/>
          <w:lang w:eastAsia="zh-CN"/>
        </w:rPr>
        <w:t>)   中被列入严重违法失信企业名单的或在“</w:t>
      </w:r>
      <w:r>
        <w:rPr>
          <w:rFonts w:hint="eastAsia" w:ascii="宋体" w:hAnsi="宋体" w:eastAsia="宋体" w:cs="宋体"/>
          <w:color w:val="auto"/>
          <w:spacing w:val="-1"/>
          <w:lang w:eastAsia="zh-CN"/>
        </w:rPr>
        <w:t xml:space="preserve">  信用中国  ”网站</w:t>
      </w:r>
      <w:r>
        <w:rPr>
          <w:rFonts w:hint="eastAsia" w:ascii="宋体" w:hAnsi="宋体" w:eastAsia="宋体" w:cs="宋体"/>
          <w:color w:val="auto"/>
          <w:spacing w:val="10"/>
          <w:lang w:eastAsia="zh-CN"/>
        </w:rPr>
        <w:t>(</w:t>
      </w:r>
      <w:r>
        <w:rPr>
          <w:rFonts w:hint="eastAsia" w:ascii="宋体" w:hAnsi="宋体" w:eastAsia="宋体" w:cs="宋体"/>
          <w:color w:val="auto"/>
          <w:lang w:eastAsia="zh-CN"/>
        </w:rPr>
        <w:t>www</w:t>
      </w:r>
      <w:r>
        <w:rPr>
          <w:rFonts w:hint="eastAsia" w:ascii="宋体" w:hAnsi="宋体" w:eastAsia="宋体" w:cs="宋体"/>
          <w:color w:val="auto"/>
          <w:spacing w:val="10"/>
          <w:lang w:eastAsia="zh-CN"/>
        </w:rPr>
        <w:t>.</w:t>
      </w:r>
      <w:r>
        <w:rPr>
          <w:rFonts w:hint="eastAsia" w:ascii="宋体" w:hAnsi="宋体" w:eastAsia="宋体" w:cs="宋体"/>
          <w:color w:val="auto"/>
          <w:lang w:eastAsia="zh-CN"/>
        </w:rPr>
        <w:t>creditchina</w:t>
      </w:r>
      <w:r>
        <w:rPr>
          <w:rFonts w:hint="eastAsia" w:ascii="宋体" w:hAnsi="宋体" w:eastAsia="宋体" w:cs="宋体"/>
          <w:color w:val="auto"/>
          <w:spacing w:val="10"/>
          <w:lang w:eastAsia="zh-CN"/>
        </w:rPr>
        <w:t>.</w:t>
      </w:r>
      <w:r>
        <w:rPr>
          <w:rFonts w:hint="eastAsia" w:ascii="宋体" w:hAnsi="宋体" w:eastAsia="宋体" w:cs="宋体"/>
          <w:color w:val="auto"/>
          <w:lang w:eastAsia="zh-CN"/>
        </w:rPr>
        <w:t>gov</w:t>
      </w:r>
      <w:r>
        <w:rPr>
          <w:rFonts w:hint="eastAsia" w:ascii="宋体" w:hAnsi="宋体" w:eastAsia="宋体" w:cs="宋体"/>
          <w:color w:val="auto"/>
          <w:spacing w:val="10"/>
          <w:lang w:eastAsia="zh-CN"/>
        </w:rPr>
        <w:t>.</w:t>
      </w:r>
      <w:r>
        <w:rPr>
          <w:rFonts w:hint="eastAsia" w:ascii="宋体" w:hAnsi="宋体" w:eastAsia="宋体" w:cs="宋体"/>
          <w:color w:val="auto"/>
          <w:lang w:eastAsia="zh-CN"/>
        </w:rPr>
        <w:t>cn</w:t>
      </w:r>
      <w:r>
        <w:rPr>
          <w:rFonts w:hint="eastAsia" w:ascii="宋体" w:hAnsi="宋体" w:eastAsia="宋体" w:cs="宋体"/>
          <w:color w:val="auto"/>
          <w:spacing w:val="10"/>
          <w:lang w:eastAsia="zh-CN"/>
        </w:rPr>
        <w:t>)中被列入失信被执行人名单的投标人投标。</w:t>
      </w:r>
    </w:p>
    <w:p>
      <w:pPr>
        <w:spacing w:before="101" w:line="360" w:lineRule="auto"/>
        <w:ind w:left="21"/>
        <w:outlineLvl w:val="1"/>
        <w:rPr>
          <w:rFonts w:ascii="宋体" w:hAnsi="宋体" w:eastAsia="宋体" w:cs="宋体"/>
          <w:color w:val="auto"/>
          <w:spacing w:val="19"/>
          <w:lang w:eastAsia="zh-CN"/>
        </w:rPr>
      </w:pPr>
      <w:bookmarkStart w:id="9" w:name="bookmark13"/>
      <w:bookmarkEnd w:id="9"/>
      <w:bookmarkStart w:id="10" w:name="bookmark14"/>
      <w:bookmarkEnd w:id="10"/>
      <w:bookmarkStart w:id="11" w:name="bookmark11"/>
      <w:bookmarkEnd w:id="11"/>
      <w:bookmarkStart w:id="12" w:name="bookmark12"/>
      <w:bookmarkEnd w:id="12"/>
      <w:r>
        <w:rPr>
          <w:rFonts w:hint="eastAsia" w:ascii="宋体" w:hAnsi="宋体" w:eastAsia="宋体" w:cs="宋体"/>
          <w:b/>
          <w:bCs/>
          <w:color w:val="auto"/>
          <w:spacing w:val="1"/>
          <w:sz w:val="28"/>
          <w:szCs w:val="28"/>
          <w:lang w:eastAsia="zh-CN"/>
        </w:rPr>
        <w:t>4.招标文件的获取</w:t>
      </w:r>
    </w:p>
    <w:p>
      <w:pPr>
        <w:pStyle w:val="9"/>
        <w:spacing w:line="360" w:lineRule="auto"/>
        <w:ind w:firstLine="496" w:firstLineChars="200"/>
        <w:rPr>
          <w:rFonts w:ascii="宋体" w:hAnsi="宋体" w:eastAsia="宋体" w:cs="宋体"/>
          <w:color w:val="auto"/>
          <w:spacing w:val="19"/>
          <w:sz w:val="21"/>
        </w:rPr>
      </w:pPr>
      <w:r>
        <w:rPr>
          <w:rFonts w:hint="eastAsia" w:ascii="宋体" w:hAnsi="宋体" w:eastAsia="宋体" w:cs="宋体"/>
          <w:color w:val="auto"/>
          <w:spacing w:val="19"/>
          <w:sz w:val="21"/>
        </w:rPr>
        <w:t>4.1请有意参加的投标人自2024年 10 月</w:t>
      </w:r>
      <w:r>
        <w:rPr>
          <w:rFonts w:hint="eastAsia" w:ascii="宋体" w:hAnsi="宋体" w:eastAsia="宋体" w:cs="宋体"/>
          <w:color w:val="auto"/>
          <w:spacing w:val="19"/>
          <w:sz w:val="21"/>
          <w:lang w:val="en-US" w:eastAsia="zh-CN"/>
        </w:rPr>
        <w:t>25</w:t>
      </w:r>
      <w:r>
        <w:rPr>
          <w:rFonts w:hint="eastAsia" w:ascii="宋体" w:hAnsi="宋体" w:eastAsia="宋体" w:cs="宋体"/>
          <w:color w:val="auto"/>
          <w:spacing w:val="19"/>
          <w:sz w:val="21"/>
        </w:rPr>
        <w:t>日至2024年 10  月</w:t>
      </w:r>
      <w:r>
        <w:rPr>
          <w:rFonts w:hint="eastAsia" w:ascii="宋体" w:hAnsi="宋体" w:eastAsia="宋体" w:cs="宋体"/>
          <w:color w:val="auto"/>
          <w:spacing w:val="19"/>
          <w:sz w:val="21"/>
          <w:lang w:val="en-US" w:eastAsia="zh-CN"/>
        </w:rPr>
        <w:t>31</w:t>
      </w:r>
      <w:r>
        <w:rPr>
          <w:rFonts w:hint="eastAsia" w:ascii="宋体" w:hAnsi="宋体" w:eastAsia="宋体" w:cs="宋体"/>
          <w:color w:val="auto"/>
          <w:spacing w:val="19"/>
          <w:sz w:val="21"/>
        </w:rPr>
        <w:t>日 9：30 时止（北京时间）在江永县人民政府网站(http://www.jiangyong.gov.cn/)网上下载获取招标文件、图纸及工程量清单。</w:t>
      </w:r>
    </w:p>
    <w:p>
      <w:pPr>
        <w:pStyle w:val="9"/>
        <w:spacing w:line="360" w:lineRule="auto"/>
        <w:ind w:firstLine="496" w:firstLineChars="200"/>
        <w:rPr>
          <w:rFonts w:ascii="宋体" w:hAnsi="宋体" w:eastAsia="宋体" w:cs="宋体"/>
          <w:color w:val="auto"/>
          <w:spacing w:val="19"/>
          <w:sz w:val="21"/>
          <w:lang w:eastAsia="en-US"/>
        </w:rPr>
      </w:pPr>
      <w:r>
        <w:rPr>
          <w:rFonts w:hint="eastAsia" w:ascii="宋体" w:hAnsi="宋体" w:eastAsia="宋体" w:cs="宋体"/>
          <w:color w:val="auto"/>
          <w:spacing w:val="19"/>
          <w:sz w:val="21"/>
          <w:lang w:eastAsia="en-US"/>
        </w:rPr>
        <w:t>4.2招标人对招标文件、工程量清单的修改、澄清答疑在江永县人民政府网站(http://www.jiangyong.gov.cn/)网上发布，投标人自行下载。</w:t>
      </w:r>
    </w:p>
    <w:p>
      <w:pPr>
        <w:pStyle w:val="16"/>
        <w:autoSpaceDE/>
        <w:autoSpaceDN/>
        <w:snapToGrid w:val="0"/>
        <w:spacing w:line="360" w:lineRule="auto"/>
        <w:ind w:firstLine="496" w:firstLineChars="200"/>
        <w:jc w:val="both"/>
        <w:outlineLvl w:val="2"/>
        <w:rPr>
          <w:rFonts w:hAnsi="宋体"/>
          <w:color w:val="auto"/>
          <w:spacing w:val="19"/>
          <w:sz w:val="21"/>
          <w:szCs w:val="21"/>
        </w:rPr>
      </w:pPr>
      <w:r>
        <w:rPr>
          <w:rFonts w:hint="eastAsia" w:hAnsi="宋体"/>
          <w:color w:val="auto"/>
          <w:spacing w:val="19"/>
          <w:sz w:val="21"/>
          <w:szCs w:val="21"/>
        </w:rPr>
        <w:t>4.3招标文件每套售价400元，售后不退。递交投标文件时缴纳，否则拒绝接受其投标文件。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r>
        <w:rPr>
          <w:rFonts w:hint="eastAsia" w:hAnsi="宋体"/>
          <w:b/>
          <w:bCs/>
          <w:color w:val="auto"/>
          <w:spacing w:val="1"/>
          <w:sz w:val="28"/>
          <w:szCs w:val="28"/>
        </w:rPr>
        <w:t>5、投标担保</w:t>
      </w:r>
    </w:p>
    <w:p>
      <w:pPr>
        <w:pStyle w:val="16"/>
        <w:autoSpaceDE/>
        <w:autoSpaceDN/>
        <w:snapToGrid w:val="0"/>
        <w:spacing w:line="360" w:lineRule="auto"/>
        <w:ind w:firstLine="422" w:firstLineChars="200"/>
        <w:jc w:val="both"/>
        <w:rPr>
          <w:rFonts w:hAnsi="宋体"/>
          <w:b/>
          <w:color w:val="auto"/>
          <w:kern w:val="2"/>
          <w:sz w:val="21"/>
          <w:szCs w:val="21"/>
        </w:rPr>
      </w:pPr>
      <w:r>
        <w:rPr>
          <w:rFonts w:hint="eastAsia" w:hAnsi="宋体"/>
          <w:b/>
          <w:color w:val="auto"/>
          <w:kern w:val="2"/>
          <w:sz w:val="21"/>
          <w:szCs w:val="21"/>
        </w:rPr>
        <w:t>5.1</w:t>
      </w:r>
      <w:r>
        <w:rPr>
          <w:rFonts w:hint="eastAsia" w:hAnsi="宋体"/>
          <w:b/>
          <w:color w:val="auto"/>
          <w:sz w:val="21"/>
          <w:szCs w:val="21"/>
        </w:rPr>
        <w:t>（A）</w:t>
      </w:r>
      <w:r>
        <w:rPr>
          <w:rFonts w:hint="eastAsia" w:hAnsi="宋体"/>
          <w:b/>
          <w:color w:val="auto"/>
          <w:kern w:val="2"/>
          <w:sz w:val="21"/>
          <w:szCs w:val="21"/>
        </w:rPr>
        <w:t>需递交投标担保：</w:t>
      </w:r>
      <w:r>
        <w:rPr>
          <w:rFonts w:hint="eastAsia" w:hAnsi="宋体"/>
          <w:b/>
          <w:color w:val="auto"/>
          <w:kern w:val="2"/>
          <w:sz w:val="21"/>
          <w:szCs w:val="21"/>
          <w:u w:val="single"/>
        </w:rPr>
        <w:t>详见招标文件的规定</w:t>
      </w:r>
      <w:r>
        <w:rPr>
          <w:rFonts w:hint="eastAsia" w:hAnsi="宋体"/>
          <w:b/>
          <w:color w:val="auto"/>
          <w:kern w:val="2"/>
          <w:sz w:val="21"/>
          <w:szCs w:val="21"/>
        </w:rPr>
        <w:t>。</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3" w:name="_Toc16862"/>
      <w:bookmarkEnd w:id="13"/>
      <w:r>
        <w:rPr>
          <w:rFonts w:hint="eastAsia" w:hAnsi="宋体"/>
          <w:b/>
          <w:bCs/>
          <w:color w:val="auto"/>
          <w:spacing w:val="1"/>
          <w:sz w:val="28"/>
          <w:szCs w:val="28"/>
        </w:rPr>
        <w:t>6、投标文件递交</w:t>
      </w:r>
    </w:p>
    <w:p>
      <w:pPr>
        <w:pStyle w:val="9"/>
        <w:spacing w:line="360" w:lineRule="auto"/>
        <w:ind w:firstLine="422" w:firstLineChars="200"/>
        <w:rPr>
          <w:rFonts w:ascii="宋体" w:hAnsi="宋体" w:eastAsia="宋体" w:cs="宋体"/>
          <w:color w:val="auto"/>
          <w:sz w:val="21"/>
        </w:rPr>
      </w:pPr>
      <w:r>
        <w:rPr>
          <w:rFonts w:hint="eastAsia" w:ascii="宋体" w:hAnsi="宋体" w:eastAsia="宋体" w:cs="宋体"/>
          <w:b/>
          <w:color w:val="auto"/>
          <w:sz w:val="21"/>
        </w:rPr>
        <w:t>6.1</w:t>
      </w:r>
      <w:r>
        <w:rPr>
          <w:rFonts w:hint="eastAsia" w:ascii="宋体" w:hAnsi="宋体" w:eastAsia="宋体" w:cs="宋体"/>
          <w:color w:val="auto"/>
          <w:sz w:val="21"/>
        </w:rPr>
        <w:t>投标文件递交截止时间（投标截止时间，下同）为</w:t>
      </w:r>
      <w:r>
        <w:rPr>
          <w:rFonts w:hint="eastAsia" w:ascii="宋体" w:hAnsi="宋体" w:eastAsia="宋体" w:cs="宋体"/>
          <w:color w:val="auto"/>
          <w:sz w:val="21"/>
          <w:u w:val="single"/>
        </w:rPr>
        <w:t>2024</w:t>
      </w:r>
      <w:r>
        <w:rPr>
          <w:rFonts w:hint="eastAsia" w:ascii="宋体" w:hAnsi="宋体" w:eastAsia="宋体" w:cs="宋体"/>
          <w:color w:val="auto"/>
          <w:sz w:val="21"/>
        </w:rPr>
        <w:t>年</w:t>
      </w:r>
      <w:r>
        <w:rPr>
          <w:rFonts w:hint="eastAsia" w:ascii="宋体" w:hAnsi="宋体" w:eastAsia="宋体" w:cs="宋体"/>
          <w:color w:val="auto"/>
          <w:sz w:val="21"/>
          <w:lang w:val="en-US" w:eastAsia="zh-CN"/>
        </w:rPr>
        <w:t xml:space="preserve"> </w:t>
      </w:r>
      <w:r>
        <w:rPr>
          <w:rFonts w:hint="eastAsia" w:ascii="宋体" w:hAnsi="宋体" w:eastAsia="宋体" w:cs="宋体"/>
          <w:color w:val="auto"/>
          <w:sz w:val="21"/>
          <w:u w:val="single"/>
          <w:lang w:val="en-US" w:eastAsia="zh-CN"/>
        </w:rPr>
        <w:t>10</w:t>
      </w:r>
      <w:r>
        <w:rPr>
          <w:rFonts w:hint="eastAsia" w:ascii="宋体" w:hAnsi="宋体" w:eastAsia="宋体" w:cs="宋体"/>
          <w:color w:val="auto"/>
          <w:sz w:val="21"/>
          <w:u w:val="single"/>
        </w:rPr>
        <w:t xml:space="preserve"> </w:t>
      </w:r>
      <w:r>
        <w:rPr>
          <w:rFonts w:hint="eastAsia" w:ascii="宋体" w:hAnsi="宋体" w:eastAsia="宋体" w:cs="宋体"/>
          <w:color w:val="auto"/>
          <w:sz w:val="21"/>
        </w:rPr>
        <w:t>月</w:t>
      </w:r>
      <w:r>
        <w:rPr>
          <w:rFonts w:hint="eastAsia" w:ascii="宋体" w:hAnsi="宋体" w:eastAsia="宋体" w:cs="宋体"/>
          <w:color w:val="auto"/>
          <w:sz w:val="21"/>
          <w:u w:val="single"/>
          <w:lang w:val="en-US" w:eastAsia="zh-CN"/>
        </w:rPr>
        <w:t>31</w:t>
      </w:r>
      <w:r>
        <w:rPr>
          <w:rFonts w:hint="eastAsia" w:ascii="宋体" w:hAnsi="宋体" w:eastAsia="宋体" w:cs="宋体"/>
          <w:color w:val="auto"/>
          <w:sz w:val="21"/>
        </w:rPr>
        <w:t>日</w:t>
      </w:r>
      <w:r>
        <w:rPr>
          <w:rFonts w:hint="eastAsia" w:ascii="宋体" w:hAnsi="宋体" w:eastAsia="宋体" w:cs="宋体"/>
          <w:color w:val="auto"/>
          <w:sz w:val="21"/>
          <w:u w:val="single"/>
        </w:rPr>
        <w:t>09</w:t>
      </w:r>
      <w:r>
        <w:rPr>
          <w:rFonts w:hint="eastAsia" w:ascii="宋体" w:hAnsi="宋体" w:eastAsia="宋体" w:cs="宋体"/>
          <w:color w:val="auto"/>
          <w:sz w:val="21"/>
        </w:rPr>
        <w:t>时</w:t>
      </w:r>
      <w:r>
        <w:rPr>
          <w:rFonts w:hint="eastAsia" w:ascii="宋体" w:hAnsi="宋体" w:eastAsia="宋体" w:cs="宋体"/>
          <w:color w:val="auto"/>
          <w:sz w:val="21"/>
          <w:u w:val="single"/>
        </w:rPr>
        <w:t xml:space="preserve"> 30</w:t>
      </w:r>
      <w:r>
        <w:rPr>
          <w:rFonts w:hint="eastAsia" w:ascii="宋体" w:hAnsi="宋体" w:eastAsia="宋体" w:cs="宋体"/>
          <w:color w:val="auto"/>
          <w:sz w:val="21"/>
        </w:rPr>
        <w:t>分（北京时间）。</w:t>
      </w:r>
    </w:p>
    <w:p>
      <w:pPr>
        <w:pStyle w:val="9"/>
        <w:spacing w:line="360" w:lineRule="auto"/>
        <w:ind w:firstLine="422" w:firstLineChars="200"/>
        <w:rPr>
          <w:rFonts w:ascii="宋体" w:hAnsi="宋体" w:eastAsia="宋体" w:cs="宋体"/>
          <w:b/>
          <w:color w:val="auto"/>
          <w:sz w:val="21"/>
        </w:rPr>
      </w:pPr>
      <w:r>
        <w:rPr>
          <w:rFonts w:hint="eastAsia" w:ascii="宋体" w:hAnsi="宋体" w:eastAsia="宋体" w:cs="宋体"/>
          <w:b/>
          <w:color w:val="auto"/>
          <w:sz w:val="21"/>
        </w:rPr>
        <w:t>6.2开标地点：</w:t>
      </w:r>
      <w:r>
        <w:rPr>
          <w:rFonts w:hint="eastAsia" w:ascii="宋体" w:hAnsi="宋体" w:eastAsia="宋体" w:cs="宋体"/>
          <w:b/>
          <w:color w:val="auto"/>
          <w:sz w:val="21"/>
          <w:u w:val="single"/>
        </w:rPr>
        <w:t>江永女书大酒店四楼会议室</w:t>
      </w:r>
      <w:r>
        <w:rPr>
          <w:rFonts w:hint="eastAsia" w:ascii="宋体" w:hAnsi="宋体" w:eastAsia="宋体" w:cs="宋体"/>
          <w:b/>
          <w:color w:val="auto"/>
          <w:sz w:val="21"/>
        </w:rPr>
        <w:t xml:space="preserve"> 。</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6.3逾期送达的、未送达指定地点的或不按照招标文件要求密封的投标文件，招标人将予以拒收。</w:t>
      </w:r>
    </w:p>
    <w:p>
      <w:pPr>
        <w:pStyle w:val="9"/>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6.4所有投标人【法定代表人持法定代表人身份证明书及本人身份证或委托代理人（为本</w:t>
      </w:r>
      <w:r>
        <w:rPr>
          <w:rFonts w:hint="eastAsia" w:ascii="宋体" w:hAnsi="宋体" w:eastAsia="宋体" w:cs="宋体"/>
          <w:bCs/>
          <w:color w:val="auto"/>
          <w:sz w:val="21"/>
          <w:lang w:val="en-US" w:eastAsia="zh-CN"/>
        </w:rPr>
        <w:t>单位正式员工，提供社保证明或劳动合同</w:t>
      </w:r>
      <w:r>
        <w:rPr>
          <w:rFonts w:hint="eastAsia" w:ascii="宋体" w:hAnsi="宋体" w:eastAsia="宋体" w:cs="宋体"/>
          <w:bCs/>
          <w:color w:val="auto"/>
          <w:sz w:val="21"/>
        </w:rPr>
        <w:t>）持授权委托书及本人身份证】须准时参加开标。</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4" w:name="_Toc16899"/>
      <w:bookmarkEnd w:id="14"/>
      <w:r>
        <w:rPr>
          <w:rFonts w:hint="eastAsia" w:hAnsi="宋体"/>
          <w:b/>
          <w:bCs/>
          <w:color w:val="auto"/>
          <w:spacing w:val="1"/>
          <w:sz w:val="28"/>
          <w:szCs w:val="28"/>
        </w:rPr>
        <w:t>7、评标办法</w:t>
      </w:r>
    </w:p>
    <w:p>
      <w:pPr>
        <w:pStyle w:val="9"/>
        <w:spacing w:line="360" w:lineRule="auto"/>
        <w:ind w:firstLine="420" w:firstLineChars="200"/>
        <w:rPr>
          <w:rFonts w:ascii="宋体" w:hAnsi="宋体" w:eastAsia="宋体" w:cs="宋体"/>
          <w:color w:val="auto"/>
          <w:sz w:val="21"/>
        </w:rPr>
      </w:pPr>
      <w:r>
        <w:rPr>
          <w:rFonts w:hint="eastAsia" w:ascii="宋体" w:hAnsi="宋体" w:eastAsia="宋体" w:cs="宋体"/>
          <w:color w:val="auto"/>
          <w:sz w:val="21"/>
        </w:rPr>
        <w:t>7.1本项目评标办法采用</w:t>
      </w:r>
      <w:r>
        <w:rPr>
          <w:rFonts w:hint="eastAsia" w:ascii="宋体" w:hAnsi="宋体" w:eastAsia="宋体" w:cs="宋体"/>
          <w:color w:val="auto"/>
          <w:sz w:val="21"/>
          <w:u w:val="single"/>
        </w:rPr>
        <w:t xml:space="preserve"> 综合评估法I </w:t>
      </w:r>
      <w:r>
        <w:rPr>
          <w:rFonts w:hint="eastAsia" w:ascii="宋体" w:hAnsi="宋体" w:eastAsia="宋体" w:cs="宋体"/>
          <w:color w:val="auto"/>
          <w:sz w:val="21"/>
        </w:rPr>
        <w:t>。</w:t>
      </w:r>
    </w:p>
    <w:p>
      <w:pPr>
        <w:pStyle w:val="16"/>
        <w:autoSpaceDE/>
        <w:autoSpaceDN/>
        <w:snapToGrid w:val="0"/>
        <w:spacing w:line="360" w:lineRule="auto"/>
        <w:ind w:firstLine="420" w:firstLineChars="200"/>
        <w:jc w:val="both"/>
        <w:outlineLvl w:val="2"/>
        <w:rPr>
          <w:rFonts w:hAnsi="宋体"/>
          <w:color w:val="auto"/>
          <w:sz w:val="21"/>
          <w:szCs w:val="21"/>
        </w:rPr>
      </w:pPr>
      <w:r>
        <w:rPr>
          <w:rFonts w:hint="eastAsia" w:hAnsi="宋体"/>
          <w:color w:val="auto"/>
          <w:sz w:val="21"/>
          <w:szCs w:val="21"/>
        </w:rPr>
        <w:t>7.2本次招标实行资格后审，资格审查的具体要求见招标文件。</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5" w:name="_Toc32167"/>
      <w:bookmarkEnd w:id="15"/>
      <w:r>
        <w:rPr>
          <w:rFonts w:hint="eastAsia" w:hAnsi="宋体"/>
          <w:b/>
          <w:bCs/>
          <w:color w:val="auto"/>
          <w:spacing w:val="1"/>
          <w:sz w:val="28"/>
          <w:szCs w:val="28"/>
        </w:rPr>
        <w:t>8、踏勘现场和投标预备会</w:t>
      </w:r>
    </w:p>
    <w:p>
      <w:pPr>
        <w:spacing w:line="360" w:lineRule="auto"/>
        <w:ind w:firstLine="422" w:firstLineChars="200"/>
        <w:rPr>
          <w:rFonts w:ascii="宋体" w:hAnsi="宋体" w:eastAsia="宋体" w:cs="宋体"/>
          <w:color w:val="auto"/>
          <w:lang w:eastAsia="zh-CN"/>
        </w:rPr>
      </w:pPr>
      <w:r>
        <w:rPr>
          <w:rFonts w:hint="eastAsia" w:ascii="宋体" w:hAnsi="宋体" w:eastAsia="宋体" w:cs="宋体"/>
          <w:b/>
          <w:color w:val="auto"/>
          <w:lang w:eastAsia="zh-CN"/>
        </w:rPr>
        <w:t>8.1（B）</w:t>
      </w:r>
      <w:r>
        <w:rPr>
          <w:rFonts w:hint="eastAsia" w:ascii="宋体" w:hAnsi="宋体" w:eastAsia="宋体" w:cs="宋体"/>
          <w:color w:val="auto"/>
          <w:lang w:eastAsia="zh-CN"/>
        </w:rPr>
        <w:t>本项目招标人不统一组织现场踏勘和召开投标预备会。</w:t>
      </w:r>
    </w:p>
    <w:p>
      <w:pPr>
        <w:pStyle w:val="16"/>
        <w:autoSpaceDE/>
        <w:autoSpaceDN/>
        <w:snapToGrid w:val="0"/>
        <w:spacing w:line="360" w:lineRule="auto"/>
        <w:ind w:firstLine="566" w:firstLineChars="200"/>
        <w:jc w:val="both"/>
        <w:outlineLvl w:val="2"/>
        <w:rPr>
          <w:rFonts w:hAnsi="宋体"/>
          <w:b/>
          <w:bCs/>
          <w:color w:val="auto"/>
          <w:spacing w:val="1"/>
          <w:sz w:val="28"/>
          <w:szCs w:val="28"/>
        </w:rPr>
      </w:pPr>
      <w:bookmarkStart w:id="16" w:name="_Toc18180"/>
      <w:bookmarkEnd w:id="16"/>
      <w:r>
        <w:rPr>
          <w:rFonts w:hint="eastAsia" w:hAnsi="宋体"/>
          <w:b/>
          <w:bCs/>
          <w:color w:val="auto"/>
          <w:spacing w:val="1"/>
          <w:sz w:val="28"/>
          <w:szCs w:val="28"/>
        </w:rPr>
        <w:t>9、行政监督</w:t>
      </w:r>
    </w:p>
    <w:p>
      <w:pPr>
        <w:spacing w:before="65" w:line="189" w:lineRule="auto"/>
        <w:rPr>
          <w:rFonts w:ascii="宋体" w:hAnsi="宋体" w:eastAsia="宋体" w:cs="宋体"/>
          <w:color w:val="auto"/>
          <w:lang w:eastAsia="zh-CN"/>
        </w:rPr>
      </w:pPr>
      <w:r>
        <w:rPr>
          <w:rFonts w:hint="eastAsia" w:ascii="宋体" w:hAnsi="宋体" w:eastAsia="宋体" w:cs="宋体"/>
          <w:color w:val="auto"/>
          <w:lang w:eastAsia="zh-CN"/>
        </w:rPr>
        <w:t>本次招标行政监督部门为江永县招投标指导协调领导小组办公室，电话：</w:t>
      </w:r>
      <w:r>
        <w:rPr>
          <w:rFonts w:hint="eastAsia" w:ascii="宋体" w:hAnsi="宋体" w:eastAsia="宋体" w:cs="宋体"/>
          <w:color w:val="auto"/>
          <w:spacing w:val="3"/>
          <w:lang w:eastAsia="zh-CN"/>
        </w:rPr>
        <w:t>0746-5752307。</w:t>
      </w:r>
    </w:p>
    <w:p>
      <w:pPr>
        <w:pStyle w:val="16"/>
        <w:autoSpaceDE/>
        <w:autoSpaceDN/>
        <w:snapToGrid w:val="0"/>
        <w:spacing w:line="360" w:lineRule="auto"/>
        <w:ind w:firstLine="566" w:firstLineChars="200"/>
        <w:jc w:val="both"/>
        <w:outlineLvl w:val="2"/>
        <w:rPr>
          <w:rFonts w:hAnsi="宋体"/>
          <w:color w:val="auto"/>
          <w:sz w:val="21"/>
          <w:szCs w:val="21"/>
        </w:rPr>
      </w:pPr>
      <w:bookmarkStart w:id="17" w:name="bookmark24"/>
      <w:bookmarkEnd w:id="17"/>
      <w:bookmarkStart w:id="18" w:name="bookmark23"/>
      <w:bookmarkEnd w:id="18"/>
      <w:r>
        <w:rPr>
          <w:rFonts w:hint="eastAsia" w:hAnsi="宋体"/>
          <w:b/>
          <w:bCs/>
          <w:color w:val="auto"/>
          <w:spacing w:val="1"/>
          <w:sz w:val="28"/>
          <w:szCs w:val="28"/>
        </w:rPr>
        <w:t>10.联系方式</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（1）招 标 人：江永县自然资源局</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地    址：江永县永阳路 177 号</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联 系 人：蒋杰志</w:t>
      </w:r>
    </w:p>
    <w:p>
      <w:pPr>
        <w:spacing w:line="360" w:lineRule="auto"/>
        <w:ind w:firstLine="972" w:firstLineChars="463"/>
        <w:rPr>
          <w:rFonts w:ascii="宋体" w:hAnsi="宋体" w:eastAsia="宋体" w:cs="宋体"/>
          <w:color w:val="auto"/>
          <w:lang w:eastAsia="zh-CN"/>
        </w:rPr>
      </w:pPr>
      <w:r>
        <w:rPr>
          <w:rFonts w:hint="eastAsia" w:ascii="宋体" w:hAnsi="宋体" w:eastAsia="宋体" w:cs="宋体"/>
          <w:color w:val="auto"/>
          <w:lang w:eastAsia="zh-CN"/>
        </w:rPr>
        <w:t>电    话：18874657933（经本人同意公开）</w:t>
      </w:r>
    </w:p>
    <w:p>
      <w:pPr>
        <w:pStyle w:val="9"/>
        <w:numPr>
          <w:ilvl w:val="0"/>
          <w:numId w:val="2"/>
        </w:numPr>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 xml:space="preserve">招标代理机构：中林智建控股集团有限公司 </w:t>
      </w:r>
    </w:p>
    <w:p>
      <w:pPr>
        <w:pStyle w:val="9"/>
        <w:spacing w:line="360" w:lineRule="auto"/>
        <w:ind w:left="972" w:leftChars="463"/>
        <w:rPr>
          <w:rFonts w:ascii="宋体" w:hAnsi="宋体" w:eastAsia="宋体" w:cs="宋体"/>
          <w:color w:val="auto"/>
          <w:sz w:val="21"/>
        </w:rPr>
      </w:pPr>
      <w:r>
        <w:rPr>
          <w:rFonts w:hint="eastAsia" w:ascii="宋体" w:hAnsi="宋体" w:eastAsia="宋体" w:cs="宋体"/>
          <w:color w:val="auto"/>
          <w:sz w:val="21"/>
        </w:rPr>
        <w:t>地    址：永州市冷水滩区安大公馆六楼</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联 系 人：魏春路</w:t>
      </w:r>
    </w:p>
    <w:p>
      <w:pPr>
        <w:pStyle w:val="9"/>
        <w:spacing w:line="360" w:lineRule="auto"/>
        <w:ind w:firstLine="972" w:firstLineChars="463"/>
        <w:rPr>
          <w:rFonts w:ascii="宋体" w:hAnsi="宋体" w:eastAsia="宋体" w:cs="宋体"/>
          <w:color w:val="auto"/>
          <w:sz w:val="21"/>
        </w:rPr>
      </w:pPr>
      <w:r>
        <w:rPr>
          <w:rFonts w:hint="eastAsia" w:ascii="宋体" w:hAnsi="宋体" w:eastAsia="宋体" w:cs="宋体"/>
          <w:color w:val="auto"/>
          <w:sz w:val="21"/>
        </w:rPr>
        <w:t>电    话：17674675855（经本人同意公开）</w:t>
      </w:r>
    </w:p>
    <w:p>
      <w:pPr>
        <w:ind w:firstLine="1050" w:firstLineChars="500"/>
        <w:rPr>
          <w:color w:val="auto"/>
        </w:rPr>
        <w:sectPr>
          <w:footerReference r:id="rId10" w:type="default"/>
          <w:pgSz w:w="11906" w:h="16838"/>
          <w:pgMar w:top="1417" w:right="1228" w:bottom="1417" w:left="1218" w:header="1021" w:footer="992" w:gutter="0"/>
          <w:pgNumType w:start="1"/>
          <w:cols w:space="720" w:num="1"/>
          <w:docGrid w:linePitch="312" w:charSpace="0"/>
        </w:sectPr>
      </w:pPr>
      <w:r>
        <w:rPr>
          <w:rFonts w:hint="eastAsia" w:ascii="宋体" w:hAnsi="宋体" w:eastAsia="宋体" w:cs="宋体"/>
          <w:color w:val="auto"/>
        </w:rPr>
        <w:t>电子邮件：</w:t>
      </w:r>
      <w:r>
        <w:rPr>
          <w:rFonts w:hint="eastAsia" w:ascii="宋体" w:hAnsi="宋体" w:eastAsia="宋体" w:cs="宋体"/>
          <w:color w:val="auto"/>
          <w:lang w:eastAsia="zh-CN"/>
        </w:rPr>
        <w:t>3796892668</w:t>
      </w:r>
      <w:r>
        <w:rPr>
          <w:rFonts w:hint="eastAsia" w:ascii="宋体" w:hAnsi="宋体" w:eastAsia="宋体" w:cs="宋体"/>
          <w:color w:val="auto"/>
        </w:rPr>
        <w:t>@qq.com</w:t>
      </w:r>
    </w:p>
    <w:p>
      <w:pPr>
        <w:spacing w:before="159" w:line="196" w:lineRule="auto"/>
        <w:ind w:left="2763"/>
        <w:outlineLvl w:val="0"/>
        <w:rPr>
          <w:rFonts w:ascii="华文中宋" w:hAnsi="华文中宋" w:eastAsia="华文中宋" w:cs="华文中宋"/>
          <w:color w:val="auto"/>
          <w:sz w:val="43"/>
          <w:szCs w:val="43"/>
        </w:rPr>
      </w:pPr>
      <w:bookmarkStart w:id="19" w:name="bookmark28"/>
      <w:bookmarkEnd w:id="19"/>
      <w:bookmarkStart w:id="20" w:name="bookmark26"/>
      <w:bookmarkEnd w:id="20"/>
      <w:bookmarkStart w:id="21" w:name="bookmark25"/>
      <w:bookmarkEnd w:id="21"/>
      <w:r>
        <w:rPr>
          <w:rFonts w:ascii="华文中宋" w:hAnsi="华文中宋" w:eastAsia="华文中宋" w:cs="华文中宋"/>
          <w:color w:val="auto"/>
          <w:spacing w:val="7"/>
          <w:sz w:val="43"/>
          <w:szCs w:val="43"/>
        </w:rPr>
        <w:t>第二章投标人须</w:t>
      </w:r>
    </w:p>
    <w:p>
      <w:pPr>
        <w:pStyle w:val="3"/>
        <w:spacing w:line="323" w:lineRule="auto"/>
        <w:rPr>
          <w:color w:val="auto"/>
        </w:rPr>
      </w:pPr>
    </w:p>
    <w:p>
      <w:pPr>
        <w:spacing w:before="101" w:line="226" w:lineRule="auto"/>
        <w:ind w:left="123"/>
        <w:outlineLvl w:val="1"/>
        <w:rPr>
          <w:rFonts w:ascii="黑体" w:hAnsi="黑体" w:eastAsia="黑体" w:cs="黑体"/>
          <w:color w:val="auto"/>
          <w:sz w:val="31"/>
          <w:szCs w:val="31"/>
        </w:rPr>
      </w:pPr>
      <w:bookmarkStart w:id="22" w:name="bookmark27"/>
      <w:bookmarkEnd w:id="22"/>
      <w:r>
        <w:rPr>
          <w:rFonts w:ascii="黑体" w:hAnsi="黑体" w:eastAsia="黑体" w:cs="黑体"/>
          <w:b/>
          <w:bCs/>
          <w:color w:val="auto"/>
          <w:spacing w:val="6"/>
          <w:sz w:val="31"/>
          <w:szCs w:val="31"/>
        </w:rPr>
        <w:t>投标人须知前附表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915"/>
        <w:gridCol w:w="52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836" w:type="dxa"/>
          </w:tcPr>
          <w:p>
            <w:pPr>
              <w:pStyle w:val="15"/>
              <w:spacing w:before="97" w:line="228" w:lineRule="auto"/>
              <w:ind w:left="171"/>
              <w:rPr>
                <w:color w:val="auto"/>
              </w:rPr>
            </w:pPr>
            <w:r>
              <w:rPr>
                <w:b/>
                <w:bCs/>
                <w:color w:val="auto"/>
                <w:spacing w:val="5"/>
              </w:rPr>
              <w:t>条款号</w:t>
            </w:r>
          </w:p>
        </w:tc>
        <w:tc>
          <w:tcPr>
            <w:tcW w:w="2915" w:type="dxa"/>
          </w:tcPr>
          <w:p>
            <w:pPr>
              <w:pStyle w:val="15"/>
              <w:spacing w:before="97" w:line="228" w:lineRule="auto"/>
              <w:ind w:left="964"/>
              <w:rPr>
                <w:color w:val="auto"/>
              </w:rPr>
            </w:pPr>
            <w:r>
              <w:rPr>
                <w:b/>
                <w:bCs/>
                <w:color w:val="auto"/>
                <w:spacing w:val="-3"/>
              </w:rPr>
              <w:t>条款名称</w:t>
            </w:r>
          </w:p>
        </w:tc>
        <w:tc>
          <w:tcPr>
            <w:tcW w:w="5256"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36" w:type="dxa"/>
          </w:tcPr>
          <w:p>
            <w:pPr>
              <w:spacing w:line="241" w:lineRule="auto"/>
              <w:rPr>
                <w:color w:val="auto"/>
              </w:rPr>
            </w:pPr>
          </w:p>
          <w:p>
            <w:pPr>
              <w:spacing w:line="242" w:lineRule="auto"/>
              <w:rPr>
                <w:color w:val="auto"/>
              </w:rPr>
            </w:pPr>
          </w:p>
          <w:p>
            <w:pPr>
              <w:pStyle w:val="15"/>
              <w:spacing w:before="65" w:line="190" w:lineRule="auto"/>
              <w:ind w:left="237"/>
              <w:rPr>
                <w:color w:val="auto"/>
              </w:rPr>
            </w:pPr>
            <w:r>
              <w:rPr>
                <w:color w:val="auto"/>
              </w:rPr>
              <w:t>1.1.2</w:t>
            </w:r>
          </w:p>
        </w:tc>
        <w:tc>
          <w:tcPr>
            <w:tcW w:w="2915" w:type="dxa"/>
          </w:tcPr>
          <w:p>
            <w:pPr>
              <w:spacing w:line="451" w:lineRule="auto"/>
              <w:rPr>
                <w:color w:val="auto"/>
              </w:rPr>
            </w:pPr>
          </w:p>
          <w:p>
            <w:pPr>
              <w:pStyle w:val="15"/>
              <w:spacing w:before="65" w:line="228" w:lineRule="auto"/>
              <w:ind w:left="1385"/>
              <w:rPr>
                <w:color w:val="auto"/>
              </w:rPr>
            </w:pPr>
            <w:r>
              <w:rPr>
                <w:color w:val="auto"/>
                <w:spacing w:val="6"/>
              </w:rPr>
              <w:t>招标人</w:t>
            </w:r>
          </w:p>
        </w:tc>
        <w:tc>
          <w:tcPr>
            <w:tcW w:w="5256" w:type="dxa"/>
          </w:tcPr>
          <w:p>
            <w:pPr>
              <w:pStyle w:val="15"/>
              <w:spacing w:before="51" w:line="228" w:lineRule="auto"/>
              <w:ind w:left="116"/>
              <w:rPr>
                <w:color w:val="auto"/>
                <w:lang w:eastAsia="zh-CN"/>
              </w:rPr>
            </w:pPr>
            <w:r>
              <w:rPr>
                <w:color w:val="auto"/>
                <w:spacing w:val="8"/>
                <w:lang w:eastAsia="zh-CN"/>
              </w:rPr>
              <w:t>名称：江永县自然资源局</w:t>
            </w:r>
          </w:p>
          <w:p>
            <w:pPr>
              <w:pStyle w:val="15"/>
              <w:spacing w:before="64" w:line="228" w:lineRule="auto"/>
              <w:ind w:left="114"/>
              <w:rPr>
                <w:color w:val="auto"/>
                <w:lang w:eastAsia="zh-CN"/>
              </w:rPr>
            </w:pPr>
            <w:r>
              <w:rPr>
                <w:color w:val="auto"/>
                <w:spacing w:val="6"/>
                <w:lang w:eastAsia="zh-CN"/>
              </w:rPr>
              <w:t>地址：江永县永阳路177 号</w:t>
            </w:r>
          </w:p>
          <w:p>
            <w:pPr>
              <w:pStyle w:val="15"/>
              <w:spacing w:before="64" w:line="228" w:lineRule="auto"/>
              <w:ind w:left="114"/>
              <w:rPr>
                <w:color w:val="auto"/>
                <w:lang w:eastAsia="zh-CN"/>
              </w:rPr>
            </w:pPr>
            <w:r>
              <w:rPr>
                <w:color w:val="auto"/>
                <w:spacing w:val="8"/>
                <w:lang w:eastAsia="zh-CN"/>
              </w:rPr>
              <w:t>联系人：蒋杰志</w:t>
            </w:r>
          </w:p>
          <w:p>
            <w:pPr>
              <w:pStyle w:val="15"/>
              <w:spacing w:before="65" w:line="230" w:lineRule="auto"/>
              <w:ind w:left="138"/>
              <w:rPr>
                <w:color w:val="auto"/>
              </w:rPr>
            </w:pPr>
            <w:r>
              <w:rPr>
                <w:color w:val="auto"/>
                <w:spacing w:val="3"/>
              </w:rPr>
              <w:t>电话：18874657993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3" w:hRule="atLeast"/>
        </w:trPr>
        <w:tc>
          <w:tcPr>
            <w:tcW w:w="836" w:type="dxa"/>
          </w:tcPr>
          <w:p>
            <w:pPr>
              <w:spacing w:line="265" w:lineRule="auto"/>
              <w:rPr>
                <w:color w:val="auto"/>
              </w:rPr>
            </w:pPr>
          </w:p>
          <w:p>
            <w:pPr>
              <w:spacing w:line="265" w:lineRule="auto"/>
              <w:rPr>
                <w:color w:val="auto"/>
              </w:rPr>
            </w:pPr>
          </w:p>
          <w:p>
            <w:pPr>
              <w:spacing w:line="266" w:lineRule="auto"/>
              <w:rPr>
                <w:color w:val="auto"/>
              </w:rPr>
            </w:pPr>
          </w:p>
          <w:p>
            <w:pPr>
              <w:pStyle w:val="15"/>
              <w:spacing w:before="65" w:line="190" w:lineRule="auto"/>
              <w:ind w:left="237"/>
              <w:rPr>
                <w:color w:val="auto"/>
              </w:rPr>
            </w:pPr>
            <w:r>
              <w:rPr>
                <w:color w:val="auto"/>
              </w:rPr>
              <w:t>1.1.3</w:t>
            </w:r>
          </w:p>
        </w:tc>
        <w:tc>
          <w:tcPr>
            <w:tcW w:w="2915" w:type="dxa"/>
          </w:tcPr>
          <w:p>
            <w:pPr>
              <w:spacing w:line="254" w:lineRule="auto"/>
              <w:rPr>
                <w:color w:val="auto"/>
              </w:rPr>
            </w:pPr>
          </w:p>
          <w:p>
            <w:pPr>
              <w:spacing w:line="255" w:lineRule="auto"/>
              <w:rPr>
                <w:color w:val="auto"/>
              </w:rPr>
            </w:pPr>
          </w:p>
          <w:p>
            <w:pPr>
              <w:spacing w:line="255" w:lineRule="auto"/>
              <w:rPr>
                <w:color w:val="auto"/>
              </w:rPr>
            </w:pPr>
          </w:p>
          <w:p>
            <w:pPr>
              <w:pStyle w:val="15"/>
              <w:spacing w:before="65" w:line="228" w:lineRule="auto"/>
              <w:ind w:left="1177"/>
              <w:rPr>
                <w:color w:val="auto"/>
              </w:rPr>
            </w:pPr>
            <w:r>
              <w:rPr>
                <w:color w:val="auto"/>
                <w:spacing w:val="7"/>
              </w:rPr>
              <w:t>项目负责人</w:t>
            </w:r>
          </w:p>
        </w:tc>
        <w:tc>
          <w:tcPr>
            <w:tcW w:w="5256" w:type="dxa"/>
          </w:tcPr>
          <w:p>
            <w:pPr>
              <w:pStyle w:val="15"/>
              <w:spacing w:before="54" w:line="228" w:lineRule="auto"/>
              <w:ind w:left="116"/>
              <w:rPr>
                <w:color w:val="auto"/>
                <w:lang w:eastAsia="zh-CN"/>
              </w:rPr>
            </w:pPr>
            <w:r>
              <w:rPr>
                <w:color w:val="auto"/>
                <w:spacing w:val="8"/>
                <w:lang w:eastAsia="zh-CN"/>
              </w:rPr>
              <w:t>名称：</w:t>
            </w:r>
            <w:r>
              <w:rPr>
                <w:rFonts w:hint="eastAsia"/>
                <w:color w:val="auto"/>
                <w:spacing w:val="8"/>
                <w:lang w:eastAsia="zh-CN"/>
              </w:rPr>
              <w:t xml:space="preserve">中林智建控股集团有限公司 </w:t>
            </w:r>
          </w:p>
          <w:p>
            <w:pPr>
              <w:pStyle w:val="15"/>
              <w:spacing w:before="65" w:line="273" w:lineRule="auto"/>
              <w:ind w:left="115" w:right="109" w:hanging="1"/>
              <w:rPr>
                <w:color w:val="auto"/>
                <w:lang w:eastAsia="zh-CN"/>
              </w:rPr>
            </w:pPr>
            <w:r>
              <w:rPr>
                <w:color w:val="auto"/>
                <w:spacing w:val="4"/>
                <w:lang w:eastAsia="zh-CN"/>
              </w:rPr>
              <w:t>地址：</w:t>
            </w:r>
            <w:r>
              <w:rPr>
                <w:rFonts w:hint="eastAsia"/>
                <w:color w:val="auto"/>
                <w:sz w:val="21"/>
                <w:szCs w:val="21"/>
                <w:lang w:eastAsia="zh-CN"/>
              </w:rPr>
              <w:t>永州市冷水滩区安大公馆六楼</w:t>
            </w:r>
          </w:p>
          <w:p>
            <w:pPr>
              <w:pStyle w:val="15"/>
              <w:spacing w:before="32" w:line="228" w:lineRule="auto"/>
              <w:ind w:left="114"/>
              <w:rPr>
                <w:color w:val="auto"/>
                <w:lang w:eastAsia="zh-CN"/>
              </w:rPr>
            </w:pPr>
            <w:r>
              <w:rPr>
                <w:color w:val="auto"/>
                <w:spacing w:val="8"/>
                <w:lang w:eastAsia="zh-CN"/>
              </w:rPr>
              <w:t>联系人：</w:t>
            </w:r>
            <w:r>
              <w:rPr>
                <w:rFonts w:hint="eastAsia"/>
                <w:color w:val="auto"/>
                <w:spacing w:val="8"/>
                <w:lang w:eastAsia="zh-CN"/>
              </w:rPr>
              <w:t>魏春路</w:t>
            </w:r>
          </w:p>
          <w:p>
            <w:pPr>
              <w:pStyle w:val="15"/>
              <w:spacing w:before="64" w:line="230" w:lineRule="auto"/>
              <w:ind w:left="138"/>
              <w:rPr>
                <w:color w:val="auto"/>
                <w:lang w:eastAsia="zh-CN"/>
              </w:rPr>
            </w:pPr>
            <w:r>
              <w:rPr>
                <w:color w:val="auto"/>
                <w:spacing w:val="4"/>
                <w:lang w:eastAsia="zh-CN"/>
              </w:rPr>
              <w:t>电话：</w:t>
            </w:r>
            <w:r>
              <w:rPr>
                <w:rFonts w:hint="eastAsia"/>
                <w:color w:val="auto"/>
                <w:spacing w:val="4"/>
                <w:lang w:eastAsia="zh-CN"/>
              </w:rPr>
              <w:t>17674675855</w:t>
            </w:r>
          </w:p>
          <w:p>
            <w:pPr>
              <w:pStyle w:val="15"/>
              <w:spacing w:before="62" w:line="228" w:lineRule="auto"/>
              <w:ind w:left="117"/>
              <w:rPr>
                <w:color w:val="auto"/>
                <w:lang w:eastAsia="zh-CN"/>
              </w:rPr>
            </w:pPr>
            <w:r>
              <w:rPr>
                <w:color w:val="auto"/>
                <w:spacing w:val="9"/>
                <w:lang w:eastAsia="zh-CN"/>
              </w:rPr>
              <w:t>项目组其他成员：</w:t>
            </w:r>
            <w:r>
              <w:rPr>
                <w:rFonts w:hint="eastAsia"/>
                <w:color w:val="auto"/>
                <w:sz w:val="21"/>
                <w:lang w:eastAsia="zh-CN"/>
              </w:rPr>
              <w:t>黄康</w:t>
            </w:r>
            <w:r>
              <w:rPr>
                <w:color w:val="auto"/>
                <w:spacing w:val="9"/>
                <w:lang w:eastAsia="zh-CN"/>
              </w:rPr>
              <w:t>、</w:t>
            </w:r>
            <w:r>
              <w:rPr>
                <w:rFonts w:hint="eastAsia"/>
                <w:color w:val="auto"/>
                <w:spacing w:val="9"/>
                <w:lang w:eastAsia="zh-CN"/>
              </w:rPr>
              <w:t>王静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1.1.4</w:t>
            </w:r>
          </w:p>
        </w:tc>
        <w:tc>
          <w:tcPr>
            <w:tcW w:w="2915" w:type="dxa"/>
          </w:tcPr>
          <w:p>
            <w:pPr>
              <w:pStyle w:val="15"/>
              <w:spacing w:before="96" w:line="228" w:lineRule="auto"/>
              <w:ind w:left="1282"/>
              <w:rPr>
                <w:color w:val="auto"/>
              </w:rPr>
            </w:pPr>
            <w:r>
              <w:rPr>
                <w:color w:val="auto"/>
                <w:spacing w:val="6"/>
              </w:rPr>
              <w:t>项目名称</w:t>
            </w:r>
          </w:p>
        </w:tc>
        <w:tc>
          <w:tcPr>
            <w:tcW w:w="5256" w:type="dxa"/>
          </w:tcPr>
          <w:p>
            <w:pPr>
              <w:pStyle w:val="15"/>
              <w:spacing w:before="96" w:line="228" w:lineRule="auto"/>
              <w:ind w:left="114"/>
              <w:rPr>
                <w:color w:val="auto"/>
                <w:lang w:eastAsia="zh-CN"/>
              </w:rPr>
            </w:pPr>
            <w:r>
              <w:rPr>
                <w:rFonts w:hint="eastAsia"/>
                <w:color w:val="auto"/>
                <w:spacing w:val="9"/>
                <w:lang w:eastAsia="zh-CN"/>
              </w:rPr>
              <w:t>江永县源口瑶族乡三源村横开河一组滑坡地质灾害防治工程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8" w:line="190" w:lineRule="auto"/>
              <w:ind w:left="237"/>
              <w:rPr>
                <w:color w:val="auto"/>
              </w:rPr>
            </w:pPr>
            <w:r>
              <w:rPr>
                <w:color w:val="auto"/>
              </w:rPr>
              <w:t>1.1.5</w:t>
            </w:r>
          </w:p>
        </w:tc>
        <w:tc>
          <w:tcPr>
            <w:tcW w:w="2915" w:type="dxa"/>
          </w:tcPr>
          <w:p>
            <w:pPr>
              <w:pStyle w:val="15"/>
              <w:spacing w:before="96" w:line="229" w:lineRule="auto"/>
              <w:ind w:left="1281"/>
              <w:rPr>
                <w:color w:val="auto"/>
              </w:rPr>
            </w:pPr>
            <w:r>
              <w:rPr>
                <w:color w:val="auto"/>
                <w:spacing w:val="6"/>
              </w:rPr>
              <w:t>建设地点</w:t>
            </w:r>
          </w:p>
        </w:tc>
        <w:tc>
          <w:tcPr>
            <w:tcW w:w="5256" w:type="dxa"/>
          </w:tcPr>
          <w:p>
            <w:pPr>
              <w:pStyle w:val="15"/>
              <w:spacing w:before="96" w:line="227" w:lineRule="auto"/>
              <w:ind w:left="115"/>
              <w:rPr>
                <w:color w:val="auto"/>
              </w:rPr>
            </w:pPr>
            <w:r>
              <w:rPr>
                <w:color w:val="auto"/>
                <w:spacing w:val="8"/>
              </w:rPr>
              <w:t>永州市江永县境内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836" w:type="dxa"/>
          </w:tcPr>
          <w:p>
            <w:pPr>
              <w:pStyle w:val="15"/>
              <w:spacing w:before="127" w:line="190" w:lineRule="auto"/>
              <w:ind w:left="237"/>
              <w:rPr>
                <w:color w:val="auto"/>
              </w:rPr>
            </w:pPr>
            <w:r>
              <w:rPr>
                <w:color w:val="auto"/>
              </w:rPr>
              <w:t>1.2.1</w:t>
            </w:r>
          </w:p>
        </w:tc>
        <w:tc>
          <w:tcPr>
            <w:tcW w:w="2915" w:type="dxa"/>
          </w:tcPr>
          <w:p>
            <w:pPr>
              <w:pStyle w:val="15"/>
              <w:spacing w:before="94" w:line="228" w:lineRule="auto"/>
              <w:ind w:left="1288"/>
              <w:rPr>
                <w:color w:val="auto"/>
              </w:rPr>
            </w:pPr>
            <w:r>
              <w:rPr>
                <w:color w:val="auto"/>
                <w:spacing w:val="5"/>
              </w:rPr>
              <w:t>资金来源</w:t>
            </w:r>
          </w:p>
        </w:tc>
        <w:tc>
          <w:tcPr>
            <w:tcW w:w="5256" w:type="dxa"/>
          </w:tcPr>
          <w:p>
            <w:pPr>
              <w:pStyle w:val="15"/>
              <w:spacing w:before="94" w:line="228" w:lineRule="auto"/>
              <w:ind w:left="134"/>
              <w:rPr>
                <w:color w:val="auto"/>
              </w:rPr>
            </w:pPr>
            <w:r>
              <w:rPr>
                <w:color w:val="auto"/>
                <w:spacing w:val="2"/>
              </w:rPr>
              <w:t>国债资金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8" w:line="190" w:lineRule="auto"/>
              <w:ind w:left="237"/>
              <w:rPr>
                <w:color w:val="auto"/>
              </w:rPr>
            </w:pPr>
            <w:r>
              <w:rPr>
                <w:color w:val="auto"/>
              </w:rPr>
              <w:t>1.2.2</w:t>
            </w:r>
          </w:p>
        </w:tc>
        <w:tc>
          <w:tcPr>
            <w:tcW w:w="2915" w:type="dxa"/>
          </w:tcPr>
          <w:p>
            <w:pPr>
              <w:pStyle w:val="15"/>
              <w:spacing w:before="96" w:line="229" w:lineRule="auto"/>
              <w:ind w:left="1297"/>
              <w:rPr>
                <w:color w:val="auto"/>
              </w:rPr>
            </w:pPr>
            <w:r>
              <w:rPr>
                <w:color w:val="auto"/>
                <w:spacing w:val="2"/>
              </w:rPr>
              <w:t>出资比例</w:t>
            </w:r>
          </w:p>
        </w:tc>
        <w:tc>
          <w:tcPr>
            <w:tcW w:w="5256" w:type="dxa"/>
          </w:tcPr>
          <w:p>
            <w:pPr>
              <w:pStyle w:val="15"/>
              <w:spacing w:before="96" w:line="268" w:lineRule="exact"/>
              <w:ind w:left="129"/>
              <w:rPr>
                <w:color w:val="auto"/>
              </w:rPr>
            </w:pPr>
            <w:r>
              <w:rPr>
                <w:color w:val="auto"/>
                <w:spacing w:val="-1"/>
                <w:position w:val="1"/>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1.2.3</w:t>
            </w:r>
          </w:p>
        </w:tc>
        <w:tc>
          <w:tcPr>
            <w:tcW w:w="2915" w:type="dxa"/>
          </w:tcPr>
          <w:p>
            <w:pPr>
              <w:pStyle w:val="15"/>
              <w:spacing w:before="97" w:line="228" w:lineRule="auto"/>
              <w:ind w:left="1079"/>
              <w:rPr>
                <w:color w:val="auto"/>
              </w:rPr>
            </w:pPr>
            <w:r>
              <w:rPr>
                <w:color w:val="auto"/>
                <w:spacing w:val="6"/>
              </w:rPr>
              <w:t>资金落实情况</w:t>
            </w:r>
          </w:p>
        </w:tc>
        <w:tc>
          <w:tcPr>
            <w:tcW w:w="5256" w:type="dxa"/>
          </w:tcPr>
          <w:p>
            <w:pPr>
              <w:pStyle w:val="15"/>
              <w:spacing w:before="97" w:line="228" w:lineRule="auto"/>
              <w:ind w:left="136"/>
              <w:rPr>
                <w:color w:val="auto"/>
              </w:rPr>
            </w:pPr>
            <w:r>
              <w:rPr>
                <w:color w:val="auto"/>
                <w:spacing w:val="-1"/>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7" w:line="190" w:lineRule="auto"/>
              <w:ind w:left="237"/>
              <w:rPr>
                <w:color w:val="auto"/>
              </w:rPr>
            </w:pPr>
            <w:r>
              <w:rPr>
                <w:color w:val="auto"/>
              </w:rPr>
              <w:t>1.3.1</w:t>
            </w:r>
          </w:p>
        </w:tc>
        <w:tc>
          <w:tcPr>
            <w:tcW w:w="2915" w:type="dxa"/>
          </w:tcPr>
          <w:p>
            <w:pPr>
              <w:pStyle w:val="15"/>
              <w:spacing w:before="96" w:line="228" w:lineRule="auto"/>
              <w:ind w:left="1280"/>
              <w:rPr>
                <w:color w:val="auto"/>
              </w:rPr>
            </w:pPr>
            <w:r>
              <w:rPr>
                <w:color w:val="auto"/>
                <w:spacing w:val="7"/>
              </w:rPr>
              <w:t>招标范围</w:t>
            </w:r>
          </w:p>
        </w:tc>
        <w:tc>
          <w:tcPr>
            <w:tcW w:w="5256" w:type="dxa"/>
          </w:tcPr>
          <w:p>
            <w:pPr>
              <w:pStyle w:val="15"/>
              <w:spacing w:before="96" w:line="226" w:lineRule="auto"/>
              <w:ind w:left="116"/>
              <w:rPr>
                <w:color w:val="auto"/>
              </w:rPr>
            </w:pPr>
            <w:r>
              <w:rPr>
                <w:color w:val="auto"/>
                <w:spacing w:val="7"/>
              </w:rPr>
              <w:t>详见招标公告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836" w:type="dxa"/>
          </w:tcPr>
          <w:p>
            <w:pPr>
              <w:spacing w:line="330" w:lineRule="auto"/>
              <w:rPr>
                <w:color w:val="auto"/>
              </w:rPr>
            </w:pPr>
          </w:p>
          <w:p>
            <w:pPr>
              <w:pStyle w:val="15"/>
              <w:spacing w:before="65" w:line="190" w:lineRule="auto"/>
              <w:ind w:left="237"/>
              <w:rPr>
                <w:color w:val="auto"/>
              </w:rPr>
            </w:pPr>
            <w:r>
              <w:rPr>
                <w:color w:val="auto"/>
              </w:rPr>
              <w:t>1.3.2</w:t>
            </w:r>
          </w:p>
        </w:tc>
        <w:tc>
          <w:tcPr>
            <w:tcW w:w="2915" w:type="dxa"/>
          </w:tcPr>
          <w:p>
            <w:pPr>
              <w:spacing w:line="299" w:lineRule="auto"/>
              <w:rPr>
                <w:color w:val="auto"/>
              </w:rPr>
            </w:pPr>
          </w:p>
          <w:p>
            <w:pPr>
              <w:pStyle w:val="15"/>
              <w:spacing w:before="65" w:line="228" w:lineRule="auto"/>
              <w:ind w:left="1279"/>
              <w:rPr>
                <w:color w:val="auto"/>
              </w:rPr>
            </w:pPr>
            <w:r>
              <w:rPr>
                <w:color w:val="auto"/>
                <w:spacing w:val="7"/>
              </w:rPr>
              <w:t>计划工期</w:t>
            </w:r>
          </w:p>
        </w:tc>
        <w:tc>
          <w:tcPr>
            <w:tcW w:w="5256" w:type="dxa"/>
          </w:tcPr>
          <w:p>
            <w:pPr>
              <w:pStyle w:val="15"/>
              <w:spacing w:before="54" w:line="228" w:lineRule="auto"/>
              <w:ind w:left="114"/>
              <w:rPr>
                <w:color w:val="auto"/>
                <w:lang w:eastAsia="zh-CN"/>
              </w:rPr>
            </w:pPr>
            <w:r>
              <w:rPr>
                <w:color w:val="auto"/>
                <w:spacing w:val="3"/>
                <w:lang w:eastAsia="zh-CN"/>
              </w:rPr>
              <w:t>计划工期：120 日历天</w:t>
            </w:r>
          </w:p>
          <w:p>
            <w:pPr>
              <w:pStyle w:val="15"/>
              <w:spacing w:before="64" w:line="228" w:lineRule="auto"/>
              <w:ind w:left="114"/>
              <w:rPr>
                <w:color w:val="auto"/>
                <w:lang w:eastAsia="zh-CN"/>
              </w:rPr>
            </w:pPr>
            <w:r>
              <w:rPr>
                <w:color w:val="auto"/>
                <w:spacing w:val="8"/>
                <w:lang w:eastAsia="zh-CN"/>
              </w:rPr>
              <w:t>计划开工日期：/</w:t>
            </w:r>
          </w:p>
          <w:p>
            <w:pPr>
              <w:pStyle w:val="15"/>
              <w:spacing w:before="64" w:line="228" w:lineRule="auto"/>
              <w:ind w:left="114"/>
              <w:rPr>
                <w:color w:val="auto"/>
              </w:rPr>
            </w:pPr>
            <w:r>
              <w:rPr>
                <w:color w:val="auto"/>
                <w:spacing w:val="8"/>
              </w:rPr>
              <w:t>计划竣工日期：/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36" w:type="dxa"/>
          </w:tcPr>
          <w:p>
            <w:pPr>
              <w:pStyle w:val="15"/>
              <w:spacing w:before="129" w:line="190" w:lineRule="auto"/>
              <w:ind w:left="237"/>
              <w:rPr>
                <w:color w:val="auto"/>
              </w:rPr>
            </w:pPr>
            <w:r>
              <w:rPr>
                <w:color w:val="auto"/>
              </w:rPr>
              <w:t>1.3.3</w:t>
            </w:r>
          </w:p>
        </w:tc>
        <w:tc>
          <w:tcPr>
            <w:tcW w:w="2915" w:type="dxa"/>
          </w:tcPr>
          <w:p>
            <w:pPr>
              <w:pStyle w:val="15"/>
              <w:spacing w:before="97" w:line="228" w:lineRule="auto"/>
              <w:ind w:left="1280"/>
              <w:rPr>
                <w:color w:val="auto"/>
              </w:rPr>
            </w:pPr>
            <w:r>
              <w:rPr>
                <w:color w:val="auto"/>
                <w:spacing w:val="7"/>
              </w:rPr>
              <w:t>质量要求</w:t>
            </w:r>
          </w:p>
        </w:tc>
        <w:tc>
          <w:tcPr>
            <w:tcW w:w="5256" w:type="dxa"/>
          </w:tcPr>
          <w:p>
            <w:pPr>
              <w:pStyle w:val="15"/>
              <w:spacing w:before="97" w:line="228" w:lineRule="auto"/>
              <w:ind w:left="115"/>
              <w:rPr>
                <w:color w:val="auto"/>
                <w:lang w:eastAsia="zh-CN"/>
              </w:rPr>
            </w:pPr>
            <w:r>
              <w:rPr>
                <w:color w:val="auto"/>
                <w:spacing w:val="8"/>
                <w:lang w:eastAsia="zh-CN"/>
              </w:rPr>
              <w:t>按国家和省验收规范，验收合格及以上；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836" w:type="dxa"/>
          </w:tcPr>
          <w:p>
            <w:pPr>
              <w:spacing w:line="246" w:lineRule="auto"/>
              <w:rPr>
                <w:color w:val="auto"/>
                <w:lang w:eastAsia="zh-CN"/>
              </w:rPr>
            </w:pPr>
          </w:p>
          <w:p>
            <w:pPr>
              <w:spacing w:line="246"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spacing w:line="247" w:lineRule="auto"/>
              <w:rPr>
                <w:color w:val="auto"/>
                <w:lang w:eastAsia="zh-CN"/>
              </w:rPr>
            </w:pPr>
          </w:p>
          <w:p>
            <w:pPr>
              <w:pStyle w:val="15"/>
              <w:spacing w:before="65" w:line="190" w:lineRule="auto"/>
              <w:ind w:left="237"/>
              <w:rPr>
                <w:color w:val="auto"/>
              </w:rPr>
            </w:pPr>
            <w:r>
              <w:rPr>
                <w:color w:val="auto"/>
              </w:rPr>
              <w:t>1.4.1</w:t>
            </w:r>
          </w:p>
        </w:tc>
        <w:tc>
          <w:tcPr>
            <w:tcW w:w="2915" w:type="dxa"/>
          </w:tcPr>
          <w:p>
            <w:pPr>
              <w:pStyle w:val="15"/>
              <w:spacing w:before="65" w:line="227" w:lineRule="auto"/>
              <w:rPr>
                <w:color w:val="auto"/>
                <w:lang w:eastAsia="zh-CN"/>
              </w:rPr>
            </w:pPr>
            <w:r>
              <w:rPr>
                <w:color w:val="auto"/>
                <w:spacing w:val="9"/>
                <w:lang w:eastAsia="zh-CN"/>
              </w:rPr>
              <w:t>投标人资质条件、能力和信誉</w:t>
            </w:r>
          </w:p>
          <w:p>
            <w:pPr>
              <w:pStyle w:val="15"/>
              <w:spacing w:before="64" w:line="284" w:lineRule="auto"/>
              <w:ind w:left="114" w:right="19" w:firstLine="20"/>
              <w:rPr>
                <w:color w:val="auto"/>
                <w:lang w:eastAsia="zh-CN"/>
              </w:rPr>
            </w:pPr>
            <w:r>
              <w:rPr>
                <w:color w:val="auto"/>
                <w:spacing w:val="8"/>
                <w:lang w:eastAsia="zh-CN"/>
              </w:rPr>
              <w:t>（说明：资质条件为满足该项目施</w:t>
            </w:r>
            <w:r>
              <w:rPr>
                <w:color w:val="auto"/>
                <w:spacing w:val="10"/>
                <w:lang w:eastAsia="zh-CN"/>
              </w:rPr>
              <w:t>工的最低资质要求，不得设置未列入现行国家资质管理目录中的资质要求，业绩应为投标人满足完成该项目能力的证明材料，仅能设置一项工程业绩且该项业绩的具体要求</w:t>
            </w:r>
            <w:r>
              <w:rPr>
                <w:color w:val="auto"/>
                <w:spacing w:val="3"/>
                <w:lang w:eastAsia="zh-CN"/>
              </w:rPr>
              <w:t>参数（如长度，面积，高度，金额）</w:t>
            </w:r>
            <w:r>
              <w:rPr>
                <w:color w:val="auto"/>
                <w:spacing w:val="6"/>
                <w:lang w:eastAsia="zh-CN"/>
              </w:rPr>
              <w:t>不得超过招标项目规模的50%）</w:t>
            </w:r>
          </w:p>
        </w:tc>
        <w:tc>
          <w:tcPr>
            <w:tcW w:w="5256" w:type="dxa"/>
          </w:tcPr>
          <w:p>
            <w:pPr>
              <w:pStyle w:val="15"/>
              <w:spacing w:before="55" w:line="283" w:lineRule="auto"/>
              <w:ind w:left="113" w:right="85" w:firstLine="9"/>
              <w:rPr>
                <w:color w:val="auto"/>
                <w:lang w:eastAsia="zh-CN"/>
              </w:rPr>
            </w:pPr>
            <w:r>
              <w:rPr>
                <w:color w:val="auto"/>
                <w:spacing w:val="10"/>
                <w:lang w:eastAsia="zh-CN"/>
              </w:rPr>
              <w:t>资质条件：具有独立法人资格并依法取得企业营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pStyle w:val="15"/>
              <w:spacing w:before="31" w:line="278" w:lineRule="auto"/>
              <w:ind w:left="112" w:right="108" w:firstLine="2"/>
              <w:rPr>
                <w:color w:val="auto"/>
                <w:lang w:eastAsia="zh-CN"/>
              </w:rPr>
            </w:pPr>
            <w:r>
              <w:rPr>
                <w:color w:val="auto"/>
                <w:spacing w:val="9"/>
                <w:lang w:eastAsia="zh-CN"/>
              </w:rPr>
              <w:t>财务要求：财务状况良好，提供(2023</w:t>
            </w:r>
            <w:r>
              <w:rPr>
                <w:color w:val="auto"/>
                <w:spacing w:val="10"/>
                <w:lang w:eastAsia="zh-CN"/>
              </w:rPr>
              <w:t>年) 经会计师事务所或审计机构审计的财务审计</w:t>
            </w:r>
            <w:r>
              <w:rPr>
                <w:color w:val="auto"/>
                <w:spacing w:val="3"/>
                <w:lang w:eastAsia="zh-CN"/>
              </w:rPr>
              <w:t>报告；</w:t>
            </w:r>
          </w:p>
          <w:p>
            <w:pPr>
              <w:pStyle w:val="15"/>
              <w:spacing w:before="33" w:line="228" w:lineRule="auto"/>
              <w:ind w:left="113"/>
              <w:rPr>
                <w:color w:val="auto"/>
                <w:lang w:eastAsia="zh-CN"/>
              </w:rPr>
            </w:pPr>
            <w:r>
              <w:rPr>
                <w:color w:val="auto"/>
                <w:spacing w:val="8"/>
                <w:lang w:eastAsia="zh-CN"/>
              </w:rPr>
              <w:t>业绩要求：</w:t>
            </w:r>
            <w:r>
              <w:rPr>
                <w:rFonts w:hint="eastAsia"/>
                <w:color w:val="auto"/>
                <w:spacing w:val="8"/>
                <w:lang w:eastAsia="zh-CN"/>
              </w:rPr>
              <w:t>投标人近五年(2019 10</w:t>
            </w:r>
            <w:r>
              <w:rPr>
                <w:rFonts w:hint="eastAsia"/>
                <w:color w:val="auto"/>
                <w:spacing w:val="8"/>
                <w:lang w:val="en-US" w:eastAsia="zh-CN"/>
              </w:rPr>
              <w:t xml:space="preserve"> </w:t>
            </w:r>
            <w:r>
              <w:rPr>
                <w:rFonts w:hint="eastAsia"/>
                <w:color w:val="auto"/>
                <w:spacing w:val="8"/>
                <w:lang w:eastAsia="zh-CN"/>
              </w:rPr>
              <w:t>月-投标截止时间止) 企业承担过单项合同金额达到93万元及以上的地质灾害</w:t>
            </w:r>
            <w:r>
              <w:rPr>
                <w:rFonts w:hint="eastAsia"/>
                <w:color w:val="auto"/>
                <w:spacing w:val="8"/>
                <w:lang w:val="en-US" w:eastAsia="zh-CN"/>
              </w:rPr>
              <w:t>防治或生态修复</w:t>
            </w:r>
            <w:r>
              <w:rPr>
                <w:rFonts w:hint="eastAsia"/>
                <w:color w:val="auto"/>
                <w:spacing w:val="8"/>
                <w:lang w:eastAsia="zh-CN"/>
              </w:rPr>
              <w:t>类似项目业绩；完成时间以合同工程竣工或完工验收文件中建设单位签字之日为准。</w:t>
            </w:r>
          </w:p>
          <w:p>
            <w:pPr>
              <w:pStyle w:val="15"/>
              <w:spacing w:before="63" w:line="261" w:lineRule="auto"/>
              <w:ind w:left="114" w:right="109"/>
              <w:rPr>
                <w:color w:val="auto"/>
                <w:lang w:eastAsia="zh-CN"/>
              </w:rPr>
            </w:pPr>
            <w:r>
              <w:rPr>
                <w:color w:val="auto"/>
                <w:spacing w:val="10"/>
                <w:lang w:eastAsia="zh-CN"/>
              </w:rPr>
              <w:t>信誉要求：招标人不接受在全国企业信用信息公</w:t>
            </w:r>
            <w:r>
              <w:rPr>
                <w:color w:val="auto"/>
                <w:spacing w:val="15"/>
                <w:lang w:eastAsia="zh-CN"/>
              </w:rPr>
              <w:t>示系统中被列入严重违法失信企业名 单的或在</w:t>
            </w:r>
          </w:p>
        </w:tc>
      </w:tr>
    </w:tbl>
    <w:p>
      <w:pPr>
        <w:rPr>
          <w:color w:val="auto"/>
          <w:lang w:eastAsia="zh-CN"/>
        </w:rPr>
        <w:sectPr>
          <w:footerReference r:id="rId11"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8" w:hRule="atLeast"/>
        </w:trPr>
        <w:tc>
          <w:tcPr>
            <w:tcW w:w="959" w:type="dxa"/>
          </w:tcPr>
          <w:p>
            <w:pPr>
              <w:rPr>
                <w:color w:val="auto"/>
              </w:rPr>
            </w:pPr>
          </w:p>
        </w:tc>
        <w:tc>
          <w:tcPr>
            <w:tcW w:w="3390" w:type="dxa"/>
          </w:tcPr>
          <w:p>
            <w:pPr>
              <w:rPr>
                <w:color w:val="auto"/>
              </w:rPr>
            </w:pPr>
          </w:p>
        </w:tc>
        <w:tc>
          <w:tcPr>
            <w:tcW w:w="4658" w:type="dxa"/>
          </w:tcPr>
          <w:p>
            <w:pPr>
              <w:pStyle w:val="15"/>
              <w:spacing w:before="50" w:line="274" w:lineRule="auto"/>
              <w:ind w:left="116" w:right="106" w:hanging="12"/>
              <w:rPr>
                <w:color w:val="auto"/>
                <w:lang w:eastAsia="zh-CN"/>
              </w:rPr>
            </w:pPr>
            <w:r>
              <w:rPr>
                <w:color w:val="auto"/>
                <w:spacing w:val="10"/>
                <w:lang w:eastAsia="zh-CN"/>
              </w:rPr>
              <w:t>“信用中国”网站中被列入失信被执行人名单的</w:t>
            </w:r>
            <w:r>
              <w:rPr>
                <w:color w:val="auto"/>
                <w:spacing w:val="6"/>
                <w:lang w:eastAsia="zh-CN"/>
              </w:rPr>
              <w:t>投标人投标；</w:t>
            </w:r>
          </w:p>
          <w:p>
            <w:pPr>
              <w:pStyle w:val="15"/>
              <w:spacing w:before="30" w:line="228" w:lineRule="auto"/>
              <w:ind w:left="117"/>
              <w:rPr>
                <w:color w:val="auto"/>
                <w:lang w:eastAsia="zh-CN"/>
              </w:rPr>
            </w:pPr>
            <w:r>
              <w:rPr>
                <w:color w:val="auto"/>
                <w:spacing w:val="8"/>
                <w:lang w:eastAsia="zh-CN"/>
              </w:rPr>
              <w:t>项目经理（建造师，下同）</w:t>
            </w:r>
          </w:p>
          <w:p>
            <w:pPr>
              <w:pStyle w:val="15"/>
              <w:spacing w:before="64" w:line="281" w:lineRule="auto"/>
              <w:ind w:left="113" w:right="109" w:firstLine="9"/>
              <w:rPr>
                <w:color w:val="auto"/>
                <w:lang w:eastAsia="zh-CN"/>
              </w:rPr>
            </w:pPr>
            <w:r>
              <w:rPr>
                <w:color w:val="auto"/>
                <w:spacing w:val="10"/>
                <w:lang w:eastAsia="zh-CN"/>
              </w:rPr>
              <w:t>资格：具有市政公用工程专业贰级及以上或建筑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pStyle w:val="15"/>
              <w:spacing w:before="23" w:line="285" w:lineRule="auto"/>
              <w:ind w:left="113" w:right="38" w:firstLine="1"/>
              <w:jc w:val="both"/>
              <w:rPr>
                <w:color w:val="auto"/>
                <w:lang w:eastAsia="zh-CN"/>
              </w:rPr>
            </w:pPr>
            <w:r>
              <w:rPr>
                <w:color w:val="auto"/>
                <w:spacing w:val="9"/>
                <w:lang w:eastAsia="zh-CN"/>
              </w:rPr>
              <w:t>其他要求：1、技术负责人须具有地质调査和矿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959" w:type="dxa"/>
          </w:tcPr>
          <w:p>
            <w:pPr>
              <w:spacing w:line="330" w:lineRule="auto"/>
              <w:rPr>
                <w:color w:val="auto"/>
                <w:lang w:eastAsia="zh-CN"/>
              </w:rPr>
            </w:pPr>
          </w:p>
          <w:p>
            <w:pPr>
              <w:pStyle w:val="15"/>
              <w:spacing w:before="65" w:line="190" w:lineRule="auto"/>
              <w:ind w:left="237"/>
              <w:rPr>
                <w:color w:val="auto"/>
              </w:rPr>
            </w:pPr>
            <w:r>
              <w:rPr>
                <w:color w:val="auto"/>
              </w:rPr>
              <w:t>1.4.2</w:t>
            </w:r>
          </w:p>
        </w:tc>
        <w:tc>
          <w:tcPr>
            <w:tcW w:w="3390" w:type="dxa"/>
          </w:tcPr>
          <w:p>
            <w:pPr>
              <w:spacing w:line="299" w:lineRule="auto"/>
              <w:rPr>
                <w:color w:val="auto"/>
              </w:rPr>
            </w:pPr>
          </w:p>
          <w:p>
            <w:pPr>
              <w:pStyle w:val="15"/>
              <w:spacing w:before="65" w:line="228" w:lineRule="auto"/>
              <w:ind w:left="757"/>
              <w:rPr>
                <w:color w:val="auto"/>
              </w:rPr>
            </w:pPr>
            <w:r>
              <w:rPr>
                <w:color w:val="auto"/>
                <w:spacing w:val="8"/>
              </w:rPr>
              <w:t>是否接受联合体投标</w:t>
            </w:r>
          </w:p>
        </w:tc>
        <w:tc>
          <w:tcPr>
            <w:tcW w:w="4658" w:type="dxa"/>
          </w:tcPr>
          <w:p>
            <w:pPr>
              <w:pStyle w:val="15"/>
              <w:spacing w:before="53" w:line="274" w:lineRule="auto"/>
              <w:ind w:left="135" w:right="3709" w:hanging="13"/>
              <w:rPr>
                <w:color w:val="auto"/>
                <w:lang w:eastAsia="zh-CN"/>
              </w:rPr>
            </w:pPr>
            <w:r>
              <w:rPr>
                <w:rFonts w:ascii="MS Gothic" w:hAnsi="MS Gothic" w:eastAsia="MS Gothic" w:cs="MS Gothic"/>
                <w:color w:val="auto"/>
                <w:spacing w:val="5"/>
                <w:lang w:eastAsia="zh-CN"/>
              </w:rPr>
              <w:t>☑</w:t>
            </w:r>
            <w:r>
              <w:rPr>
                <w:color w:val="auto"/>
                <w:spacing w:val="5"/>
                <w:lang w:eastAsia="zh-CN"/>
              </w:rPr>
              <w:t>不接受</w:t>
            </w:r>
            <w:r>
              <w:rPr>
                <w:color w:val="auto"/>
                <w:spacing w:val="-1"/>
                <w:lang w:eastAsia="zh-CN"/>
              </w:rPr>
              <w:t>□接受，</w:t>
            </w:r>
          </w:p>
          <w:p>
            <w:pPr>
              <w:pStyle w:val="15"/>
              <w:spacing w:before="29" w:line="228" w:lineRule="auto"/>
              <w:ind w:left="114"/>
              <w:rPr>
                <w:color w:val="auto"/>
                <w:lang w:eastAsia="zh-CN"/>
              </w:rPr>
            </w:pPr>
            <w:r>
              <w:rPr>
                <w:color w:val="auto"/>
                <w:spacing w:val="8"/>
                <w:lang w:eastAsia="zh-CN"/>
              </w:rPr>
              <w:t>应满足下列要求：/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4" w:hRule="atLeast"/>
        </w:trPr>
        <w:tc>
          <w:tcPr>
            <w:tcW w:w="959" w:type="dxa"/>
          </w:tcPr>
          <w:p>
            <w:pPr>
              <w:spacing w:line="434" w:lineRule="auto"/>
              <w:rPr>
                <w:color w:val="auto"/>
                <w:lang w:eastAsia="zh-CN"/>
              </w:rPr>
            </w:pPr>
          </w:p>
          <w:p>
            <w:pPr>
              <w:pStyle w:val="15"/>
              <w:spacing w:before="65" w:line="190" w:lineRule="auto"/>
              <w:ind w:left="237"/>
              <w:rPr>
                <w:color w:val="auto"/>
              </w:rPr>
            </w:pPr>
            <w:r>
              <w:rPr>
                <w:color w:val="auto"/>
              </w:rPr>
              <w:t>1.4.3</w:t>
            </w:r>
          </w:p>
        </w:tc>
        <w:tc>
          <w:tcPr>
            <w:tcW w:w="3390" w:type="dxa"/>
          </w:tcPr>
          <w:p>
            <w:pPr>
              <w:pStyle w:val="15"/>
              <w:spacing w:before="290" w:line="318" w:lineRule="auto"/>
              <w:ind w:left="1171" w:right="119" w:hanging="1047"/>
              <w:rPr>
                <w:color w:val="auto"/>
                <w:lang w:eastAsia="zh-CN"/>
              </w:rPr>
            </w:pPr>
            <w:r>
              <w:rPr>
                <w:color w:val="auto"/>
                <w:spacing w:val="9"/>
                <w:lang w:eastAsia="zh-CN"/>
              </w:rPr>
              <w:t>禁止参与本项目的失信行为（如列</w:t>
            </w:r>
            <w:r>
              <w:rPr>
                <w:color w:val="auto"/>
                <w:spacing w:val="5"/>
                <w:lang w:eastAsia="zh-CN"/>
              </w:rPr>
              <w:t>入**失信）</w:t>
            </w:r>
          </w:p>
        </w:tc>
        <w:tc>
          <w:tcPr>
            <w:tcW w:w="4658" w:type="dxa"/>
          </w:tcPr>
          <w:p>
            <w:pPr>
              <w:pStyle w:val="15"/>
              <w:spacing w:before="112" w:line="296" w:lineRule="auto"/>
              <w:ind w:left="117" w:right="9" w:hanging="3"/>
              <w:jc w:val="both"/>
              <w:rPr>
                <w:color w:val="auto"/>
                <w:lang w:eastAsia="zh-CN"/>
              </w:rPr>
            </w:pPr>
            <w:r>
              <w:rPr>
                <w:color w:val="auto"/>
                <w:spacing w:val="10"/>
                <w:lang w:eastAsia="zh-CN"/>
              </w:rPr>
              <w:t>招标人不接受在全国企业信用信息公示系统中被</w:t>
            </w:r>
            <w:r>
              <w:rPr>
                <w:color w:val="auto"/>
                <w:spacing w:val="14"/>
                <w:lang w:eastAsia="zh-CN"/>
              </w:rPr>
              <w:t>列入严重违法失信企业名单的或在“信用中国”</w:t>
            </w:r>
            <w:r>
              <w:rPr>
                <w:color w:val="auto"/>
                <w:spacing w:val="8"/>
                <w:lang w:eastAsia="zh-CN"/>
              </w:rPr>
              <w:t>网站中被列入失信被执行人名单的投标人投标。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06"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pStyle w:val="15"/>
              <w:spacing w:before="65" w:line="190" w:lineRule="auto"/>
              <w:ind w:left="237"/>
              <w:rPr>
                <w:color w:val="auto"/>
              </w:rPr>
            </w:pPr>
            <w:r>
              <w:rPr>
                <w:color w:val="auto"/>
              </w:rPr>
              <w:t>1.4.4</w:t>
            </w:r>
          </w:p>
        </w:tc>
        <w:tc>
          <w:tcPr>
            <w:tcW w:w="3390" w:type="dxa"/>
          </w:tcPr>
          <w:p>
            <w:pPr>
              <w:spacing w:line="275"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spacing w:line="276" w:lineRule="auto"/>
              <w:rPr>
                <w:color w:val="auto"/>
                <w:lang w:eastAsia="zh-CN"/>
              </w:rPr>
            </w:pPr>
          </w:p>
          <w:p>
            <w:pPr>
              <w:pStyle w:val="15"/>
              <w:spacing w:before="65" w:line="228" w:lineRule="auto"/>
              <w:ind w:left="441"/>
              <w:rPr>
                <w:color w:val="auto"/>
                <w:lang w:eastAsia="zh-CN"/>
              </w:rPr>
            </w:pPr>
            <w:r>
              <w:rPr>
                <w:color w:val="auto"/>
                <w:spacing w:val="8"/>
                <w:lang w:eastAsia="zh-CN"/>
              </w:rPr>
              <w:t>投标人不得存在的其他情形</w:t>
            </w:r>
          </w:p>
        </w:tc>
        <w:tc>
          <w:tcPr>
            <w:tcW w:w="4658" w:type="dxa"/>
          </w:tcPr>
          <w:p>
            <w:pPr>
              <w:pStyle w:val="15"/>
              <w:spacing w:before="111" w:line="280" w:lineRule="auto"/>
              <w:ind w:left="131" w:right="109" w:firstLine="19"/>
              <w:rPr>
                <w:color w:val="auto"/>
                <w:lang w:eastAsia="zh-CN"/>
              </w:rPr>
            </w:pPr>
            <w:r>
              <w:rPr>
                <w:color w:val="auto"/>
                <w:spacing w:val="8"/>
                <w:lang w:eastAsia="zh-CN"/>
              </w:rPr>
              <w:t>(1) 与招标人存在利害关系可能影响招标公正性</w:t>
            </w:r>
            <w:r>
              <w:rPr>
                <w:color w:val="auto"/>
                <w:spacing w:val="7"/>
                <w:lang w:eastAsia="zh-CN"/>
              </w:rPr>
              <w:t xml:space="preserve"> 的法人、其他组织或者个人。</w:t>
            </w:r>
          </w:p>
          <w:p>
            <w:pPr>
              <w:pStyle w:val="15"/>
              <w:tabs>
                <w:tab w:val="left" w:pos="256"/>
              </w:tabs>
              <w:spacing w:before="115" w:line="311" w:lineRule="auto"/>
              <w:ind w:left="116" w:right="38" w:firstLine="34"/>
              <w:rPr>
                <w:color w:val="auto"/>
                <w:lang w:eastAsia="zh-CN"/>
              </w:rPr>
            </w:pPr>
            <w:r>
              <w:rPr>
                <w:color w:val="auto"/>
                <w:spacing w:val="8"/>
                <w:lang w:eastAsia="zh-CN"/>
              </w:rPr>
              <w:t>(2) 单位负责人为同一人或者存在控股、管理关</w:t>
            </w:r>
            <w:r>
              <w:rPr>
                <w:color w:val="auto"/>
                <w:spacing w:val="4"/>
                <w:lang w:eastAsia="zh-CN"/>
              </w:rPr>
              <w:t>系的不同单位，不得同时参加本招标项目的投标。</w:t>
            </w:r>
            <w:r>
              <w:rPr>
                <w:color w:val="auto"/>
                <w:lang w:eastAsia="zh-CN"/>
              </w:rPr>
              <w:tab/>
            </w:r>
            <w:r>
              <w:rPr>
                <w:color w:val="auto"/>
                <w:spacing w:val="13"/>
                <w:lang w:eastAsia="zh-CN"/>
              </w:rPr>
              <w:t>(3 )在最近三年内有政府及相关主要部门发布</w:t>
            </w:r>
            <w:r>
              <w:rPr>
                <w:color w:val="auto"/>
                <w:spacing w:val="10"/>
                <w:lang w:eastAsia="zh-CN"/>
              </w:rPr>
              <w:t>的，骗取中标或重大违法记录或发生过一般、较</w:t>
            </w:r>
            <w:r>
              <w:rPr>
                <w:color w:val="auto"/>
                <w:spacing w:val="8"/>
                <w:lang w:eastAsia="zh-CN"/>
              </w:rPr>
              <w:t>大或重大、特大质量安全事故的单位。</w:t>
            </w:r>
          </w:p>
          <w:p>
            <w:pPr>
              <w:pStyle w:val="15"/>
              <w:spacing w:before="113" w:line="228" w:lineRule="auto"/>
              <w:ind w:left="150"/>
              <w:rPr>
                <w:color w:val="auto"/>
                <w:lang w:eastAsia="zh-CN"/>
              </w:rPr>
            </w:pPr>
            <w:r>
              <w:rPr>
                <w:color w:val="auto"/>
                <w:spacing w:val="7"/>
                <w:lang w:eastAsia="zh-CN"/>
              </w:rPr>
              <w:t>(4)因拖欠农民工工资存在债务纠纷的施</w:t>
            </w:r>
            <w:r>
              <w:rPr>
                <w:color w:val="auto"/>
                <w:spacing w:val="6"/>
                <w:lang w:eastAsia="zh-CN"/>
              </w:rPr>
              <w:t>工单位。</w:t>
            </w:r>
          </w:p>
          <w:p>
            <w:pPr>
              <w:pStyle w:val="15"/>
              <w:spacing w:before="113" w:line="279" w:lineRule="auto"/>
              <w:ind w:left="115" w:right="109" w:firstLine="35"/>
              <w:rPr>
                <w:color w:val="auto"/>
                <w:lang w:eastAsia="zh-CN"/>
              </w:rPr>
            </w:pPr>
            <w:r>
              <w:rPr>
                <w:color w:val="auto"/>
                <w:spacing w:val="4"/>
                <w:lang w:eastAsia="zh-CN"/>
              </w:rPr>
              <w:t>(5)为本项目相应标段提供整体设计、规范编制或</w:t>
            </w:r>
            <w:r>
              <w:rPr>
                <w:color w:val="auto"/>
                <w:spacing w:val="10"/>
                <w:lang w:eastAsia="zh-CN"/>
              </w:rPr>
              <w:t>者项目管理、监理、检测等服务的，不得再参加</w:t>
            </w:r>
          </w:p>
        </w:tc>
      </w:tr>
    </w:tbl>
    <w:p>
      <w:pPr>
        <w:pStyle w:val="3"/>
        <w:rPr>
          <w:color w:val="auto"/>
          <w:lang w:eastAsia="zh-CN"/>
        </w:rPr>
      </w:pPr>
    </w:p>
    <w:p>
      <w:pPr>
        <w:rPr>
          <w:color w:val="auto"/>
          <w:lang w:eastAsia="zh-CN"/>
        </w:rPr>
        <w:sectPr>
          <w:footerReference r:id="rId12" w:type="default"/>
          <w:pgSz w:w="11906" w:h="16839"/>
          <w:pgMar w:top="1431" w:right="1418" w:bottom="1354"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46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rPr>
                <w:color w:val="auto"/>
              </w:rPr>
            </w:pPr>
          </w:p>
        </w:tc>
        <w:tc>
          <w:tcPr>
            <w:tcW w:w="3390" w:type="dxa"/>
          </w:tcPr>
          <w:p>
            <w:pPr>
              <w:rPr>
                <w:color w:val="auto"/>
              </w:rPr>
            </w:pPr>
          </w:p>
        </w:tc>
        <w:tc>
          <w:tcPr>
            <w:tcW w:w="4658" w:type="dxa"/>
          </w:tcPr>
          <w:p>
            <w:pPr>
              <w:pStyle w:val="15"/>
              <w:spacing w:before="110" w:line="228" w:lineRule="auto"/>
              <w:ind w:left="114"/>
              <w:rPr>
                <w:color w:val="auto"/>
                <w:lang w:eastAsia="zh-CN"/>
              </w:rPr>
            </w:pPr>
            <w:r>
              <w:rPr>
                <w:color w:val="auto"/>
                <w:spacing w:val="8"/>
                <w:lang w:eastAsia="zh-CN"/>
              </w:rPr>
              <w:t>相应标段的其他投标活动。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lang w:eastAsia="zh-CN"/>
              </w:rPr>
            </w:pPr>
          </w:p>
          <w:p>
            <w:pPr>
              <w:pStyle w:val="15"/>
              <w:spacing w:before="65" w:line="190" w:lineRule="auto"/>
              <w:ind w:left="237"/>
              <w:rPr>
                <w:color w:val="auto"/>
              </w:rPr>
            </w:pPr>
            <w:r>
              <w:rPr>
                <w:color w:val="auto"/>
              </w:rPr>
              <w:t>1.9.1</w:t>
            </w:r>
          </w:p>
        </w:tc>
        <w:tc>
          <w:tcPr>
            <w:tcW w:w="3390" w:type="dxa"/>
          </w:tcPr>
          <w:p>
            <w:pPr>
              <w:spacing w:line="297" w:lineRule="auto"/>
              <w:rPr>
                <w:color w:val="auto"/>
              </w:rPr>
            </w:pPr>
          </w:p>
          <w:p>
            <w:pPr>
              <w:pStyle w:val="15"/>
              <w:spacing w:before="65" w:line="228" w:lineRule="auto"/>
              <w:ind w:left="1280"/>
              <w:rPr>
                <w:color w:val="auto"/>
              </w:rPr>
            </w:pPr>
            <w:r>
              <w:rPr>
                <w:color w:val="auto"/>
                <w:spacing w:val="7"/>
              </w:rPr>
              <w:t>踏勘现场</w:t>
            </w:r>
          </w:p>
        </w:tc>
        <w:tc>
          <w:tcPr>
            <w:tcW w:w="4658" w:type="dxa"/>
          </w:tcPr>
          <w:p>
            <w:pPr>
              <w:pStyle w:val="15"/>
              <w:spacing w:before="52" w:line="231"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不组织</w:t>
            </w:r>
          </w:p>
          <w:p>
            <w:pPr>
              <w:pStyle w:val="15"/>
              <w:spacing w:before="61" w:line="228" w:lineRule="auto"/>
              <w:ind w:left="135"/>
              <w:rPr>
                <w:color w:val="auto"/>
                <w:lang w:eastAsia="zh-CN"/>
              </w:rPr>
            </w:pPr>
            <w:r>
              <w:rPr>
                <w:color w:val="auto"/>
                <w:spacing w:val="5"/>
                <w:lang w:eastAsia="zh-CN"/>
              </w:rPr>
              <w:t>□组织，踏勘时间：</w:t>
            </w:r>
          </w:p>
          <w:p>
            <w:pPr>
              <w:pStyle w:val="15"/>
              <w:spacing w:before="65" w:line="228" w:lineRule="auto"/>
              <w:ind w:left="954"/>
              <w:rPr>
                <w:color w:val="auto"/>
              </w:rPr>
            </w:pPr>
            <w:r>
              <w:rPr>
                <w:color w:val="auto"/>
                <w:spacing w:val="6"/>
              </w:rPr>
              <w:t>踏勘集中地点：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30" w:lineRule="auto"/>
              <w:rPr>
                <w:color w:val="auto"/>
              </w:rPr>
            </w:pPr>
          </w:p>
          <w:p>
            <w:pPr>
              <w:pStyle w:val="15"/>
              <w:spacing w:before="65" w:line="190" w:lineRule="auto"/>
              <w:ind w:left="185"/>
              <w:rPr>
                <w:color w:val="auto"/>
              </w:rPr>
            </w:pPr>
            <w:r>
              <w:rPr>
                <w:color w:val="auto"/>
                <w:spacing w:val="1"/>
              </w:rPr>
              <w:t>1.10.1</w:t>
            </w:r>
          </w:p>
        </w:tc>
        <w:tc>
          <w:tcPr>
            <w:tcW w:w="3390" w:type="dxa"/>
          </w:tcPr>
          <w:p>
            <w:pPr>
              <w:spacing w:line="298" w:lineRule="auto"/>
              <w:rPr>
                <w:color w:val="auto"/>
              </w:rPr>
            </w:pPr>
          </w:p>
          <w:p>
            <w:pPr>
              <w:pStyle w:val="15"/>
              <w:spacing w:before="65" w:line="227" w:lineRule="auto"/>
              <w:ind w:left="1176"/>
              <w:rPr>
                <w:color w:val="auto"/>
              </w:rPr>
            </w:pPr>
            <w:r>
              <w:rPr>
                <w:color w:val="auto"/>
                <w:spacing w:val="7"/>
              </w:rPr>
              <w:t>投标预备会</w:t>
            </w:r>
          </w:p>
        </w:tc>
        <w:tc>
          <w:tcPr>
            <w:tcW w:w="4658" w:type="dxa"/>
          </w:tcPr>
          <w:p>
            <w:pPr>
              <w:pStyle w:val="15"/>
              <w:spacing w:before="53" w:line="229"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不召开</w:t>
            </w:r>
          </w:p>
          <w:p>
            <w:pPr>
              <w:pStyle w:val="15"/>
              <w:spacing w:before="64" w:line="260" w:lineRule="auto"/>
              <w:ind w:left="135" w:right="2710"/>
              <w:jc w:val="right"/>
              <w:rPr>
                <w:color w:val="auto"/>
                <w:lang w:eastAsia="zh-CN"/>
              </w:rPr>
            </w:pPr>
            <w:r>
              <w:rPr>
                <w:color w:val="auto"/>
                <w:lang w:eastAsia="zh-CN"/>
              </w:rPr>
              <w:t>□召开，召开时间：</w:t>
            </w:r>
            <w:r>
              <w:rPr>
                <w:color w:val="auto"/>
                <w:spacing w:val="4"/>
                <w:lang w:eastAsia="zh-CN"/>
              </w:rPr>
              <w:t>召开地点：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266" w:lineRule="auto"/>
              <w:rPr>
                <w:color w:val="auto"/>
                <w:lang w:eastAsia="zh-CN"/>
              </w:rPr>
            </w:pPr>
          </w:p>
          <w:p>
            <w:pPr>
              <w:pStyle w:val="15"/>
              <w:spacing w:before="65" w:line="190" w:lineRule="auto"/>
              <w:ind w:left="185"/>
              <w:rPr>
                <w:color w:val="auto"/>
              </w:rPr>
            </w:pPr>
            <w:r>
              <w:rPr>
                <w:color w:val="auto"/>
                <w:spacing w:val="1"/>
              </w:rPr>
              <w:t>1.10.2</w:t>
            </w:r>
          </w:p>
        </w:tc>
        <w:tc>
          <w:tcPr>
            <w:tcW w:w="3390" w:type="dxa"/>
            <w:vMerge w:val="restart"/>
            <w:tcBorders>
              <w:bottom w:val="nil"/>
            </w:tcBorders>
          </w:tcPr>
          <w:p>
            <w:pPr>
              <w:pStyle w:val="15"/>
              <w:spacing w:before="301" w:line="227" w:lineRule="auto"/>
              <w:ind w:left="233"/>
              <w:rPr>
                <w:color w:val="auto"/>
                <w:lang w:eastAsia="zh-CN"/>
              </w:rPr>
            </w:pPr>
            <w:r>
              <w:rPr>
                <w:color w:val="auto"/>
                <w:spacing w:val="9"/>
                <w:lang w:eastAsia="zh-CN"/>
              </w:rPr>
              <w:t>投标人在投标预备会前提出问题</w:t>
            </w:r>
          </w:p>
        </w:tc>
        <w:tc>
          <w:tcPr>
            <w:tcW w:w="4658" w:type="dxa"/>
          </w:tcPr>
          <w:p>
            <w:pPr>
              <w:pStyle w:val="15"/>
              <w:spacing w:before="97" w:line="230" w:lineRule="auto"/>
              <w:ind w:left="123"/>
              <w:rPr>
                <w:color w:val="auto"/>
              </w:rPr>
            </w:pPr>
            <w:r>
              <w:rPr>
                <w:color w:val="auto"/>
                <w:spacing w:val="4"/>
              </w:rPr>
              <w:t>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continue"/>
            <w:tcBorders>
              <w:top w:val="nil"/>
            </w:tcBorders>
          </w:tcPr>
          <w:p>
            <w:pPr>
              <w:rPr>
                <w:color w:val="auto"/>
              </w:rPr>
            </w:pPr>
          </w:p>
        </w:tc>
        <w:tc>
          <w:tcPr>
            <w:tcW w:w="3390" w:type="dxa"/>
            <w:vMerge w:val="continue"/>
            <w:tcBorders>
              <w:top w:val="nil"/>
            </w:tcBorders>
          </w:tcPr>
          <w:p>
            <w:pPr>
              <w:rPr>
                <w:color w:val="auto"/>
              </w:rPr>
            </w:pPr>
          </w:p>
        </w:tc>
        <w:tc>
          <w:tcPr>
            <w:tcW w:w="4658" w:type="dxa"/>
          </w:tcPr>
          <w:p>
            <w:pPr>
              <w:pStyle w:val="15"/>
              <w:spacing w:before="96" w:line="229" w:lineRule="auto"/>
              <w:ind w:left="116"/>
              <w:rPr>
                <w:color w:val="auto"/>
              </w:rPr>
            </w:pPr>
            <w:r>
              <w:rPr>
                <w:color w:val="auto"/>
                <w:spacing w:val="6"/>
              </w:rPr>
              <w:t>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8" w:line="190" w:lineRule="auto"/>
              <w:ind w:left="185"/>
              <w:rPr>
                <w:color w:val="auto"/>
              </w:rPr>
            </w:pPr>
            <w:r>
              <w:rPr>
                <w:color w:val="auto"/>
                <w:spacing w:val="1"/>
              </w:rPr>
              <w:t>1.10.3</w:t>
            </w:r>
          </w:p>
        </w:tc>
        <w:tc>
          <w:tcPr>
            <w:tcW w:w="3390" w:type="dxa"/>
          </w:tcPr>
          <w:p>
            <w:pPr>
              <w:pStyle w:val="15"/>
              <w:spacing w:before="96" w:line="228" w:lineRule="auto"/>
              <w:ind w:left="545"/>
              <w:rPr>
                <w:color w:val="auto"/>
                <w:lang w:eastAsia="zh-CN"/>
              </w:rPr>
            </w:pPr>
            <w:r>
              <w:rPr>
                <w:color w:val="auto"/>
                <w:spacing w:val="9"/>
                <w:lang w:eastAsia="zh-CN"/>
              </w:rPr>
              <w:t>招标文件澄清发出的形式</w:t>
            </w:r>
          </w:p>
        </w:tc>
        <w:tc>
          <w:tcPr>
            <w:tcW w:w="4658" w:type="dxa"/>
          </w:tcPr>
          <w:p>
            <w:pPr>
              <w:pStyle w:val="15"/>
              <w:spacing w:before="96"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59" w:type="dxa"/>
          </w:tcPr>
          <w:p>
            <w:pPr>
              <w:spacing w:line="243" w:lineRule="auto"/>
              <w:rPr>
                <w:color w:val="auto"/>
              </w:rPr>
            </w:pPr>
          </w:p>
          <w:p>
            <w:pPr>
              <w:spacing w:line="243" w:lineRule="auto"/>
              <w:rPr>
                <w:color w:val="auto"/>
              </w:rPr>
            </w:pPr>
          </w:p>
          <w:p>
            <w:pPr>
              <w:pStyle w:val="15"/>
              <w:spacing w:before="65" w:line="190" w:lineRule="auto"/>
              <w:ind w:left="290"/>
              <w:rPr>
                <w:color w:val="auto"/>
              </w:rPr>
            </w:pPr>
            <w:r>
              <w:rPr>
                <w:color w:val="auto"/>
                <w:spacing w:val="-2"/>
              </w:rPr>
              <w:t>1.11</w:t>
            </w:r>
          </w:p>
        </w:tc>
        <w:tc>
          <w:tcPr>
            <w:tcW w:w="3390" w:type="dxa"/>
          </w:tcPr>
          <w:p>
            <w:pPr>
              <w:spacing w:line="455" w:lineRule="auto"/>
              <w:rPr>
                <w:color w:val="auto"/>
              </w:rPr>
            </w:pPr>
          </w:p>
          <w:p>
            <w:pPr>
              <w:pStyle w:val="15"/>
              <w:spacing w:before="65" w:line="228" w:lineRule="auto"/>
              <w:ind w:left="1493"/>
              <w:rPr>
                <w:color w:val="auto"/>
              </w:rPr>
            </w:pPr>
            <w:r>
              <w:rPr>
                <w:color w:val="auto"/>
                <w:spacing w:val="3"/>
              </w:rPr>
              <w:t>分包</w:t>
            </w:r>
          </w:p>
        </w:tc>
        <w:tc>
          <w:tcPr>
            <w:tcW w:w="4658" w:type="dxa"/>
          </w:tcPr>
          <w:p>
            <w:pPr>
              <w:pStyle w:val="15"/>
              <w:spacing w:before="54"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66" w:line="273" w:lineRule="auto"/>
              <w:ind w:left="135" w:right="2290"/>
              <w:jc w:val="right"/>
              <w:rPr>
                <w:color w:val="auto"/>
                <w:lang w:eastAsia="zh-CN"/>
              </w:rPr>
            </w:pPr>
            <w:r>
              <w:rPr>
                <w:color w:val="auto"/>
                <w:spacing w:val="2"/>
                <w:lang w:eastAsia="zh-CN"/>
              </w:rPr>
              <w:t>□允许，分包内容要求：</w:t>
            </w:r>
            <w:r>
              <w:rPr>
                <w:color w:val="auto"/>
                <w:spacing w:val="6"/>
                <w:lang w:eastAsia="zh-CN"/>
              </w:rPr>
              <w:t>分包金额要求：</w:t>
            </w:r>
          </w:p>
          <w:p>
            <w:pPr>
              <w:pStyle w:val="15"/>
              <w:spacing w:before="31" w:line="228" w:lineRule="auto"/>
              <w:ind w:left="953"/>
              <w:rPr>
                <w:color w:val="auto"/>
                <w:lang w:eastAsia="zh-CN"/>
              </w:rPr>
            </w:pPr>
            <w:r>
              <w:rPr>
                <w:color w:val="auto"/>
                <w:spacing w:val="8"/>
                <w:lang w:eastAsia="zh-CN"/>
              </w:rPr>
              <w:t>接受分包的第三人资质要求：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90"/>
              <w:rPr>
                <w:color w:val="auto"/>
              </w:rPr>
            </w:pPr>
            <w:r>
              <w:rPr>
                <w:color w:val="auto"/>
                <w:spacing w:val="-1"/>
              </w:rPr>
              <w:t>1.12</w:t>
            </w:r>
          </w:p>
        </w:tc>
        <w:tc>
          <w:tcPr>
            <w:tcW w:w="3390" w:type="dxa"/>
          </w:tcPr>
          <w:p>
            <w:pPr>
              <w:spacing w:line="263" w:lineRule="auto"/>
              <w:rPr>
                <w:color w:val="auto"/>
              </w:rPr>
            </w:pPr>
          </w:p>
          <w:p>
            <w:pPr>
              <w:spacing w:line="263" w:lineRule="auto"/>
              <w:rPr>
                <w:color w:val="auto"/>
              </w:rPr>
            </w:pPr>
          </w:p>
          <w:p>
            <w:pPr>
              <w:pStyle w:val="15"/>
              <w:spacing w:before="65" w:line="228" w:lineRule="auto"/>
              <w:ind w:left="1490"/>
              <w:rPr>
                <w:color w:val="auto"/>
              </w:rPr>
            </w:pPr>
            <w:r>
              <w:rPr>
                <w:color w:val="auto"/>
                <w:spacing w:val="4"/>
              </w:rPr>
              <w:t>偏差</w:t>
            </w:r>
          </w:p>
        </w:tc>
        <w:tc>
          <w:tcPr>
            <w:tcW w:w="4658" w:type="dxa"/>
          </w:tcPr>
          <w:p>
            <w:pPr>
              <w:pStyle w:val="15"/>
              <w:spacing w:before="112" w:line="228" w:lineRule="auto"/>
              <w:ind w:left="122"/>
              <w:rPr>
                <w:color w:val="auto"/>
                <w:lang w:eastAsia="zh-CN"/>
              </w:rPr>
            </w:pPr>
            <w:r>
              <w:rPr>
                <w:rFonts w:ascii="MS Gothic" w:hAnsi="MS Gothic" w:eastAsia="MS Gothic" w:cs="MS Gothic"/>
                <w:color w:val="auto"/>
                <w:spacing w:val="5"/>
                <w:lang w:eastAsia="zh-CN"/>
              </w:rPr>
              <w:t>☑</w:t>
            </w:r>
            <w:r>
              <w:rPr>
                <w:color w:val="auto"/>
                <w:spacing w:val="5"/>
                <w:lang w:eastAsia="zh-CN"/>
              </w:rPr>
              <w:t>不允许</w:t>
            </w:r>
          </w:p>
          <w:p>
            <w:pPr>
              <w:pStyle w:val="15"/>
              <w:spacing w:before="113" w:line="228" w:lineRule="auto"/>
              <w:ind w:left="135"/>
              <w:rPr>
                <w:color w:val="auto"/>
                <w:lang w:eastAsia="zh-CN"/>
              </w:rPr>
            </w:pPr>
            <w:r>
              <w:rPr>
                <w:color w:val="auto"/>
                <w:spacing w:val="5"/>
                <w:lang w:eastAsia="zh-CN"/>
              </w:rPr>
              <w:t>□允许，偏差范围：</w:t>
            </w:r>
          </w:p>
          <w:p>
            <w:pPr>
              <w:pStyle w:val="15"/>
              <w:spacing w:before="113" w:line="228" w:lineRule="auto"/>
              <w:ind w:left="956"/>
              <w:rPr>
                <w:color w:val="auto"/>
                <w:lang w:eastAsia="zh-CN"/>
              </w:rPr>
            </w:pPr>
            <w:r>
              <w:rPr>
                <w:color w:val="auto"/>
                <w:spacing w:val="5"/>
                <w:lang w:eastAsia="zh-CN"/>
              </w:rPr>
              <w:t>最高项数：</w:t>
            </w:r>
          </w:p>
          <w:p>
            <w:pPr>
              <w:pStyle w:val="15"/>
              <w:spacing w:before="55" w:line="228" w:lineRule="auto"/>
              <w:ind w:left="954"/>
              <w:rPr>
                <w:color w:val="auto"/>
                <w:lang w:eastAsia="zh-CN"/>
              </w:rPr>
            </w:pPr>
            <w:r>
              <w:rPr>
                <w:color w:val="auto"/>
                <w:spacing w:val="7"/>
                <w:lang w:eastAsia="zh-CN"/>
              </w:rPr>
              <w:t>偏差判断标准：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330"/>
              <w:rPr>
                <w:color w:val="auto"/>
              </w:rPr>
            </w:pPr>
            <w:r>
              <w:rPr>
                <w:color w:val="auto"/>
                <w:spacing w:val="1"/>
              </w:rPr>
              <w:t>2.1</w:t>
            </w:r>
          </w:p>
        </w:tc>
        <w:tc>
          <w:tcPr>
            <w:tcW w:w="3390" w:type="dxa"/>
          </w:tcPr>
          <w:p>
            <w:pPr>
              <w:pStyle w:val="15"/>
              <w:spacing w:before="211" w:line="227" w:lineRule="auto"/>
              <w:ind w:left="547"/>
              <w:rPr>
                <w:color w:val="auto"/>
                <w:lang w:eastAsia="zh-CN"/>
              </w:rPr>
            </w:pPr>
            <w:r>
              <w:rPr>
                <w:color w:val="auto"/>
                <w:spacing w:val="8"/>
                <w:lang w:eastAsia="zh-CN"/>
              </w:rPr>
              <w:t>构成招标文件的其他材料</w:t>
            </w:r>
          </w:p>
        </w:tc>
        <w:tc>
          <w:tcPr>
            <w:tcW w:w="4658" w:type="dxa"/>
          </w:tcPr>
          <w:p>
            <w:pPr>
              <w:pStyle w:val="15"/>
              <w:spacing w:before="55" w:line="260" w:lineRule="auto"/>
              <w:ind w:left="113" w:right="106" w:firstLine="1"/>
              <w:rPr>
                <w:color w:val="auto"/>
                <w:lang w:eastAsia="zh-CN"/>
              </w:rPr>
            </w:pPr>
            <w:r>
              <w:rPr>
                <w:color w:val="auto"/>
                <w:spacing w:val="10"/>
                <w:lang w:eastAsia="zh-CN"/>
              </w:rPr>
              <w:t xml:space="preserve">招标过程中发布的澄清(答疑)文件、补充修改文 </w:t>
            </w:r>
            <w:r>
              <w:rPr>
                <w:color w:val="auto"/>
                <w:lang w:eastAsia="zh-CN"/>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lang w:eastAsia="zh-CN"/>
              </w:rPr>
            </w:pPr>
          </w:p>
          <w:p>
            <w:pPr>
              <w:pStyle w:val="15"/>
              <w:spacing w:before="65" w:line="190" w:lineRule="auto"/>
              <w:ind w:left="224"/>
              <w:rPr>
                <w:color w:val="auto"/>
              </w:rPr>
            </w:pPr>
            <w:r>
              <w:rPr>
                <w:color w:val="auto"/>
                <w:spacing w:val="2"/>
              </w:rPr>
              <w:t>2.2.1</w:t>
            </w:r>
          </w:p>
        </w:tc>
        <w:tc>
          <w:tcPr>
            <w:tcW w:w="3390" w:type="dxa"/>
            <w:vMerge w:val="restart"/>
            <w:tcBorders>
              <w:bottom w:val="nil"/>
            </w:tcBorders>
          </w:tcPr>
          <w:p>
            <w:pPr>
              <w:spacing w:line="348" w:lineRule="auto"/>
              <w:rPr>
                <w:color w:val="auto"/>
                <w:lang w:eastAsia="zh-CN"/>
              </w:rPr>
            </w:pPr>
          </w:p>
          <w:p>
            <w:pPr>
              <w:pStyle w:val="15"/>
              <w:spacing w:before="65" w:line="228" w:lineRule="auto"/>
              <w:ind w:left="547"/>
              <w:rPr>
                <w:color w:val="auto"/>
                <w:lang w:eastAsia="zh-CN"/>
              </w:rPr>
            </w:pPr>
            <w:r>
              <w:rPr>
                <w:color w:val="auto"/>
                <w:spacing w:val="8"/>
                <w:lang w:eastAsia="zh-CN"/>
              </w:rPr>
              <w:t>投标人要求澄清招标文件</w:t>
            </w:r>
          </w:p>
        </w:tc>
        <w:tc>
          <w:tcPr>
            <w:tcW w:w="4658" w:type="dxa"/>
          </w:tcPr>
          <w:p>
            <w:pPr>
              <w:pStyle w:val="15"/>
              <w:spacing w:before="99" w:line="228" w:lineRule="auto"/>
              <w:ind w:left="123"/>
              <w:rPr>
                <w:color w:val="auto"/>
                <w:lang w:eastAsia="zh-CN"/>
              </w:rPr>
            </w:pPr>
            <w:r>
              <w:rPr>
                <w:color w:val="auto"/>
                <w:spacing w:val="5"/>
                <w:lang w:eastAsia="zh-CN"/>
              </w:rPr>
              <w:t>时间：投标截止时间前</w:t>
            </w:r>
            <w:r>
              <w:rPr>
                <w:rFonts w:hint="eastAsia"/>
                <w:color w:val="auto"/>
                <w:spacing w:val="5"/>
                <w:lang w:eastAsia="zh-CN"/>
              </w:rPr>
              <w:t>3</w:t>
            </w:r>
            <w:r>
              <w:rPr>
                <w:color w:val="auto"/>
                <w:spacing w:val="5"/>
                <w:lang w:eastAsia="zh-CN"/>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6"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32" w:line="189" w:lineRule="auto"/>
              <w:ind w:left="224"/>
              <w:rPr>
                <w:color w:val="auto"/>
              </w:rPr>
            </w:pPr>
            <w:r>
              <w:rPr>
                <w:color w:val="auto"/>
                <w:spacing w:val="2"/>
              </w:rPr>
              <w:t>2.2.2</w:t>
            </w:r>
          </w:p>
        </w:tc>
        <w:tc>
          <w:tcPr>
            <w:tcW w:w="3390" w:type="dxa"/>
          </w:tcPr>
          <w:p>
            <w:pPr>
              <w:pStyle w:val="15"/>
              <w:spacing w:before="99" w:line="228" w:lineRule="auto"/>
              <w:ind w:left="1073"/>
              <w:rPr>
                <w:color w:val="auto"/>
              </w:rPr>
            </w:pPr>
            <w:r>
              <w:rPr>
                <w:color w:val="auto"/>
                <w:spacing w:val="7"/>
              </w:rPr>
              <w:t>投标截止时间</w:t>
            </w:r>
          </w:p>
        </w:tc>
        <w:tc>
          <w:tcPr>
            <w:tcW w:w="4658" w:type="dxa"/>
          </w:tcPr>
          <w:p>
            <w:pPr>
              <w:pStyle w:val="15"/>
              <w:spacing w:before="99" w:line="228" w:lineRule="auto"/>
              <w:ind w:left="117"/>
              <w:rPr>
                <w:color w:val="auto"/>
              </w:rPr>
            </w:pPr>
            <w:r>
              <w:rPr>
                <w:rFonts w:ascii="Calibri" w:hAnsi="Calibri" w:eastAsia="Calibri" w:cs="Calibri"/>
                <w:color w:val="auto"/>
                <w:spacing w:val="-4"/>
              </w:rPr>
              <w:t>2024</w:t>
            </w:r>
            <w:r>
              <w:rPr>
                <w:color w:val="auto"/>
                <w:spacing w:val="-4"/>
              </w:rPr>
              <w:t>年</w:t>
            </w:r>
            <w:r>
              <w:rPr>
                <w:rFonts w:hint="eastAsia"/>
                <w:color w:val="auto"/>
                <w:lang w:val="en-US" w:eastAsia="zh-CN"/>
              </w:rPr>
              <w:t>10</w:t>
            </w:r>
            <w:r>
              <w:rPr>
                <w:color w:val="auto"/>
              </w:rPr>
              <w:t>月</w:t>
            </w:r>
            <w:r>
              <w:rPr>
                <w:rFonts w:hint="eastAsia"/>
                <w:color w:val="auto"/>
                <w:lang w:val="en-US" w:eastAsia="zh-CN"/>
              </w:rPr>
              <w:t>31</w:t>
            </w:r>
            <w:r>
              <w:rPr>
                <w:color w:val="auto"/>
              </w:rPr>
              <w:t xml:space="preserve">日 9 </w:t>
            </w:r>
            <w:r>
              <w:rPr>
                <w:color w:val="auto"/>
                <w:spacing w:val="-4"/>
              </w:rPr>
              <w:t>时</w:t>
            </w:r>
            <w:r>
              <w:rPr>
                <w:rFonts w:ascii="Calibri" w:hAnsi="Calibri" w:eastAsia="Calibri" w:cs="Calibri"/>
                <w:color w:val="auto"/>
                <w:spacing w:val="-4"/>
              </w:rPr>
              <w:t>30</w:t>
            </w:r>
            <w:r>
              <w:rPr>
                <w:color w:val="auto"/>
                <w:spacing w:val="-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2.2.3</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投标人确认收到招标文件澄清</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224"/>
              <w:rPr>
                <w:color w:val="auto"/>
              </w:rPr>
            </w:pPr>
            <w:r>
              <w:rPr>
                <w:color w:val="auto"/>
                <w:spacing w:val="3"/>
              </w:rPr>
              <w:t>2.3.1</w:t>
            </w:r>
          </w:p>
        </w:tc>
        <w:tc>
          <w:tcPr>
            <w:tcW w:w="3390" w:type="dxa"/>
          </w:tcPr>
          <w:p>
            <w:pPr>
              <w:pStyle w:val="15"/>
              <w:spacing w:before="211" w:line="228" w:lineRule="auto"/>
              <w:ind w:left="545"/>
              <w:rPr>
                <w:color w:val="auto"/>
                <w:lang w:eastAsia="zh-CN"/>
              </w:rPr>
            </w:pPr>
            <w:r>
              <w:rPr>
                <w:color w:val="auto"/>
                <w:spacing w:val="9"/>
                <w:lang w:eastAsia="zh-CN"/>
              </w:rPr>
              <w:t>招标文件修改发出的形式</w:t>
            </w:r>
          </w:p>
        </w:tc>
        <w:tc>
          <w:tcPr>
            <w:tcW w:w="4658" w:type="dxa"/>
          </w:tcPr>
          <w:p>
            <w:pPr>
              <w:pStyle w:val="15"/>
              <w:spacing w:before="55" w:line="228" w:lineRule="auto"/>
              <w:ind w:left="114"/>
              <w:rPr>
                <w:color w:val="auto"/>
                <w:lang w:eastAsia="zh-CN"/>
              </w:rPr>
            </w:pPr>
            <w:r>
              <w:rPr>
                <w:color w:val="auto"/>
                <w:spacing w:val="9"/>
                <w:lang w:eastAsia="zh-CN"/>
              </w:rPr>
              <w:t>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vMerge w:val="restart"/>
            <w:tcBorders>
              <w:bottom w:val="nil"/>
            </w:tcBorders>
          </w:tcPr>
          <w:p>
            <w:pPr>
              <w:spacing w:line="380" w:lineRule="auto"/>
              <w:rPr>
                <w:color w:val="auto"/>
              </w:rPr>
            </w:pPr>
          </w:p>
          <w:p>
            <w:pPr>
              <w:pStyle w:val="15"/>
              <w:spacing w:before="65" w:line="189" w:lineRule="auto"/>
              <w:ind w:left="224"/>
              <w:rPr>
                <w:color w:val="auto"/>
              </w:rPr>
            </w:pPr>
            <w:r>
              <w:rPr>
                <w:color w:val="auto"/>
                <w:spacing w:val="2"/>
              </w:rPr>
              <w:t>2.3.2</w:t>
            </w:r>
          </w:p>
        </w:tc>
        <w:tc>
          <w:tcPr>
            <w:tcW w:w="3390" w:type="dxa"/>
            <w:vMerge w:val="restart"/>
            <w:tcBorders>
              <w:bottom w:val="nil"/>
            </w:tcBorders>
          </w:tcPr>
          <w:p>
            <w:pPr>
              <w:spacing w:line="347" w:lineRule="auto"/>
              <w:rPr>
                <w:color w:val="auto"/>
                <w:lang w:eastAsia="zh-CN"/>
              </w:rPr>
            </w:pPr>
          </w:p>
          <w:p>
            <w:pPr>
              <w:pStyle w:val="15"/>
              <w:spacing w:before="65" w:line="228" w:lineRule="auto"/>
              <w:ind w:left="336"/>
              <w:rPr>
                <w:color w:val="auto"/>
                <w:lang w:eastAsia="zh-CN"/>
              </w:rPr>
            </w:pPr>
            <w:r>
              <w:rPr>
                <w:color w:val="auto"/>
                <w:spacing w:val="9"/>
                <w:lang w:eastAsia="zh-CN"/>
              </w:rPr>
              <w:t>投标人确认收到招标文件修改</w:t>
            </w:r>
          </w:p>
        </w:tc>
        <w:tc>
          <w:tcPr>
            <w:tcW w:w="4658" w:type="dxa"/>
          </w:tcPr>
          <w:p>
            <w:pPr>
              <w:pStyle w:val="15"/>
              <w:spacing w:before="98" w:line="228" w:lineRule="auto"/>
              <w:ind w:left="123"/>
              <w:rPr>
                <w:color w:val="auto"/>
                <w:lang w:eastAsia="zh-CN"/>
              </w:rPr>
            </w:pPr>
            <w:r>
              <w:rPr>
                <w:color w:val="auto"/>
                <w:spacing w:val="8"/>
                <w:lang w:eastAsia="zh-CN"/>
              </w:rPr>
              <w:t>时间：无需确认、投标人自行下载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vMerge w:val="continue"/>
            <w:tcBorders>
              <w:top w:val="nil"/>
            </w:tcBorders>
          </w:tcPr>
          <w:p>
            <w:pPr>
              <w:rPr>
                <w:color w:val="auto"/>
                <w:lang w:eastAsia="zh-CN"/>
              </w:rPr>
            </w:pPr>
          </w:p>
        </w:tc>
        <w:tc>
          <w:tcPr>
            <w:tcW w:w="3390" w:type="dxa"/>
            <w:vMerge w:val="continue"/>
            <w:tcBorders>
              <w:top w:val="nil"/>
            </w:tcBorders>
          </w:tcPr>
          <w:p>
            <w:pPr>
              <w:rPr>
                <w:color w:val="auto"/>
                <w:lang w:eastAsia="zh-CN"/>
              </w:rPr>
            </w:pPr>
          </w:p>
        </w:tc>
        <w:tc>
          <w:tcPr>
            <w:tcW w:w="4658" w:type="dxa"/>
          </w:tcPr>
          <w:p>
            <w:pPr>
              <w:pStyle w:val="15"/>
              <w:spacing w:before="55" w:line="228" w:lineRule="auto"/>
              <w:ind w:left="116"/>
              <w:rPr>
                <w:color w:val="auto"/>
                <w:lang w:eastAsia="zh-CN"/>
              </w:rPr>
            </w:pPr>
            <w:r>
              <w:rPr>
                <w:color w:val="auto"/>
                <w:spacing w:val="9"/>
                <w:lang w:eastAsia="zh-CN"/>
              </w:rPr>
              <w:t>形式：通过湖南省公共资源交易服务平台提出</w:t>
            </w:r>
          </w:p>
          <w:p>
            <w:pPr>
              <w:pStyle w:val="15"/>
              <w:spacing w:before="65" w:line="227" w:lineRule="auto"/>
              <w:ind w:left="113"/>
              <w:rPr>
                <w:color w:val="auto"/>
              </w:rPr>
            </w:pPr>
            <w:r>
              <w:rPr>
                <w:color w:val="auto"/>
                <w:spacing w:val="9"/>
              </w:rPr>
              <w:t>在</w:t>
            </w:r>
            <w:r>
              <w:rPr>
                <w:rFonts w:hint="eastAsia"/>
                <w:color w:val="auto"/>
                <w:spacing w:val="9"/>
                <w:lang w:eastAsia="zh-CN"/>
              </w:rPr>
              <w:t>江永县人民政府网站(http://www.jiangyong.gov.cn/)</w:t>
            </w:r>
            <w:r>
              <w:rPr>
                <w:color w:val="auto"/>
                <w:spacing w:val="9"/>
              </w:rPr>
              <w:t>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30" w:line="190" w:lineRule="auto"/>
              <w:ind w:left="226"/>
              <w:rPr>
                <w:color w:val="auto"/>
              </w:rPr>
            </w:pPr>
            <w:r>
              <w:rPr>
                <w:color w:val="auto"/>
                <w:spacing w:val="2"/>
              </w:rPr>
              <w:t>3.1.1</w:t>
            </w:r>
          </w:p>
        </w:tc>
        <w:tc>
          <w:tcPr>
            <w:tcW w:w="3390" w:type="dxa"/>
          </w:tcPr>
          <w:p>
            <w:pPr>
              <w:pStyle w:val="15"/>
              <w:spacing w:before="98" w:line="227" w:lineRule="auto"/>
              <w:ind w:left="547"/>
              <w:rPr>
                <w:color w:val="auto"/>
                <w:lang w:eastAsia="zh-CN"/>
              </w:rPr>
            </w:pPr>
            <w:r>
              <w:rPr>
                <w:color w:val="auto"/>
                <w:spacing w:val="8"/>
                <w:lang w:eastAsia="zh-CN"/>
              </w:rPr>
              <w:t>构成投标文件的其他材料</w:t>
            </w:r>
          </w:p>
        </w:tc>
        <w:tc>
          <w:tcPr>
            <w:tcW w:w="4658" w:type="dxa"/>
          </w:tcPr>
          <w:p>
            <w:pPr>
              <w:pStyle w:val="15"/>
              <w:spacing w:before="98" w:line="233" w:lineRule="auto"/>
              <w:ind w:left="113"/>
              <w:rPr>
                <w:color w:val="auto"/>
              </w:rPr>
            </w:pPr>
            <w:r>
              <w:rPr>
                <w:color w:va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959" w:type="dxa"/>
          </w:tcPr>
          <w:p>
            <w:pPr>
              <w:pStyle w:val="15"/>
              <w:spacing w:before="129" w:line="190" w:lineRule="auto"/>
              <w:ind w:left="226"/>
              <w:rPr>
                <w:color w:val="auto"/>
              </w:rPr>
            </w:pPr>
            <w:r>
              <w:rPr>
                <w:color w:val="auto"/>
                <w:spacing w:val="2"/>
              </w:rPr>
              <w:t>3.3.1</w:t>
            </w:r>
          </w:p>
        </w:tc>
        <w:tc>
          <w:tcPr>
            <w:tcW w:w="3390" w:type="dxa"/>
          </w:tcPr>
          <w:p>
            <w:pPr>
              <w:pStyle w:val="15"/>
              <w:spacing w:before="97" w:line="228" w:lineRule="auto"/>
              <w:ind w:left="1176"/>
              <w:rPr>
                <w:color w:val="auto"/>
              </w:rPr>
            </w:pPr>
            <w:r>
              <w:rPr>
                <w:color w:val="auto"/>
                <w:spacing w:val="7"/>
              </w:rPr>
              <w:t>投标有效期</w:t>
            </w:r>
          </w:p>
        </w:tc>
        <w:tc>
          <w:tcPr>
            <w:tcW w:w="4658" w:type="dxa"/>
          </w:tcPr>
          <w:p>
            <w:pPr>
              <w:pStyle w:val="15"/>
              <w:spacing w:before="97" w:line="228" w:lineRule="auto"/>
              <w:ind w:left="148"/>
              <w:rPr>
                <w:color w:val="auto"/>
                <w:lang w:eastAsia="zh-CN"/>
              </w:rPr>
            </w:pPr>
            <w:r>
              <w:rPr>
                <w:color w:val="auto"/>
                <w:spacing w:val="-1"/>
                <w:lang w:eastAsia="zh-CN"/>
              </w:rPr>
              <w:t>自投标截止之日起 90天(日历天)</w:t>
            </w:r>
          </w:p>
        </w:tc>
      </w:tr>
    </w:tbl>
    <w:p>
      <w:pPr>
        <w:pStyle w:val="3"/>
        <w:rPr>
          <w:color w:val="auto"/>
          <w:lang w:eastAsia="zh-CN"/>
        </w:rPr>
      </w:pPr>
    </w:p>
    <w:p>
      <w:pPr>
        <w:rPr>
          <w:color w:val="auto"/>
          <w:lang w:eastAsia="zh-CN"/>
        </w:rPr>
        <w:sectPr>
          <w:footerReference r:id="rId13" w:type="default"/>
          <w:pgSz w:w="11906" w:h="16839"/>
          <w:pgMar w:top="1431" w:right="1418" w:bottom="1356" w:left="1475" w:header="0" w:footer="1191" w:gutter="0"/>
          <w:cols w:space="720" w:num="1"/>
          <w:docGrid w:linePitch="0" w:charSpace="0"/>
        </w:sectPr>
      </w:pPr>
    </w:p>
    <w:p>
      <w:pPr>
        <w:spacing w:before="198"/>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9"/>
        <w:gridCol w:w="3390"/>
        <w:gridCol w:w="218"/>
        <w:gridCol w:w="4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959" w:type="dxa"/>
          </w:tcPr>
          <w:p>
            <w:pPr>
              <w:pStyle w:val="15"/>
              <w:spacing w:before="97" w:line="228" w:lineRule="auto"/>
              <w:ind w:left="171"/>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1" w:hRule="atLeast"/>
        </w:trPr>
        <w:tc>
          <w:tcPr>
            <w:tcW w:w="959"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226"/>
              <w:rPr>
                <w:color w:val="auto"/>
              </w:rPr>
            </w:pPr>
            <w:r>
              <w:rPr>
                <w:color w:val="auto"/>
                <w:spacing w:val="2"/>
              </w:rPr>
              <w:t>3.4.1</w:t>
            </w:r>
          </w:p>
        </w:tc>
        <w:tc>
          <w:tcPr>
            <w:tcW w:w="3390" w:type="dxa"/>
          </w:tcPr>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pStyle w:val="15"/>
              <w:spacing w:before="65" w:line="228" w:lineRule="auto"/>
              <w:ind w:left="1176"/>
              <w:rPr>
                <w:color w:val="auto"/>
              </w:rPr>
            </w:pPr>
            <w:r>
              <w:rPr>
                <w:color w:val="auto"/>
                <w:spacing w:val="7"/>
              </w:rPr>
              <w:t>投标保证金</w:t>
            </w:r>
          </w:p>
        </w:tc>
        <w:tc>
          <w:tcPr>
            <w:tcW w:w="4658" w:type="dxa"/>
            <w:gridSpan w:val="2"/>
          </w:tcPr>
          <w:p>
            <w:pPr>
              <w:pStyle w:val="15"/>
              <w:spacing w:before="52" w:line="228" w:lineRule="auto"/>
              <w:ind w:left="122"/>
              <w:rPr>
                <w:color w:val="auto"/>
                <w:lang w:eastAsia="zh-CN"/>
              </w:rPr>
            </w:pPr>
            <w:r>
              <w:rPr>
                <w:rFonts w:ascii="MS Gothic" w:hAnsi="MS Gothic" w:eastAsia="MS Gothic" w:cs="MS Gothic"/>
                <w:color w:val="auto"/>
                <w:spacing w:val="6"/>
                <w:lang w:eastAsia="zh-CN"/>
              </w:rPr>
              <w:t>☑</w:t>
            </w:r>
            <w:r>
              <w:rPr>
                <w:color w:val="auto"/>
                <w:spacing w:val="6"/>
                <w:lang w:eastAsia="zh-CN"/>
              </w:rPr>
              <w:t>要求提交</w:t>
            </w:r>
          </w:p>
          <w:p>
            <w:pPr>
              <w:pStyle w:val="15"/>
              <w:spacing w:before="65" w:line="228" w:lineRule="auto"/>
              <w:jc w:val="right"/>
              <w:rPr>
                <w:color w:val="auto"/>
                <w:lang w:eastAsia="zh-CN"/>
              </w:rPr>
            </w:pPr>
            <w:r>
              <w:rPr>
                <w:color w:val="auto"/>
                <w:spacing w:val="7"/>
                <w:lang w:eastAsia="zh-CN"/>
              </w:rPr>
              <w:t>投标保证金的形式（投标人可以选择以下方式</w:t>
            </w:r>
            <w:r>
              <w:rPr>
                <w:color w:val="auto"/>
                <w:spacing w:val="-31"/>
                <w:lang w:eastAsia="zh-CN"/>
              </w:rPr>
              <w:t>）：</w:t>
            </w:r>
          </w:p>
          <w:p>
            <w:pPr>
              <w:pStyle w:val="15"/>
              <w:spacing w:before="63" w:line="274" w:lineRule="auto"/>
              <w:ind w:left="130" w:right="109" w:firstLine="406"/>
              <w:rPr>
                <w:color w:val="auto"/>
                <w:lang w:eastAsia="zh-CN"/>
              </w:rPr>
            </w:pPr>
            <w:r>
              <w:rPr>
                <w:color w:val="auto"/>
                <w:spacing w:val="10"/>
                <w:lang w:eastAsia="zh-CN"/>
              </w:rPr>
              <w:t>形式一：从投标人单位基本</w:t>
            </w:r>
            <w:bookmarkStart w:id="522" w:name="_GoBack"/>
            <w:bookmarkEnd w:id="522"/>
            <w:r>
              <w:rPr>
                <w:color w:val="auto"/>
                <w:spacing w:val="10"/>
                <w:lang w:eastAsia="zh-CN"/>
              </w:rPr>
              <w:t>账户电汇或企业</w:t>
            </w:r>
            <w:r>
              <w:rPr>
                <w:color w:val="auto"/>
                <w:spacing w:val="2"/>
                <w:lang w:eastAsia="zh-CN"/>
              </w:rPr>
              <w:t>网银转帐。</w:t>
            </w:r>
          </w:p>
          <w:p>
            <w:pPr>
              <w:pStyle w:val="15"/>
              <w:spacing w:before="11" w:line="227" w:lineRule="auto"/>
              <w:ind w:left="536"/>
              <w:rPr>
                <w:color w:val="auto"/>
                <w:lang w:eastAsia="zh-CN"/>
              </w:rPr>
            </w:pPr>
            <w:r>
              <w:rPr>
                <w:color w:val="auto"/>
                <w:spacing w:val="7"/>
                <w:lang w:eastAsia="zh-CN"/>
              </w:rPr>
              <w:t>投标保证金的金额：</w:t>
            </w:r>
            <w:r>
              <w:rPr>
                <w:rFonts w:hint="eastAsia"/>
                <w:color w:val="auto"/>
                <w:spacing w:val="7"/>
                <w:lang w:eastAsia="zh-CN"/>
              </w:rPr>
              <w:t>2</w:t>
            </w:r>
            <w:r>
              <w:rPr>
                <w:color w:val="auto"/>
                <w:spacing w:val="7"/>
                <w:lang w:eastAsia="zh-CN"/>
              </w:rPr>
              <w:t>万元人民币。</w:t>
            </w:r>
          </w:p>
          <w:p>
            <w:pPr>
              <w:pStyle w:val="15"/>
              <w:spacing w:before="44" w:line="281" w:lineRule="auto"/>
              <w:ind w:left="117" w:right="106" w:firstLine="417"/>
              <w:rPr>
                <w:color w:val="auto"/>
                <w:lang w:eastAsia="zh-CN"/>
              </w:rPr>
            </w:pPr>
            <w:r>
              <w:rPr>
                <w:color w:val="auto"/>
                <w:spacing w:val="11"/>
                <w:lang w:eastAsia="zh-CN"/>
              </w:rPr>
              <w:t>递交方式：投标保证金必须是从投标人单位</w:t>
            </w:r>
            <w:r>
              <w:rPr>
                <w:color w:val="auto"/>
                <w:spacing w:val="10"/>
                <w:lang w:eastAsia="zh-CN"/>
              </w:rPr>
              <w:t>的基本账户转入收取投标保证金的账户。招标人</w:t>
            </w:r>
            <w:r>
              <w:rPr>
                <w:color w:val="auto"/>
                <w:spacing w:val="8"/>
                <w:lang w:eastAsia="zh-CN"/>
              </w:rPr>
              <w:t>不接受以现金方式提交的投标保证金，以现金方式提交的投标保证金无效。</w:t>
            </w:r>
          </w:p>
          <w:p>
            <w:pPr>
              <w:pStyle w:val="15"/>
              <w:spacing w:before="30" w:line="228" w:lineRule="auto"/>
              <w:ind w:left="541"/>
              <w:rPr>
                <w:color w:val="auto"/>
                <w:lang w:eastAsia="zh-CN"/>
              </w:rPr>
            </w:pPr>
            <w:r>
              <w:rPr>
                <w:color w:val="auto"/>
                <w:spacing w:val="7"/>
                <w:lang w:eastAsia="zh-CN"/>
              </w:rPr>
              <w:t>收取投标保证金账号：</w:t>
            </w:r>
          </w:p>
          <w:p>
            <w:pPr>
              <w:pStyle w:val="15"/>
              <w:spacing w:before="46" w:line="239" w:lineRule="auto"/>
              <w:ind w:left="541" w:right="1400" w:hanging="7"/>
              <w:jc w:val="both"/>
              <w:rPr>
                <w:color w:val="auto"/>
                <w:spacing w:val="9"/>
                <w:lang w:eastAsia="zh-CN"/>
              </w:rPr>
            </w:pPr>
            <w:r>
              <w:rPr>
                <w:color w:val="auto"/>
                <w:spacing w:val="9"/>
                <w:lang w:eastAsia="zh-CN"/>
              </w:rPr>
              <w:t>开户银行：</w:t>
            </w:r>
            <w:r>
              <w:rPr>
                <w:rFonts w:hint="eastAsia"/>
                <w:color w:val="auto"/>
                <w:spacing w:val="9"/>
                <w:lang w:eastAsia="zh-CN"/>
              </w:rPr>
              <w:t>中国建设银行股份有限公司永州湘永路支行</w:t>
            </w:r>
          </w:p>
          <w:p>
            <w:pPr>
              <w:pStyle w:val="15"/>
              <w:spacing w:before="46" w:line="239" w:lineRule="auto"/>
              <w:ind w:left="541" w:right="1400" w:hanging="7"/>
              <w:jc w:val="both"/>
              <w:rPr>
                <w:color w:val="auto"/>
                <w:lang w:eastAsia="zh-CN"/>
              </w:rPr>
            </w:pPr>
            <w:r>
              <w:rPr>
                <w:rFonts w:hint="eastAsia"/>
                <w:color w:val="auto"/>
                <w:spacing w:val="8"/>
                <w:lang w:eastAsia="zh-CN"/>
              </w:rPr>
              <w:t>账户</w:t>
            </w:r>
            <w:r>
              <w:rPr>
                <w:color w:val="auto"/>
                <w:spacing w:val="8"/>
                <w:lang w:eastAsia="zh-CN"/>
              </w:rPr>
              <w:t>名称：</w:t>
            </w:r>
            <w:r>
              <w:rPr>
                <w:rFonts w:hint="eastAsia"/>
                <w:color w:val="auto"/>
                <w:spacing w:val="8"/>
                <w:lang w:eastAsia="zh-CN"/>
              </w:rPr>
              <w:t>中林智建控股集团有限公司永州分公司</w:t>
            </w:r>
          </w:p>
          <w:p>
            <w:pPr>
              <w:pStyle w:val="15"/>
              <w:spacing w:before="27"/>
              <w:ind w:left="114" w:right="109" w:firstLine="427"/>
              <w:rPr>
                <w:color w:val="auto"/>
                <w:lang w:eastAsia="zh-CN"/>
              </w:rPr>
            </w:pPr>
            <w:r>
              <w:rPr>
                <w:color w:val="auto"/>
                <w:spacing w:val="10"/>
                <w:lang w:eastAsia="zh-CN"/>
              </w:rPr>
              <w:t>帐号：</w:t>
            </w:r>
            <w:r>
              <w:rPr>
                <w:rFonts w:hint="eastAsia"/>
                <w:color w:val="auto"/>
                <w:spacing w:val="10"/>
                <w:lang w:eastAsia="zh-CN"/>
              </w:rPr>
              <w:t>43050171483600000986</w:t>
            </w:r>
          </w:p>
          <w:p>
            <w:pPr>
              <w:pStyle w:val="15"/>
              <w:spacing w:before="46" w:line="278" w:lineRule="auto"/>
              <w:ind w:right="54"/>
              <w:jc w:val="both"/>
              <w:rPr>
                <w:color w:val="auto"/>
                <w:lang w:eastAsia="zh-CN"/>
              </w:rPr>
            </w:pPr>
            <w:r>
              <w:rPr>
                <w:rFonts w:hint="eastAsia"/>
                <w:color w:val="auto"/>
                <w:spacing w:val="-3"/>
                <w:lang w:eastAsia="zh-CN"/>
              </w:rPr>
              <w:t>1</w:t>
            </w:r>
            <w:r>
              <w:rPr>
                <w:color w:val="auto"/>
                <w:spacing w:val="-3"/>
                <w:lang w:eastAsia="zh-CN"/>
              </w:rPr>
              <w:t>、请将投标保证金于2024年</w:t>
            </w:r>
            <w:r>
              <w:rPr>
                <w:rFonts w:hint="eastAsia"/>
                <w:color w:val="auto"/>
                <w:spacing w:val="-37"/>
                <w:lang w:val="en-US" w:eastAsia="zh-CN"/>
              </w:rPr>
              <w:t xml:space="preserve">10 </w:t>
            </w:r>
            <w:r>
              <w:rPr>
                <w:color w:val="auto"/>
                <w:spacing w:val="-3"/>
                <w:lang w:eastAsia="zh-CN"/>
              </w:rPr>
              <w:t>月</w:t>
            </w:r>
            <w:r>
              <w:rPr>
                <w:rFonts w:hint="eastAsia"/>
                <w:color w:val="auto"/>
                <w:spacing w:val="-3"/>
                <w:lang w:val="en-US" w:eastAsia="zh-CN"/>
              </w:rPr>
              <w:t>31</w:t>
            </w:r>
            <w:r>
              <w:rPr>
                <w:color w:val="auto"/>
                <w:spacing w:val="-3"/>
                <w:lang w:eastAsia="zh-CN"/>
              </w:rPr>
              <w:t>日9时</w:t>
            </w:r>
            <w:r>
              <w:rPr>
                <w:color w:val="auto"/>
                <w:lang w:eastAsia="zh-CN"/>
              </w:rPr>
              <w:t xml:space="preserve">30分（北京时间）前转入收取投标保证金的账户， </w:t>
            </w:r>
            <w:r>
              <w:rPr>
                <w:color w:val="auto"/>
                <w:spacing w:val="7"/>
                <w:lang w:eastAsia="zh-CN"/>
              </w:rPr>
              <w:t>以到帐时间为准。</w:t>
            </w:r>
          </w:p>
          <w:p>
            <w:pPr>
              <w:pStyle w:val="17"/>
              <w:ind w:firstLine="0" w:firstLineChars="0"/>
              <w:rPr>
                <w:rFonts w:hAnsi="宋体" w:cs="宋体"/>
                <w:color w:val="auto"/>
                <w:sz w:val="20"/>
                <w:szCs w:val="20"/>
              </w:rPr>
            </w:pPr>
            <w:r>
              <w:rPr>
                <w:rFonts w:hint="eastAsia" w:ascii="仿宋" w:hAnsi="仿宋" w:eastAsia="仿宋" w:cs="仿宋"/>
                <w:color w:val="auto"/>
                <w:kern w:val="2"/>
                <w:szCs w:val="24"/>
              </w:rPr>
              <w:t>2</w:t>
            </w:r>
            <w:r>
              <w:rPr>
                <w:rFonts w:hint="eastAsia" w:hAnsi="宋体" w:cs="宋体"/>
                <w:color w:val="auto"/>
                <w:sz w:val="20"/>
                <w:szCs w:val="20"/>
              </w:rPr>
              <w:t>、投标人在汇款单中注明：“XX项目投标保证金”。</w:t>
            </w:r>
          </w:p>
          <w:p>
            <w:pPr>
              <w:pStyle w:val="15"/>
              <w:spacing w:before="65" w:line="260" w:lineRule="auto"/>
              <w:ind w:right="980"/>
              <w:rPr>
                <w:color w:val="auto"/>
                <w:lang w:eastAsia="zh-CN"/>
              </w:rPr>
            </w:pPr>
            <w:r>
              <w:rPr>
                <w:rFonts w:hint="eastAsia"/>
                <w:color w:val="auto"/>
                <w:lang w:eastAsia="zh-CN"/>
              </w:rPr>
              <w:t>3、未按时足额缴纳投标保证金的，其投标将被拒绝。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959" w:type="dxa"/>
          </w:tcPr>
          <w:p>
            <w:pPr>
              <w:pStyle w:val="15"/>
              <w:spacing w:before="131" w:line="189" w:lineRule="auto"/>
              <w:ind w:left="226"/>
              <w:rPr>
                <w:color w:val="auto"/>
              </w:rPr>
            </w:pPr>
            <w:r>
              <w:rPr>
                <w:color w:val="auto"/>
                <w:spacing w:val="2"/>
              </w:rPr>
              <w:t>3.5.2</w:t>
            </w:r>
          </w:p>
        </w:tc>
        <w:tc>
          <w:tcPr>
            <w:tcW w:w="3390" w:type="dxa"/>
          </w:tcPr>
          <w:p>
            <w:pPr>
              <w:pStyle w:val="15"/>
              <w:spacing w:before="98" w:line="228" w:lineRule="auto"/>
              <w:ind w:left="544"/>
              <w:rPr>
                <w:color w:val="auto"/>
                <w:lang w:eastAsia="zh-CN"/>
              </w:rPr>
            </w:pPr>
            <w:r>
              <w:rPr>
                <w:color w:val="auto"/>
                <w:spacing w:val="9"/>
                <w:lang w:eastAsia="zh-CN"/>
              </w:rPr>
              <w:t>近年财务状况的年份要求</w:t>
            </w:r>
          </w:p>
        </w:tc>
        <w:tc>
          <w:tcPr>
            <w:tcW w:w="4658" w:type="dxa"/>
            <w:gridSpan w:val="2"/>
          </w:tcPr>
          <w:p>
            <w:pPr>
              <w:pStyle w:val="15"/>
              <w:spacing w:before="98" w:line="228" w:lineRule="auto"/>
              <w:ind w:left="116"/>
              <w:rPr>
                <w:color w:val="auto"/>
              </w:rPr>
            </w:pPr>
            <w:r>
              <w:rPr>
                <w:color w:val="auto"/>
                <w:spacing w:val="1"/>
              </w:rPr>
              <w:t>2023年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7" w:hRule="atLeast"/>
        </w:trPr>
        <w:tc>
          <w:tcPr>
            <w:tcW w:w="959" w:type="dxa"/>
          </w:tcPr>
          <w:p>
            <w:pPr>
              <w:tabs>
                <w:tab w:val="left" w:pos="716"/>
              </w:tabs>
              <w:rPr>
                <w:color w:val="auto"/>
              </w:rPr>
            </w:pPr>
            <w:r>
              <w:rPr>
                <w:b/>
                <w:bCs/>
                <w:color w:val="auto"/>
                <w:spacing w:val="5"/>
              </w:rPr>
              <w:t>条款号</w:t>
            </w:r>
          </w:p>
        </w:tc>
        <w:tc>
          <w:tcPr>
            <w:tcW w:w="3390" w:type="dxa"/>
          </w:tcPr>
          <w:p>
            <w:pPr>
              <w:pStyle w:val="15"/>
              <w:spacing w:before="97" w:line="228" w:lineRule="auto"/>
              <w:ind w:left="964"/>
              <w:rPr>
                <w:color w:val="auto"/>
              </w:rPr>
            </w:pPr>
            <w:r>
              <w:rPr>
                <w:b/>
                <w:bCs/>
                <w:color w:val="auto"/>
                <w:spacing w:val="-3"/>
              </w:rPr>
              <w:t>条款名称</w:t>
            </w:r>
          </w:p>
        </w:tc>
        <w:tc>
          <w:tcPr>
            <w:tcW w:w="4658" w:type="dxa"/>
            <w:gridSpan w:val="2"/>
          </w:tcPr>
          <w:p>
            <w:pPr>
              <w:pStyle w:val="15"/>
              <w:spacing w:before="97" w:line="228" w:lineRule="auto"/>
              <w:ind w:left="1596"/>
              <w:rPr>
                <w:color w:val="auto"/>
              </w:rPr>
            </w:pPr>
            <w:r>
              <w:rPr>
                <w:b/>
                <w:bCs/>
                <w:color w:val="auto"/>
                <w:spacing w:val="-10"/>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89" w:lineRule="auto"/>
              <w:ind w:left="226"/>
              <w:rPr>
                <w:color w:val="auto"/>
              </w:rPr>
            </w:pPr>
            <w:r>
              <w:rPr>
                <w:color w:val="auto"/>
                <w:spacing w:val="2"/>
              </w:rPr>
              <w:t>3.5.3</w:t>
            </w:r>
          </w:p>
        </w:tc>
        <w:tc>
          <w:tcPr>
            <w:tcW w:w="3390" w:type="dxa"/>
          </w:tcPr>
          <w:p>
            <w:pPr>
              <w:pStyle w:val="15"/>
              <w:spacing w:before="93" w:line="228" w:lineRule="auto"/>
              <w:ind w:left="229"/>
              <w:rPr>
                <w:color w:val="auto"/>
                <w:lang w:eastAsia="zh-CN"/>
              </w:rPr>
            </w:pPr>
            <w:r>
              <w:rPr>
                <w:color w:val="auto"/>
                <w:spacing w:val="9"/>
                <w:lang w:eastAsia="zh-CN"/>
              </w:rPr>
              <w:t>近年完成的类似项目的时间要求</w:t>
            </w:r>
          </w:p>
        </w:tc>
        <w:tc>
          <w:tcPr>
            <w:tcW w:w="4658" w:type="dxa"/>
            <w:gridSpan w:val="2"/>
          </w:tcPr>
          <w:p>
            <w:pPr>
              <w:pStyle w:val="15"/>
              <w:spacing w:before="93" w:line="228" w:lineRule="auto"/>
              <w:ind w:left="117"/>
              <w:rPr>
                <w:rFonts w:hint="default" w:eastAsia="宋体"/>
                <w:color w:val="auto"/>
                <w:lang w:val="en-US" w:eastAsia="zh-CN"/>
              </w:rPr>
            </w:pPr>
            <w:r>
              <w:rPr>
                <w:rFonts w:hint="eastAsia" w:ascii="Calibri" w:hAnsi="Calibri" w:cs="Calibri"/>
                <w:color w:val="auto"/>
                <w:lang w:val="en-US" w:eastAsia="zh-CN"/>
              </w:rPr>
              <w:t>2019年至今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959" w:type="dxa"/>
          </w:tcPr>
          <w:p>
            <w:pPr>
              <w:pStyle w:val="15"/>
              <w:spacing w:before="240" w:line="189" w:lineRule="auto"/>
              <w:ind w:left="332"/>
              <w:rPr>
                <w:color w:val="auto"/>
              </w:rPr>
            </w:pPr>
            <w:r>
              <w:rPr>
                <w:color w:val="auto"/>
                <w:spacing w:val="1"/>
              </w:rPr>
              <w:t>3.6</w:t>
            </w:r>
          </w:p>
        </w:tc>
        <w:tc>
          <w:tcPr>
            <w:tcW w:w="3390" w:type="dxa"/>
          </w:tcPr>
          <w:p>
            <w:pPr>
              <w:pStyle w:val="15"/>
              <w:spacing w:before="207" w:line="228" w:lineRule="auto"/>
              <w:ind w:left="442"/>
              <w:rPr>
                <w:color w:val="auto"/>
                <w:lang w:eastAsia="zh-CN"/>
              </w:rPr>
            </w:pPr>
            <w:r>
              <w:rPr>
                <w:color w:val="auto"/>
                <w:spacing w:val="9"/>
                <w:lang w:eastAsia="zh-CN"/>
              </w:rPr>
              <w:t>是否允许递交备选投标方案</w:t>
            </w:r>
          </w:p>
        </w:tc>
        <w:tc>
          <w:tcPr>
            <w:tcW w:w="4658" w:type="dxa"/>
            <w:gridSpan w:val="2"/>
          </w:tcPr>
          <w:p>
            <w:pPr>
              <w:pStyle w:val="15"/>
              <w:spacing w:before="51" w:line="262" w:lineRule="auto"/>
              <w:ind w:left="135" w:right="3709" w:hanging="13"/>
              <w:rPr>
                <w:color w:val="auto"/>
              </w:rPr>
            </w:pPr>
            <w:r>
              <w:rPr>
                <w:rFonts w:ascii="MS Gothic" w:hAnsi="MS Gothic" w:eastAsia="MS Gothic" w:cs="MS Gothic"/>
                <w:color w:val="auto"/>
                <w:spacing w:val="5"/>
              </w:rPr>
              <w:t>☑</w:t>
            </w:r>
            <w:r>
              <w:rPr>
                <w:color w:val="auto"/>
                <w:spacing w:val="5"/>
              </w:rPr>
              <w:t>不允许</w:t>
            </w:r>
            <w:r>
              <w:rPr>
                <w:color w:val="auto"/>
                <w:spacing w:val="-1"/>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59" w:type="dxa"/>
          </w:tcPr>
          <w:p>
            <w:pPr>
              <w:spacing w:line="329" w:lineRule="auto"/>
              <w:rPr>
                <w:color w:val="auto"/>
              </w:rPr>
            </w:pPr>
          </w:p>
          <w:p>
            <w:pPr>
              <w:pStyle w:val="15"/>
              <w:spacing w:before="65" w:line="189" w:lineRule="auto"/>
              <w:ind w:left="226"/>
              <w:rPr>
                <w:color w:val="auto"/>
                <w:lang w:eastAsia="zh-CN"/>
              </w:rPr>
            </w:pPr>
            <w:r>
              <w:rPr>
                <w:rFonts w:hint="eastAsia"/>
                <w:color w:val="auto"/>
                <w:spacing w:val="2"/>
                <w:lang w:eastAsia="zh-CN"/>
              </w:rPr>
              <w:t>4.1</w:t>
            </w:r>
          </w:p>
        </w:tc>
        <w:tc>
          <w:tcPr>
            <w:tcW w:w="3390" w:type="dxa"/>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w:t>
            </w:r>
            <w:r>
              <w:rPr>
                <w:rFonts w:ascii="宋体" w:hAnsi="宋体" w:eastAsia="宋体" w:cs="宋体"/>
                <w:color w:val="auto"/>
                <w:spacing w:val="8"/>
                <w:sz w:val="20"/>
                <w:szCs w:val="20"/>
                <w:lang w:eastAsia="zh-CN"/>
              </w:rPr>
              <w:t>封套上应载明的信息</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招标人名称：</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招标人地址：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投标人全称（盖公章）：</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投标人的地址：</w:t>
            </w:r>
          </w:p>
          <w:p>
            <w:pPr>
              <w:spacing w:line="30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 xml:space="preserve">    （项目名称）   投标文件在 年 月 日 时 分前不得开启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7" w:line="190" w:lineRule="auto"/>
              <w:ind w:left="221"/>
              <w:rPr>
                <w:color w:val="auto"/>
              </w:rPr>
            </w:pPr>
            <w:r>
              <w:rPr>
                <w:color w:val="auto"/>
                <w:spacing w:val="3"/>
              </w:rPr>
              <w:t>4.1.1</w:t>
            </w:r>
          </w:p>
        </w:tc>
        <w:tc>
          <w:tcPr>
            <w:tcW w:w="3390" w:type="dxa"/>
            <w:vAlign w:val="center"/>
          </w:tcPr>
          <w:p>
            <w:pPr>
              <w:spacing w:line="300" w:lineRule="exact"/>
              <w:jc w:val="center"/>
              <w:rPr>
                <w:rFonts w:ascii="宋体" w:hAnsi="宋体" w:eastAsia="宋体" w:cs="宋体"/>
                <w:color w:val="auto"/>
                <w:spacing w:val="8"/>
                <w:sz w:val="20"/>
                <w:szCs w:val="20"/>
              </w:rPr>
            </w:pPr>
            <w:r>
              <w:rPr>
                <w:rFonts w:ascii="宋体" w:hAnsi="宋体" w:eastAsia="宋体" w:cs="宋体"/>
                <w:color w:val="auto"/>
                <w:spacing w:val="8"/>
                <w:sz w:val="20"/>
                <w:szCs w:val="20"/>
              </w:rPr>
              <w:t>签字或盖章要求</w:t>
            </w:r>
          </w:p>
        </w:tc>
        <w:tc>
          <w:tcPr>
            <w:tcW w:w="4658" w:type="dxa"/>
            <w:gridSpan w:val="2"/>
            <w:vAlign w:val="center"/>
          </w:tcPr>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（1）单位公章必须与资质证书、营业执照、安全生产许可证名称一致；</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（2）招标文件中所有要求投标人的法定代表人签名的地方，投标人法定代表人应签名；</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（3）招标文件中所有要求盖章的地方都须加盖投标人单位公章（法定名称）；</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以联合体形式投标的，凡招标文件规定投标文件中投标人的法定代表人或授权委托代理人签字及加盖单位公章的地方，除招标文件有特别要求外，由联合体牵头人的法定代表人签名及加盖联合体牵头人单位公章（法定名称）即可。</w:t>
            </w:r>
          </w:p>
          <w:p>
            <w:pPr>
              <w:spacing w:line="30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（5）其他要求见本文件有关条款。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959" w:type="dxa"/>
          </w:tcPr>
          <w:p>
            <w:pPr>
              <w:pStyle w:val="15"/>
              <w:spacing w:before="125" w:line="190" w:lineRule="auto"/>
              <w:ind w:left="226"/>
              <w:rPr>
                <w:color w:val="auto"/>
              </w:rPr>
            </w:pPr>
            <w:r>
              <w:rPr>
                <w:color w:val="auto"/>
                <w:spacing w:val="2"/>
              </w:rPr>
              <w:t>5.</w:t>
            </w:r>
            <w:r>
              <w:rPr>
                <w:rFonts w:hint="eastAsia"/>
                <w:color w:val="auto"/>
                <w:spacing w:val="2"/>
                <w:lang w:eastAsia="zh-CN"/>
              </w:rPr>
              <w:t>1</w:t>
            </w:r>
            <w:r>
              <w:rPr>
                <w:color w:val="auto"/>
                <w:spacing w:val="2"/>
              </w:rPr>
              <w:t>.1</w:t>
            </w:r>
          </w:p>
        </w:tc>
        <w:tc>
          <w:tcPr>
            <w:tcW w:w="3390" w:type="dxa"/>
            <w:vAlign w:val="center"/>
          </w:tcPr>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投标文件份数</w:t>
            </w:r>
          </w:p>
          <w:p>
            <w:pPr>
              <w:pStyle w:val="10"/>
              <w:ind w:firstLine="416"/>
              <w:rPr>
                <w:rFonts w:ascii="宋体" w:hAnsi="宋体" w:eastAsia="宋体" w:cs="宋体"/>
                <w:color w:val="auto"/>
                <w:spacing w:val="8"/>
                <w:sz w:val="20"/>
                <w:szCs w:val="20"/>
                <w:lang w:eastAsia="zh-CN"/>
              </w:rPr>
            </w:pPr>
          </w:p>
          <w:p>
            <w:pPr>
              <w:pStyle w:val="10"/>
              <w:ind w:left="0" w:leftChars="0" w:firstLine="0" w:firstLineChars="0"/>
              <w:jc w:val="center"/>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密封要求</w:t>
            </w:r>
          </w:p>
        </w:tc>
        <w:tc>
          <w:tcPr>
            <w:tcW w:w="4658" w:type="dxa"/>
            <w:gridSpan w:val="2"/>
            <w:vAlign w:val="center"/>
          </w:tcPr>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商务投标文件</w:t>
            </w:r>
            <w:r>
              <w:rPr>
                <w:rFonts w:hint="eastAsia" w:ascii="宋体" w:hAnsi="宋体" w:eastAsia="宋体" w:cs="宋体"/>
                <w:color w:val="auto"/>
                <w:spacing w:val="8"/>
                <w:sz w:val="20"/>
                <w:szCs w:val="20"/>
                <w:lang w:eastAsia="zh-CN"/>
              </w:rPr>
              <w:t>一包：</w:t>
            </w:r>
            <w:r>
              <w:rPr>
                <w:rFonts w:ascii="宋体" w:hAnsi="宋体" w:eastAsia="宋体" w:cs="宋体"/>
                <w:color w:val="auto"/>
                <w:spacing w:val="8"/>
                <w:sz w:val="20"/>
                <w:szCs w:val="20"/>
                <w:lang w:eastAsia="zh-CN"/>
              </w:rPr>
              <w:t>一式</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份，其中：正本1份，副本</w:t>
            </w:r>
            <w:r>
              <w:rPr>
                <w:rFonts w:hint="eastAsia" w:ascii="宋体" w:hAnsi="宋体" w:eastAsia="宋体" w:cs="宋体"/>
                <w:color w:val="auto"/>
                <w:spacing w:val="8"/>
                <w:sz w:val="20"/>
                <w:szCs w:val="20"/>
                <w:lang w:eastAsia="zh-CN"/>
              </w:rPr>
              <w:t>2</w:t>
            </w:r>
            <w:r>
              <w:rPr>
                <w:rFonts w:ascii="宋体" w:hAnsi="宋体" w:eastAsia="宋体" w:cs="宋体"/>
                <w:color w:val="auto"/>
                <w:spacing w:val="8"/>
                <w:sz w:val="20"/>
                <w:szCs w:val="20"/>
                <w:lang w:eastAsia="zh-CN"/>
              </w:rPr>
              <w:t>份；</w:t>
            </w:r>
            <w:r>
              <w:rPr>
                <w:rFonts w:hint="eastAsia" w:ascii="宋体" w:hAnsi="宋体" w:eastAsia="宋体" w:cs="宋体"/>
                <w:color w:val="auto"/>
                <w:spacing w:val="8"/>
                <w:sz w:val="20"/>
                <w:szCs w:val="20"/>
                <w:lang w:eastAsia="zh-CN"/>
              </w:rPr>
              <w:t>副本可用正本复印。</w:t>
            </w:r>
            <w:r>
              <w:rPr>
                <w:rFonts w:ascii="宋体" w:hAnsi="宋体" w:eastAsia="宋体" w:cs="宋体"/>
                <w:color w:val="auto"/>
                <w:spacing w:val="8"/>
                <w:sz w:val="20"/>
                <w:szCs w:val="20"/>
                <w:lang w:eastAsia="zh-CN"/>
              </w:rPr>
              <w:t>采用胶装方式，装订应牢固、不易拆散和换页，不得采用活页装订，提倡双面打印。</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投标文件的密封：投标文件正本副本一包</w:t>
            </w:r>
            <w:r>
              <w:rPr>
                <w:rFonts w:hint="eastAsia" w:ascii="宋体" w:hAnsi="宋体" w:eastAsia="宋体" w:cs="宋体"/>
                <w:color w:val="auto"/>
                <w:spacing w:val="8"/>
                <w:sz w:val="20"/>
                <w:szCs w:val="20"/>
                <w:lang w:eastAsia="zh-CN"/>
              </w:rPr>
              <w:t>并密封。</w:t>
            </w:r>
          </w:p>
          <w:p>
            <w:pPr>
              <w:spacing w:line="360" w:lineRule="exact"/>
              <w:ind w:firstLine="216" w:firstLineChars="100"/>
              <w:rPr>
                <w:rFonts w:ascii="宋体" w:hAnsi="宋体" w:eastAsia="宋体" w:cs="宋体"/>
                <w:color w:val="auto"/>
                <w:spacing w:val="8"/>
                <w:sz w:val="20"/>
                <w:szCs w:val="20"/>
                <w:lang w:eastAsia="zh-CN"/>
              </w:rPr>
            </w:pPr>
            <w:r>
              <w:rPr>
                <w:rFonts w:hint="eastAsia" w:ascii="宋体" w:hAnsi="宋体" w:eastAsia="宋体" w:cs="宋体"/>
                <w:color w:val="auto"/>
                <w:spacing w:val="8"/>
                <w:sz w:val="20"/>
                <w:szCs w:val="20"/>
                <w:lang w:eastAsia="zh-CN"/>
              </w:rPr>
              <w:t>☑</w:t>
            </w:r>
            <w:r>
              <w:rPr>
                <w:rFonts w:ascii="宋体" w:hAnsi="宋体" w:eastAsia="宋体" w:cs="宋体"/>
                <w:color w:val="auto"/>
                <w:spacing w:val="8"/>
                <w:sz w:val="20"/>
                <w:szCs w:val="20"/>
                <w:lang w:eastAsia="zh-CN"/>
              </w:rPr>
              <w:t>要求，投标文件电子版内容：</w:t>
            </w:r>
            <w:r>
              <w:rPr>
                <w:rFonts w:hint="eastAsia" w:ascii="宋体" w:hAnsi="宋体" w:eastAsia="宋体" w:cs="宋体"/>
                <w:color w:val="auto"/>
                <w:spacing w:val="8"/>
                <w:sz w:val="20"/>
                <w:szCs w:val="20"/>
                <w:lang w:eastAsia="zh-CN"/>
              </w:rPr>
              <w:t>投标文件全部内容</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投标文件电子版份数：</w:t>
            </w:r>
            <w:r>
              <w:rPr>
                <w:rFonts w:hint="eastAsia" w:ascii="宋体" w:hAnsi="宋体" w:eastAsia="宋体" w:cs="宋体"/>
                <w:color w:val="auto"/>
                <w:spacing w:val="8"/>
                <w:sz w:val="20"/>
                <w:szCs w:val="20"/>
                <w:lang w:eastAsia="zh-CN"/>
              </w:rPr>
              <w:t>1份</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 xml:space="preserve">       投标文件电子版形式：</w:t>
            </w:r>
            <w:r>
              <w:rPr>
                <w:rFonts w:hint="eastAsia" w:ascii="宋体" w:hAnsi="宋体" w:eastAsia="宋体" w:cs="宋体"/>
                <w:color w:val="auto"/>
                <w:spacing w:val="8"/>
                <w:sz w:val="20"/>
                <w:szCs w:val="20"/>
                <w:lang w:eastAsia="zh-CN"/>
              </w:rPr>
              <w:t>U盘</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投标文件电子版密封方式：单独放入一个密封</w:t>
            </w:r>
            <w:r>
              <w:rPr>
                <w:rFonts w:hint="eastAsia" w:ascii="宋体" w:hAnsi="宋体" w:eastAsia="宋体" w:cs="宋体"/>
                <w:color w:val="auto"/>
                <w:spacing w:val="8"/>
                <w:sz w:val="20"/>
                <w:szCs w:val="20"/>
                <w:lang w:eastAsia="zh-CN"/>
              </w:rPr>
              <w:t>套</w:t>
            </w:r>
            <w:r>
              <w:rPr>
                <w:rFonts w:ascii="宋体" w:hAnsi="宋体" w:eastAsia="宋体" w:cs="宋体"/>
                <w:color w:val="auto"/>
                <w:spacing w:val="8"/>
                <w:sz w:val="20"/>
                <w:szCs w:val="20"/>
                <w:lang w:eastAsia="zh-CN"/>
              </w:rPr>
              <w:t>中，加贴封条，并在封套封口处加盖投标人单位章，在封套上标记“投标文件电子版”字样。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959" w:type="dxa"/>
          </w:tcPr>
          <w:p>
            <w:pPr>
              <w:spacing w:line="319" w:lineRule="auto"/>
              <w:rPr>
                <w:color w:val="auto"/>
                <w:lang w:eastAsia="zh-CN"/>
              </w:rPr>
            </w:pPr>
          </w:p>
          <w:p>
            <w:pPr>
              <w:spacing w:line="320" w:lineRule="auto"/>
              <w:rPr>
                <w:color w:val="auto"/>
                <w:lang w:eastAsia="zh-CN"/>
              </w:rPr>
            </w:pPr>
          </w:p>
          <w:p>
            <w:pPr>
              <w:pStyle w:val="15"/>
              <w:spacing w:before="65" w:line="190" w:lineRule="auto"/>
              <w:ind w:left="224"/>
              <w:rPr>
                <w:color w:val="auto"/>
              </w:rPr>
            </w:pPr>
            <w:r>
              <w:rPr>
                <w:color w:val="auto"/>
                <w:spacing w:val="2"/>
              </w:rPr>
              <w:t>6.1.1</w:t>
            </w:r>
          </w:p>
        </w:tc>
        <w:tc>
          <w:tcPr>
            <w:tcW w:w="3390" w:type="dxa"/>
          </w:tcPr>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p>
          <w:p>
            <w:pPr>
              <w:spacing w:line="360" w:lineRule="exact"/>
              <w:ind w:firstLine="216" w:firstLineChars="100"/>
              <w:rPr>
                <w:rFonts w:ascii="宋体" w:hAnsi="宋体" w:eastAsia="宋体" w:cs="宋体"/>
                <w:color w:val="auto"/>
                <w:spacing w:val="8"/>
                <w:sz w:val="20"/>
                <w:szCs w:val="20"/>
              </w:rPr>
            </w:pPr>
            <w:r>
              <w:rPr>
                <w:rFonts w:ascii="宋体" w:hAnsi="宋体" w:eastAsia="宋体" w:cs="宋体"/>
                <w:color w:val="auto"/>
                <w:spacing w:val="8"/>
                <w:sz w:val="20"/>
                <w:szCs w:val="20"/>
              </w:rPr>
              <w:t>评标委员会的组建</w:t>
            </w:r>
          </w:p>
        </w:tc>
        <w:tc>
          <w:tcPr>
            <w:tcW w:w="4658" w:type="dxa"/>
            <w:gridSpan w:val="2"/>
          </w:tcPr>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评标委员会构成：</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 xml:space="preserve"> 人，其中招标人代表</w:t>
            </w:r>
            <w:r>
              <w:rPr>
                <w:rFonts w:hint="eastAsia" w:ascii="宋体" w:hAnsi="宋体" w:eastAsia="宋体" w:cs="宋体"/>
                <w:color w:val="auto"/>
                <w:spacing w:val="8"/>
                <w:sz w:val="20"/>
                <w:szCs w:val="20"/>
                <w:lang w:eastAsia="zh-CN"/>
              </w:rPr>
              <w:t>0</w:t>
            </w:r>
            <w:r>
              <w:rPr>
                <w:rFonts w:ascii="宋体" w:hAnsi="宋体" w:eastAsia="宋体" w:cs="宋体"/>
                <w:color w:val="auto"/>
                <w:spacing w:val="8"/>
                <w:sz w:val="20"/>
                <w:szCs w:val="20"/>
                <w:lang w:eastAsia="zh-CN"/>
              </w:rPr>
              <w:t>人，专家</w:t>
            </w:r>
            <w:r>
              <w:rPr>
                <w:rFonts w:hint="eastAsia" w:ascii="宋体" w:hAnsi="宋体" w:eastAsia="宋体" w:cs="宋体"/>
                <w:color w:val="auto"/>
                <w:spacing w:val="8"/>
                <w:sz w:val="20"/>
                <w:szCs w:val="20"/>
                <w:lang w:eastAsia="zh-CN"/>
              </w:rPr>
              <w:t>3</w:t>
            </w:r>
            <w:r>
              <w:rPr>
                <w:rFonts w:ascii="宋体" w:hAnsi="宋体" w:eastAsia="宋体" w:cs="宋体"/>
                <w:color w:val="auto"/>
                <w:spacing w:val="8"/>
                <w:sz w:val="20"/>
                <w:szCs w:val="20"/>
                <w:lang w:eastAsia="zh-CN"/>
              </w:rPr>
              <w:t>人；</w:t>
            </w:r>
          </w:p>
          <w:p>
            <w:pPr>
              <w:spacing w:line="360" w:lineRule="exact"/>
              <w:ind w:firstLine="216" w:firstLineChars="100"/>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评标专家确定方式：在</w:t>
            </w:r>
            <w:r>
              <w:rPr>
                <w:rFonts w:hint="eastAsia" w:ascii="宋体" w:hAnsi="宋体" w:eastAsia="宋体" w:cs="宋体"/>
                <w:color w:val="auto"/>
                <w:spacing w:val="8"/>
                <w:sz w:val="20"/>
                <w:szCs w:val="20"/>
                <w:lang w:eastAsia="zh-CN"/>
              </w:rPr>
              <w:t>江永县</w:t>
            </w:r>
            <w:r>
              <w:rPr>
                <w:rFonts w:ascii="宋体" w:hAnsi="宋体" w:eastAsia="宋体" w:cs="宋体"/>
                <w:color w:val="auto"/>
                <w:spacing w:val="8"/>
                <w:sz w:val="20"/>
                <w:szCs w:val="20"/>
                <w:lang w:eastAsia="zh-CN"/>
              </w:rPr>
              <w:t>评标专家库中随机抽取。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59" w:type="dxa"/>
          </w:tcPr>
          <w:p>
            <w:pPr>
              <w:pStyle w:val="15"/>
              <w:spacing w:before="243" w:line="190" w:lineRule="auto"/>
              <w:ind w:left="332"/>
              <w:rPr>
                <w:color w:val="auto"/>
              </w:rPr>
            </w:pPr>
            <w:r>
              <w:rPr>
                <w:color w:val="auto"/>
              </w:rPr>
              <w:t>7.1</w:t>
            </w:r>
          </w:p>
        </w:tc>
        <w:tc>
          <w:tcPr>
            <w:tcW w:w="3390" w:type="dxa"/>
          </w:tcPr>
          <w:p>
            <w:pPr>
              <w:pStyle w:val="15"/>
              <w:spacing w:before="211" w:line="227" w:lineRule="auto"/>
              <w:ind w:left="233"/>
              <w:rPr>
                <w:color w:val="auto"/>
                <w:lang w:eastAsia="zh-CN"/>
              </w:rPr>
            </w:pPr>
            <w:r>
              <w:rPr>
                <w:color w:val="auto"/>
                <w:spacing w:val="9"/>
                <w:lang w:eastAsia="zh-CN"/>
              </w:rPr>
              <w:t>是否授权评标委员会确定中标人</w:t>
            </w:r>
          </w:p>
        </w:tc>
        <w:tc>
          <w:tcPr>
            <w:tcW w:w="4658" w:type="dxa"/>
            <w:gridSpan w:val="2"/>
          </w:tcPr>
          <w:p>
            <w:pPr>
              <w:pStyle w:val="15"/>
              <w:spacing w:before="55" w:line="231" w:lineRule="auto"/>
              <w:ind w:left="135"/>
              <w:rPr>
                <w:color w:val="auto"/>
                <w:lang w:eastAsia="zh-CN"/>
              </w:rPr>
            </w:pPr>
            <w:r>
              <w:rPr>
                <w:color w:val="auto"/>
                <w:spacing w:val="-6"/>
                <w:lang w:eastAsia="zh-CN"/>
              </w:rPr>
              <w:t>□是</w:t>
            </w:r>
          </w:p>
          <w:p>
            <w:pPr>
              <w:pStyle w:val="15"/>
              <w:spacing w:before="61" w:line="227" w:lineRule="auto"/>
              <w:ind w:left="122"/>
              <w:rPr>
                <w:color w:val="auto"/>
                <w:lang w:eastAsia="zh-CN"/>
              </w:rPr>
            </w:pPr>
            <w:r>
              <w:rPr>
                <w:rFonts w:ascii="MS Gothic" w:hAnsi="MS Gothic" w:eastAsia="MS Gothic" w:cs="MS Gothic"/>
                <w:color w:val="auto"/>
                <w:spacing w:val="7"/>
                <w:lang w:eastAsia="zh-CN"/>
              </w:rPr>
              <w:t>☑</w:t>
            </w:r>
            <w:r>
              <w:rPr>
                <w:color w:val="auto"/>
                <w:spacing w:val="7"/>
                <w:lang w:eastAsia="zh-CN"/>
              </w:rPr>
              <w:t>否，推荐的中标候选人数：1-3名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959" w:type="dxa"/>
          </w:tcPr>
          <w:p>
            <w:pPr>
              <w:spacing w:line="279" w:lineRule="auto"/>
              <w:rPr>
                <w:color w:val="auto"/>
                <w:lang w:eastAsia="zh-CN"/>
              </w:rPr>
            </w:pPr>
          </w:p>
          <w:p>
            <w:pPr>
              <w:spacing w:line="279" w:lineRule="auto"/>
              <w:rPr>
                <w:color w:val="auto"/>
                <w:lang w:eastAsia="zh-CN"/>
              </w:rPr>
            </w:pPr>
          </w:p>
          <w:p>
            <w:pPr>
              <w:pStyle w:val="15"/>
              <w:spacing w:before="65" w:line="190" w:lineRule="auto"/>
              <w:ind w:left="227"/>
              <w:rPr>
                <w:color w:val="auto"/>
              </w:rPr>
            </w:pPr>
            <w:r>
              <w:rPr>
                <w:color w:val="auto"/>
                <w:spacing w:val="2"/>
              </w:rPr>
              <w:t>7.3.1</w:t>
            </w:r>
          </w:p>
        </w:tc>
        <w:tc>
          <w:tcPr>
            <w:tcW w:w="3390" w:type="dxa"/>
          </w:tcPr>
          <w:p>
            <w:pPr>
              <w:spacing w:line="263" w:lineRule="auto"/>
              <w:rPr>
                <w:color w:val="auto"/>
              </w:rPr>
            </w:pPr>
          </w:p>
          <w:p>
            <w:pPr>
              <w:spacing w:line="264" w:lineRule="auto"/>
              <w:rPr>
                <w:color w:val="auto"/>
              </w:rPr>
            </w:pPr>
          </w:p>
          <w:p>
            <w:pPr>
              <w:pStyle w:val="15"/>
              <w:spacing w:before="65" w:line="228" w:lineRule="auto"/>
              <w:ind w:left="1282"/>
              <w:rPr>
                <w:color w:val="auto"/>
              </w:rPr>
            </w:pPr>
            <w:r>
              <w:rPr>
                <w:color w:val="auto"/>
                <w:spacing w:val="6"/>
              </w:rPr>
              <w:t>履约担保</w:t>
            </w:r>
          </w:p>
        </w:tc>
        <w:tc>
          <w:tcPr>
            <w:tcW w:w="4658" w:type="dxa"/>
            <w:gridSpan w:val="2"/>
          </w:tcPr>
          <w:p>
            <w:pPr>
              <w:pStyle w:val="15"/>
              <w:spacing w:before="110" w:line="228" w:lineRule="auto"/>
              <w:ind w:left="117"/>
              <w:rPr>
                <w:color w:val="auto"/>
                <w:lang w:eastAsia="zh-CN"/>
              </w:rPr>
            </w:pPr>
            <w:r>
              <w:rPr>
                <w:color w:val="auto"/>
                <w:spacing w:val="8"/>
                <w:lang w:eastAsia="zh-CN"/>
              </w:rPr>
              <w:t>是否要求中标人提交履约担保</w:t>
            </w:r>
          </w:p>
          <w:p>
            <w:pPr>
              <w:pStyle w:val="15"/>
              <w:spacing w:before="112" w:line="307" w:lineRule="auto"/>
              <w:ind w:left="957" w:right="138" w:hanging="835"/>
              <w:rPr>
                <w:color w:val="auto"/>
                <w:lang w:eastAsia="zh-CN"/>
              </w:rPr>
            </w:pPr>
            <w:r>
              <w:rPr>
                <w:rFonts w:ascii="MS Gothic" w:hAnsi="MS Gothic" w:eastAsia="MS Gothic" w:cs="MS Gothic"/>
                <w:color w:val="auto"/>
                <w:spacing w:val="9"/>
                <w:lang w:eastAsia="zh-CN"/>
              </w:rPr>
              <w:t>☑</w:t>
            </w:r>
            <w:r>
              <w:rPr>
                <w:color w:val="auto"/>
                <w:spacing w:val="9"/>
                <w:lang w:eastAsia="zh-CN"/>
              </w:rPr>
              <w:t>要求，履约担保的形式：银行转账或银行保函</w:t>
            </w:r>
            <w:r>
              <w:rPr>
                <w:color w:val="auto"/>
                <w:spacing w:val="6"/>
                <w:lang w:eastAsia="zh-CN"/>
              </w:rPr>
              <w:t>履约担保的金额：中标金额的10%</w:t>
            </w:r>
          </w:p>
          <w:p>
            <w:pPr>
              <w:pStyle w:val="15"/>
              <w:spacing w:line="229" w:lineRule="auto"/>
              <w:ind w:left="135"/>
              <w:rPr>
                <w:color w:val="auto"/>
              </w:rPr>
            </w:pPr>
            <w:r>
              <w:rPr>
                <w:color w:val="auto"/>
                <w:spacing w:val="2"/>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007" w:type="dxa"/>
            <w:gridSpan w:val="4"/>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29" w:line="190" w:lineRule="auto"/>
              <w:ind w:left="393"/>
              <w:rPr>
                <w:color w:val="auto"/>
              </w:rPr>
            </w:pPr>
            <w:r>
              <w:rPr>
                <w:b/>
                <w:bCs/>
                <w:color w:val="auto"/>
                <w:spacing w:val="-8"/>
              </w:rPr>
              <w:t>10</w:t>
            </w:r>
          </w:p>
        </w:tc>
        <w:tc>
          <w:tcPr>
            <w:tcW w:w="8048" w:type="dxa"/>
            <w:gridSpan w:val="3"/>
          </w:tcPr>
          <w:p>
            <w:pPr>
              <w:pStyle w:val="15"/>
              <w:spacing w:before="97" w:line="228" w:lineRule="auto"/>
              <w:ind w:left="3090"/>
              <w:rPr>
                <w:color w:val="auto"/>
              </w:rPr>
            </w:pPr>
            <w:r>
              <w:rPr>
                <w:b/>
                <w:bCs/>
                <w:color w:val="auto"/>
                <w:spacing w:val="6"/>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959" w:type="dxa"/>
          </w:tcPr>
          <w:p>
            <w:pPr>
              <w:pStyle w:val="15"/>
              <w:spacing w:before="130" w:line="190" w:lineRule="auto"/>
              <w:ind w:left="290"/>
              <w:rPr>
                <w:color w:val="auto"/>
              </w:rPr>
            </w:pPr>
            <w:r>
              <w:rPr>
                <w:color w:val="auto"/>
                <w:spacing w:val="-1"/>
              </w:rPr>
              <w:t>10.1</w:t>
            </w:r>
          </w:p>
        </w:tc>
        <w:tc>
          <w:tcPr>
            <w:tcW w:w="3608" w:type="dxa"/>
            <w:gridSpan w:val="2"/>
          </w:tcPr>
          <w:p>
            <w:pPr>
              <w:pStyle w:val="15"/>
              <w:spacing w:before="98" w:line="228" w:lineRule="auto"/>
              <w:ind w:left="759"/>
              <w:rPr>
                <w:color w:val="auto"/>
                <w:lang w:eastAsia="zh-CN"/>
              </w:rPr>
            </w:pPr>
            <w:r>
              <w:rPr>
                <w:color w:val="auto"/>
                <w:spacing w:val="8"/>
                <w:lang w:eastAsia="zh-CN"/>
              </w:rPr>
              <w:t>增值税税金的计算方法</w:t>
            </w:r>
          </w:p>
        </w:tc>
        <w:tc>
          <w:tcPr>
            <w:tcW w:w="4440" w:type="dxa"/>
          </w:tcPr>
          <w:p>
            <w:pPr>
              <w:pStyle w:val="15"/>
              <w:spacing w:before="98" w:line="228" w:lineRule="auto"/>
              <w:ind w:left="117"/>
              <w:rPr>
                <w:color w:val="auto"/>
              </w:rPr>
            </w:pPr>
            <w:r>
              <w:rPr>
                <w:color w:val="auto"/>
                <w:spacing w:val="7"/>
              </w:rPr>
              <w:t>一般计税方法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24" w:hRule="atLeast"/>
        </w:trPr>
        <w:tc>
          <w:tcPr>
            <w:tcW w:w="959" w:type="dxa"/>
          </w:tcPr>
          <w:p>
            <w:pPr>
              <w:rPr>
                <w:color w:val="auto"/>
              </w:rPr>
            </w:pPr>
          </w:p>
          <w:p>
            <w:pPr>
              <w:rPr>
                <w:color w:val="auto"/>
              </w:rPr>
            </w:pPr>
          </w:p>
          <w:p>
            <w:pPr>
              <w:spacing w:line="241" w:lineRule="auto"/>
              <w:rPr>
                <w:color w:val="auto"/>
              </w:rPr>
            </w:pPr>
          </w:p>
          <w:p>
            <w:pPr>
              <w:pStyle w:val="15"/>
              <w:spacing w:before="65" w:line="190" w:lineRule="auto"/>
              <w:ind w:left="185"/>
              <w:rPr>
                <w:color w:val="auto"/>
              </w:rPr>
            </w:pPr>
            <w:r>
              <w:rPr>
                <w:color w:val="auto"/>
                <w:spacing w:val="1"/>
              </w:rPr>
              <w:t>10.2.1</w:t>
            </w:r>
          </w:p>
        </w:tc>
        <w:tc>
          <w:tcPr>
            <w:tcW w:w="3608" w:type="dxa"/>
            <w:gridSpan w:val="2"/>
          </w:tcPr>
          <w:p>
            <w:pPr>
              <w:spacing w:line="345" w:lineRule="auto"/>
              <w:rPr>
                <w:color w:val="auto"/>
              </w:rPr>
            </w:pPr>
          </w:p>
          <w:p>
            <w:pPr>
              <w:spacing w:line="345" w:lineRule="auto"/>
              <w:rPr>
                <w:color w:val="auto"/>
              </w:rPr>
            </w:pPr>
          </w:p>
          <w:p>
            <w:pPr>
              <w:pStyle w:val="15"/>
              <w:spacing w:before="65" w:line="226" w:lineRule="auto"/>
              <w:ind w:left="1181"/>
              <w:rPr>
                <w:color w:val="auto"/>
              </w:rPr>
            </w:pPr>
            <w:r>
              <w:rPr>
                <w:color w:val="auto"/>
                <w:spacing w:val="7"/>
              </w:rPr>
              <w:t>最高投标限价</w:t>
            </w:r>
          </w:p>
        </w:tc>
        <w:tc>
          <w:tcPr>
            <w:tcW w:w="4440" w:type="dxa"/>
          </w:tcPr>
          <w:p>
            <w:pPr>
              <w:pStyle w:val="15"/>
              <w:spacing w:before="110" w:line="305" w:lineRule="auto"/>
              <w:ind w:left="122" w:right="3910" w:firstLine="13"/>
              <w:rPr>
                <w:color w:val="auto"/>
                <w:lang w:eastAsia="zh-CN"/>
              </w:rPr>
            </w:pPr>
            <w:r>
              <w:rPr>
                <w:color w:val="auto"/>
                <w:spacing w:val="-6"/>
                <w:lang w:eastAsia="zh-CN"/>
              </w:rPr>
              <w:t>□无</w:t>
            </w:r>
            <w:r>
              <w:rPr>
                <w:rFonts w:ascii="MS Gothic" w:hAnsi="MS Gothic" w:eastAsia="MS Gothic" w:cs="MS Gothic"/>
                <w:color w:val="auto"/>
                <w:lang w:eastAsia="zh-CN"/>
              </w:rPr>
              <w:t>☑</w:t>
            </w:r>
            <w:r>
              <w:rPr>
                <w:color w:val="auto"/>
                <w:lang w:eastAsia="zh-CN"/>
              </w:rPr>
              <w:t>有</w:t>
            </w:r>
          </w:p>
          <w:p>
            <w:pPr>
              <w:pStyle w:val="15"/>
              <w:spacing w:before="24" w:line="299" w:lineRule="auto"/>
              <w:ind w:left="113" w:right="109" w:firstLine="3"/>
              <w:rPr>
                <w:color w:val="auto"/>
                <w:lang w:eastAsia="zh-CN"/>
              </w:rPr>
            </w:pPr>
            <w:r>
              <w:rPr>
                <w:color w:val="auto"/>
                <w:spacing w:val="8"/>
                <w:lang w:eastAsia="zh-CN"/>
              </w:rPr>
              <w:t>最高投标限价(含税</w:t>
            </w:r>
            <w:r>
              <w:rPr>
                <w:color w:val="auto"/>
                <w:spacing w:val="-23"/>
                <w:lang w:eastAsia="zh-CN"/>
              </w:rPr>
              <w:t>）：</w:t>
            </w:r>
            <w:r>
              <w:rPr>
                <w:rFonts w:hint="eastAsia"/>
                <w:color w:val="auto"/>
                <w:spacing w:val="2"/>
                <w:lang w:eastAsia="zh-CN"/>
              </w:rPr>
              <w:t>1479029.55</w:t>
            </w:r>
            <w:r>
              <w:rPr>
                <w:color w:val="auto"/>
                <w:spacing w:val="2"/>
                <w:lang w:eastAsia="zh-CN"/>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959" w:type="dxa"/>
          </w:tcPr>
          <w:p>
            <w:pPr>
              <w:spacing w:line="258" w:lineRule="auto"/>
              <w:rPr>
                <w:color w:val="auto"/>
                <w:lang w:eastAsia="zh-CN"/>
              </w:rPr>
            </w:pPr>
          </w:p>
          <w:p>
            <w:pPr>
              <w:pStyle w:val="15"/>
              <w:spacing w:before="65" w:line="190" w:lineRule="auto"/>
              <w:ind w:left="185"/>
              <w:rPr>
                <w:color w:val="auto"/>
              </w:rPr>
            </w:pPr>
            <w:r>
              <w:rPr>
                <w:color w:val="auto"/>
                <w:spacing w:val="1"/>
              </w:rPr>
              <w:t>10.2.2</w:t>
            </w:r>
          </w:p>
        </w:tc>
        <w:tc>
          <w:tcPr>
            <w:tcW w:w="3608" w:type="dxa"/>
            <w:gridSpan w:val="2"/>
          </w:tcPr>
          <w:p>
            <w:pPr>
              <w:pStyle w:val="15"/>
              <w:spacing w:before="292" w:line="228" w:lineRule="auto"/>
              <w:ind w:left="553"/>
              <w:rPr>
                <w:color w:val="auto"/>
                <w:lang w:eastAsia="zh-CN"/>
              </w:rPr>
            </w:pPr>
            <w:r>
              <w:rPr>
                <w:color w:val="auto"/>
                <w:spacing w:val="8"/>
                <w:lang w:eastAsia="zh-CN"/>
              </w:rPr>
              <w:t>是否属于远程异地评标项目</w:t>
            </w:r>
          </w:p>
        </w:tc>
        <w:tc>
          <w:tcPr>
            <w:tcW w:w="4440" w:type="dxa"/>
          </w:tcPr>
          <w:p>
            <w:pPr>
              <w:pStyle w:val="15"/>
              <w:spacing w:before="112" w:line="278" w:lineRule="auto"/>
              <w:ind w:left="122" w:right="3910" w:firstLine="13"/>
              <w:rPr>
                <w:color w:val="auto"/>
              </w:rPr>
            </w:pPr>
            <w:r>
              <w:rPr>
                <w:color w:val="auto"/>
                <w:spacing w:val="-6"/>
              </w:rPr>
              <w:t>□是</w:t>
            </w:r>
            <w:r>
              <w:rPr>
                <w:rFonts w:ascii="MS Gothic" w:hAnsi="MS Gothic" w:eastAsia="MS Gothic" w:cs="MS Gothic"/>
                <w:color w:val="auto"/>
              </w:rPr>
              <w:t>☑</w:t>
            </w:r>
            <w:r>
              <w:rPr>
                <w:color w:va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3" w:hRule="atLeast"/>
        </w:trPr>
        <w:tc>
          <w:tcPr>
            <w:tcW w:w="959" w:type="dxa"/>
          </w:tcPr>
          <w:p>
            <w:pPr>
              <w:spacing w:line="322" w:lineRule="auto"/>
              <w:rPr>
                <w:color w:val="auto"/>
              </w:rPr>
            </w:pPr>
          </w:p>
          <w:p>
            <w:pPr>
              <w:spacing w:line="322" w:lineRule="auto"/>
              <w:rPr>
                <w:color w:val="auto"/>
              </w:rPr>
            </w:pPr>
          </w:p>
          <w:p>
            <w:pPr>
              <w:pStyle w:val="15"/>
              <w:spacing w:before="65" w:line="190" w:lineRule="auto"/>
              <w:ind w:left="290"/>
              <w:rPr>
                <w:color w:val="auto"/>
              </w:rPr>
            </w:pPr>
            <w:r>
              <w:rPr>
                <w:color w:val="auto"/>
                <w:spacing w:val="-2"/>
              </w:rPr>
              <w:t>10.3</w:t>
            </w:r>
          </w:p>
        </w:tc>
        <w:tc>
          <w:tcPr>
            <w:tcW w:w="3608" w:type="dxa"/>
            <w:gridSpan w:val="2"/>
          </w:tcPr>
          <w:p>
            <w:pPr>
              <w:spacing w:line="306" w:lineRule="auto"/>
              <w:rPr>
                <w:color w:val="auto"/>
              </w:rPr>
            </w:pPr>
          </w:p>
          <w:p>
            <w:pPr>
              <w:spacing w:line="306" w:lineRule="auto"/>
              <w:rPr>
                <w:color w:val="auto"/>
              </w:rPr>
            </w:pPr>
          </w:p>
          <w:p>
            <w:pPr>
              <w:pStyle w:val="15"/>
              <w:spacing w:before="65" w:line="228" w:lineRule="auto"/>
              <w:ind w:left="1601"/>
              <w:rPr>
                <w:color w:val="auto"/>
              </w:rPr>
            </w:pPr>
            <w:r>
              <w:rPr>
                <w:color w:val="auto"/>
                <w:spacing w:val="3"/>
              </w:rPr>
              <w:t>异议</w:t>
            </w:r>
          </w:p>
        </w:tc>
        <w:tc>
          <w:tcPr>
            <w:tcW w:w="4440" w:type="dxa"/>
          </w:tcPr>
          <w:p>
            <w:pPr>
              <w:pStyle w:val="15"/>
              <w:spacing w:before="56" w:line="277" w:lineRule="auto"/>
              <w:ind w:left="115" w:right="109" w:firstLine="14"/>
              <w:jc w:val="both"/>
              <w:rPr>
                <w:color w:val="auto"/>
                <w:spacing w:val="4"/>
                <w:lang w:eastAsia="zh-CN"/>
              </w:rPr>
            </w:pPr>
            <w:r>
              <w:rPr>
                <w:color w:val="auto"/>
                <w:spacing w:val="4"/>
                <w:lang w:eastAsia="zh-CN"/>
              </w:rPr>
              <w:t>1、招标文件的异议：投标人或者其他利害关系</w:t>
            </w:r>
            <w:r>
              <w:rPr>
                <w:color w:val="auto"/>
                <w:spacing w:val="9"/>
                <w:lang w:eastAsia="zh-CN"/>
              </w:rPr>
              <w:t>人对招标文件有异议的，应当在投标截止时间</w:t>
            </w:r>
            <w:r>
              <w:rPr>
                <w:rFonts w:hint="eastAsia"/>
                <w:color w:val="auto"/>
                <w:spacing w:val="5"/>
                <w:lang w:eastAsia="zh-CN"/>
              </w:rPr>
              <w:t>3</w:t>
            </w:r>
            <w:r>
              <w:rPr>
                <w:color w:val="auto"/>
                <w:spacing w:val="5"/>
                <w:lang w:eastAsia="zh-CN"/>
              </w:rPr>
              <w:t>日前以书面形式提出。招标人将在收到异议</w:t>
            </w:r>
            <w:r>
              <w:rPr>
                <w:color w:val="auto"/>
                <w:spacing w:val="6"/>
                <w:lang w:eastAsia="zh-CN"/>
              </w:rPr>
              <w:t>之日起3 日内作出答复；作出答复前，将暂停招标投标活动。</w:t>
            </w:r>
          </w:p>
          <w:p>
            <w:pPr>
              <w:pStyle w:val="15"/>
              <w:spacing w:before="50" w:line="269" w:lineRule="auto"/>
              <w:ind w:left="113" w:right="107" w:firstLine="3"/>
              <w:rPr>
                <w:color w:val="auto"/>
                <w:lang w:eastAsia="zh-CN"/>
              </w:rPr>
            </w:pPr>
            <w:r>
              <w:rPr>
                <w:color w:val="auto"/>
                <w:spacing w:val="5"/>
                <w:lang w:eastAsia="zh-CN"/>
              </w:rPr>
              <w:t>2、开标异议：投标人对开标有异议的，应当在</w:t>
            </w:r>
            <w:r>
              <w:rPr>
                <w:color w:val="auto"/>
                <w:spacing w:val="10"/>
                <w:lang w:eastAsia="zh-CN"/>
              </w:rPr>
              <w:t>开标现场提出，招标人当场作出答复，并制作</w:t>
            </w:r>
            <w:r>
              <w:rPr>
                <w:color w:val="auto"/>
                <w:spacing w:val="3"/>
                <w:lang w:eastAsia="zh-CN"/>
              </w:rPr>
              <w:t>记录。</w:t>
            </w:r>
          </w:p>
          <w:p>
            <w:pPr>
              <w:pStyle w:val="15"/>
              <w:spacing w:before="62" w:line="273" w:lineRule="auto"/>
              <w:ind w:left="113" w:right="38" w:firstLine="5"/>
              <w:rPr>
                <w:color w:val="auto"/>
                <w:lang w:eastAsia="zh-CN"/>
              </w:rPr>
            </w:pPr>
            <w:r>
              <w:rPr>
                <w:color w:val="auto"/>
                <w:spacing w:val="5"/>
                <w:lang w:eastAsia="zh-CN"/>
              </w:rPr>
              <w:t>3、评标结果异议：投标人或者其他利害关系人</w:t>
            </w:r>
            <w:r>
              <w:rPr>
                <w:color w:val="auto"/>
                <w:spacing w:val="10"/>
                <w:lang w:eastAsia="zh-CN"/>
              </w:rPr>
              <w:t>对评标结果有异议的，应当在中标候选人公示</w:t>
            </w:r>
            <w:r>
              <w:rPr>
                <w:color w:val="auto"/>
                <w:spacing w:val="7"/>
                <w:lang w:eastAsia="zh-CN"/>
              </w:rPr>
              <w:t xml:space="preserve">期间提出。招标人将在收到异议之日起3 </w:t>
            </w:r>
            <w:r>
              <w:rPr>
                <w:color w:val="auto"/>
                <w:spacing w:val="6"/>
                <w:lang w:eastAsia="zh-CN"/>
              </w:rPr>
              <w:t>日内</w:t>
            </w:r>
            <w:r>
              <w:rPr>
                <w:color w:val="auto"/>
                <w:spacing w:val="3"/>
                <w:lang w:eastAsia="zh-CN"/>
              </w:rPr>
              <w:t>作出答复；作出答复前，将暂停招标投标活动。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959" w:type="dxa"/>
          </w:tcPr>
          <w:p>
            <w:pPr>
              <w:spacing w:line="264" w:lineRule="auto"/>
              <w:rPr>
                <w:color w:val="auto"/>
                <w:lang w:eastAsia="zh-CN"/>
              </w:rPr>
            </w:pPr>
          </w:p>
          <w:p>
            <w:pPr>
              <w:spacing w:line="265" w:lineRule="auto"/>
              <w:rPr>
                <w:color w:val="auto"/>
                <w:lang w:eastAsia="zh-CN"/>
              </w:rPr>
            </w:pPr>
          </w:p>
          <w:p>
            <w:pPr>
              <w:spacing w:line="265" w:lineRule="auto"/>
              <w:rPr>
                <w:color w:val="auto"/>
                <w:lang w:eastAsia="zh-CN"/>
              </w:rPr>
            </w:pPr>
          </w:p>
          <w:p>
            <w:pPr>
              <w:pStyle w:val="15"/>
              <w:spacing w:before="65" w:line="190" w:lineRule="auto"/>
              <w:ind w:left="290"/>
              <w:rPr>
                <w:color w:val="auto"/>
              </w:rPr>
            </w:pPr>
            <w:r>
              <w:rPr>
                <w:color w:val="auto"/>
                <w:spacing w:val="-1"/>
              </w:rPr>
              <w:t>10.4</w:t>
            </w:r>
          </w:p>
        </w:tc>
        <w:tc>
          <w:tcPr>
            <w:tcW w:w="3608" w:type="dxa"/>
            <w:gridSpan w:val="2"/>
          </w:tcPr>
          <w:p>
            <w:pPr>
              <w:spacing w:line="254" w:lineRule="auto"/>
              <w:rPr>
                <w:color w:val="auto"/>
              </w:rPr>
            </w:pPr>
          </w:p>
          <w:p>
            <w:pPr>
              <w:spacing w:line="254" w:lineRule="auto"/>
              <w:rPr>
                <w:color w:val="auto"/>
              </w:rPr>
            </w:pPr>
          </w:p>
          <w:p>
            <w:pPr>
              <w:spacing w:line="255" w:lineRule="auto"/>
              <w:rPr>
                <w:color w:val="auto"/>
              </w:rPr>
            </w:pPr>
          </w:p>
          <w:p>
            <w:pPr>
              <w:pStyle w:val="15"/>
              <w:spacing w:before="65" w:line="228" w:lineRule="auto"/>
              <w:ind w:left="1599"/>
              <w:rPr>
                <w:color w:val="auto"/>
              </w:rPr>
            </w:pPr>
            <w:r>
              <w:rPr>
                <w:color w:val="auto"/>
                <w:spacing w:val="4"/>
              </w:rPr>
              <w:t>其他</w:t>
            </w:r>
          </w:p>
        </w:tc>
        <w:tc>
          <w:tcPr>
            <w:tcW w:w="4440" w:type="dxa"/>
          </w:tcPr>
          <w:p>
            <w:pPr>
              <w:pStyle w:val="15"/>
              <w:spacing w:before="54" w:line="278" w:lineRule="auto"/>
              <w:ind w:left="116" w:right="107" w:firstLine="35"/>
              <w:rPr>
                <w:color w:val="auto"/>
                <w:lang w:eastAsia="zh-CN"/>
              </w:rPr>
            </w:pPr>
            <w:r>
              <w:rPr>
                <w:color w:val="auto"/>
                <w:spacing w:val="8"/>
                <w:lang w:eastAsia="zh-CN"/>
              </w:rPr>
              <w:t>(1) 招标代理服务费：招标代理服务费</w:t>
            </w:r>
            <w:r>
              <w:rPr>
                <w:color w:val="auto"/>
                <w:spacing w:val="7"/>
                <w:lang w:eastAsia="zh-CN"/>
              </w:rPr>
              <w:t>由中标</w:t>
            </w:r>
            <w:r>
              <w:rPr>
                <w:color w:val="auto"/>
                <w:spacing w:val="10"/>
                <w:lang w:eastAsia="zh-CN"/>
              </w:rPr>
              <w:t xml:space="preserve">人支付，具体收费标准按招标代理合同约定执 </w:t>
            </w:r>
            <w:r>
              <w:rPr>
                <w:color w:val="auto"/>
                <w:spacing w:val="-1"/>
                <w:lang w:eastAsia="zh-CN"/>
              </w:rPr>
              <w:t>行。</w:t>
            </w:r>
          </w:p>
          <w:p>
            <w:pPr>
              <w:pStyle w:val="15"/>
              <w:spacing w:before="30" w:line="270" w:lineRule="auto"/>
              <w:ind w:right="109"/>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03" w:hRule="atLeast"/>
        </w:trPr>
        <w:tc>
          <w:tcPr>
            <w:tcW w:w="959" w:type="dxa"/>
          </w:tcPr>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1"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spacing w:line="242" w:lineRule="auto"/>
              <w:rPr>
                <w:color w:val="auto"/>
                <w:lang w:eastAsia="zh-CN"/>
              </w:rPr>
            </w:pPr>
          </w:p>
          <w:p>
            <w:pPr>
              <w:pStyle w:val="15"/>
              <w:spacing w:before="65" w:line="190" w:lineRule="auto"/>
              <w:ind w:left="290"/>
              <w:rPr>
                <w:color w:val="auto"/>
              </w:rPr>
            </w:pPr>
            <w:r>
              <w:rPr>
                <w:color w:val="auto"/>
                <w:spacing w:val="-1"/>
              </w:rPr>
              <w:t>10.5</w:t>
            </w:r>
          </w:p>
        </w:tc>
        <w:tc>
          <w:tcPr>
            <w:tcW w:w="8048" w:type="dxa"/>
            <w:gridSpan w:val="3"/>
          </w:tcPr>
          <w:p>
            <w:pPr>
              <w:pStyle w:val="15"/>
              <w:spacing w:before="52" w:line="258" w:lineRule="auto"/>
              <w:ind w:left="116" w:right="109" w:firstLine="33"/>
              <w:rPr>
                <w:color w:val="auto"/>
                <w:lang w:eastAsia="zh-CN"/>
              </w:rPr>
            </w:pPr>
            <w:r>
              <w:rPr>
                <w:color w:val="auto"/>
                <w:spacing w:val="9"/>
                <w:lang w:eastAsia="zh-CN"/>
              </w:rPr>
              <w:t>(1)中标通知书发出以前，中标候选人及其拟任项目负责人和项目技术负责人的情况发生变化，致使其达不到合格投标人资格条件的，取消其中标候选人资格；</w:t>
            </w:r>
          </w:p>
          <w:p>
            <w:pPr>
              <w:pStyle w:val="15"/>
              <w:spacing w:before="64" w:line="276" w:lineRule="auto"/>
              <w:ind w:left="112" w:right="109" w:firstLine="36"/>
              <w:rPr>
                <w:color w:val="auto"/>
                <w:lang w:eastAsia="zh-CN"/>
              </w:rPr>
            </w:pPr>
            <w:r>
              <w:rPr>
                <w:color w:val="auto"/>
                <w:spacing w:val="10"/>
                <w:lang w:eastAsia="zh-CN"/>
              </w:rPr>
              <w:t>(2) 投标人在投标文件中有隐瞒事实、弄虚作假的行为，或有不按</w:t>
            </w:r>
            <w:r>
              <w:rPr>
                <w:color w:val="auto"/>
                <w:spacing w:val="9"/>
                <w:lang w:eastAsia="zh-CN"/>
              </w:rPr>
              <w:t>招标文件的要求如</w:t>
            </w:r>
            <w:r>
              <w:rPr>
                <w:color w:val="auto"/>
                <w:spacing w:val="3"/>
                <w:lang w:eastAsia="zh-CN"/>
              </w:rPr>
              <w:t>实提供有关情况、文件、证明等资料的行为，或有所提供的有关情况、文件、证明等 资</w:t>
            </w:r>
            <w:r>
              <w:rPr>
                <w:color w:val="auto"/>
                <w:spacing w:val="6"/>
                <w:lang w:eastAsia="zh-CN"/>
              </w:rPr>
              <w:t>料与 经查实的事实不符的行为，且上述行为对该投标</w:t>
            </w:r>
            <w:r>
              <w:rPr>
                <w:color w:val="auto"/>
                <w:spacing w:val="5"/>
                <w:lang w:eastAsia="zh-CN"/>
              </w:rPr>
              <w:t>人有利的，按照不合格投标人 处</w:t>
            </w:r>
            <w:r>
              <w:rPr>
                <w:color w:val="auto"/>
                <w:spacing w:val="8"/>
                <w:lang w:eastAsia="zh-CN"/>
              </w:rPr>
              <w:t>理。已被列为中标候选人的，取消其中标候选人资格。已中标的，依据有关法律法 规</w:t>
            </w:r>
            <w:r>
              <w:rPr>
                <w:color w:val="auto"/>
                <w:spacing w:val="7"/>
                <w:lang w:eastAsia="zh-CN"/>
              </w:rPr>
              <w:t>规章的规定处理；</w:t>
            </w:r>
          </w:p>
          <w:p>
            <w:pPr>
              <w:pStyle w:val="15"/>
              <w:spacing w:before="66" w:line="258" w:lineRule="auto"/>
              <w:ind w:left="116" w:right="109" w:firstLine="33"/>
              <w:rPr>
                <w:color w:val="auto"/>
                <w:lang w:eastAsia="zh-CN"/>
              </w:rPr>
            </w:pPr>
            <w:r>
              <w:rPr>
                <w:color w:val="auto"/>
                <w:spacing w:val="2"/>
                <w:lang w:eastAsia="zh-CN"/>
              </w:rPr>
              <w:t>(3) 招标文件中所设置的内容、条款及未尽事宜，均以国家、省或建设行政主管部门 颁</w:t>
            </w:r>
            <w:r>
              <w:rPr>
                <w:color w:val="auto"/>
                <w:spacing w:val="8"/>
                <w:lang w:eastAsia="zh-CN"/>
              </w:rPr>
              <w:t>发的招投标有关规定为准；</w:t>
            </w:r>
          </w:p>
          <w:p>
            <w:pPr>
              <w:pStyle w:val="15"/>
              <w:spacing w:before="64" w:line="268" w:lineRule="auto"/>
              <w:ind w:left="117" w:right="54" w:firstLine="31"/>
              <w:rPr>
                <w:color w:val="auto"/>
                <w:lang w:eastAsia="zh-CN"/>
              </w:rPr>
            </w:pPr>
            <w:r>
              <w:rPr>
                <w:color w:val="auto"/>
                <w:spacing w:val="8"/>
                <w:lang w:eastAsia="zh-CN"/>
              </w:rPr>
              <w:t>(4) 投标人在参加投标过程中(或中标后在项目实施过程中)，如被发现存在</w:t>
            </w:r>
            <w:r>
              <w:rPr>
                <w:color w:val="auto"/>
                <w:spacing w:val="7"/>
                <w:lang w:eastAsia="zh-CN"/>
              </w:rPr>
              <w:t>围标、</w:t>
            </w:r>
            <w:r>
              <w:rPr>
                <w:color w:val="auto"/>
                <w:spacing w:val="4"/>
                <w:lang w:eastAsia="zh-CN"/>
              </w:rPr>
              <w:t>串 标、转包、挂靠等违法违规行为的，将取消其中标资格，投标保证金也将不予退还，</w:t>
            </w:r>
            <w:r>
              <w:rPr>
                <w:color w:val="auto"/>
                <w:spacing w:val="5"/>
                <w:lang w:eastAsia="zh-CN"/>
              </w:rPr>
              <w:t>并向 招标人赔偿相应损失。</w:t>
            </w:r>
          </w:p>
          <w:p>
            <w:pPr>
              <w:pStyle w:val="15"/>
              <w:spacing w:before="65" w:line="227" w:lineRule="auto"/>
              <w:ind w:left="149"/>
              <w:rPr>
                <w:color w:val="auto"/>
                <w:lang w:eastAsia="zh-CN"/>
              </w:rPr>
            </w:pPr>
            <w:r>
              <w:rPr>
                <w:color w:val="auto"/>
                <w:spacing w:val="8"/>
                <w:lang w:eastAsia="zh-CN"/>
              </w:rPr>
              <w:t>(5)</w:t>
            </w:r>
            <w:r>
              <w:rPr>
                <w:color w:val="auto"/>
                <w:spacing w:val="6"/>
                <w:lang w:eastAsia="zh-CN"/>
              </w:rPr>
              <w:t>付款方式：本工程按工程进度支付进度款。</w:t>
            </w:r>
          </w:p>
          <w:p>
            <w:pPr>
              <w:pStyle w:val="15"/>
              <w:spacing w:before="65" w:line="268" w:lineRule="auto"/>
              <w:ind w:left="112" w:right="109" w:firstLine="36"/>
              <w:rPr>
                <w:color w:val="auto"/>
                <w:lang w:eastAsia="zh-CN"/>
              </w:rPr>
            </w:pPr>
          </w:p>
        </w:tc>
      </w:tr>
    </w:tbl>
    <w:p>
      <w:pPr>
        <w:pStyle w:val="3"/>
        <w:spacing w:line="308" w:lineRule="auto"/>
        <w:rPr>
          <w:color w:val="auto"/>
          <w:lang w:eastAsia="zh-CN"/>
        </w:rPr>
      </w:pPr>
    </w:p>
    <w:p>
      <w:pPr>
        <w:pStyle w:val="3"/>
        <w:spacing w:line="308" w:lineRule="auto"/>
        <w:rPr>
          <w:color w:val="auto"/>
          <w:lang w:eastAsia="zh-CN"/>
        </w:rPr>
      </w:pPr>
    </w:p>
    <w:p>
      <w:pPr>
        <w:spacing w:before="101" w:line="227" w:lineRule="auto"/>
        <w:ind w:left="142"/>
        <w:outlineLvl w:val="1"/>
        <w:rPr>
          <w:rFonts w:ascii="黑体" w:hAnsi="黑体" w:eastAsia="黑体" w:cs="黑体"/>
          <w:color w:val="auto"/>
          <w:sz w:val="31"/>
          <w:szCs w:val="31"/>
          <w:lang w:eastAsia="zh-CN"/>
        </w:rPr>
      </w:pPr>
      <w:bookmarkStart w:id="23" w:name="bookmark30"/>
      <w:bookmarkEnd w:id="23"/>
      <w:bookmarkStart w:id="24" w:name="bookmark29"/>
      <w:bookmarkEnd w:id="24"/>
      <w:bookmarkStart w:id="25" w:name="bookmark32"/>
      <w:bookmarkEnd w:id="25"/>
      <w:r>
        <w:rPr>
          <w:rFonts w:ascii="黑体" w:hAnsi="黑体" w:eastAsia="黑体" w:cs="黑体"/>
          <w:b/>
          <w:bCs/>
          <w:color w:val="auto"/>
          <w:spacing w:val="-8"/>
          <w:sz w:val="31"/>
          <w:szCs w:val="31"/>
          <w:lang w:eastAsia="zh-CN"/>
        </w:rPr>
        <w:t>1.总则</w:t>
      </w:r>
    </w:p>
    <w:p>
      <w:pPr>
        <w:pStyle w:val="3"/>
        <w:spacing w:line="282" w:lineRule="auto"/>
        <w:rPr>
          <w:color w:val="auto"/>
          <w:lang w:eastAsia="zh-CN"/>
        </w:rPr>
      </w:pPr>
    </w:p>
    <w:p>
      <w:pPr>
        <w:spacing w:before="91" w:line="222" w:lineRule="auto"/>
        <w:ind w:left="138"/>
        <w:outlineLvl w:val="2"/>
        <w:rPr>
          <w:rFonts w:ascii="黑体" w:hAnsi="黑体" w:eastAsia="黑体" w:cs="黑体"/>
          <w:color w:val="auto"/>
          <w:sz w:val="28"/>
          <w:szCs w:val="28"/>
          <w:lang w:eastAsia="zh-CN"/>
        </w:rPr>
      </w:pPr>
      <w:bookmarkStart w:id="26" w:name="bookmark31"/>
      <w:bookmarkEnd w:id="26"/>
      <w:r>
        <w:rPr>
          <w:rFonts w:ascii="黑体" w:hAnsi="黑体" w:eastAsia="黑体" w:cs="黑体"/>
          <w:color w:val="auto"/>
          <w:spacing w:val="-4"/>
          <w:sz w:val="28"/>
          <w:szCs w:val="28"/>
          <w:lang w:eastAsia="zh-CN"/>
        </w:rPr>
        <w:t>1.1 项目概况</w:t>
      </w:r>
    </w:p>
    <w:p>
      <w:pPr>
        <w:spacing w:before="280" w:line="355" w:lineRule="auto"/>
        <w:ind w:left="125" w:right="114" w:firstLine="431"/>
        <w:rPr>
          <w:color w:val="auto"/>
          <w:lang w:eastAsia="zh-CN"/>
        </w:rPr>
      </w:pPr>
      <w:r>
        <w:rPr>
          <w:rFonts w:ascii="宋体" w:hAnsi="宋体" w:eastAsia="宋体" w:cs="宋体"/>
          <w:color w:val="auto"/>
          <w:spacing w:val="8"/>
          <w:sz w:val="20"/>
          <w:szCs w:val="20"/>
          <w:lang w:eastAsia="zh-CN"/>
        </w:rPr>
        <w:t>1.1.1 根据《中华人民共和国招标投标法》等有关法律、法规和规章的规定，本</w:t>
      </w:r>
      <w:r>
        <w:rPr>
          <w:rFonts w:ascii="宋体" w:hAnsi="宋体" w:eastAsia="宋体" w:cs="宋体"/>
          <w:color w:val="auto"/>
          <w:spacing w:val="7"/>
          <w:sz w:val="20"/>
          <w:szCs w:val="20"/>
          <w:lang w:eastAsia="zh-CN"/>
        </w:rPr>
        <w:t>招标项目已</w:t>
      </w:r>
      <w:r>
        <w:rPr>
          <w:rFonts w:ascii="宋体" w:hAnsi="宋体" w:eastAsia="宋体" w:cs="宋体"/>
          <w:color w:val="auto"/>
          <w:spacing w:val="8"/>
          <w:sz w:val="20"/>
          <w:szCs w:val="20"/>
          <w:lang w:eastAsia="zh-CN"/>
        </w:rPr>
        <w:t>具备招标条件，现对本标段施工进行招标。</w:t>
      </w:r>
    </w:p>
    <w:p>
      <w:pPr>
        <w:spacing w:before="6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1.1.2 本招标项目招标人：见投标人须知前附表。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1.1.3 本标段招标代理机构：见投标人须知前附表。</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1.1.4 本招标项目名称：见投标人须知前附表。</w:t>
      </w:r>
    </w:p>
    <w:p>
      <w:pPr>
        <w:spacing w:before="153"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1.1.5 本标段建设地点：见投标人须知前附表。</w:t>
      </w:r>
    </w:p>
    <w:p>
      <w:pPr>
        <w:spacing w:before="250" w:line="222" w:lineRule="auto"/>
        <w:ind w:left="16"/>
        <w:outlineLvl w:val="2"/>
        <w:rPr>
          <w:rFonts w:ascii="黑体" w:hAnsi="黑体" w:eastAsia="黑体" w:cs="黑体"/>
          <w:color w:val="auto"/>
          <w:sz w:val="28"/>
          <w:szCs w:val="28"/>
          <w:lang w:eastAsia="zh-CN"/>
        </w:rPr>
      </w:pPr>
      <w:bookmarkStart w:id="27" w:name="bookmark33"/>
      <w:bookmarkEnd w:id="27"/>
      <w:bookmarkStart w:id="28" w:name="bookmark34"/>
      <w:bookmarkEnd w:id="28"/>
      <w:r>
        <w:rPr>
          <w:rFonts w:ascii="黑体" w:hAnsi="黑体" w:eastAsia="黑体" w:cs="黑体"/>
          <w:color w:val="auto"/>
          <w:spacing w:val="-2"/>
          <w:sz w:val="28"/>
          <w:szCs w:val="28"/>
          <w:lang w:eastAsia="zh-CN"/>
        </w:rPr>
        <w:t>1.2 资金来源和落实情况</w:t>
      </w:r>
    </w:p>
    <w:p>
      <w:pPr>
        <w:spacing w:before="281"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1.2.1 本招标项目的资金来源：见投标人须知前附表。</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1.2.2 本招标项目的出资比例：见投标人须知前附表。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1.2.3 本招标项目的资金落实情况：见投标人须知前附表。</w:t>
      </w:r>
    </w:p>
    <w:p>
      <w:pPr>
        <w:spacing w:before="249" w:line="223" w:lineRule="auto"/>
        <w:ind w:left="16"/>
        <w:outlineLvl w:val="2"/>
        <w:rPr>
          <w:rFonts w:ascii="黑体" w:hAnsi="黑体" w:eastAsia="黑体" w:cs="黑体"/>
          <w:color w:val="auto"/>
          <w:sz w:val="28"/>
          <w:szCs w:val="28"/>
          <w:lang w:eastAsia="zh-CN"/>
        </w:rPr>
      </w:pPr>
      <w:bookmarkStart w:id="29" w:name="bookmark35"/>
      <w:bookmarkEnd w:id="29"/>
      <w:bookmarkStart w:id="30" w:name="bookmark36"/>
      <w:bookmarkEnd w:id="30"/>
      <w:r>
        <w:rPr>
          <w:rFonts w:ascii="黑体" w:hAnsi="黑体" w:eastAsia="黑体" w:cs="黑体"/>
          <w:color w:val="auto"/>
          <w:spacing w:val="-2"/>
          <w:sz w:val="28"/>
          <w:szCs w:val="28"/>
          <w:lang w:eastAsia="zh-CN"/>
        </w:rPr>
        <w:t>1.3 招标范围、计划工期和质量要求</w:t>
      </w:r>
    </w:p>
    <w:p>
      <w:pPr>
        <w:spacing w:before="278"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 本次招标范围：见投标人须知前附表。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1.3.2 本标段的计划工期：见投标人须知前附表。</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1.3.3 本标段的质量要求：见投标人须知前附表。</w:t>
      </w:r>
    </w:p>
    <w:p>
      <w:pPr>
        <w:spacing w:before="249" w:line="222" w:lineRule="auto"/>
        <w:ind w:left="16"/>
        <w:outlineLvl w:val="2"/>
        <w:rPr>
          <w:rFonts w:ascii="黑体" w:hAnsi="黑体" w:eastAsia="黑体" w:cs="黑体"/>
          <w:color w:val="auto"/>
          <w:sz w:val="28"/>
          <w:szCs w:val="28"/>
          <w:lang w:eastAsia="zh-CN"/>
        </w:rPr>
      </w:pPr>
      <w:bookmarkStart w:id="31" w:name="bookmark38"/>
      <w:bookmarkEnd w:id="31"/>
      <w:bookmarkStart w:id="32" w:name="bookmark37"/>
      <w:bookmarkEnd w:id="32"/>
      <w:r>
        <w:rPr>
          <w:rFonts w:ascii="黑体" w:hAnsi="黑体" w:eastAsia="黑体" w:cs="黑体"/>
          <w:color w:val="auto"/>
          <w:spacing w:val="-1"/>
          <w:sz w:val="28"/>
          <w:szCs w:val="28"/>
          <w:lang w:eastAsia="zh-CN"/>
        </w:rPr>
        <w:t>1.4 投标人资格要求（适用于已进行资格预</w:t>
      </w:r>
      <w:r>
        <w:rPr>
          <w:rFonts w:ascii="黑体" w:hAnsi="黑体" w:eastAsia="黑体" w:cs="黑体"/>
          <w:color w:val="auto"/>
          <w:spacing w:val="-2"/>
          <w:sz w:val="28"/>
          <w:szCs w:val="28"/>
          <w:lang w:eastAsia="zh-CN"/>
        </w:rPr>
        <w:t>审的）</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投标人应是收到招标人发出投标邀请书的单位。</w:t>
      </w:r>
    </w:p>
    <w:p>
      <w:pPr>
        <w:spacing w:before="250" w:line="222" w:lineRule="auto"/>
        <w:ind w:left="16"/>
        <w:outlineLvl w:val="2"/>
        <w:rPr>
          <w:rFonts w:ascii="黑体" w:hAnsi="黑体" w:eastAsia="黑体" w:cs="黑体"/>
          <w:color w:val="auto"/>
          <w:sz w:val="28"/>
          <w:szCs w:val="28"/>
          <w:lang w:eastAsia="zh-CN"/>
        </w:rPr>
      </w:pPr>
      <w:bookmarkStart w:id="33" w:name="bookmark39"/>
      <w:bookmarkEnd w:id="33"/>
      <w:bookmarkStart w:id="34" w:name="bookmark40"/>
      <w:bookmarkEnd w:id="34"/>
      <w:r>
        <w:rPr>
          <w:rFonts w:ascii="黑体" w:hAnsi="黑体" w:eastAsia="黑体" w:cs="黑体"/>
          <w:color w:val="auto"/>
          <w:spacing w:val="-1"/>
          <w:sz w:val="28"/>
          <w:szCs w:val="28"/>
          <w:lang w:eastAsia="zh-CN"/>
        </w:rPr>
        <w:t>1.4 投标人资格要求（适用于未进行资格预</w:t>
      </w:r>
      <w:r>
        <w:rPr>
          <w:rFonts w:ascii="黑体" w:hAnsi="黑体" w:eastAsia="黑体" w:cs="黑体"/>
          <w:color w:val="auto"/>
          <w:spacing w:val="-2"/>
          <w:sz w:val="28"/>
          <w:szCs w:val="28"/>
          <w:lang w:eastAsia="zh-CN"/>
        </w:rPr>
        <w:t>审的）</w:t>
      </w:r>
    </w:p>
    <w:p>
      <w:pPr>
        <w:spacing w:before="279"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1.4.1 投标人应具备承担本标段施工的资质条件</w:t>
      </w:r>
      <w:r>
        <w:rPr>
          <w:rFonts w:ascii="宋体" w:hAnsi="宋体" w:eastAsia="宋体" w:cs="宋体"/>
          <w:color w:val="auto"/>
          <w:spacing w:val="7"/>
          <w:sz w:val="20"/>
          <w:szCs w:val="20"/>
          <w:lang w:eastAsia="zh-CN"/>
        </w:rPr>
        <w:t>、能力和信誉。</w:t>
      </w:r>
    </w:p>
    <w:p>
      <w:pPr>
        <w:pStyle w:val="15"/>
        <w:spacing w:before="55" w:line="283" w:lineRule="auto"/>
        <w:ind w:left="113" w:right="85" w:firstLine="438" w:firstLineChars="203"/>
        <w:rPr>
          <w:color w:val="auto"/>
          <w:lang w:eastAsia="zh-CN"/>
        </w:rPr>
      </w:pPr>
      <w:r>
        <w:rPr>
          <w:rFonts w:ascii="宋体" w:hAnsi="宋体" w:eastAsia="宋体" w:cs="宋体"/>
          <w:color w:val="auto"/>
          <w:spacing w:val="8"/>
          <w:sz w:val="20"/>
          <w:szCs w:val="20"/>
          <w:lang w:eastAsia="zh-CN"/>
        </w:rPr>
        <w:t>（1）资质条件：</w:t>
      </w:r>
      <w:r>
        <w:rPr>
          <w:color w:val="auto"/>
          <w:spacing w:val="10"/>
          <w:lang w:eastAsia="zh-CN"/>
        </w:rPr>
        <w:t>具有独立法人资格并依法取得企业营</w:t>
      </w:r>
      <w:r>
        <w:rPr>
          <w:color w:val="auto"/>
          <w:spacing w:val="3"/>
          <w:lang w:eastAsia="zh-CN"/>
        </w:rPr>
        <w:t>业执照，营业执照处于有效期；具备自然资源部</w:t>
      </w:r>
      <w:r>
        <w:rPr>
          <w:color w:val="auto"/>
          <w:spacing w:val="21"/>
          <w:lang w:eastAsia="zh-CN"/>
        </w:rPr>
        <w:t>门颁发的地质灾害治理工程施工乙级及以上资</w:t>
      </w:r>
      <w:r>
        <w:rPr>
          <w:color w:val="auto"/>
          <w:spacing w:val="6"/>
          <w:lang w:eastAsia="zh-CN"/>
        </w:rPr>
        <w:t>质，安全生产许可证处于有效期；并在 人</w:t>
      </w:r>
      <w:r>
        <w:rPr>
          <w:color w:val="auto"/>
          <w:spacing w:val="5"/>
          <w:lang w:eastAsia="zh-CN"/>
        </w:rPr>
        <w:t>员、设</w:t>
      </w:r>
      <w:r>
        <w:rPr>
          <w:color w:val="auto"/>
          <w:spacing w:val="11"/>
          <w:lang w:eastAsia="zh-CN"/>
        </w:rPr>
        <w:t>备、资金等方面具备相应的施工能力；湖南</w:t>
      </w:r>
      <w:r>
        <w:rPr>
          <w:color w:val="auto"/>
          <w:spacing w:val="10"/>
          <w:lang w:eastAsia="zh-CN"/>
        </w:rPr>
        <w:t>省外</w:t>
      </w:r>
      <w:r>
        <w:rPr>
          <w:color w:val="auto"/>
          <w:spacing w:val="7"/>
          <w:lang w:eastAsia="zh-CN"/>
        </w:rPr>
        <w:t>企业需按要求办理省外入湘企业基本情 况登</w:t>
      </w:r>
      <w:r>
        <w:rPr>
          <w:color w:val="auto"/>
          <w:spacing w:val="6"/>
          <w:lang w:eastAsia="zh-CN"/>
        </w:rPr>
        <w:t>记；</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（2）财务要求：财务状况良好，提供(2023年) 经会计师事务所或审计机构审计的财务审计报告；</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（3）业绩要求：</w:t>
      </w:r>
      <w:r>
        <w:rPr>
          <w:rFonts w:hint="eastAsia"/>
          <w:color w:val="auto"/>
          <w:spacing w:val="8"/>
          <w:lang w:eastAsia="zh-CN"/>
        </w:rPr>
        <w:t>投标人近五年(2019 年 10 月-投标截止时间止) 企业承担过单项合同金额达到 93万元及以上的地质灾害</w:t>
      </w:r>
      <w:r>
        <w:rPr>
          <w:rFonts w:hint="eastAsia"/>
          <w:color w:val="auto"/>
          <w:spacing w:val="8"/>
          <w:lang w:val="en-US" w:eastAsia="zh-CN"/>
        </w:rPr>
        <w:t>防治或生态修复</w:t>
      </w:r>
      <w:r>
        <w:rPr>
          <w:rFonts w:hint="eastAsia"/>
          <w:color w:val="auto"/>
          <w:spacing w:val="8"/>
          <w:lang w:eastAsia="zh-CN"/>
        </w:rPr>
        <w:t>类似项目业绩，每个计 5 分；本项最高计 20 分。完成时间以合同工程竣工或完工验收文件中建设单位签字之日为准。类似工程业绩完成时间在招标文件要求期限内的即为合格。(须同时提供中标候选人公示截图、中标通知书、施工合同、竣工验收证明材料并加盖公章，否则不计分。)；</w:t>
      </w:r>
    </w:p>
    <w:p>
      <w:pPr>
        <w:spacing w:before="279" w:line="227" w:lineRule="auto"/>
        <w:ind w:left="434"/>
        <w:rPr>
          <w:rFonts w:hint="eastAsia"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（4）信誉要求：</w:t>
      </w:r>
      <w:r>
        <w:rPr>
          <w:rFonts w:hint="eastAsia" w:ascii="宋体" w:hAnsi="宋体" w:eastAsia="宋体" w:cs="宋体"/>
          <w:color w:val="auto"/>
          <w:spacing w:val="8"/>
          <w:sz w:val="20"/>
          <w:szCs w:val="20"/>
          <w:lang w:eastAsia="zh-CN"/>
        </w:rPr>
        <w:t>招标人不接受在全国企业信用信息公示系统中被列入严重违法失信企业名 单的或在“信用中国”网站中被列入失信被执行人名单的投标人投标；</w:t>
      </w:r>
    </w:p>
    <w:p>
      <w:pPr>
        <w:pStyle w:val="15"/>
        <w:spacing w:before="64" w:line="281" w:lineRule="auto"/>
        <w:ind w:left="113" w:right="109" w:firstLine="9"/>
        <w:rPr>
          <w:color w:val="auto"/>
          <w:lang w:eastAsia="zh-CN"/>
        </w:rPr>
      </w:pPr>
      <w:r>
        <w:rPr>
          <w:rFonts w:ascii="宋体" w:hAnsi="宋体" w:eastAsia="宋体" w:cs="宋体"/>
          <w:color w:val="auto"/>
          <w:spacing w:val="8"/>
          <w:sz w:val="20"/>
          <w:szCs w:val="20"/>
          <w:lang w:eastAsia="zh-CN"/>
        </w:rPr>
        <w:t>（5）项目经理资格：</w:t>
      </w:r>
      <w:r>
        <w:rPr>
          <w:color w:val="auto"/>
          <w:spacing w:val="10"/>
          <w:lang w:eastAsia="zh-CN"/>
        </w:rPr>
        <w:t>具有市政公用工程专业贰级及以上或建筑</w:t>
      </w:r>
      <w:r>
        <w:rPr>
          <w:color w:val="auto"/>
          <w:spacing w:val="6"/>
          <w:lang w:eastAsia="zh-CN"/>
        </w:rPr>
        <w:t>工程专业 贰级及以上注册建造师执业资格</w:t>
      </w:r>
      <w:r>
        <w:rPr>
          <w:color w:val="auto"/>
          <w:spacing w:val="5"/>
          <w:lang w:eastAsia="zh-CN"/>
        </w:rPr>
        <w:t>，具备</w:t>
      </w:r>
      <w:r>
        <w:rPr>
          <w:color w:val="auto"/>
          <w:spacing w:val="21"/>
          <w:lang w:eastAsia="zh-CN"/>
        </w:rPr>
        <w:t>项目负责人安全生产考核合格证书且无在建工</w:t>
      </w:r>
      <w:r>
        <w:rPr>
          <w:color w:val="auto"/>
          <w:lang w:eastAsia="zh-CN"/>
        </w:rPr>
        <w:t>程；</w:t>
      </w:r>
    </w:p>
    <w:p>
      <w:pPr>
        <w:spacing w:before="279" w:line="227" w:lineRule="auto"/>
        <w:ind w:left="434"/>
        <w:rPr>
          <w:rFonts w:ascii="宋体" w:hAnsi="宋体" w:eastAsia="宋体" w:cs="宋体"/>
          <w:color w:val="auto"/>
          <w:spacing w:val="8"/>
          <w:sz w:val="20"/>
          <w:szCs w:val="20"/>
          <w:lang w:eastAsia="zh-CN"/>
        </w:rPr>
      </w:pPr>
      <w:r>
        <w:rPr>
          <w:rFonts w:ascii="宋体" w:hAnsi="宋体" w:eastAsia="宋体" w:cs="宋体"/>
          <w:color w:val="auto"/>
          <w:spacing w:val="8"/>
          <w:sz w:val="20"/>
          <w:szCs w:val="20"/>
          <w:lang w:eastAsia="zh-CN"/>
        </w:rPr>
        <w:t>（6）其他要求：</w:t>
      </w:r>
      <w:r>
        <w:rPr>
          <w:color w:val="auto"/>
          <w:spacing w:val="9"/>
          <w:lang w:eastAsia="zh-CN"/>
        </w:rPr>
        <w:t>1、技术负责人须具有地质调査和矿</w:t>
      </w:r>
      <w:r>
        <w:rPr>
          <w:color w:val="auto"/>
          <w:spacing w:val="15"/>
          <w:lang w:eastAsia="zh-CN"/>
        </w:rPr>
        <w:t>产勘查专业中级及以上职称或水工环专 业中级</w:t>
      </w:r>
      <w:r>
        <w:rPr>
          <w:color w:val="auto"/>
          <w:spacing w:val="4"/>
          <w:lang w:eastAsia="zh-CN"/>
        </w:rPr>
        <w:t>及以上职称，且无在建工程；2 、除项目负责人、</w:t>
      </w:r>
      <w:r>
        <w:rPr>
          <w:color w:val="auto"/>
          <w:spacing w:val="3"/>
          <w:lang w:eastAsia="zh-CN"/>
        </w:rPr>
        <w:t>技术负责人外，其他关键岗位人员(包 括但不限</w:t>
      </w:r>
      <w:r>
        <w:rPr>
          <w:color w:val="auto"/>
          <w:spacing w:val="4"/>
          <w:lang w:eastAsia="zh-CN"/>
        </w:rPr>
        <w:t>于：施工员、专职安全员、质量员) 采用承诺制，</w:t>
      </w:r>
      <w:r>
        <w:rPr>
          <w:color w:val="auto"/>
          <w:spacing w:val="6"/>
          <w:lang w:eastAsia="zh-CN"/>
        </w:rPr>
        <w:t>评标时不对其他关键岗位人员进行 评审。</w:t>
      </w:r>
      <w:r>
        <w:rPr>
          <w:color w:val="auto"/>
          <w:spacing w:val="5"/>
          <w:lang w:eastAsia="zh-CN"/>
        </w:rPr>
        <w:t>投标单</w:t>
      </w:r>
      <w:r>
        <w:rPr>
          <w:color w:val="auto"/>
          <w:spacing w:val="4"/>
          <w:lang w:eastAsia="zh-CN"/>
        </w:rPr>
        <w:t>位中标后向建设单位提供以上人员配置名单；3 、</w:t>
      </w:r>
      <w:r>
        <w:rPr>
          <w:color w:val="auto"/>
          <w:spacing w:val="14"/>
          <w:lang w:eastAsia="zh-CN"/>
        </w:rPr>
        <w:t>在江永县境内因实施江永县自然资源工程施工</w:t>
      </w:r>
      <w:r>
        <w:rPr>
          <w:color w:val="auto"/>
          <w:spacing w:val="11"/>
          <w:lang w:eastAsia="zh-CN"/>
        </w:rPr>
        <w:t>项目在合同期内无故拖延造成项目未按时验</w:t>
      </w:r>
      <w:r>
        <w:rPr>
          <w:color w:val="auto"/>
          <w:spacing w:val="10"/>
          <w:lang w:eastAsia="zh-CN"/>
        </w:rPr>
        <w:t>收的</w:t>
      </w:r>
      <w:r>
        <w:rPr>
          <w:color w:val="auto"/>
          <w:spacing w:val="6"/>
          <w:lang w:eastAsia="zh-CN"/>
        </w:rPr>
        <w:t>施工企业本次不准参与投标；4、本项目采</w:t>
      </w:r>
      <w:r>
        <w:rPr>
          <w:color w:val="auto"/>
          <w:spacing w:val="5"/>
          <w:lang w:eastAsia="zh-CN"/>
        </w:rPr>
        <w:t>用失信</w:t>
      </w:r>
      <w:r>
        <w:rPr>
          <w:color w:val="auto"/>
          <w:spacing w:val="11"/>
          <w:lang w:eastAsia="zh-CN"/>
        </w:rPr>
        <w:t>被执行人否决性惩戒方式。招标人不接受在</w:t>
      </w:r>
      <w:r>
        <w:rPr>
          <w:color w:val="auto"/>
          <w:spacing w:val="10"/>
          <w:lang w:eastAsia="zh-CN"/>
        </w:rPr>
        <w:t>全国</w:t>
      </w:r>
      <w:r>
        <w:rPr>
          <w:color w:val="auto"/>
          <w:spacing w:val="-2"/>
          <w:lang w:eastAsia="zh-CN"/>
        </w:rPr>
        <w:t>企业信用信息公示系统</w:t>
      </w:r>
      <w:r>
        <w:rPr>
          <w:color w:val="auto"/>
          <w:spacing w:val="11"/>
          <w:lang w:eastAsia="zh-CN"/>
        </w:rPr>
        <w:t>(</w:t>
      </w:r>
      <w:r>
        <w:rPr>
          <w:color w:val="auto"/>
        </w:rPr>
        <w:fldChar w:fldCharType="begin"/>
      </w:r>
      <w:r>
        <w:rPr>
          <w:color w:val="auto"/>
        </w:rPr>
        <w:instrText xml:space="preserve"> HYPERLINK "http://www.gsxt.gov.cn" </w:instrText>
      </w:r>
      <w:r>
        <w:rPr>
          <w:color w:val="auto"/>
        </w:rPr>
        <w:fldChar w:fldCharType="separate"/>
      </w:r>
      <w:r>
        <w:rPr>
          <w:color w:val="auto"/>
          <w:lang w:eastAsia="zh-CN"/>
        </w:rPr>
        <w:t>http</w:t>
      </w:r>
      <w:r>
        <w:rPr>
          <w:color w:val="auto"/>
          <w:spacing w:val="11"/>
          <w:lang w:eastAsia="zh-CN"/>
        </w:rPr>
        <w:t>://</w:t>
      </w:r>
      <w:r>
        <w:rPr>
          <w:color w:val="auto"/>
          <w:lang w:eastAsia="zh-CN"/>
        </w:rPr>
        <w:t>www</w:t>
      </w:r>
      <w:r>
        <w:rPr>
          <w:color w:val="auto"/>
          <w:spacing w:val="11"/>
          <w:lang w:eastAsia="zh-CN"/>
        </w:rPr>
        <w:t>.</w:t>
      </w:r>
      <w:r>
        <w:rPr>
          <w:color w:val="auto"/>
          <w:lang w:eastAsia="zh-CN"/>
        </w:rPr>
        <w:t>gsxt</w:t>
      </w:r>
      <w:r>
        <w:rPr>
          <w:color w:val="auto"/>
          <w:spacing w:val="11"/>
          <w:lang w:eastAsia="zh-CN"/>
        </w:rPr>
        <w:t>.</w:t>
      </w:r>
      <w:r>
        <w:rPr>
          <w:color w:val="auto"/>
          <w:lang w:eastAsia="zh-CN"/>
        </w:rPr>
        <w:t>gov</w:t>
      </w:r>
      <w:r>
        <w:rPr>
          <w:color w:val="auto"/>
          <w:spacing w:val="11"/>
          <w:lang w:eastAsia="zh-CN"/>
        </w:rPr>
        <w:t>.</w:t>
      </w:r>
      <w:r>
        <w:rPr>
          <w:color w:val="auto"/>
          <w:lang w:eastAsia="zh-CN"/>
        </w:rPr>
        <w:t>cn</w:t>
      </w:r>
      <w:r>
        <w:rPr>
          <w:color w:val="auto"/>
          <w:lang w:eastAsia="zh-CN"/>
        </w:rPr>
        <w:fldChar w:fldCharType="end"/>
      </w:r>
      <w:r>
        <w:rPr>
          <w:color w:val="auto"/>
          <w:spacing w:val="11"/>
          <w:lang w:eastAsia="zh-CN"/>
        </w:rPr>
        <w:t xml:space="preserve"> )中被列入严重违法</w:t>
      </w:r>
      <w:r>
        <w:rPr>
          <w:color w:val="auto"/>
          <w:spacing w:val="32"/>
          <w:lang w:eastAsia="zh-CN"/>
        </w:rPr>
        <w:t>失信企业名单的或在“信用中国”网站</w:t>
      </w:r>
      <w:r>
        <w:rPr>
          <w:color w:val="auto"/>
          <w:spacing w:val="16"/>
          <w:lang w:eastAsia="zh-CN"/>
        </w:rPr>
        <w:t>(</w:t>
      </w:r>
      <w:r>
        <w:rPr>
          <w:color w:val="auto"/>
          <w:lang w:eastAsia="zh-CN"/>
        </w:rPr>
        <w:t>www</w:t>
      </w:r>
      <w:r>
        <w:rPr>
          <w:color w:val="auto"/>
          <w:spacing w:val="16"/>
          <w:lang w:eastAsia="zh-CN"/>
        </w:rPr>
        <w:t>.</w:t>
      </w:r>
      <w:r>
        <w:rPr>
          <w:color w:val="auto"/>
          <w:lang w:eastAsia="zh-CN"/>
        </w:rPr>
        <w:t>creditchina</w:t>
      </w:r>
      <w:r>
        <w:rPr>
          <w:color w:val="auto"/>
          <w:spacing w:val="16"/>
          <w:lang w:eastAsia="zh-CN"/>
        </w:rPr>
        <w:t>.</w:t>
      </w:r>
      <w:r>
        <w:rPr>
          <w:color w:val="auto"/>
          <w:lang w:eastAsia="zh-CN"/>
        </w:rPr>
        <w:t>gov</w:t>
      </w:r>
      <w:r>
        <w:rPr>
          <w:color w:val="auto"/>
          <w:spacing w:val="16"/>
          <w:lang w:eastAsia="zh-CN"/>
        </w:rPr>
        <w:t>.</w:t>
      </w:r>
      <w:r>
        <w:rPr>
          <w:color w:val="auto"/>
          <w:lang w:eastAsia="zh-CN"/>
        </w:rPr>
        <w:t>cn</w:t>
      </w:r>
      <w:r>
        <w:rPr>
          <w:color w:val="auto"/>
          <w:spacing w:val="16"/>
          <w:lang w:eastAsia="zh-CN"/>
        </w:rPr>
        <w:t>)中被列入失信被执行</w:t>
      </w:r>
      <w:r>
        <w:rPr>
          <w:color w:val="auto"/>
          <w:spacing w:val="8"/>
          <w:lang w:eastAsia="zh-CN"/>
        </w:rPr>
        <w:t>人名单的投标人投标。</w:t>
      </w:r>
    </w:p>
    <w:p>
      <w:pPr>
        <w:spacing w:before="156" w:line="298" w:lineRule="auto"/>
        <w:ind w:left="15" w:firstLine="4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 投标人须知前附表规定接受联合体投标的，除应</w:t>
      </w:r>
      <w:r>
        <w:rPr>
          <w:rFonts w:ascii="宋体" w:hAnsi="宋体" w:eastAsia="宋体" w:cs="宋体"/>
          <w:color w:val="auto"/>
          <w:spacing w:val="6"/>
          <w:sz w:val="20"/>
          <w:szCs w:val="20"/>
          <w:lang w:eastAsia="zh-CN"/>
        </w:rPr>
        <w:t>符合本章第1.4.1项和投标人须知前</w:t>
      </w:r>
      <w:r>
        <w:rPr>
          <w:rFonts w:ascii="宋体" w:hAnsi="宋体" w:eastAsia="宋体" w:cs="宋体"/>
          <w:color w:val="auto"/>
          <w:spacing w:val="7"/>
          <w:sz w:val="20"/>
          <w:szCs w:val="20"/>
          <w:lang w:eastAsia="zh-CN"/>
        </w:rPr>
        <w:t>附表的要求外，还应遵守以下规定：</w:t>
      </w:r>
    </w:p>
    <w:p>
      <w:pPr>
        <w:spacing w:before="152" w:line="299" w:lineRule="auto"/>
        <w:ind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（1）联合体各方应按招标文件提供的格式签订联合体协议书，明确联合体牵头人和各方权</w:t>
      </w:r>
      <w:r>
        <w:rPr>
          <w:rFonts w:ascii="宋体" w:hAnsi="宋体" w:eastAsia="宋体" w:cs="宋体"/>
          <w:color w:val="auto"/>
          <w:spacing w:val="4"/>
          <w:sz w:val="20"/>
          <w:szCs w:val="20"/>
          <w:lang w:eastAsia="zh-CN"/>
        </w:rPr>
        <w:t xml:space="preserve"> 利义务；</w:t>
      </w:r>
    </w:p>
    <w:p>
      <w:pPr>
        <w:spacing w:before="154"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（2）由同一专业的单位组成的联合体，按照资质等级较低的单</w:t>
      </w:r>
      <w:r>
        <w:rPr>
          <w:rFonts w:ascii="宋体" w:hAnsi="宋体" w:eastAsia="宋体" w:cs="宋体"/>
          <w:color w:val="auto"/>
          <w:spacing w:val="7"/>
          <w:sz w:val="20"/>
          <w:szCs w:val="20"/>
          <w:lang w:eastAsia="zh-CN"/>
        </w:rPr>
        <w:t>位确定资质等级；</w:t>
      </w:r>
    </w:p>
    <w:p>
      <w:pPr>
        <w:spacing w:before="152" w:line="228"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（3）联合体各方不得再以自己名义单独或参加其他联合体在同一标段中</w:t>
      </w:r>
      <w:r>
        <w:rPr>
          <w:rFonts w:ascii="宋体" w:hAnsi="宋体" w:eastAsia="宋体" w:cs="宋体"/>
          <w:color w:val="auto"/>
          <w:spacing w:val="8"/>
          <w:sz w:val="20"/>
          <w:szCs w:val="20"/>
          <w:lang w:eastAsia="zh-CN"/>
        </w:rPr>
        <w:t>投标。</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1.4.3 投标人不得存在下列情形之一：</w:t>
      </w:r>
    </w:p>
    <w:p>
      <w:pPr>
        <w:spacing w:before="203"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（1）为招标人不具有独立法人资格的附属机</w:t>
      </w:r>
      <w:r>
        <w:rPr>
          <w:rFonts w:ascii="宋体" w:hAnsi="宋体" w:eastAsia="宋体" w:cs="宋体"/>
          <w:color w:val="auto"/>
          <w:spacing w:val="8"/>
          <w:sz w:val="20"/>
          <w:szCs w:val="20"/>
          <w:lang w:eastAsia="zh-CN"/>
        </w:rPr>
        <w:t>构（单位</w:t>
      </w:r>
      <w:r>
        <w:rPr>
          <w:rFonts w:ascii="宋体" w:hAnsi="宋体" w:eastAsia="宋体" w:cs="宋体"/>
          <w:color w:val="auto"/>
          <w:sz w:val="20"/>
          <w:szCs w:val="20"/>
          <w:lang w:eastAsia="zh-CN"/>
        </w:rPr>
        <w:t>）；</w:t>
      </w:r>
    </w:p>
    <w:p>
      <w:pPr>
        <w:spacing w:line="227" w:lineRule="auto"/>
        <w:rPr>
          <w:rFonts w:ascii="宋体" w:hAnsi="宋体" w:eastAsia="宋体" w:cs="宋体"/>
          <w:color w:val="auto"/>
          <w:sz w:val="20"/>
          <w:szCs w:val="20"/>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（2）与招标人存在利害关系且可能影响招标公正性；</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（3）与本招标项目的其他投标人为同一个单位负责人；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（4）与本招标项目的其他投标人存在控股、管理关系；</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（5）为本招标项目的代建人；</w:t>
      </w:r>
    </w:p>
    <w:p>
      <w:pPr>
        <w:spacing w:before="214"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（6）为本招标项目的招标代理机构；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（7）与本招标项目的代建人或招标代理机构同为一</w:t>
      </w:r>
      <w:r>
        <w:rPr>
          <w:rFonts w:ascii="宋体" w:hAnsi="宋体" w:eastAsia="宋体" w:cs="宋体"/>
          <w:color w:val="auto"/>
          <w:spacing w:val="8"/>
          <w:sz w:val="20"/>
          <w:szCs w:val="20"/>
          <w:lang w:eastAsia="zh-CN"/>
        </w:rPr>
        <w:t>个法定代表人；</w:t>
      </w:r>
    </w:p>
    <w:p>
      <w:pPr>
        <w:spacing w:before="212" w:line="227"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（8）与本招标项目的代建人或招标代理机构存在控</w:t>
      </w:r>
      <w:r>
        <w:rPr>
          <w:rFonts w:ascii="宋体" w:hAnsi="宋体" w:eastAsia="宋体" w:cs="宋体"/>
          <w:color w:val="auto"/>
          <w:spacing w:val="8"/>
          <w:sz w:val="20"/>
          <w:szCs w:val="20"/>
          <w:lang w:eastAsia="zh-CN"/>
        </w:rPr>
        <w:t>股或参股关系；</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（9）为本标段前期准备提供设计或咨询服务的；</w:t>
      </w:r>
    </w:p>
    <w:p>
      <w:pPr>
        <w:spacing w:before="215"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（10）被依法暂停或者取消投标资格；</w:t>
      </w:r>
    </w:p>
    <w:p>
      <w:pPr>
        <w:spacing w:before="213"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（11）被责令停业，暂扣或者吊销执照，或吊销资质证书；</w:t>
      </w:r>
    </w:p>
    <w:p>
      <w:pPr>
        <w:spacing w:before="215" w:line="226" w:lineRule="auto"/>
        <w:ind w:left="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（12）进入清算程序，或被宣告破产，或其他</w:t>
      </w:r>
      <w:r>
        <w:rPr>
          <w:rFonts w:ascii="宋体" w:hAnsi="宋体" w:eastAsia="宋体" w:cs="宋体"/>
          <w:color w:val="auto"/>
          <w:spacing w:val="8"/>
          <w:sz w:val="20"/>
          <w:szCs w:val="20"/>
          <w:lang w:eastAsia="zh-CN"/>
        </w:rPr>
        <w:t>丧失履约能力的情形；</w:t>
      </w:r>
    </w:p>
    <w:p>
      <w:pPr>
        <w:spacing w:before="216" w:line="227" w:lineRule="auto"/>
        <w:ind w:left="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（13）本项目规定的失信行为：详见投标人须知前附表1.4.3;</w:t>
      </w:r>
    </w:p>
    <w:p>
      <w:pPr>
        <w:spacing w:before="213" w:line="304" w:lineRule="auto"/>
        <w:ind w:left="421" w:right="3361" w:firstLine="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（14）法律法规或投标人须知前附表规定的其他情形。</w:t>
      </w:r>
      <w:r>
        <w:rPr>
          <w:rFonts w:ascii="宋体" w:hAnsi="宋体" w:eastAsia="宋体" w:cs="宋体"/>
          <w:color w:val="auto"/>
          <w:spacing w:val="9"/>
          <w:sz w:val="20"/>
          <w:szCs w:val="20"/>
          <w:lang w:eastAsia="zh-CN"/>
        </w:rPr>
        <w:t>投标人存在上述情形之一的，其投标应当被否决。</w:t>
      </w:r>
    </w:p>
    <w:p>
      <w:pPr>
        <w:spacing w:before="248" w:line="223" w:lineRule="auto"/>
        <w:ind w:left="16"/>
        <w:outlineLvl w:val="2"/>
        <w:rPr>
          <w:rFonts w:ascii="黑体" w:hAnsi="黑体" w:eastAsia="黑体" w:cs="黑体"/>
          <w:color w:val="auto"/>
          <w:sz w:val="28"/>
          <w:szCs w:val="28"/>
          <w:lang w:eastAsia="zh-CN"/>
        </w:rPr>
      </w:pPr>
      <w:bookmarkStart w:id="35" w:name="bookmark42"/>
      <w:bookmarkEnd w:id="35"/>
      <w:bookmarkStart w:id="36" w:name="bookmark41"/>
      <w:bookmarkEnd w:id="36"/>
      <w:r>
        <w:rPr>
          <w:rFonts w:ascii="黑体" w:hAnsi="黑体" w:eastAsia="黑体" w:cs="黑体"/>
          <w:color w:val="auto"/>
          <w:spacing w:val="-4"/>
          <w:sz w:val="28"/>
          <w:szCs w:val="28"/>
          <w:lang w:eastAsia="zh-CN"/>
        </w:rPr>
        <w:t>1.5 费用承担</w:t>
      </w:r>
    </w:p>
    <w:p>
      <w:pPr>
        <w:spacing w:before="279"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投标人准备和参加投标活动发生的费用自理。</w:t>
      </w:r>
    </w:p>
    <w:p>
      <w:pPr>
        <w:spacing w:before="249" w:line="222" w:lineRule="auto"/>
        <w:ind w:left="16"/>
        <w:outlineLvl w:val="2"/>
        <w:rPr>
          <w:rFonts w:ascii="黑体" w:hAnsi="黑体" w:eastAsia="黑体" w:cs="黑体"/>
          <w:color w:val="auto"/>
          <w:sz w:val="28"/>
          <w:szCs w:val="28"/>
          <w:lang w:eastAsia="zh-CN"/>
        </w:rPr>
      </w:pPr>
      <w:bookmarkStart w:id="37" w:name="bookmark44"/>
      <w:bookmarkEnd w:id="37"/>
      <w:bookmarkStart w:id="38" w:name="bookmark43"/>
      <w:bookmarkEnd w:id="38"/>
      <w:r>
        <w:rPr>
          <w:rFonts w:ascii="黑体" w:hAnsi="黑体" w:eastAsia="黑体" w:cs="黑体"/>
          <w:color w:val="auto"/>
          <w:spacing w:val="-7"/>
          <w:sz w:val="28"/>
          <w:szCs w:val="28"/>
          <w:lang w:eastAsia="zh-CN"/>
        </w:rPr>
        <w:t>1.6保密</w:t>
      </w:r>
    </w:p>
    <w:p>
      <w:pPr>
        <w:spacing w:before="280" w:line="353" w:lineRule="auto"/>
        <w:ind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参与招标投标活动的各方应对招标文件和投标文件中的商业和技术等秘密保</w:t>
      </w:r>
      <w:r>
        <w:rPr>
          <w:rFonts w:ascii="宋体" w:hAnsi="宋体" w:eastAsia="宋体" w:cs="宋体"/>
          <w:color w:val="auto"/>
          <w:spacing w:val="8"/>
          <w:sz w:val="20"/>
          <w:szCs w:val="20"/>
          <w:lang w:eastAsia="zh-CN"/>
        </w:rPr>
        <w:t>密，违者应对由此造成的后果承担法律责任。</w:t>
      </w:r>
    </w:p>
    <w:p>
      <w:pPr>
        <w:spacing w:before="131" w:line="222" w:lineRule="auto"/>
        <w:ind w:left="16"/>
        <w:outlineLvl w:val="2"/>
        <w:rPr>
          <w:rFonts w:ascii="黑体" w:hAnsi="黑体" w:eastAsia="黑体" w:cs="黑体"/>
          <w:color w:val="auto"/>
          <w:sz w:val="28"/>
          <w:szCs w:val="28"/>
          <w:lang w:eastAsia="zh-CN"/>
        </w:rPr>
      </w:pPr>
      <w:bookmarkStart w:id="39" w:name="bookmark45"/>
      <w:bookmarkEnd w:id="39"/>
      <w:bookmarkStart w:id="40" w:name="bookmark46"/>
      <w:bookmarkEnd w:id="40"/>
      <w:r>
        <w:rPr>
          <w:rFonts w:ascii="黑体" w:hAnsi="黑体" w:eastAsia="黑体" w:cs="黑体"/>
          <w:color w:val="auto"/>
          <w:spacing w:val="-4"/>
          <w:sz w:val="28"/>
          <w:szCs w:val="28"/>
          <w:lang w:eastAsia="zh-CN"/>
        </w:rPr>
        <w:t>1.7 语言文字</w:t>
      </w:r>
    </w:p>
    <w:p>
      <w:pPr>
        <w:spacing w:before="279" w:line="227" w:lineRule="auto"/>
        <w:ind w:left="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除专用术语外，与招标投标有关的语言均使用中文。必要时专用术语应附有中文注释。</w:t>
      </w:r>
    </w:p>
    <w:p>
      <w:pPr>
        <w:spacing w:before="250" w:line="223" w:lineRule="auto"/>
        <w:ind w:left="16"/>
        <w:outlineLvl w:val="2"/>
        <w:rPr>
          <w:rFonts w:ascii="黑体" w:hAnsi="黑体" w:eastAsia="黑体" w:cs="黑体"/>
          <w:color w:val="auto"/>
          <w:sz w:val="28"/>
          <w:szCs w:val="28"/>
          <w:lang w:eastAsia="zh-CN"/>
        </w:rPr>
      </w:pPr>
      <w:bookmarkStart w:id="41" w:name="bookmark48"/>
      <w:bookmarkEnd w:id="41"/>
      <w:bookmarkStart w:id="42" w:name="bookmark47"/>
      <w:bookmarkEnd w:id="42"/>
      <w:r>
        <w:rPr>
          <w:rFonts w:ascii="黑体" w:hAnsi="黑体" w:eastAsia="黑体" w:cs="黑体"/>
          <w:color w:val="auto"/>
          <w:spacing w:val="-4"/>
          <w:sz w:val="28"/>
          <w:szCs w:val="28"/>
          <w:lang w:eastAsia="zh-CN"/>
        </w:rPr>
        <w:t>1.8 计量单位</w:t>
      </w:r>
    </w:p>
    <w:p>
      <w:pPr>
        <w:spacing w:before="278"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所有计量均采用中华人民共和国法定计量单位。</w:t>
      </w:r>
    </w:p>
    <w:p>
      <w:pPr>
        <w:spacing w:before="249" w:line="222" w:lineRule="auto"/>
        <w:ind w:left="16"/>
        <w:outlineLvl w:val="2"/>
        <w:rPr>
          <w:rFonts w:ascii="黑体" w:hAnsi="黑体" w:eastAsia="黑体" w:cs="黑体"/>
          <w:color w:val="auto"/>
          <w:sz w:val="28"/>
          <w:szCs w:val="28"/>
          <w:lang w:eastAsia="zh-CN"/>
        </w:rPr>
      </w:pPr>
      <w:bookmarkStart w:id="43" w:name="bookmark50"/>
      <w:bookmarkEnd w:id="43"/>
      <w:bookmarkStart w:id="44" w:name="bookmark49"/>
      <w:bookmarkEnd w:id="44"/>
      <w:r>
        <w:rPr>
          <w:rFonts w:ascii="黑体" w:hAnsi="黑体" w:eastAsia="黑体" w:cs="黑体"/>
          <w:color w:val="auto"/>
          <w:spacing w:val="-4"/>
          <w:sz w:val="28"/>
          <w:szCs w:val="28"/>
          <w:lang w:eastAsia="zh-CN"/>
        </w:rPr>
        <w:t>1.9 踏勘现场</w:t>
      </w:r>
    </w:p>
    <w:p>
      <w:pPr>
        <w:spacing w:before="279" w:line="299" w:lineRule="auto"/>
        <w:ind w:left="9"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1.9.1 投标人须知前附表规定组织踏勘现场的，招标人按投标人须知前附表规定</w:t>
      </w:r>
      <w:r>
        <w:rPr>
          <w:rFonts w:ascii="宋体" w:hAnsi="宋体" w:eastAsia="宋体" w:cs="宋体"/>
          <w:color w:val="auto"/>
          <w:spacing w:val="7"/>
          <w:sz w:val="20"/>
          <w:szCs w:val="20"/>
          <w:lang w:eastAsia="zh-CN"/>
        </w:rPr>
        <w:t>的时间、地点组织投标人踏勘项目现场。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1.9.2 投标人踏勘现场发生的费用自理。</w:t>
      </w:r>
    </w:p>
    <w:p>
      <w:pPr>
        <w:spacing w:line="228" w:lineRule="auto"/>
        <w:rPr>
          <w:rFonts w:ascii="宋体" w:hAnsi="宋体" w:eastAsia="宋体" w:cs="宋体"/>
          <w:color w:val="auto"/>
          <w:sz w:val="20"/>
          <w:szCs w:val="20"/>
          <w:lang w:eastAsia="zh-CN"/>
        </w:rPr>
      </w:pPr>
    </w:p>
    <w:p>
      <w:pPr>
        <w:spacing w:before="65"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1.9.3 除招标人的原因外，投标人自行负责在踏勘现场中所发生的人员伤亡和财产损失。</w:t>
      </w:r>
    </w:p>
    <w:p>
      <w:pPr>
        <w:spacing w:before="153" w:line="299" w:lineRule="auto"/>
        <w:ind w:right="2"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1.9.4 招标人在踏勘现场中介绍的工程场地和相关的周边环境情况，供投标人在</w:t>
      </w:r>
      <w:r>
        <w:rPr>
          <w:rFonts w:ascii="宋体" w:hAnsi="宋体" w:eastAsia="宋体" w:cs="宋体"/>
          <w:color w:val="auto"/>
          <w:spacing w:val="7"/>
          <w:sz w:val="20"/>
          <w:szCs w:val="20"/>
          <w:lang w:eastAsia="zh-CN"/>
        </w:rPr>
        <w:t>编制投标文</w:t>
      </w:r>
      <w:r>
        <w:rPr>
          <w:rFonts w:ascii="宋体" w:hAnsi="宋体" w:eastAsia="宋体" w:cs="宋体"/>
          <w:color w:val="auto"/>
          <w:spacing w:val="9"/>
          <w:sz w:val="20"/>
          <w:szCs w:val="20"/>
          <w:lang w:eastAsia="zh-CN"/>
        </w:rPr>
        <w:t>件时参考，招标人不对投标人据此作出的判断和决策负责。</w:t>
      </w:r>
    </w:p>
    <w:p>
      <w:pPr>
        <w:spacing w:before="248" w:line="222" w:lineRule="auto"/>
        <w:ind w:left="17"/>
        <w:outlineLvl w:val="2"/>
        <w:rPr>
          <w:rFonts w:ascii="黑体" w:hAnsi="黑体" w:eastAsia="黑体" w:cs="黑体"/>
          <w:color w:val="auto"/>
          <w:sz w:val="28"/>
          <w:szCs w:val="28"/>
          <w:lang w:eastAsia="zh-CN"/>
        </w:rPr>
      </w:pPr>
      <w:bookmarkStart w:id="45" w:name="bookmark52"/>
      <w:bookmarkEnd w:id="45"/>
      <w:bookmarkStart w:id="46" w:name="bookmark51"/>
      <w:bookmarkEnd w:id="46"/>
      <w:r>
        <w:rPr>
          <w:rFonts w:ascii="黑体" w:hAnsi="黑体" w:eastAsia="黑体" w:cs="黑体"/>
          <w:color w:val="auto"/>
          <w:spacing w:val="-3"/>
          <w:sz w:val="28"/>
          <w:szCs w:val="28"/>
          <w:lang w:eastAsia="zh-CN"/>
        </w:rPr>
        <w:t>1.10 投标预备会</w:t>
      </w:r>
    </w:p>
    <w:p>
      <w:pPr>
        <w:spacing w:before="280"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1.10.1 投标人须知前附表规定召开投标预备会的，招标人按投标人须知前附表规定的时间</w:t>
      </w:r>
      <w:r>
        <w:rPr>
          <w:rFonts w:ascii="宋体" w:hAnsi="宋体" w:eastAsia="宋体" w:cs="宋体"/>
          <w:color w:val="auto"/>
          <w:spacing w:val="9"/>
          <w:sz w:val="20"/>
          <w:szCs w:val="20"/>
          <w:lang w:eastAsia="zh-CN"/>
        </w:rPr>
        <w:t>和地点召开投标预备会，澄清投标人提出的问题。</w:t>
      </w:r>
    </w:p>
    <w:p>
      <w:pPr>
        <w:spacing w:before="153" w:line="298" w:lineRule="auto"/>
        <w:ind w:left="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投标人应在投标人须知前附表规定的时间和形式将提出的问题送达招标人，以便招</w:t>
      </w:r>
      <w:r>
        <w:rPr>
          <w:rFonts w:ascii="宋体" w:hAnsi="宋体" w:eastAsia="宋体" w:cs="宋体"/>
          <w:color w:val="auto"/>
          <w:spacing w:val="7"/>
          <w:sz w:val="20"/>
          <w:szCs w:val="20"/>
          <w:lang w:eastAsia="zh-CN"/>
        </w:rPr>
        <w:t>标人在会议期间澄清。</w:t>
      </w:r>
    </w:p>
    <w:p>
      <w:pPr>
        <w:spacing w:before="154" w:line="298" w:lineRule="auto"/>
        <w:ind w:left="5"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1.10.3 投标预备会后，招标人将对投标人所提问题的澄清，以投标人须知前附表规定的形式通知所有获取招标文件的投标人。该澄清内容为招标文件的组成部分。</w:t>
      </w:r>
    </w:p>
    <w:p>
      <w:pPr>
        <w:spacing w:before="251" w:line="223" w:lineRule="auto"/>
        <w:ind w:left="17"/>
        <w:outlineLvl w:val="2"/>
        <w:rPr>
          <w:rFonts w:ascii="黑体" w:hAnsi="黑体" w:eastAsia="黑体" w:cs="黑体"/>
          <w:color w:val="auto"/>
          <w:sz w:val="28"/>
          <w:szCs w:val="28"/>
          <w:lang w:eastAsia="zh-CN"/>
        </w:rPr>
      </w:pPr>
      <w:bookmarkStart w:id="47" w:name="bookmark54"/>
      <w:bookmarkEnd w:id="47"/>
      <w:bookmarkStart w:id="48" w:name="bookmark53"/>
      <w:bookmarkEnd w:id="48"/>
      <w:r>
        <w:rPr>
          <w:rFonts w:ascii="黑体" w:hAnsi="黑体" w:eastAsia="黑体" w:cs="黑体"/>
          <w:color w:val="auto"/>
          <w:spacing w:val="-7"/>
          <w:sz w:val="28"/>
          <w:szCs w:val="28"/>
          <w:lang w:eastAsia="zh-CN"/>
        </w:rPr>
        <w:t>1.11分包</w:t>
      </w:r>
    </w:p>
    <w:p>
      <w:pPr>
        <w:spacing w:before="278" w:line="353" w:lineRule="auto"/>
        <w:ind w:left="5" w:right="2" w:firstLine="56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投标人拟在中标后将中标项目的部分非主体、非关键性工作进行分包的，应符合投标人须</w:t>
      </w:r>
      <w:r>
        <w:rPr>
          <w:rFonts w:ascii="宋体" w:hAnsi="宋体" w:eastAsia="宋体" w:cs="宋体"/>
          <w:color w:val="auto"/>
          <w:spacing w:val="9"/>
          <w:sz w:val="20"/>
          <w:szCs w:val="20"/>
          <w:lang w:eastAsia="zh-CN"/>
        </w:rPr>
        <w:t>知前附表规定的分包内容、分包金额和接受分包的第三人资质要求等限制性条件。</w:t>
      </w:r>
    </w:p>
    <w:p>
      <w:pPr>
        <w:spacing w:before="131" w:line="223" w:lineRule="auto"/>
        <w:ind w:left="17"/>
        <w:outlineLvl w:val="2"/>
        <w:rPr>
          <w:rFonts w:ascii="黑体" w:hAnsi="黑体" w:eastAsia="黑体" w:cs="黑体"/>
          <w:color w:val="auto"/>
          <w:sz w:val="28"/>
          <w:szCs w:val="28"/>
          <w:lang w:eastAsia="zh-CN"/>
        </w:rPr>
      </w:pPr>
      <w:bookmarkStart w:id="49" w:name="bookmark56"/>
      <w:bookmarkEnd w:id="49"/>
      <w:bookmarkStart w:id="50" w:name="bookmark55"/>
      <w:bookmarkEnd w:id="50"/>
      <w:r>
        <w:rPr>
          <w:rFonts w:ascii="黑体" w:hAnsi="黑体" w:eastAsia="黑体" w:cs="黑体"/>
          <w:color w:val="auto"/>
          <w:spacing w:val="-6"/>
          <w:sz w:val="28"/>
          <w:szCs w:val="28"/>
          <w:lang w:eastAsia="zh-CN"/>
        </w:rPr>
        <w:t>1.12偏离</w:t>
      </w:r>
    </w:p>
    <w:p>
      <w:pPr>
        <w:spacing w:before="279" w:line="352" w:lineRule="auto"/>
        <w:ind w:left="4" w:right="2" w:firstLine="356"/>
        <w:rPr>
          <w:color w:val="auto"/>
          <w:lang w:eastAsia="zh-CN"/>
        </w:rPr>
      </w:pPr>
      <w:r>
        <w:rPr>
          <w:rFonts w:ascii="宋体" w:hAnsi="宋体" w:eastAsia="宋体" w:cs="宋体"/>
          <w:color w:val="auto"/>
          <w:spacing w:val="10"/>
          <w:sz w:val="20"/>
          <w:szCs w:val="20"/>
          <w:lang w:eastAsia="zh-CN"/>
        </w:rPr>
        <w:t>投标人须知前附表允许投标文件偏离招标文件某些要求的，偏离应当符合招标文件规定的偏</w:t>
      </w:r>
      <w:r>
        <w:rPr>
          <w:rFonts w:ascii="宋体" w:hAnsi="宋体" w:eastAsia="宋体" w:cs="宋体"/>
          <w:color w:val="auto"/>
          <w:spacing w:val="6"/>
          <w:sz w:val="20"/>
          <w:szCs w:val="20"/>
          <w:lang w:eastAsia="zh-CN"/>
        </w:rPr>
        <w:t>离范围和幅度。</w:t>
      </w:r>
    </w:p>
    <w:p>
      <w:pPr>
        <w:spacing w:before="102" w:line="227" w:lineRule="auto"/>
        <w:ind w:left="2"/>
        <w:outlineLvl w:val="1"/>
        <w:rPr>
          <w:rFonts w:ascii="黑体" w:hAnsi="黑体" w:eastAsia="黑体" w:cs="黑体"/>
          <w:color w:val="auto"/>
          <w:sz w:val="31"/>
          <w:szCs w:val="31"/>
          <w:lang w:eastAsia="zh-CN"/>
        </w:rPr>
      </w:pPr>
      <w:bookmarkStart w:id="51" w:name="bookmark57"/>
      <w:bookmarkEnd w:id="51"/>
      <w:bookmarkStart w:id="52" w:name="bookmark60"/>
      <w:bookmarkEnd w:id="52"/>
      <w:bookmarkStart w:id="53" w:name="bookmark58"/>
      <w:bookmarkEnd w:id="53"/>
      <w:r>
        <w:rPr>
          <w:rFonts w:ascii="黑体" w:hAnsi="黑体" w:eastAsia="黑体" w:cs="黑体"/>
          <w:b/>
          <w:bCs/>
          <w:color w:val="auto"/>
          <w:spacing w:val="4"/>
          <w:sz w:val="31"/>
          <w:szCs w:val="31"/>
          <w:lang w:eastAsia="zh-CN"/>
        </w:rPr>
        <w:t>2.招标文件</w:t>
      </w:r>
    </w:p>
    <w:p>
      <w:pPr>
        <w:pStyle w:val="3"/>
        <w:spacing w:line="28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54" w:name="bookmark59"/>
      <w:bookmarkEnd w:id="54"/>
      <w:r>
        <w:rPr>
          <w:rFonts w:ascii="黑体" w:hAnsi="黑体" w:eastAsia="黑体" w:cs="黑体"/>
          <w:color w:val="auto"/>
          <w:spacing w:val="-1"/>
          <w:sz w:val="28"/>
          <w:szCs w:val="28"/>
          <w:lang w:eastAsia="zh-CN"/>
        </w:rPr>
        <w:t>2.1 招标文件的组成</w:t>
      </w:r>
    </w:p>
    <w:p>
      <w:pPr>
        <w:spacing w:before="279" w:line="227"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本招标文件包括：</w:t>
      </w:r>
    </w:p>
    <w:p>
      <w:pPr>
        <w:spacing w:before="155" w:line="226" w:lineRule="auto"/>
        <w:ind w:left="36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（1）招标公告（或投标邀请书</w:t>
      </w:r>
      <w:r>
        <w:rPr>
          <w:rFonts w:ascii="宋体" w:hAnsi="宋体" w:eastAsia="宋体" w:cs="宋体"/>
          <w:color w:val="auto"/>
          <w:sz w:val="20"/>
          <w:szCs w:val="20"/>
          <w:lang w:eastAsia="zh-CN"/>
        </w:rPr>
        <w:t>）；</w:t>
      </w:r>
    </w:p>
    <w:p>
      <w:pPr>
        <w:spacing w:before="156"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（2）投标人须知；</w:t>
      </w:r>
    </w:p>
    <w:p>
      <w:pPr>
        <w:spacing w:before="151"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（3）评标办法；</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（4）合同条款及格式；</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（5）工程量清单；</w:t>
      </w:r>
    </w:p>
    <w:p>
      <w:pPr>
        <w:spacing w:before="152"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（7）技术标准和要求；</w:t>
      </w:r>
    </w:p>
    <w:p>
      <w:pPr>
        <w:spacing w:before="154"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（8）投标文件格式；</w:t>
      </w:r>
    </w:p>
    <w:p>
      <w:pPr>
        <w:spacing w:line="228" w:lineRule="auto"/>
        <w:rPr>
          <w:rFonts w:ascii="宋体" w:hAnsi="宋体" w:eastAsia="宋体" w:cs="宋体"/>
          <w:color w:val="auto"/>
          <w:sz w:val="20"/>
          <w:szCs w:val="20"/>
          <w:lang w:eastAsia="zh-CN"/>
        </w:rPr>
      </w:pPr>
    </w:p>
    <w:p>
      <w:pPr>
        <w:spacing w:before="65" w:line="227"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（9）投标人须知前附表规定的其他材料。</w:t>
      </w:r>
    </w:p>
    <w:p>
      <w:pPr>
        <w:spacing w:before="155" w:line="355" w:lineRule="auto"/>
        <w:ind w:left="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根据本章第1.10款、第2.2款和第2.3款对招标文件所作的澄清、修改，构成招标文件的</w:t>
      </w:r>
      <w:r>
        <w:rPr>
          <w:rFonts w:ascii="宋体" w:hAnsi="宋体" w:eastAsia="宋体" w:cs="宋体"/>
          <w:color w:val="auto"/>
          <w:spacing w:val="5"/>
          <w:sz w:val="20"/>
          <w:szCs w:val="20"/>
          <w:lang w:eastAsia="zh-CN"/>
        </w:rPr>
        <w:t>组成部分。</w:t>
      </w:r>
    </w:p>
    <w:p>
      <w:pPr>
        <w:spacing w:before="126" w:line="222" w:lineRule="auto"/>
        <w:ind w:left="2"/>
        <w:outlineLvl w:val="2"/>
        <w:rPr>
          <w:rFonts w:ascii="黑体" w:hAnsi="黑体" w:eastAsia="黑体" w:cs="黑体"/>
          <w:color w:val="auto"/>
          <w:sz w:val="28"/>
          <w:szCs w:val="28"/>
          <w:lang w:eastAsia="zh-CN"/>
        </w:rPr>
      </w:pPr>
      <w:bookmarkStart w:id="55" w:name="bookmark62"/>
      <w:bookmarkEnd w:id="55"/>
      <w:bookmarkStart w:id="56" w:name="bookmark61"/>
      <w:bookmarkEnd w:id="56"/>
      <w:r>
        <w:rPr>
          <w:rFonts w:ascii="黑体" w:hAnsi="黑体" w:eastAsia="黑体" w:cs="黑体"/>
          <w:color w:val="auto"/>
          <w:spacing w:val="-1"/>
          <w:sz w:val="28"/>
          <w:szCs w:val="28"/>
          <w:lang w:eastAsia="zh-CN"/>
        </w:rPr>
        <w:t>2.2 招标文件的澄清</w:t>
      </w:r>
    </w:p>
    <w:p>
      <w:pPr>
        <w:spacing w:before="279" w:line="359"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 xml:space="preserve">2.2.1 投标人应仔细阅读和检查招标文件的全部内容。如发现缺页或附件不全，应及时向招 </w:t>
      </w:r>
      <w:r>
        <w:rPr>
          <w:rFonts w:ascii="宋体" w:hAnsi="宋体" w:eastAsia="宋体" w:cs="宋体"/>
          <w:color w:val="auto"/>
          <w:spacing w:val="9"/>
          <w:sz w:val="20"/>
          <w:szCs w:val="20"/>
          <w:lang w:eastAsia="zh-CN"/>
        </w:rPr>
        <w:t>标人提出，以便补齐。如有疑问，应按投标人须知前附表规定的时间和形式将提出的问</w:t>
      </w:r>
      <w:r>
        <w:rPr>
          <w:rFonts w:ascii="宋体" w:hAnsi="宋体" w:eastAsia="宋体" w:cs="宋体"/>
          <w:color w:val="auto"/>
          <w:spacing w:val="8"/>
          <w:sz w:val="20"/>
          <w:szCs w:val="20"/>
          <w:lang w:eastAsia="zh-CN"/>
        </w:rPr>
        <w:t>题送达招标人，要求招标人对招标文件予以澄清。</w:t>
      </w:r>
    </w:p>
    <w:p>
      <w:pPr>
        <w:spacing w:before="32" w:line="362"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2.2.2 招标文件的澄清将在投标截止时间15日</w:t>
      </w:r>
      <w:r>
        <w:rPr>
          <w:rFonts w:ascii="宋体" w:hAnsi="宋体" w:eastAsia="宋体" w:cs="宋体"/>
          <w:color w:val="auto"/>
          <w:spacing w:val="7"/>
          <w:sz w:val="20"/>
          <w:szCs w:val="20"/>
          <w:lang w:eastAsia="zh-CN"/>
        </w:rPr>
        <w:t>前在投标人须知前附表规定的网站上发布，</w:t>
      </w:r>
      <w:r>
        <w:rPr>
          <w:rFonts w:ascii="宋体" w:hAnsi="宋体" w:eastAsia="宋体" w:cs="宋体"/>
          <w:color w:val="auto"/>
          <w:spacing w:val="9"/>
          <w:sz w:val="20"/>
          <w:szCs w:val="20"/>
          <w:lang w:eastAsia="zh-CN"/>
        </w:rPr>
        <w:t>但不指明澄清问题的来源，投标人自行下载，招标人不另行通知。该澄清作为招标文件的组</w:t>
      </w:r>
      <w:r>
        <w:rPr>
          <w:rFonts w:ascii="宋体" w:hAnsi="宋体" w:eastAsia="宋体" w:cs="宋体"/>
          <w:color w:val="auto"/>
          <w:spacing w:val="8"/>
          <w:sz w:val="20"/>
          <w:szCs w:val="20"/>
          <w:lang w:eastAsia="zh-CN"/>
        </w:rPr>
        <w:t>成部分。澄清发出的时间距投标人须知前附表规定的投标截止时间不足15日的，并且澄清内容影响</w:t>
      </w:r>
      <w:r>
        <w:rPr>
          <w:rFonts w:ascii="宋体" w:hAnsi="宋体" w:eastAsia="宋体" w:cs="宋体"/>
          <w:color w:val="auto"/>
          <w:spacing w:val="9"/>
          <w:sz w:val="20"/>
          <w:szCs w:val="20"/>
          <w:lang w:eastAsia="zh-CN"/>
        </w:rPr>
        <w:t>投标文件编制的，相应延长投标截止时间。</w:t>
      </w:r>
    </w:p>
    <w:p>
      <w:pPr>
        <w:spacing w:before="33" w:line="359" w:lineRule="auto"/>
        <w:ind w:left="3" w:firstLine="420"/>
        <w:jc w:val="both"/>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 投标人须留意投标人须知前附表第2.2.2 款所列网站发布的澄清通知，在浏览澄清通</w:t>
      </w:r>
      <w:r>
        <w:rPr>
          <w:rFonts w:ascii="宋体" w:hAnsi="宋体" w:eastAsia="宋体" w:cs="宋体"/>
          <w:color w:val="auto"/>
          <w:spacing w:val="9"/>
          <w:sz w:val="20"/>
          <w:szCs w:val="20"/>
          <w:lang w:eastAsia="zh-CN"/>
        </w:rPr>
        <w:t>知后，投标人自行下载该澄清通知，不需要确认。投标人未留意该澄清通知而造成的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6"/>
          <w:sz w:val="20"/>
          <w:szCs w:val="20"/>
          <w:lang w:eastAsia="zh-CN"/>
        </w:rPr>
        <w:t>人自行承担。</w:t>
      </w:r>
    </w:p>
    <w:p>
      <w:pPr>
        <w:spacing w:before="128" w:line="222" w:lineRule="auto"/>
        <w:ind w:left="280"/>
        <w:outlineLvl w:val="2"/>
        <w:rPr>
          <w:rFonts w:ascii="黑体" w:hAnsi="黑体" w:eastAsia="黑体" w:cs="黑体"/>
          <w:color w:val="auto"/>
          <w:sz w:val="28"/>
          <w:szCs w:val="28"/>
          <w:lang w:eastAsia="zh-CN"/>
        </w:rPr>
      </w:pPr>
      <w:bookmarkStart w:id="57" w:name="bookmark64"/>
      <w:bookmarkEnd w:id="57"/>
      <w:bookmarkStart w:id="58" w:name="bookmark63"/>
      <w:bookmarkEnd w:id="58"/>
      <w:r>
        <w:rPr>
          <w:rFonts w:ascii="黑体" w:hAnsi="黑体" w:eastAsia="黑体" w:cs="黑体"/>
          <w:color w:val="auto"/>
          <w:spacing w:val="-1"/>
          <w:sz w:val="28"/>
          <w:szCs w:val="28"/>
          <w:lang w:eastAsia="zh-CN"/>
        </w:rPr>
        <w:t>2.3 招标文件的修改</w:t>
      </w:r>
    </w:p>
    <w:p>
      <w:pPr>
        <w:spacing w:before="279" w:line="360" w:lineRule="auto"/>
        <w:ind w:left="2" w:firstLine="421"/>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2.3.1 招标人以投标人须知前附表规定的形式修改招标文件，投标人须知前附表规定的网站 上发布，该修改作为招标文件的组成部分。修改招标文件的时间距本章第4.2.1项规定</w:t>
      </w:r>
      <w:r>
        <w:rPr>
          <w:rFonts w:ascii="宋体" w:hAnsi="宋体" w:eastAsia="宋体" w:cs="宋体"/>
          <w:color w:val="auto"/>
          <w:spacing w:val="7"/>
          <w:sz w:val="20"/>
          <w:szCs w:val="20"/>
          <w:lang w:eastAsia="zh-CN"/>
        </w:rPr>
        <w:t>的投标截止时间不足15 日的，并且修改内容可能影响投标文件编制的，将相应延长投标截止时间。</w:t>
      </w:r>
    </w:p>
    <w:p>
      <w:pPr>
        <w:spacing w:before="28"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2.3.2 投标人须留意投标人须知前附表第2.3.1 款所列网站发布的修改通知，在浏览修改通</w:t>
      </w:r>
      <w:r>
        <w:rPr>
          <w:rFonts w:ascii="宋体" w:hAnsi="宋体" w:eastAsia="宋体" w:cs="宋体"/>
          <w:color w:val="auto"/>
          <w:spacing w:val="9"/>
          <w:sz w:val="20"/>
          <w:szCs w:val="20"/>
          <w:lang w:eastAsia="zh-CN"/>
        </w:rPr>
        <w:t>知后，投标人自行下载该修改通知，不需要确认。投标人未留意该修改通知而造成的</w:t>
      </w:r>
      <w:r>
        <w:rPr>
          <w:rFonts w:ascii="宋体" w:hAnsi="宋体" w:eastAsia="宋体" w:cs="宋体"/>
          <w:color w:val="auto"/>
          <w:spacing w:val="8"/>
          <w:sz w:val="20"/>
          <w:szCs w:val="20"/>
          <w:lang w:eastAsia="zh-CN"/>
        </w:rPr>
        <w:t>后果由投标</w:t>
      </w:r>
      <w:r>
        <w:rPr>
          <w:rFonts w:ascii="宋体" w:hAnsi="宋体" w:eastAsia="宋体" w:cs="宋体"/>
          <w:color w:val="auto"/>
          <w:spacing w:val="7"/>
          <w:sz w:val="20"/>
          <w:szCs w:val="20"/>
          <w:lang w:eastAsia="zh-CN"/>
        </w:rPr>
        <w:t>人自行承担</w:t>
      </w:r>
    </w:p>
    <w:p>
      <w:pPr>
        <w:spacing w:before="218" w:line="428" w:lineRule="auto"/>
        <w:ind w:left="2" w:firstLine="421"/>
        <w:rPr>
          <w:color w:val="auto"/>
          <w:lang w:eastAsia="zh-CN"/>
        </w:rPr>
      </w:pPr>
      <w:r>
        <w:rPr>
          <w:rFonts w:ascii="宋体" w:hAnsi="宋体" w:eastAsia="宋体" w:cs="宋体"/>
          <w:color w:val="auto"/>
          <w:spacing w:val="9"/>
          <w:sz w:val="20"/>
          <w:szCs w:val="20"/>
          <w:lang w:eastAsia="zh-CN"/>
        </w:rPr>
        <w:t>2.3.3 投标人或者其他利害关系人对招标</w:t>
      </w:r>
      <w:r>
        <w:rPr>
          <w:rFonts w:ascii="宋体" w:hAnsi="宋体" w:eastAsia="宋体" w:cs="宋体"/>
          <w:color w:val="auto"/>
          <w:spacing w:val="8"/>
          <w:sz w:val="20"/>
          <w:szCs w:val="20"/>
          <w:lang w:eastAsia="zh-CN"/>
        </w:rPr>
        <w:t>文件有异议的，应当在投标截止时间10 日前以书</w:t>
      </w:r>
      <w:r>
        <w:rPr>
          <w:rFonts w:ascii="宋体" w:hAnsi="宋体" w:eastAsia="宋体" w:cs="宋体"/>
          <w:color w:val="auto"/>
          <w:spacing w:val="7"/>
          <w:sz w:val="20"/>
          <w:szCs w:val="20"/>
          <w:lang w:eastAsia="zh-CN"/>
        </w:rPr>
        <w:t>面形式提出。招标人将在收到异议之日起3 日内作出答复；作出答复前，将暂停招标投标活动。</w:t>
      </w:r>
    </w:p>
    <w:p>
      <w:pPr>
        <w:spacing w:before="101" w:line="227" w:lineRule="auto"/>
        <w:ind w:left="325"/>
        <w:outlineLvl w:val="1"/>
        <w:rPr>
          <w:rFonts w:ascii="黑体" w:hAnsi="黑体" w:eastAsia="黑体" w:cs="黑体"/>
          <w:color w:val="auto"/>
          <w:sz w:val="31"/>
          <w:szCs w:val="31"/>
          <w:lang w:eastAsia="zh-CN"/>
        </w:rPr>
      </w:pPr>
      <w:bookmarkStart w:id="59" w:name="bookmark65"/>
      <w:bookmarkEnd w:id="59"/>
      <w:bookmarkStart w:id="60" w:name="bookmark68"/>
      <w:bookmarkEnd w:id="60"/>
      <w:bookmarkStart w:id="61" w:name="bookmark66"/>
      <w:bookmarkEnd w:id="61"/>
      <w:r>
        <w:rPr>
          <w:rFonts w:ascii="黑体" w:hAnsi="黑体" w:eastAsia="黑体" w:cs="黑体"/>
          <w:b/>
          <w:bCs/>
          <w:color w:val="auto"/>
          <w:spacing w:val="4"/>
          <w:sz w:val="31"/>
          <w:szCs w:val="31"/>
          <w:lang w:eastAsia="zh-CN"/>
        </w:rPr>
        <w:t>3.投标文件</w:t>
      </w:r>
    </w:p>
    <w:p>
      <w:pPr>
        <w:pStyle w:val="3"/>
        <w:spacing w:line="283" w:lineRule="auto"/>
        <w:rPr>
          <w:color w:val="auto"/>
          <w:lang w:eastAsia="zh-CN"/>
        </w:rPr>
      </w:pPr>
    </w:p>
    <w:p>
      <w:pPr>
        <w:spacing w:before="92" w:line="222" w:lineRule="auto"/>
        <w:ind w:left="4"/>
        <w:outlineLvl w:val="2"/>
        <w:rPr>
          <w:rFonts w:ascii="黑体" w:hAnsi="黑体" w:eastAsia="黑体" w:cs="黑体"/>
          <w:color w:val="auto"/>
          <w:sz w:val="28"/>
          <w:szCs w:val="28"/>
          <w:lang w:eastAsia="zh-CN"/>
        </w:rPr>
      </w:pPr>
      <w:bookmarkStart w:id="62" w:name="bookmark67"/>
      <w:bookmarkEnd w:id="62"/>
      <w:r>
        <w:rPr>
          <w:rFonts w:ascii="黑体" w:hAnsi="黑体" w:eastAsia="黑体" w:cs="黑体"/>
          <w:color w:val="auto"/>
          <w:spacing w:val="-1"/>
          <w:sz w:val="28"/>
          <w:szCs w:val="28"/>
          <w:lang w:eastAsia="zh-CN"/>
        </w:rPr>
        <w:t>3.1 投标文件的组成</w:t>
      </w:r>
    </w:p>
    <w:p>
      <w:pPr>
        <w:spacing w:before="279"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投标文件由商务投标文件和技术投标文件组成，应包括下列内容：</w:t>
      </w:r>
    </w:p>
    <w:p>
      <w:pPr>
        <w:spacing w:before="151" w:line="228" w:lineRule="auto"/>
        <w:ind w:left="369"/>
        <w:rPr>
          <w:color w:val="auto"/>
          <w:lang w:eastAsia="zh-CN"/>
        </w:rPr>
      </w:pPr>
      <w:r>
        <w:rPr>
          <w:rFonts w:ascii="宋体" w:hAnsi="宋体" w:eastAsia="宋体" w:cs="宋体"/>
          <w:color w:val="auto"/>
          <w:spacing w:val="7"/>
          <w:sz w:val="20"/>
          <w:szCs w:val="20"/>
          <w:lang w:eastAsia="zh-CN"/>
        </w:rPr>
        <w:t>（一）商务投标文件</w:t>
      </w:r>
    </w:p>
    <w:p>
      <w:pPr>
        <w:pStyle w:val="3"/>
        <w:spacing w:line="255" w:lineRule="auto"/>
        <w:rPr>
          <w:color w:val="auto"/>
          <w:lang w:eastAsia="zh-CN"/>
        </w:rPr>
      </w:pPr>
    </w:p>
    <w:p>
      <w:pPr>
        <w:spacing w:before="65"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（1）投标函及投标函附录；</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（2）法定代表人身份证明或附有法定代表人身份证明</w:t>
      </w:r>
      <w:r>
        <w:rPr>
          <w:rFonts w:ascii="宋体" w:hAnsi="宋体" w:eastAsia="宋体" w:cs="宋体"/>
          <w:color w:val="auto"/>
          <w:spacing w:val="8"/>
          <w:sz w:val="20"/>
          <w:szCs w:val="20"/>
          <w:lang w:eastAsia="zh-CN"/>
        </w:rPr>
        <w:t>的授权委托书；</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（3）联合体协议书；</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（4）投标保证金；</w:t>
      </w:r>
    </w:p>
    <w:p>
      <w:pPr>
        <w:spacing w:before="154" w:line="226"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（5）已标价工程量清单；</w:t>
      </w:r>
    </w:p>
    <w:p>
      <w:pPr>
        <w:spacing w:before="155"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（6）项目管理机构；</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（7）拟分包项目情况表；</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（8）资格审查资料；</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（9）投标人关于不存在第二章“投标人须知”第1.4.3项规定的任何一种情形</w:t>
      </w:r>
      <w:r>
        <w:rPr>
          <w:rFonts w:ascii="宋体" w:hAnsi="宋体" w:eastAsia="宋体" w:cs="宋体"/>
          <w:color w:val="auto"/>
          <w:spacing w:val="6"/>
          <w:sz w:val="20"/>
          <w:szCs w:val="20"/>
          <w:lang w:eastAsia="zh-CN"/>
        </w:rPr>
        <w:t>的承诺书；</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（10）投标人须知前附表规定的其他资料。投标人须知前附表规定的其</w:t>
      </w:r>
      <w:r>
        <w:rPr>
          <w:rFonts w:ascii="宋体" w:hAnsi="宋体" w:eastAsia="宋体" w:cs="宋体"/>
          <w:color w:val="auto"/>
          <w:spacing w:val="8"/>
          <w:sz w:val="20"/>
          <w:szCs w:val="20"/>
          <w:lang w:eastAsia="zh-CN"/>
        </w:rPr>
        <w:t>他材料。</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（二）技术投标文件</w:t>
      </w:r>
    </w:p>
    <w:p>
      <w:pPr>
        <w:spacing w:before="154" w:line="227" w:lineRule="auto"/>
        <w:ind w:left="36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具体内容详见招标文件第八章投标文件的格式。</w:t>
      </w:r>
    </w:p>
    <w:p>
      <w:pPr>
        <w:spacing w:before="153" w:line="298" w:lineRule="auto"/>
        <w:ind w:left="3" w:right="87" w:firstLine="35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3.1.2 投标人须知前附表规定不接受联合体投标的</w:t>
      </w:r>
      <w:r>
        <w:rPr>
          <w:rFonts w:ascii="宋体" w:hAnsi="宋体" w:eastAsia="宋体" w:cs="宋体"/>
          <w:color w:val="auto"/>
          <w:spacing w:val="9"/>
          <w:sz w:val="20"/>
          <w:szCs w:val="20"/>
          <w:lang w:eastAsia="zh-CN"/>
        </w:rPr>
        <w:t>，或投标人没有组成联合体的，投标文件</w:t>
      </w:r>
      <w:r>
        <w:rPr>
          <w:rFonts w:ascii="宋体" w:hAnsi="宋体" w:eastAsia="宋体" w:cs="宋体"/>
          <w:color w:val="auto"/>
          <w:spacing w:val="6"/>
          <w:sz w:val="20"/>
          <w:szCs w:val="20"/>
          <w:lang w:eastAsia="zh-CN"/>
        </w:rPr>
        <w:t>不包括本章第3.1.1（一</w:t>
      </w:r>
      <w:r>
        <w:rPr>
          <w:rFonts w:ascii="宋体" w:hAnsi="宋体" w:eastAsia="宋体" w:cs="宋体"/>
          <w:color w:val="auto"/>
          <w:spacing w:val="-1"/>
          <w:sz w:val="20"/>
          <w:szCs w:val="20"/>
          <w:lang w:eastAsia="zh-CN"/>
        </w:rPr>
        <w:t>）（</w:t>
      </w:r>
      <w:r>
        <w:rPr>
          <w:rFonts w:ascii="宋体" w:hAnsi="宋体" w:eastAsia="宋体" w:cs="宋体"/>
          <w:color w:val="auto"/>
          <w:spacing w:val="6"/>
          <w:sz w:val="20"/>
          <w:szCs w:val="20"/>
          <w:lang w:eastAsia="zh-CN"/>
        </w:rPr>
        <w:t>3）目所指的联合体协议书。</w:t>
      </w:r>
    </w:p>
    <w:p>
      <w:pPr>
        <w:spacing w:before="155" w:line="298" w:lineRule="auto"/>
        <w:ind w:left="39" w:firstLine="3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3.1.3 投标人须知前附表未要求提交投标保证金的，投标文件不包括本章第3.</w:t>
      </w:r>
      <w:r>
        <w:rPr>
          <w:rFonts w:ascii="宋体" w:hAnsi="宋体" w:eastAsia="宋体" w:cs="宋体"/>
          <w:color w:val="auto"/>
          <w:spacing w:val="6"/>
          <w:sz w:val="20"/>
          <w:szCs w:val="20"/>
          <w:lang w:eastAsia="zh-CN"/>
        </w:rPr>
        <w:t>1.1（一</w:t>
      </w:r>
      <w:r>
        <w:rPr>
          <w:rFonts w:ascii="宋体" w:hAnsi="宋体" w:eastAsia="宋体" w:cs="宋体"/>
          <w:color w:val="auto"/>
          <w:spacing w:val="-38"/>
          <w:sz w:val="20"/>
          <w:szCs w:val="20"/>
          <w:lang w:eastAsia="zh-CN"/>
        </w:rPr>
        <w:t>）（</w:t>
      </w:r>
      <w:r>
        <w:rPr>
          <w:rFonts w:ascii="宋体" w:hAnsi="宋体" w:eastAsia="宋体" w:cs="宋体"/>
          <w:color w:val="auto"/>
          <w:spacing w:val="6"/>
          <w:sz w:val="20"/>
          <w:szCs w:val="20"/>
          <w:lang w:eastAsia="zh-CN"/>
        </w:rPr>
        <w:t>4）</w:t>
      </w:r>
      <w:r>
        <w:rPr>
          <w:rFonts w:ascii="宋体" w:hAnsi="宋体" w:eastAsia="宋体" w:cs="宋体"/>
          <w:color w:val="auto"/>
          <w:spacing w:val="4"/>
          <w:sz w:val="20"/>
          <w:szCs w:val="20"/>
          <w:lang w:eastAsia="zh-CN"/>
        </w:rPr>
        <w:t>目所指的投标保证金。</w:t>
      </w:r>
    </w:p>
    <w:p>
      <w:pPr>
        <w:spacing w:before="251" w:line="222" w:lineRule="auto"/>
        <w:ind w:left="2"/>
        <w:outlineLvl w:val="2"/>
        <w:rPr>
          <w:rFonts w:ascii="黑体" w:hAnsi="黑体" w:eastAsia="黑体" w:cs="黑体"/>
          <w:color w:val="auto"/>
          <w:sz w:val="28"/>
          <w:szCs w:val="28"/>
          <w:lang w:eastAsia="zh-CN"/>
        </w:rPr>
      </w:pPr>
      <w:bookmarkStart w:id="63" w:name="bookmark69"/>
      <w:bookmarkEnd w:id="63"/>
      <w:bookmarkStart w:id="64" w:name="bookmark70"/>
      <w:bookmarkEnd w:id="64"/>
      <w:r>
        <w:rPr>
          <w:rFonts w:ascii="黑体" w:hAnsi="黑体" w:eastAsia="黑体" w:cs="黑体"/>
          <w:color w:val="auto"/>
          <w:spacing w:val="-2"/>
          <w:sz w:val="28"/>
          <w:szCs w:val="28"/>
          <w:lang w:eastAsia="zh-CN"/>
        </w:rPr>
        <w:t>3.2 投标报价</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 投标人应按第五章“工程量清单”的要求填写相应表格。</w:t>
      </w:r>
    </w:p>
    <w:p>
      <w:pPr>
        <w:spacing w:before="154" w:line="333" w:lineRule="auto"/>
        <w:ind w:right="87"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3.2.2 投标报价为各分项报价金额之和，投标报价与分项报价的合价不一致的，应以各分项</w:t>
      </w:r>
      <w:r>
        <w:rPr>
          <w:rFonts w:ascii="宋体" w:hAnsi="宋体" w:eastAsia="宋体" w:cs="宋体"/>
          <w:color w:val="auto"/>
          <w:spacing w:val="9"/>
          <w:sz w:val="20"/>
          <w:szCs w:val="20"/>
          <w:lang w:eastAsia="zh-CN"/>
        </w:rPr>
        <w:t>合价累计数为准，修正投标报价；如分项报价中存在缺漏项，则视为缺漏项价格已包含</w:t>
      </w:r>
      <w:r>
        <w:rPr>
          <w:rFonts w:ascii="宋体" w:hAnsi="宋体" w:eastAsia="宋体" w:cs="宋体"/>
          <w:color w:val="auto"/>
          <w:spacing w:val="8"/>
          <w:sz w:val="20"/>
          <w:szCs w:val="20"/>
          <w:lang w:eastAsia="zh-CN"/>
        </w:rPr>
        <w:t>在其他分</w:t>
      </w:r>
      <w:r>
        <w:rPr>
          <w:rFonts w:ascii="宋体" w:hAnsi="宋体" w:eastAsia="宋体" w:cs="宋体"/>
          <w:color w:val="auto"/>
          <w:spacing w:val="9"/>
          <w:sz w:val="20"/>
          <w:szCs w:val="20"/>
          <w:lang w:eastAsia="zh-CN"/>
        </w:rPr>
        <w:t>项报价之中。投标人在投标截止时间前修改投标函中的投标总报价，应同时修改第五章“</w:t>
      </w:r>
      <w:r>
        <w:rPr>
          <w:rFonts w:ascii="宋体" w:hAnsi="宋体" w:eastAsia="宋体" w:cs="宋体"/>
          <w:color w:val="auto"/>
          <w:spacing w:val="8"/>
          <w:sz w:val="20"/>
          <w:szCs w:val="20"/>
          <w:lang w:eastAsia="zh-CN"/>
        </w:rPr>
        <w:t>工程量</w:t>
      </w:r>
      <w:r>
        <w:rPr>
          <w:rFonts w:ascii="宋体" w:hAnsi="宋体" w:eastAsia="宋体" w:cs="宋体"/>
          <w:color w:val="auto"/>
          <w:spacing w:val="7"/>
          <w:sz w:val="20"/>
          <w:szCs w:val="20"/>
          <w:lang w:eastAsia="zh-CN"/>
        </w:rPr>
        <w:t>清单”中的相应报价。此修改须符合本章第4.3款的有关要求。</w:t>
      </w:r>
    </w:p>
    <w:p>
      <w:pPr>
        <w:spacing w:before="204" w:line="326"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3.2.3 招标人设有最高投标限价的，投标人的投标报价不得超过最高投标限价，最高投标限价在投标人须知前附表中载明。</w:t>
      </w:r>
    </w:p>
    <w:p>
      <w:pPr>
        <w:spacing w:before="261" w:line="222" w:lineRule="auto"/>
        <w:ind w:left="2"/>
        <w:outlineLvl w:val="2"/>
        <w:rPr>
          <w:rFonts w:ascii="黑体" w:hAnsi="黑体" w:eastAsia="黑体" w:cs="黑体"/>
          <w:color w:val="auto"/>
          <w:sz w:val="28"/>
          <w:szCs w:val="28"/>
          <w:lang w:eastAsia="zh-CN"/>
        </w:rPr>
      </w:pPr>
      <w:bookmarkStart w:id="65" w:name="bookmark71"/>
      <w:bookmarkEnd w:id="65"/>
      <w:bookmarkStart w:id="66" w:name="bookmark72"/>
      <w:bookmarkEnd w:id="66"/>
      <w:r>
        <w:rPr>
          <w:rFonts w:ascii="黑体" w:hAnsi="黑体" w:eastAsia="黑体" w:cs="黑体"/>
          <w:color w:val="auto"/>
          <w:spacing w:val="-2"/>
          <w:sz w:val="28"/>
          <w:szCs w:val="28"/>
          <w:lang w:eastAsia="zh-CN"/>
        </w:rPr>
        <w:t>3.3 投标有效期</w:t>
      </w:r>
    </w:p>
    <w:p>
      <w:pPr>
        <w:spacing w:before="280"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 在投标人须知前附表规定的投标有效期内，投标人不</w:t>
      </w:r>
      <w:r>
        <w:rPr>
          <w:rFonts w:ascii="宋体" w:hAnsi="宋体" w:eastAsia="宋体" w:cs="宋体"/>
          <w:color w:val="auto"/>
          <w:spacing w:val="8"/>
          <w:sz w:val="20"/>
          <w:szCs w:val="20"/>
          <w:lang w:eastAsia="zh-CN"/>
        </w:rPr>
        <w:t>得要求撤销或修改其投标文件。</w:t>
      </w:r>
    </w:p>
    <w:p>
      <w:pPr>
        <w:spacing w:before="154" w:line="322" w:lineRule="auto"/>
        <w:ind w:right="87"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出现特殊情况需要延长投标有效期的，招标人以书面形式通知所有投标人延长投标有</w:t>
      </w:r>
      <w:r>
        <w:rPr>
          <w:rFonts w:ascii="宋体" w:hAnsi="宋体" w:eastAsia="宋体" w:cs="宋体"/>
          <w:color w:val="auto"/>
          <w:spacing w:val="9"/>
          <w:sz w:val="20"/>
          <w:szCs w:val="20"/>
          <w:lang w:eastAsia="zh-CN"/>
        </w:rPr>
        <w:t>效期。投标人同意延长的，应相应延长其投标保证金的有效期，但不得要求或被允许修</w:t>
      </w:r>
      <w:r>
        <w:rPr>
          <w:rFonts w:ascii="宋体" w:hAnsi="宋体" w:eastAsia="宋体" w:cs="宋体"/>
          <w:color w:val="auto"/>
          <w:spacing w:val="8"/>
          <w:sz w:val="20"/>
          <w:szCs w:val="20"/>
          <w:lang w:eastAsia="zh-CN"/>
        </w:rPr>
        <w:t>改或撤销</w:t>
      </w:r>
      <w:r>
        <w:rPr>
          <w:rFonts w:ascii="宋体" w:hAnsi="宋体" w:eastAsia="宋体" w:cs="宋体"/>
          <w:color w:val="auto"/>
          <w:spacing w:val="9"/>
          <w:sz w:val="20"/>
          <w:szCs w:val="20"/>
          <w:lang w:eastAsia="zh-CN"/>
        </w:rPr>
        <w:t>其投标文件；投标人拒绝延长的，其投标失效，但投标人有权收回其投标保证金。</w:t>
      </w:r>
    </w:p>
    <w:p>
      <w:pPr>
        <w:spacing w:line="322" w:lineRule="auto"/>
        <w:rPr>
          <w:rFonts w:ascii="宋体" w:hAnsi="宋体" w:eastAsia="宋体" w:cs="宋体"/>
          <w:color w:val="auto"/>
          <w:sz w:val="20"/>
          <w:szCs w:val="20"/>
          <w:lang w:eastAsia="zh-CN"/>
        </w:rPr>
      </w:pPr>
    </w:p>
    <w:p>
      <w:pPr>
        <w:spacing w:before="91" w:line="223" w:lineRule="auto"/>
        <w:ind w:left="3"/>
        <w:outlineLvl w:val="2"/>
        <w:rPr>
          <w:rFonts w:ascii="黑体" w:hAnsi="黑体" w:eastAsia="黑体" w:cs="黑体"/>
          <w:color w:val="auto"/>
          <w:sz w:val="28"/>
          <w:szCs w:val="28"/>
          <w:lang w:eastAsia="zh-CN"/>
        </w:rPr>
      </w:pPr>
      <w:bookmarkStart w:id="67" w:name="bookmark74"/>
      <w:bookmarkEnd w:id="67"/>
      <w:bookmarkStart w:id="68" w:name="bookmark73"/>
      <w:bookmarkEnd w:id="68"/>
      <w:r>
        <w:rPr>
          <w:rFonts w:ascii="黑体" w:hAnsi="黑体" w:eastAsia="黑体" w:cs="黑体"/>
          <w:color w:val="auto"/>
          <w:spacing w:val="-2"/>
          <w:sz w:val="28"/>
          <w:szCs w:val="28"/>
          <w:lang w:eastAsia="zh-CN"/>
        </w:rPr>
        <w:t>3.4 投标保证金</w:t>
      </w:r>
    </w:p>
    <w:p>
      <w:pPr>
        <w:spacing w:before="276" w:line="322"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 投标人在递交投标文件的同时，应按投标人须知前附表规定的金额、担保形式和第八章“投标文件格式”规定的投标保证金格式递交投标保证金，并作为其投标文件的组成部分。联</w:t>
      </w:r>
      <w:r>
        <w:rPr>
          <w:rFonts w:ascii="宋体" w:hAnsi="宋体" w:eastAsia="宋体" w:cs="宋体"/>
          <w:color w:val="auto"/>
          <w:spacing w:val="9"/>
          <w:sz w:val="20"/>
          <w:szCs w:val="20"/>
          <w:lang w:eastAsia="zh-CN"/>
        </w:rPr>
        <w:t>合体投标的，其投标保证金由牵头人递交，并应符合投标人须知前附表的规定。</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3.4.2 投标人不按本章第3.4.1项要</w:t>
      </w:r>
      <w:r>
        <w:rPr>
          <w:rFonts w:ascii="宋体" w:hAnsi="宋体" w:eastAsia="宋体" w:cs="宋体"/>
          <w:color w:val="auto"/>
          <w:spacing w:val="7"/>
          <w:sz w:val="20"/>
          <w:szCs w:val="20"/>
          <w:lang w:eastAsia="zh-CN"/>
        </w:rPr>
        <w:t>求提交投标保证金的，评标委员会将否决其投标。</w:t>
      </w:r>
    </w:p>
    <w:p>
      <w:pPr>
        <w:spacing w:before="154" w:line="298"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招标人最迟将在与中标人签订合</w:t>
      </w:r>
      <w:r>
        <w:rPr>
          <w:rFonts w:ascii="宋体" w:hAnsi="宋体" w:eastAsia="宋体" w:cs="宋体"/>
          <w:color w:val="auto"/>
          <w:spacing w:val="7"/>
          <w:sz w:val="20"/>
          <w:szCs w:val="20"/>
          <w:lang w:eastAsia="zh-CN"/>
        </w:rPr>
        <w:t>同后5个工作日内，向未中标的投标人和中标人退还</w:t>
      </w:r>
      <w:r>
        <w:rPr>
          <w:rFonts w:ascii="宋体" w:hAnsi="宋体" w:eastAsia="宋体" w:cs="宋体"/>
          <w:color w:val="auto"/>
          <w:spacing w:val="9"/>
          <w:sz w:val="20"/>
          <w:szCs w:val="20"/>
          <w:lang w:eastAsia="zh-CN"/>
        </w:rPr>
        <w:t>投标保证金。投标保证金以现金或者支票形式递交的，还应退还银行同期存款利息。</w:t>
      </w:r>
    </w:p>
    <w:p>
      <w:pPr>
        <w:spacing w:before="154"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3.4.4 有下列情形之一的，投标保证金将不</w:t>
      </w:r>
      <w:r>
        <w:rPr>
          <w:rFonts w:ascii="宋体" w:hAnsi="宋体" w:eastAsia="宋体" w:cs="宋体"/>
          <w:color w:val="auto"/>
          <w:spacing w:val="7"/>
          <w:sz w:val="20"/>
          <w:szCs w:val="20"/>
          <w:lang w:eastAsia="zh-CN"/>
        </w:rPr>
        <w:t>予退还：</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（1）投标人在规定的投标有效期内撤销或修改其投标文件；</w:t>
      </w:r>
    </w:p>
    <w:p>
      <w:pPr>
        <w:spacing w:before="152" w:line="299"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（2）中标人在收到中标通知书后，无正当理由拒签合同协议书或未按招标文件规定提交履</w:t>
      </w:r>
      <w:r>
        <w:rPr>
          <w:rFonts w:ascii="宋体" w:hAnsi="宋体" w:eastAsia="宋体" w:cs="宋体"/>
          <w:color w:val="auto"/>
          <w:spacing w:val="3"/>
          <w:sz w:val="20"/>
          <w:szCs w:val="20"/>
          <w:lang w:eastAsia="zh-CN"/>
        </w:rPr>
        <w:t>约担保；</w:t>
      </w:r>
    </w:p>
    <w:p>
      <w:pPr>
        <w:spacing w:before="201"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（3）投标人在该项目投标中出现串通投标、弄虚作假骗取中标等招标投标违法行为；</w:t>
      </w:r>
    </w:p>
    <w:p>
      <w:pPr>
        <w:spacing w:before="213" w:line="227" w:lineRule="auto"/>
        <w:ind w:left="3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（4）发生投标人须知前附表规定的其他可以不予退还投标保证金的情</w:t>
      </w:r>
      <w:r>
        <w:rPr>
          <w:rFonts w:ascii="宋体" w:hAnsi="宋体" w:eastAsia="宋体" w:cs="宋体"/>
          <w:color w:val="auto"/>
          <w:spacing w:val="8"/>
          <w:sz w:val="20"/>
          <w:szCs w:val="20"/>
          <w:lang w:eastAsia="zh-CN"/>
        </w:rPr>
        <w:t>形。</w:t>
      </w:r>
    </w:p>
    <w:p>
      <w:pPr>
        <w:spacing w:before="264" w:line="222" w:lineRule="auto"/>
        <w:ind w:left="3"/>
        <w:outlineLvl w:val="2"/>
        <w:rPr>
          <w:rFonts w:ascii="黑体" w:hAnsi="黑体" w:eastAsia="黑体" w:cs="黑体"/>
          <w:color w:val="auto"/>
          <w:sz w:val="28"/>
          <w:szCs w:val="28"/>
          <w:lang w:eastAsia="zh-CN"/>
        </w:rPr>
      </w:pPr>
      <w:bookmarkStart w:id="69" w:name="bookmark75"/>
      <w:bookmarkEnd w:id="69"/>
      <w:bookmarkStart w:id="70" w:name="bookmark76"/>
      <w:bookmarkEnd w:id="70"/>
      <w:r>
        <w:rPr>
          <w:rFonts w:ascii="黑体" w:hAnsi="黑体" w:eastAsia="黑体" w:cs="黑体"/>
          <w:color w:val="auto"/>
          <w:spacing w:val="-1"/>
          <w:sz w:val="28"/>
          <w:szCs w:val="28"/>
          <w:lang w:eastAsia="zh-CN"/>
        </w:rPr>
        <w:t>3.5 资格审查资料（适用于已进行资格预审的）</w:t>
      </w:r>
    </w:p>
    <w:p>
      <w:pPr>
        <w:spacing w:before="278" w:line="359" w:lineRule="auto"/>
        <w:ind w:right="54"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投标人在编制投标文件时，应按新情况更新或补充其在申请资格预审时提</w:t>
      </w:r>
      <w:r>
        <w:rPr>
          <w:rFonts w:ascii="宋体" w:hAnsi="宋体" w:eastAsia="宋体" w:cs="宋体"/>
          <w:color w:val="auto"/>
          <w:spacing w:val="8"/>
          <w:sz w:val="20"/>
          <w:szCs w:val="20"/>
          <w:lang w:eastAsia="zh-CN"/>
        </w:rPr>
        <w:t>供的资料，以证实</w:t>
      </w:r>
      <w:r>
        <w:rPr>
          <w:rFonts w:ascii="宋体" w:hAnsi="宋体" w:eastAsia="宋体" w:cs="宋体"/>
          <w:color w:val="auto"/>
          <w:spacing w:val="9"/>
          <w:sz w:val="20"/>
          <w:szCs w:val="20"/>
          <w:lang w:eastAsia="zh-CN"/>
        </w:rPr>
        <w:t>其各项资格条件仍能继续满足资格预审文件的要求，具备承担本标段施工的资质条件、能</w:t>
      </w:r>
      <w:r>
        <w:rPr>
          <w:rFonts w:ascii="宋体" w:hAnsi="宋体" w:eastAsia="宋体" w:cs="宋体"/>
          <w:color w:val="auto"/>
          <w:spacing w:val="8"/>
          <w:sz w:val="20"/>
          <w:szCs w:val="20"/>
          <w:lang w:eastAsia="zh-CN"/>
        </w:rPr>
        <w:t>力和信</w:t>
      </w:r>
      <w:r>
        <w:rPr>
          <w:rFonts w:ascii="宋体" w:hAnsi="宋体" w:eastAsia="宋体" w:cs="宋体"/>
          <w:color w:val="auto"/>
          <w:sz w:val="20"/>
          <w:szCs w:val="20"/>
          <w:lang w:eastAsia="zh-CN"/>
        </w:rPr>
        <w:t xml:space="preserve"> 誉。</w:t>
      </w:r>
    </w:p>
    <w:p>
      <w:pPr>
        <w:spacing w:before="129" w:line="222" w:lineRule="auto"/>
        <w:ind w:left="3"/>
        <w:outlineLvl w:val="2"/>
        <w:rPr>
          <w:rFonts w:ascii="黑体" w:hAnsi="黑体" w:eastAsia="黑体" w:cs="黑体"/>
          <w:color w:val="auto"/>
          <w:sz w:val="28"/>
          <w:szCs w:val="28"/>
          <w:lang w:eastAsia="zh-CN"/>
        </w:rPr>
      </w:pPr>
      <w:bookmarkStart w:id="71" w:name="bookmark78"/>
      <w:bookmarkEnd w:id="71"/>
      <w:bookmarkStart w:id="72" w:name="bookmark77"/>
      <w:bookmarkEnd w:id="72"/>
      <w:r>
        <w:rPr>
          <w:rFonts w:ascii="黑体" w:hAnsi="黑体" w:eastAsia="黑体" w:cs="黑体"/>
          <w:color w:val="auto"/>
          <w:spacing w:val="-1"/>
          <w:sz w:val="28"/>
          <w:szCs w:val="28"/>
          <w:lang w:eastAsia="zh-CN"/>
        </w:rPr>
        <w:t>3.5 资格审查资料（适用于未进行资格预审的）</w:t>
      </w:r>
    </w:p>
    <w:p>
      <w:pPr>
        <w:pStyle w:val="3"/>
        <w:spacing w:line="260" w:lineRule="auto"/>
        <w:rPr>
          <w:color w:val="auto"/>
          <w:lang w:eastAsia="zh-CN"/>
        </w:rPr>
      </w:pPr>
    </w:p>
    <w:p>
      <w:pPr>
        <w:spacing w:before="66" w:line="403" w:lineRule="auto"/>
        <w:ind w:left="8" w:right="54"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除投标人须知前附表另有规定外，投标人应按下列</w:t>
      </w:r>
      <w:r>
        <w:rPr>
          <w:rFonts w:ascii="宋体" w:hAnsi="宋体" w:eastAsia="宋体" w:cs="宋体"/>
          <w:color w:val="auto"/>
          <w:spacing w:val="8"/>
          <w:sz w:val="20"/>
          <w:szCs w:val="20"/>
          <w:lang w:eastAsia="zh-CN"/>
        </w:rPr>
        <w:t>规定提供资格审查资料，以证明其满足本</w:t>
      </w:r>
      <w:r>
        <w:rPr>
          <w:rFonts w:ascii="宋体" w:hAnsi="宋体" w:eastAsia="宋体" w:cs="宋体"/>
          <w:color w:val="auto"/>
          <w:spacing w:val="6"/>
          <w:sz w:val="20"/>
          <w:szCs w:val="20"/>
          <w:lang w:eastAsia="zh-CN"/>
        </w:rPr>
        <w:t>章第1.4款规定的资质、财务、业绩、信誉等要求。</w:t>
      </w:r>
    </w:p>
    <w:p>
      <w:pPr>
        <w:spacing w:line="297" w:lineRule="auto"/>
        <w:ind w:right="54"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3.5.1 “投标人基本情况表”应附投</w:t>
      </w:r>
      <w:r>
        <w:rPr>
          <w:rFonts w:ascii="宋体" w:hAnsi="宋体" w:eastAsia="宋体" w:cs="宋体"/>
          <w:color w:val="auto"/>
          <w:spacing w:val="7"/>
          <w:sz w:val="20"/>
          <w:szCs w:val="20"/>
          <w:lang w:eastAsia="zh-CN"/>
        </w:rPr>
        <w:t>标人营业执照副本、资质证书副本和安全生产许可证等材料的复印件。</w:t>
      </w:r>
    </w:p>
    <w:p>
      <w:pPr>
        <w:spacing w:before="154" w:line="322"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“近年财务状况表”应附经会</w:t>
      </w:r>
      <w:r>
        <w:rPr>
          <w:rFonts w:ascii="宋体" w:hAnsi="宋体" w:eastAsia="宋体" w:cs="宋体"/>
          <w:color w:val="auto"/>
          <w:spacing w:val="7"/>
          <w:sz w:val="20"/>
          <w:szCs w:val="20"/>
          <w:lang w:eastAsia="zh-CN"/>
        </w:rPr>
        <w:t>计师事务所或审计机构审计的财务会计报表，包括资产</w:t>
      </w:r>
      <w:r>
        <w:rPr>
          <w:rFonts w:ascii="宋体" w:hAnsi="宋体" w:eastAsia="宋体" w:cs="宋体"/>
          <w:color w:val="auto"/>
          <w:spacing w:val="9"/>
          <w:sz w:val="20"/>
          <w:szCs w:val="20"/>
          <w:lang w:eastAsia="zh-CN"/>
        </w:rPr>
        <w:t>负债表、现金流量表、利润表和财务情况说明书的复印件，具体年份要求见投标人</w:t>
      </w:r>
      <w:r>
        <w:rPr>
          <w:rFonts w:ascii="宋体" w:hAnsi="宋体" w:eastAsia="宋体" w:cs="宋体"/>
          <w:color w:val="auto"/>
          <w:spacing w:val="8"/>
          <w:sz w:val="20"/>
          <w:szCs w:val="20"/>
          <w:lang w:eastAsia="zh-CN"/>
        </w:rPr>
        <w:t>须知前附表。</w:t>
      </w:r>
      <w:r>
        <w:rPr>
          <w:rFonts w:ascii="宋体" w:hAnsi="宋体" w:eastAsia="宋体" w:cs="宋体"/>
          <w:color w:val="auto"/>
          <w:spacing w:val="9"/>
          <w:sz w:val="20"/>
          <w:szCs w:val="20"/>
          <w:lang w:eastAsia="zh-CN"/>
        </w:rPr>
        <w:t>投标人的成立时间少于投标人须知前附表规定年份的，应提供成立以来的财务状况表。</w:t>
      </w:r>
    </w:p>
    <w:p>
      <w:pPr>
        <w:spacing w:before="154" w:line="322"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3.5.3 “近年完成的类似项目情况表</w:t>
      </w:r>
      <w:r>
        <w:rPr>
          <w:rFonts w:ascii="宋体" w:hAnsi="宋体" w:eastAsia="宋体" w:cs="宋体"/>
          <w:color w:val="auto"/>
          <w:spacing w:val="7"/>
          <w:sz w:val="20"/>
          <w:szCs w:val="20"/>
          <w:lang w:eastAsia="zh-CN"/>
        </w:rPr>
        <w:t>”应附中标通知书和（或）合同协议书、工程接收证书</w:t>
      </w:r>
      <w:r>
        <w:rPr>
          <w:rFonts w:ascii="宋体" w:hAnsi="宋体" w:eastAsia="宋体" w:cs="宋体"/>
          <w:color w:val="auto"/>
          <w:spacing w:val="5"/>
          <w:sz w:val="20"/>
          <w:szCs w:val="20"/>
          <w:lang w:eastAsia="zh-CN"/>
        </w:rPr>
        <w:t>（工程竣工验收证书）的复印件，具体年份要求见投标人须知前附表。每张表格只填写一个项目，并标明序号。</w:t>
      </w:r>
    </w:p>
    <w:p>
      <w:pPr>
        <w:spacing w:before="155" w:line="299" w:lineRule="auto"/>
        <w:ind w:left="1" w:right="54"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3.5.4 投标人须知前附表规定接受联合体投标的，本章第3.5.1项至第3.5.3项规定的表格</w:t>
      </w:r>
      <w:r>
        <w:rPr>
          <w:rFonts w:ascii="宋体" w:hAnsi="宋体" w:eastAsia="宋体" w:cs="宋体"/>
          <w:color w:val="auto"/>
          <w:spacing w:val="8"/>
          <w:sz w:val="20"/>
          <w:szCs w:val="20"/>
          <w:lang w:eastAsia="zh-CN"/>
        </w:rPr>
        <w:t>和资料应包括联合体各方相关情况。</w:t>
      </w:r>
    </w:p>
    <w:p>
      <w:pPr>
        <w:tabs>
          <w:tab w:val="left" w:pos="1579"/>
        </w:tabs>
        <w:rPr>
          <w:color w:val="auto"/>
          <w:lang w:eastAsia="zh-CN"/>
        </w:rPr>
      </w:pPr>
      <w:r>
        <w:rPr>
          <w:rFonts w:hint="eastAsia" w:eastAsia="宋体"/>
          <w:color w:val="auto"/>
          <w:lang w:eastAsia="zh-CN"/>
        </w:rPr>
        <w:tab/>
      </w:r>
    </w:p>
    <w:p>
      <w:pPr>
        <w:spacing w:before="91" w:line="222" w:lineRule="auto"/>
        <w:ind w:left="7"/>
        <w:outlineLvl w:val="2"/>
        <w:rPr>
          <w:rFonts w:ascii="黑体" w:hAnsi="黑体" w:eastAsia="黑体" w:cs="黑体"/>
          <w:color w:val="auto"/>
          <w:sz w:val="28"/>
          <w:szCs w:val="28"/>
          <w:lang w:eastAsia="zh-CN"/>
        </w:rPr>
      </w:pPr>
      <w:bookmarkStart w:id="73" w:name="bookmark80"/>
      <w:bookmarkEnd w:id="73"/>
      <w:bookmarkStart w:id="74" w:name="bookmark79"/>
      <w:bookmarkEnd w:id="74"/>
      <w:r>
        <w:rPr>
          <w:rFonts w:ascii="黑体" w:hAnsi="黑体" w:eastAsia="黑体" w:cs="黑体"/>
          <w:color w:val="auto"/>
          <w:spacing w:val="-1"/>
          <w:sz w:val="28"/>
          <w:szCs w:val="28"/>
          <w:lang w:eastAsia="zh-CN"/>
        </w:rPr>
        <w:t>3.6 备选投标方案</w:t>
      </w:r>
    </w:p>
    <w:p>
      <w:pPr>
        <w:spacing w:before="280" w:line="359" w:lineRule="auto"/>
        <w:ind w:left="5"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除投标人须知前附表另有规定外，投标人不得递交</w:t>
      </w:r>
      <w:r>
        <w:rPr>
          <w:rFonts w:ascii="宋体" w:hAnsi="宋体" w:eastAsia="宋体" w:cs="宋体"/>
          <w:color w:val="auto"/>
          <w:spacing w:val="8"/>
          <w:sz w:val="20"/>
          <w:szCs w:val="20"/>
          <w:lang w:eastAsia="zh-CN"/>
        </w:rPr>
        <w:t>备选投标方案。允许投标人递交备选投标</w:t>
      </w:r>
      <w:r>
        <w:rPr>
          <w:rFonts w:ascii="宋体" w:hAnsi="宋体" w:eastAsia="宋体" w:cs="宋体"/>
          <w:color w:val="auto"/>
          <w:spacing w:val="9"/>
          <w:sz w:val="20"/>
          <w:szCs w:val="20"/>
          <w:lang w:eastAsia="zh-CN"/>
        </w:rPr>
        <w:t>方案的，只有中标人所递交的备选投标方案方可予以考虑。评标委员会认为中标人的备</w:t>
      </w:r>
      <w:r>
        <w:rPr>
          <w:rFonts w:ascii="宋体" w:hAnsi="宋体" w:eastAsia="宋体" w:cs="宋体"/>
          <w:color w:val="auto"/>
          <w:spacing w:val="8"/>
          <w:sz w:val="20"/>
          <w:szCs w:val="20"/>
          <w:lang w:eastAsia="zh-CN"/>
        </w:rPr>
        <w:t>选投标方</w:t>
      </w:r>
      <w:r>
        <w:rPr>
          <w:rFonts w:ascii="宋体" w:hAnsi="宋体" w:eastAsia="宋体" w:cs="宋体"/>
          <w:color w:val="auto"/>
          <w:spacing w:val="9"/>
          <w:sz w:val="20"/>
          <w:szCs w:val="20"/>
          <w:lang w:eastAsia="zh-CN"/>
        </w:rPr>
        <w:t>案优于其按照招标文件要求编制的投标方案的，招标人可以接受该备选投标方案。</w:t>
      </w:r>
    </w:p>
    <w:p>
      <w:pPr>
        <w:spacing w:before="128" w:line="222" w:lineRule="auto"/>
        <w:ind w:left="7"/>
        <w:outlineLvl w:val="2"/>
        <w:rPr>
          <w:rFonts w:ascii="黑体" w:hAnsi="黑体" w:eastAsia="黑体" w:cs="黑体"/>
          <w:color w:val="auto"/>
          <w:sz w:val="28"/>
          <w:szCs w:val="28"/>
          <w:lang w:eastAsia="zh-CN"/>
        </w:rPr>
      </w:pPr>
      <w:bookmarkStart w:id="75" w:name="bookmark81"/>
      <w:bookmarkEnd w:id="75"/>
      <w:bookmarkStart w:id="76" w:name="bookmark82"/>
      <w:bookmarkEnd w:id="76"/>
      <w:r>
        <w:rPr>
          <w:rFonts w:ascii="黑体" w:hAnsi="黑体" w:eastAsia="黑体" w:cs="黑体"/>
          <w:color w:val="auto"/>
          <w:spacing w:val="-1"/>
          <w:sz w:val="28"/>
          <w:szCs w:val="28"/>
          <w:lang w:eastAsia="zh-CN"/>
        </w:rPr>
        <w:t>3.7 投标文件的编制</w:t>
      </w:r>
    </w:p>
    <w:p>
      <w:pPr>
        <w:spacing w:before="280" w:line="359" w:lineRule="auto"/>
        <w:ind w:left="3" w:right="54"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3.7.1 投标文件应按第八章“投标文</w:t>
      </w:r>
      <w:r>
        <w:rPr>
          <w:rFonts w:ascii="宋体" w:hAnsi="宋体" w:eastAsia="宋体" w:cs="宋体"/>
          <w:color w:val="auto"/>
          <w:spacing w:val="7"/>
          <w:sz w:val="20"/>
          <w:szCs w:val="20"/>
          <w:lang w:eastAsia="zh-CN"/>
        </w:rPr>
        <w:t>件格式”进行编写，如有必要，可以增加附页，作为投</w:t>
      </w:r>
      <w:r>
        <w:rPr>
          <w:rFonts w:ascii="宋体" w:hAnsi="宋体" w:eastAsia="宋体" w:cs="宋体"/>
          <w:color w:val="auto"/>
          <w:spacing w:val="9"/>
          <w:sz w:val="20"/>
          <w:szCs w:val="20"/>
          <w:lang w:eastAsia="zh-CN"/>
        </w:rPr>
        <w:t>标文件的组成部分。其中，投标函附录在满足招标文件实质性要求的基础上，可以提出比</w:t>
      </w:r>
      <w:r>
        <w:rPr>
          <w:rFonts w:ascii="宋体" w:hAnsi="宋体" w:eastAsia="宋体" w:cs="宋体"/>
          <w:color w:val="auto"/>
          <w:spacing w:val="8"/>
          <w:sz w:val="20"/>
          <w:szCs w:val="20"/>
          <w:lang w:eastAsia="zh-CN"/>
        </w:rPr>
        <w:t>招标文件要求更有利于招标人的承诺。</w:t>
      </w:r>
    </w:p>
    <w:p>
      <w:pPr>
        <w:spacing w:before="32" w:line="298" w:lineRule="auto"/>
        <w:ind w:left="9" w:right="5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3.7.2 投标文件应当对招标文件有关工期、投标有效期、质量要求、技术标准和要求、招标范围等实质性内容作出响应。</w:t>
      </w:r>
    </w:p>
    <w:p>
      <w:pPr>
        <w:pStyle w:val="3"/>
        <w:spacing w:line="312"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77" w:name="bookmark84"/>
      <w:bookmarkEnd w:id="77"/>
      <w:bookmarkStart w:id="78" w:name="bookmark83"/>
      <w:bookmarkEnd w:id="78"/>
      <w:r>
        <w:rPr>
          <w:rFonts w:ascii="黑体" w:hAnsi="黑体" w:eastAsia="黑体" w:cs="黑体"/>
          <w:b/>
          <w:bCs/>
          <w:color w:val="auto"/>
          <w:spacing w:val="1"/>
          <w:sz w:val="31"/>
          <w:szCs w:val="31"/>
          <w:lang w:eastAsia="zh-CN"/>
        </w:rPr>
        <w:t>4.投标</w:t>
      </w:r>
    </w:p>
    <w:p>
      <w:pPr>
        <w:rPr>
          <w:color w:val="auto"/>
          <w:lang w:eastAsia="zh-CN"/>
        </w:rPr>
      </w:pPr>
    </w:p>
    <w:p>
      <w:pPr>
        <w:spacing w:before="91" w:line="222" w:lineRule="auto"/>
        <w:outlineLvl w:val="2"/>
        <w:rPr>
          <w:rFonts w:ascii="黑体" w:hAnsi="黑体" w:eastAsia="黑体" w:cs="黑体"/>
          <w:color w:val="auto"/>
          <w:sz w:val="28"/>
          <w:szCs w:val="28"/>
          <w:lang w:eastAsia="zh-CN"/>
        </w:rPr>
      </w:pPr>
      <w:bookmarkStart w:id="79" w:name="bookmark85"/>
      <w:bookmarkEnd w:id="79"/>
      <w:bookmarkStart w:id="80" w:name="bookmark86"/>
      <w:bookmarkEnd w:id="80"/>
      <w:r>
        <w:rPr>
          <w:rFonts w:ascii="黑体" w:hAnsi="黑体" w:eastAsia="黑体" w:cs="黑体"/>
          <w:color w:val="auto"/>
          <w:spacing w:val="-1"/>
          <w:sz w:val="28"/>
          <w:szCs w:val="28"/>
          <w:lang w:eastAsia="zh-CN"/>
        </w:rPr>
        <w:t>4.1 投标文件的密封和标记</w:t>
      </w:r>
    </w:p>
    <w:p>
      <w:pPr>
        <w:spacing w:before="281" w:line="298" w:lineRule="auto"/>
        <w:ind w:left="7"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4.1.1 投标人应当按照招标文件和电子招标投标交易平台的要求加密投标文件，具体要求见</w:t>
      </w:r>
      <w:r>
        <w:rPr>
          <w:rFonts w:ascii="宋体" w:hAnsi="宋体" w:eastAsia="宋体" w:cs="宋体"/>
          <w:color w:val="auto"/>
          <w:spacing w:val="7"/>
          <w:sz w:val="20"/>
          <w:szCs w:val="20"/>
          <w:lang w:eastAsia="zh-CN"/>
        </w:rPr>
        <w:t>投标人须知前附表。</w:t>
      </w:r>
    </w:p>
    <w:p>
      <w:pPr>
        <w:spacing w:before="152"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4.1.2 投标文件的封套上应写明的内容见投标人须知前附表。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未按本章第4.1.1项要求密封的投标文件，招标人将予以拒收。</w:t>
      </w:r>
    </w:p>
    <w:p>
      <w:pPr>
        <w:spacing w:before="249" w:line="222" w:lineRule="auto"/>
        <w:outlineLvl w:val="2"/>
        <w:rPr>
          <w:rFonts w:ascii="黑体" w:hAnsi="黑体" w:eastAsia="黑体" w:cs="黑体"/>
          <w:color w:val="auto"/>
          <w:sz w:val="28"/>
          <w:szCs w:val="28"/>
          <w:lang w:eastAsia="zh-CN"/>
        </w:rPr>
      </w:pPr>
      <w:bookmarkStart w:id="81" w:name="bookmark88"/>
      <w:bookmarkEnd w:id="81"/>
      <w:bookmarkStart w:id="82" w:name="bookmark87"/>
      <w:bookmarkEnd w:id="82"/>
      <w:r>
        <w:rPr>
          <w:rFonts w:ascii="黑体" w:hAnsi="黑体" w:eastAsia="黑体" w:cs="黑体"/>
          <w:color w:val="auto"/>
          <w:spacing w:val="-1"/>
          <w:sz w:val="28"/>
          <w:szCs w:val="28"/>
          <w:lang w:eastAsia="zh-CN"/>
        </w:rPr>
        <w:t>4.2 投标文件的递交</w:t>
      </w:r>
    </w:p>
    <w:p>
      <w:pPr>
        <w:pStyle w:val="3"/>
        <w:spacing w:line="260"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4.2.1 投标人应在投标人须知前附表规定</w:t>
      </w:r>
      <w:r>
        <w:rPr>
          <w:rFonts w:ascii="宋体" w:hAnsi="宋体" w:eastAsia="宋体" w:cs="宋体"/>
          <w:color w:val="auto"/>
          <w:spacing w:val="8"/>
          <w:sz w:val="20"/>
          <w:szCs w:val="20"/>
          <w:lang w:eastAsia="zh-CN"/>
        </w:rPr>
        <w:t>的投标截止时间前递交投标文件。</w:t>
      </w:r>
    </w:p>
    <w:p>
      <w:pPr>
        <w:spacing w:before="215" w:line="228" w:lineRule="auto"/>
        <w:ind w:right="3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4.2.2 投标人在规定的地点递交投标文件或通过电子招标投标交易平台</w:t>
      </w:r>
      <w:r>
        <w:rPr>
          <w:rFonts w:ascii="宋体" w:hAnsi="宋体" w:eastAsia="宋体" w:cs="宋体"/>
          <w:color w:val="auto"/>
          <w:spacing w:val="8"/>
          <w:sz w:val="20"/>
          <w:szCs w:val="20"/>
          <w:lang w:eastAsia="zh-CN"/>
        </w:rPr>
        <w:t>递交电子投标文件。</w:t>
      </w:r>
    </w:p>
    <w:p>
      <w:pPr>
        <w:spacing w:before="21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4.2.3 逾期送达的投标文件，招标人或电</w:t>
      </w:r>
      <w:r>
        <w:rPr>
          <w:rFonts w:ascii="宋体" w:hAnsi="宋体" w:eastAsia="宋体" w:cs="宋体"/>
          <w:color w:val="auto"/>
          <w:spacing w:val="8"/>
          <w:sz w:val="20"/>
          <w:szCs w:val="20"/>
          <w:lang w:eastAsia="zh-CN"/>
        </w:rPr>
        <w:t>子招标投标交易平台将予以拒收。</w:t>
      </w:r>
    </w:p>
    <w:p>
      <w:pPr>
        <w:spacing w:before="260" w:line="222" w:lineRule="auto"/>
        <w:outlineLvl w:val="2"/>
        <w:rPr>
          <w:rFonts w:ascii="黑体" w:hAnsi="黑体" w:eastAsia="黑体" w:cs="黑体"/>
          <w:color w:val="auto"/>
          <w:sz w:val="28"/>
          <w:szCs w:val="28"/>
          <w:lang w:eastAsia="zh-CN"/>
        </w:rPr>
      </w:pPr>
      <w:bookmarkStart w:id="83" w:name="bookmark89"/>
      <w:bookmarkEnd w:id="83"/>
      <w:bookmarkStart w:id="84" w:name="bookmark90"/>
      <w:bookmarkEnd w:id="84"/>
      <w:r>
        <w:rPr>
          <w:rFonts w:ascii="黑体" w:hAnsi="黑体" w:eastAsia="黑体" w:cs="黑体"/>
          <w:color w:val="auto"/>
          <w:spacing w:val="-1"/>
          <w:sz w:val="28"/>
          <w:szCs w:val="28"/>
          <w:lang w:eastAsia="zh-CN"/>
        </w:rPr>
        <w:t>4.3 投标文件的修改与撤回</w:t>
      </w:r>
    </w:p>
    <w:p>
      <w:pPr>
        <w:spacing w:before="281" w:line="298" w:lineRule="auto"/>
        <w:ind w:left="3" w:firstLine="42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4.3.1 在本章第2.2.2项规定的投标截止时间前，投标人可</w:t>
      </w:r>
      <w:r>
        <w:rPr>
          <w:rFonts w:ascii="宋体" w:hAnsi="宋体" w:eastAsia="宋体" w:cs="宋体"/>
          <w:color w:val="auto"/>
          <w:spacing w:val="4"/>
          <w:sz w:val="20"/>
          <w:szCs w:val="20"/>
          <w:lang w:eastAsia="zh-CN"/>
        </w:rPr>
        <w:t>以修改或撤回已递交的投标文件，</w:t>
      </w:r>
      <w:r>
        <w:rPr>
          <w:rFonts w:ascii="宋体" w:hAnsi="宋体" w:eastAsia="宋体" w:cs="宋体"/>
          <w:color w:val="auto"/>
          <w:spacing w:val="8"/>
          <w:sz w:val="20"/>
          <w:szCs w:val="20"/>
          <w:lang w:eastAsia="zh-CN"/>
        </w:rPr>
        <w:t>但应以书面形式通知招标人。</w:t>
      </w:r>
    </w:p>
    <w:p>
      <w:pPr>
        <w:spacing w:before="153" w:line="298" w:lineRule="auto"/>
        <w:ind w:left="29" w:right="54" w:firstLine="39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4.3.2 投标人修改或撤回已递交投标文件的通知，应按照本章第 3.7.3（B）项</w:t>
      </w:r>
      <w:r>
        <w:rPr>
          <w:rFonts w:ascii="宋体" w:hAnsi="宋体" w:eastAsia="宋体" w:cs="宋体"/>
          <w:color w:val="auto"/>
          <w:spacing w:val="9"/>
          <w:sz w:val="20"/>
          <w:szCs w:val="20"/>
          <w:lang w:eastAsia="zh-CN"/>
        </w:rPr>
        <w:t>的要求加盖电子印章。电子招标投标交易平台收到通知后，即时向投标人</w:t>
      </w:r>
      <w:r>
        <w:rPr>
          <w:rFonts w:ascii="宋体" w:hAnsi="宋体" w:eastAsia="宋体" w:cs="宋体"/>
          <w:color w:val="auto"/>
          <w:spacing w:val="8"/>
          <w:sz w:val="20"/>
          <w:szCs w:val="20"/>
          <w:lang w:eastAsia="zh-CN"/>
        </w:rPr>
        <w:t>发出确认回执通知。</w:t>
      </w:r>
    </w:p>
    <w:p>
      <w:pPr>
        <w:spacing w:before="154" w:line="298" w:lineRule="auto"/>
        <w:ind w:left="3" w:right="54" w:firstLine="420"/>
        <w:rPr>
          <w:color w:val="auto"/>
          <w:lang w:eastAsia="zh-CN"/>
        </w:rPr>
      </w:pPr>
      <w:r>
        <w:rPr>
          <w:rFonts w:ascii="宋体" w:hAnsi="宋体" w:eastAsia="宋体" w:cs="宋体"/>
          <w:color w:val="auto"/>
          <w:spacing w:val="7"/>
          <w:sz w:val="20"/>
          <w:szCs w:val="20"/>
          <w:lang w:eastAsia="zh-CN"/>
        </w:rPr>
        <w:t>4.3.3 修改的内容为投标文件的组成部分。修改的投标文件应按照本章第3条、第4条规定</w:t>
      </w:r>
      <w:r>
        <w:rPr>
          <w:rFonts w:ascii="宋体" w:hAnsi="宋体" w:eastAsia="宋体" w:cs="宋体"/>
          <w:color w:val="auto"/>
          <w:spacing w:val="8"/>
          <w:sz w:val="20"/>
          <w:szCs w:val="20"/>
          <w:lang w:eastAsia="zh-CN"/>
        </w:rPr>
        <w:t>进行编制、密封、标记和递交，并标明“修改”</w:t>
      </w:r>
      <w:r>
        <w:rPr>
          <w:rFonts w:ascii="宋体" w:hAnsi="宋体" w:eastAsia="宋体" w:cs="宋体"/>
          <w:color w:val="auto"/>
          <w:spacing w:val="7"/>
          <w:sz w:val="20"/>
          <w:szCs w:val="20"/>
          <w:lang w:eastAsia="zh-CN"/>
        </w:rPr>
        <w:t>字样。</w:t>
      </w:r>
    </w:p>
    <w:p>
      <w:pPr>
        <w:spacing w:before="102" w:line="230" w:lineRule="auto"/>
        <w:ind w:left="1"/>
        <w:outlineLvl w:val="1"/>
        <w:rPr>
          <w:rFonts w:ascii="黑体" w:hAnsi="黑体" w:eastAsia="黑体" w:cs="黑体"/>
          <w:color w:val="auto"/>
          <w:sz w:val="31"/>
          <w:szCs w:val="31"/>
          <w:lang w:eastAsia="zh-CN"/>
        </w:rPr>
      </w:pPr>
      <w:bookmarkStart w:id="85" w:name="bookmark92"/>
      <w:bookmarkEnd w:id="85"/>
      <w:bookmarkStart w:id="86" w:name="bookmark94"/>
      <w:bookmarkEnd w:id="86"/>
      <w:bookmarkStart w:id="87" w:name="bookmark91"/>
      <w:bookmarkEnd w:id="87"/>
      <w:r>
        <w:rPr>
          <w:rFonts w:ascii="黑体" w:hAnsi="黑体" w:eastAsia="黑体" w:cs="黑体"/>
          <w:b/>
          <w:bCs/>
          <w:color w:val="auto"/>
          <w:spacing w:val="-2"/>
          <w:sz w:val="31"/>
          <w:szCs w:val="31"/>
          <w:lang w:eastAsia="zh-CN"/>
        </w:rPr>
        <w:t>5.开标</w:t>
      </w:r>
    </w:p>
    <w:p>
      <w:pPr>
        <w:pStyle w:val="3"/>
        <w:spacing w:line="323" w:lineRule="auto"/>
        <w:rPr>
          <w:color w:val="auto"/>
          <w:lang w:eastAsia="zh-CN"/>
        </w:rPr>
      </w:pPr>
    </w:p>
    <w:p>
      <w:pPr>
        <w:spacing w:before="91" w:line="224" w:lineRule="auto"/>
        <w:ind w:left="137"/>
        <w:outlineLvl w:val="2"/>
        <w:rPr>
          <w:rFonts w:ascii="黑体" w:hAnsi="黑体" w:eastAsia="黑体" w:cs="黑体"/>
          <w:color w:val="auto"/>
          <w:sz w:val="28"/>
          <w:szCs w:val="28"/>
          <w:lang w:eastAsia="zh-CN"/>
        </w:rPr>
      </w:pPr>
      <w:bookmarkStart w:id="88" w:name="bookmark93"/>
      <w:bookmarkEnd w:id="88"/>
      <w:r>
        <w:rPr>
          <w:rFonts w:ascii="黑体" w:hAnsi="黑体" w:eastAsia="黑体" w:cs="黑体"/>
          <w:color w:val="auto"/>
          <w:spacing w:val="-1"/>
          <w:sz w:val="28"/>
          <w:szCs w:val="28"/>
          <w:lang w:eastAsia="zh-CN"/>
        </w:rPr>
        <w:t>5.1 开标时间和地点</w:t>
      </w:r>
    </w:p>
    <w:p>
      <w:pPr>
        <w:pStyle w:val="3"/>
        <w:spacing w:line="425" w:lineRule="auto"/>
        <w:rPr>
          <w:color w:val="auto"/>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招标人在投标人须知前附表第5.1项规定的投标截止时间（开标时间）进行开标。</w:t>
      </w:r>
    </w:p>
    <w:p>
      <w:pPr>
        <w:pStyle w:val="3"/>
        <w:spacing w:line="374" w:lineRule="auto"/>
        <w:rPr>
          <w:color w:val="auto"/>
          <w:lang w:eastAsia="zh-CN"/>
        </w:rPr>
      </w:pPr>
    </w:p>
    <w:p>
      <w:pPr>
        <w:spacing w:before="92" w:line="222" w:lineRule="auto"/>
        <w:ind w:left="137"/>
        <w:outlineLvl w:val="2"/>
        <w:rPr>
          <w:rFonts w:ascii="黑体" w:hAnsi="黑体" w:eastAsia="黑体" w:cs="黑体"/>
          <w:color w:val="auto"/>
          <w:sz w:val="28"/>
          <w:szCs w:val="28"/>
          <w:lang w:eastAsia="zh-CN"/>
        </w:rPr>
      </w:pPr>
      <w:bookmarkStart w:id="89" w:name="bookmark95"/>
      <w:bookmarkEnd w:id="89"/>
      <w:bookmarkStart w:id="90" w:name="bookmark96"/>
      <w:bookmarkEnd w:id="90"/>
      <w:r>
        <w:rPr>
          <w:rFonts w:ascii="黑体" w:hAnsi="黑体" w:eastAsia="黑体" w:cs="黑体"/>
          <w:color w:val="auto"/>
          <w:spacing w:val="-1"/>
          <w:sz w:val="28"/>
          <w:szCs w:val="28"/>
          <w:lang w:eastAsia="zh-CN"/>
        </w:rPr>
        <w:t>5.2 开标程序</w:t>
      </w:r>
    </w:p>
    <w:p>
      <w:pPr>
        <w:pStyle w:val="3"/>
        <w:spacing w:line="379" w:lineRule="auto"/>
        <w:rPr>
          <w:color w:val="auto"/>
          <w:lang w:eastAsia="zh-CN"/>
        </w:rPr>
      </w:pPr>
    </w:p>
    <w:p>
      <w:pPr>
        <w:spacing w:before="152"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（1）公布在投标截止时间前递交投标文件的投标人名称；</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（2）宣布开标人、监标人等有关人员；</w:t>
      </w:r>
    </w:p>
    <w:p>
      <w:pPr>
        <w:spacing w:before="155" w:line="227"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（3）公布投标担保情况；</w:t>
      </w:r>
    </w:p>
    <w:p>
      <w:pPr>
        <w:spacing w:before="152" w:line="228" w:lineRule="auto"/>
        <w:ind w:left="2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w:t>
      </w:r>
      <w:r>
        <w:rPr>
          <w:rFonts w:hint="eastAsia" w:ascii="宋体" w:hAnsi="宋体" w:eastAsia="宋体" w:cs="宋体"/>
          <w:color w:val="auto"/>
          <w:spacing w:val="7"/>
          <w:sz w:val="20"/>
          <w:szCs w:val="20"/>
          <w:lang w:eastAsia="zh-CN"/>
        </w:rPr>
        <w:t>唱标</w:t>
      </w:r>
      <w:r>
        <w:rPr>
          <w:rFonts w:ascii="宋体" w:hAnsi="宋体" w:eastAsia="宋体" w:cs="宋体"/>
          <w:color w:val="auto"/>
          <w:spacing w:val="7"/>
          <w:sz w:val="20"/>
          <w:szCs w:val="20"/>
          <w:lang w:eastAsia="zh-CN"/>
        </w:rPr>
        <w:t>；</w:t>
      </w:r>
    </w:p>
    <w:p>
      <w:pPr>
        <w:pStyle w:val="3"/>
        <w:spacing w:line="255" w:lineRule="auto"/>
        <w:rPr>
          <w:color w:val="auto"/>
          <w:lang w:eastAsia="zh-CN"/>
        </w:rPr>
      </w:pPr>
    </w:p>
    <w:p>
      <w:pPr>
        <w:spacing w:before="65" w:line="228" w:lineRule="auto"/>
        <w:ind w:left="21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（5）投标人确认开标结果；</w:t>
      </w:r>
    </w:p>
    <w:p>
      <w:pPr>
        <w:spacing w:before="153" w:line="299" w:lineRule="auto"/>
        <w:ind w:firstLine="2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（6）</w:t>
      </w:r>
      <w:r>
        <w:rPr>
          <w:rFonts w:ascii="宋体" w:hAnsi="宋体" w:eastAsia="宋体" w:cs="宋体"/>
          <w:color w:val="auto"/>
          <w:spacing w:val="7"/>
          <w:sz w:val="20"/>
          <w:szCs w:val="20"/>
          <w:lang w:eastAsia="zh-CN"/>
        </w:rPr>
        <w:t>招标人代表确认开标结果</w:t>
      </w:r>
      <w:r>
        <w:rPr>
          <w:rFonts w:ascii="宋体" w:hAnsi="宋体" w:eastAsia="宋体" w:cs="宋体"/>
          <w:color w:val="auto"/>
          <w:spacing w:val="8"/>
          <w:sz w:val="20"/>
          <w:szCs w:val="20"/>
          <w:lang w:eastAsia="zh-CN"/>
        </w:rPr>
        <w:t>；</w:t>
      </w:r>
    </w:p>
    <w:p>
      <w:pPr>
        <w:spacing w:before="152" w:line="228" w:lineRule="auto"/>
        <w:ind w:left="219"/>
        <w:rPr>
          <w:color w:val="auto"/>
          <w:lang w:eastAsia="zh-CN"/>
        </w:rPr>
      </w:pPr>
      <w:r>
        <w:rPr>
          <w:rFonts w:ascii="宋体" w:hAnsi="宋体" w:eastAsia="宋体" w:cs="宋体"/>
          <w:color w:val="auto"/>
          <w:spacing w:val="7"/>
          <w:sz w:val="20"/>
          <w:szCs w:val="20"/>
          <w:lang w:eastAsia="zh-CN"/>
        </w:rPr>
        <w:t>（7）生成开标记录表，开标结束果；</w:t>
      </w:r>
    </w:p>
    <w:p>
      <w:pPr>
        <w:spacing w:before="91" w:line="222" w:lineRule="auto"/>
        <w:ind w:left="133"/>
        <w:outlineLvl w:val="2"/>
        <w:rPr>
          <w:rFonts w:ascii="黑体" w:hAnsi="黑体" w:eastAsia="黑体" w:cs="黑体"/>
          <w:color w:val="auto"/>
          <w:sz w:val="28"/>
          <w:szCs w:val="28"/>
          <w:lang w:eastAsia="zh-CN"/>
        </w:rPr>
      </w:pPr>
      <w:bookmarkStart w:id="91" w:name="bookmark97"/>
      <w:bookmarkEnd w:id="91"/>
      <w:bookmarkStart w:id="92" w:name="bookmark98"/>
      <w:bookmarkEnd w:id="92"/>
      <w:r>
        <w:rPr>
          <w:rFonts w:ascii="黑体" w:hAnsi="黑体" w:eastAsia="黑体" w:cs="黑体"/>
          <w:color w:val="auto"/>
          <w:spacing w:val="-1"/>
          <w:sz w:val="28"/>
          <w:szCs w:val="28"/>
          <w:lang w:eastAsia="zh-CN"/>
        </w:rPr>
        <w:t>5.3 开标异议</w:t>
      </w:r>
    </w:p>
    <w:p>
      <w:pPr>
        <w:pStyle w:val="3"/>
        <w:spacing w:line="426" w:lineRule="auto"/>
        <w:rPr>
          <w:color w:val="auto"/>
          <w:lang w:eastAsia="zh-CN"/>
        </w:rPr>
      </w:pPr>
    </w:p>
    <w:p>
      <w:pPr>
        <w:spacing w:before="66" w:line="411" w:lineRule="auto"/>
        <w:ind w:left="3" w:firstLine="357"/>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投标人对开标有异议的，应当在交易平台提出，招标人当场作出答复，并制作记录。未提出</w:t>
      </w:r>
      <w:r>
        <w:rPr>
          <w:rFonts w:ascii="宋体" w:hAnsi="宋体" w:eastAsia="宋体" w:cs="宋体"/>
          <w:color w:val="auto"/>
          <w:spacing w:val="7"/>
          <w:sz w:val="20"/>
          <w:szCs w:val="20"/>
          <w:lang w:eastAsia="zh-CN"/>
        </w:rPr>
        <w:t>异议，视同认可。</w:t>
      </w:r>
    </w:p>
    <w:p>
      <w:pPr>
        <w:spacing w:before="282" w:line="223" w:lineRule="auto"/>
        <w:ind w:left="133"/>
        <w:outlineLvl w:val="2"/>
        <w:rPr>
          <w:rFonts w:ascii="黑体" w:hAnsi="黑体" w:eastAsia="黑体" w:cs="黑体"/>
          <w:color w:val="auto"/>
          <w:sz w:val="28"/>
          <w:szCs w:val="28"/>
          <w:lang w:eastAsia="zh-CN"/>
        </w:rPr>
      </w:pPr>
      <w:bookmarkStart w:id="93" w:name="bookmark99"/>
      <w:bookmarkEnd w:id="93"/>
      <w:bookmarkStart w:id="94" w:name="bookmark100"/>
      <w:bookmarkEnd w:id="94"/>
      <w:r>
        <w:rPr>
          <w:rFonts w:ascii="黑体" w:hAnsi="黑体" w:eastAsia="黑体" w:cs="黑体"/>
          <w:color w:val="auto"/>
          <w:spacing w:val="-2"/>
          <w:sz w:val="28"/>
          <w:szCs w:val="28"/>
          <w:lang w:eastAsia="zh-CN"/>
        </w:rPr>
        <w:t>5.4开标其他情况</w:t>
      </w:r>
    </w:p>
    <w:p>
      <w:pPr>
        <w:pStyle w:val="3"/>
        <w:spacing w:line="379" w:lineRule="auto"/>
        <w:rPr>
          <w:color w:val="auto"/>
          <w:lang w:eastAsia="zh-CN"/>
        </w:rPr>
      </w:pPr>
    </w:p>
    <w:p>
      <w:pPr>
        <w:spacing w:before="66" w:line="359" w:lineRule="auto"/>
        <w:ind w:left="2" w:firstLine="42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（1）投标文件的投标人少于 3 个的，不得开标，招标人将重新招标</w:t>
      </w:r>
      <w:r>
        <w:rPr>
          <w:rFonts w:hint="eastAsia" w:ascii="宋体" w:hAnsi="宋体" w:eastAsia="宋体" w:cs="宋体"/>
          <w:color w:val="auto"/>
          <w:spacing w:val="8"/>
          <w:sz w:val="20"/>
          <w:szCs w:val="20"/>
          <w:lang w:eastAsia="zh-CN"/>
        </w:rPr>
        <w:t>，</w:t>
      </w:r>
    </w:p>
    <w:p>
      <w:pPr>
        <w:spacing w:before="32"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w:t>
      </w:r>
      <w:r>
        <w:rPr>
          <w:rFonts w:ascii="宋体" w:hAnsi="宋体" w:eastAsia="宋体" w:cs="宋体"/>
          <w:color w:val="auto"/>
          <w:spacing w:val="9"/>
          <w:sz w:val="20"/>
          <w:szCs w:val="20"/>
          <w:lang w:eastAsia="zh-CN"/>
        </w:rPr>
        <w:t>由于停电、网络故障等因素导致无法正常开评标的，由代理机构报行政主管</w:t>
      </w:r>
      <w:r>
        <w:rPr>
          <w:rFonts w:ascii="宋体" w:hAnsi="宋体" w:eastAsia="宋体" w:cs="宋体"/>
          <w:color w:val="auto"/>
          <w:spacing w:val="8"/>
          <w:sz w:val="20"/>
          <w:szCs w:val="20"/>
          <w:lang w:eastAsia="zh-CN"/>
        </w:rPr>
        <w:t>部门同意</w:t>
      </w:r>
      <w:r>
        <w:rPr>
          <w:rFonts w:ascii="宋体" w:hAnsi="宋体" w:eastAsia="宋体" w:cs="宋体"/>
          <w:color w:val="auto"/>
          <w:spacing w:val="6"/>
          <w:sz w:val="20"/>
          <w:szCs w:val="20"/>
          <w:lang w:eastAsia="zh-CN"/>
        </w:rPr>
        <w:t>后延期开标</w:t>
      </w:r>
      <w:r>
        <w:rPr>
          <w:rFonts w:ascii="宋体" w:hAnsi="宋体" w:eastAsia="宋体" w:cs="宋体"/>
          <w:color w:val="auto"/>
          <w:spacing w:val="8"/>
          <w:sz w:val="20"/>
          <w:szCs w:val="20"/>
          <w:lang w:eastAsia="zh-CN"/>
        </w:rPr>
        <w:t>。</w:t>
      </w:r>
    </w:p>
    <w:p>
      <w:pPr>
        <w:pStyle w:val="3"/>
        <w:spacing w:line="313" w:lineRule="auto"/>
        <w:rPr>
          <w:color w:val="auto"/>
          <w:lang w:eastAsia="zh-CN"/>
        </w:rPr>
      </w:pPr>
    </w:p>
    <w:p>
      <w:pPr>
        <w:spacing w:before="101" w:line="227" w:lineRule="auto"/>
        <w:ind w:left="3"/>
        <w:outlineLvl w:val="1"/>
        <w:rPr>
          <w:rFonts w:ascii="黑体" w:hAnsi="黑体" w:eastAsia="黑体" w:cs="黑体"/>
          <w:color w:val="auto"/>
          <w:sz w:val="31"/>
          <w:szCs w:val="31"/>
          <w:lang w:eastAsia="zh-CN"/>
        </w:rPr>
      </w:pPr>
      <w:bookmarkStart w:id="95" w:name="bookmark101"/>
      <w:bookmarkEnd w:id="95"/>
      <w:bookmarkStart w:id="96" w:name="bookmark102"/>
      <w:bookmarkEnd w:id="96"/>
      <w:bookmarkStart w:id="97" w:name="bookmark104"/>
      <w:bookmarkEnd w:id="97"/>
      <w:r>
        <w:rPr>
          <w:rFonts w:ascii="黑体" w:hAnsi="黑体" w:eastAsia="黑体" w:cs="黑体"/>
          <w:b/>
          <w:bCs/>
          <w:color w:val="auto"/>
          <w:spacing w:val="-2"/>
          <w:sz w:val="31"/>
          <w:szCs w:val="31"/>
          <w:lang w:eastAsia="zh-CN"/>
        </w:rPr>
        <w:t>6.评标</w:t>
      </w:r>
    </w:p>
    <w:p>
      <w:pPr>
        <w:pStyle w:val="3"/>
        <w:spacing w:line="280" w:lineRule="auto"/>
        <w:rPr>
          <w:color w:val="auto"/>
          <w:lang w:eastAsia="zh-CN"/>
        </w:rPr>
      </w:pPr>
    </w:p>
    <w:p>
      <w:pPr>
        <w:spacing w:before="92" w:line="222" w:lineRule="auto"/>
        <w:ind w:left="2"/>
        <w:outlineLvl w:val="2"/>
        <w:rPr>
          <w:rFonts w:ascii="黑体" w:hAnsi="黑体" w:eastAsia="黑体" w:cs="黑体"/>
          <w:color w:val="auto"/>
          <w:sz w:val="28"/>
          <w:szCs w:val="28"/>
          <w:lang w:eastAsia="zh-CN"/>
        </w:rPr>
      </w:pPr>
      <w:bookmarkStart w:id="98" w:name="bookmark103"/>
      <w:bookmarkEnd w:id="98"/>
      <w:r>
        <w:rPr>
          <w:rFonts w:ascii="黑体" w:hAnsi="黑体" w:eastAsia="黑体" w:cs="黑体"/>
          <w:color w:val="auto"/>
          <w:spacing w:val="-1"/>
          <w:sz w:val="28"/>
          <w:szCs w:val="28"/>
          <w:lang w:eastAsia="zh-CN"/>
        </w:rPr>
        <w:t>6.1 评标委员会</w:t>
      </w:r>
    </w:p>
    <w:p>
      <w:pPr>
        <w:spacing w:before="296" w:line="378"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评标由招标人依法组建的评标委员会负责。评标委员会由招标人或其委托的招标代理</w:t>
      </w:r>
      <w:r>
        <w:rPr>
          <w:rFonts w:ascii="宋体" w:hAnsi="宋体" w:eastAsia="宋体" w:cs="宋体"/>
          <w:color w:val="auto"/>
          <w:spacing w:val="9"/>
          <w:sz w:val="20"/>
          <w:szCs w:val="20"/>
          <w:lang w:eastAsia="zh-CN"/>
        </w:rPr>
        <w:t xml:space="preserve"> 机构熟悉相关业务的代表，以及有关技术、经济等方面的专家组成。评标委员会成员人数</w:t>
      </w:r>
      <w:r>
        <w:rPr>
          <w:rFonts w:ascii="宋体" w:hAnsi="宋体" w:eastAsia="宋体" w:cs="宋体"/>
          <w:color w:val="auto"/>
          <w:spacing w:val="8"/>
          <w:sz w:val="20"/>
          <w:szCs w:val="20"/>
          <w:lang w:eastAsia="zh-CN"/>
        </w:rPr>
        <w:t>以及技</w:t>
      </w:r>
      <w:r>
        <w:rPr>
          <w:rFonts w:ascii="宋体" w:hAnsi="宋体" w:eastAsia="宋体" w:cs="宋体"/>
          <w:color w:val="auto"/>
          <w:spacing w:val="9"/>
          <w:sz w:val="20"/>
          <w:szCs w:val="20"/>
          <w:lang w:eastAsia="zh-CN"/>
        </w:rPr>
        <w:t>术、经济等方面专家的确定方式见投标人须知前附表。</w:t>
      </w:r>
    </w:p>
    <w:p>
      <w:pPr>
        <w:spacing w:before="32"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6.1.2 评标委员会成员有下列情形之一的，应当回避：</w:t>
      </w:r>
    </w:p>
    <w:p>
      <w:pPr>
        <w:spacing w:before="17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（1）招标人或投标人的主要负责人的近亲属；</w:t>
      </w:r>
    </w:p>
    <w:p>
      <w:pPr>
        <w:spacing w:before="17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（2）项目主管部门或者行政监督部门的人员；</w:t>
      </w:r>
    </w:p>
    <w:p>
      <w:pPr>
        <w:spacing w:before="174" w:line="228" w:lineRule="auto"/>
        <w:ind w:left="430"/>
        <w:rPr>
          <w:color w:val="auto"/>
          <w:lang w:eastAsia="zh-CN"/>
        </w:rPr>
      </w:pPr>
      <w:r>
        <w:rPr>
          <w:rFonts w:ascii="宋体" w:hAnsi="宋体" w:eastAsia="宋体" w:cs="宋体"/>
          <w:color w:val="auto"/>
          <w:spacing w:val="9"/>
          <w:sz w:val="20"/>
          <w:szCs w:val="20"/>
          <w:lang w:eastAsia="zh-CN"/>
        </w:rPr>
        <w:t>（3）与投标人有经济利益关系，可能影响</w:t>
      </w:r>
      <w:r>
        <w:rPr>
          <w:rFonts w:ascii="宋体" w:hAnsi="宋体" w:eastAsia="宋体" w:cs="宋体"/>
          <w:color w:val="auto"/>
          <w:spacing w:val="8"/>
          <w:sz w:val="20"/>
          <w:szCs w:val="20"/>
          <w:lang w:eastAsia="zh-CN"/>
        </w:rPr>
        <w:t>对投标公正评审的；</w:t>
      </w:r>
    </w:p>
    <w:p>
      <w:pPr>
        <w:spacing w:before="65" w:line="373" w:lineRule="auto"/>
        <w:ind w:left="1"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（4）曾因在招标、评标以及其他与招标投标有关活动中从事违法行为而受过行政</w:t>
      </w:r>
      <w:r>
        <w:rPr>
          <w:rFonts w:ascii="宋体" w:hAnsi="宋体" w:eastAsia="宋体" w:cs="宋体"/>
          <w:color w:val="auto"/>
          <w:spacing w:val="9"/>
          <w:sz w:val="20"/>
          <w:szCs w:val="20"/>
          <w:lang w:eastAsia="zh-CN"/>
        </w:rPr>
        <w:t>处罚或刑</w:t>
      </w:r>
      <w:r>
        <w:rPr>
          <w:rFonts w:ascii="宋体" w:hAnsi="宋体" w:eastAsia="宋体" w:cs="宋体"/>
          <w:color w:val="auto"/>
          <w:spacing w:val="5"/>
          <w:sz w:val="20"/>
          <w:szCs w:val="20"/>
          <w:lang w:eastAsia="zh-CN"/>
        </w:rPr>
        <w:t>事处罚的。</w:t>
      </w:r>
    </w:p>
    <w:p>
      <w:pPr>
        <w:spacing w:before="111" w:line="222" w:lineRule="auto"/>
        <w:ind w:left="3"/>
        <w:outlineLvl w:val="2"/>
        <w:rPr>
          <w:rFonts w:ascii="黑体" w:hAnsi="黑体" w:eastAsia="黑体" w:cs="黑体"/>
          <w:color w:val="auto"/>
          <w:sz w:val="28"/>
          <w:szCs w:val="28"/>
          <w:lang w:eastAsia="zh-CN"/>
        </w:rPr>
      </w:pPr>
      <w:bookmarkStart w:id="99" w:name="bookmark105"/>
      <w:bookmarkEnd w:id="99"/>
      <w:bookmarkStart w:id="100" w:name="bookmark106"/>
      <w:bookmarkEnd w:id="100"/>
      <w:r>
        <w:rPr>
          <w:rFonts w:ascii="黑体" w:hAnsi="黑体" w:eastAsia="黑体" w:cs="黑体"/>
          <w:color w:val="auto"/>
          <w:spacing w:val="-2"/>
          <w:sz w:val="28"/>
          <w:szCs w:val="28"/>
          <w:lang w:eastAsia="zh-CN"/>
        </w:rPr>
        <w:t>6.2 评标原则</w:t>
      </w:r>
    </w:p>
    <w:p>
      <w:pPr>
        <w:spacing w:before="29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评标活动遵循公平、公正、科学和择优的原则。</w:t>
      </w:r>
    </w:p>
    <w:p>
      <w:pPr>
        <w:spacing w:before="254" w:line="222" w:lineRule="auto"/>
        <w:ind w:left="3"/>
        <w:outlineLvl w:val="2"/>
        <w:rPr>
          <w:rFonts w:ascii="黑体" w:hAnsi="黑体" w:eastAsia="黑体" w:cs="黑体"/>
          <w:color w:val="auto"/>
          <w:sz w:val="28"/>
          <w:szCs w:val="28"/>
          <w:lang w:eastAsia="zh-CN"/>
        </w:rPr>
      </w:pPr>
      <w:bookmarkStart w:id="101" w:name="bookmark107"/>
      <w:bookmarkEnd w:id="101"/>
      <w:bookmarkStart w:id="102" w:name="bookmark108"/>
      <w:bookmarkEnd w:id="102"/>
      <w:r>
        <w:rPr>
          <w:rFonts w:ascii="黑体" w:hAnsi="黑体" w:eastAsia="黑体" w:cs="黑体"/>
          <w:color w:val="auto"/>
          <w:spacing w:val="-4"/>
          <w:sz w:val="28"/>
          <w:szCs w:val="28"/>
          <w:lang w:eastAsia="zh-CN"/>
        </w:rPr>
        <w:t>6.3评标</w:t>
      </w:r>
    </w:p>
    <w:p>
      <w:pPr>
        <w:spacing w:before="292" w:line="373" w:lineRule="auto"/>
        <w:ind w:left="12" w:firstLine="408"/>
        <w:rPr>
          <w:color w:val="auto"/>
          <w:lang w:eastAsia="zh-CN"/>
        </w:rPr>
      </w:pPr>
      <w:r>
        <w:rPr>
          <w:rFonts w:ascii="宋体" w:hAnsi="宋体" w:eastAsia="宋体" w:cs="宋体"/>
          <w:color w:val="auto"/>
          <w:spacing w:val="8"/>
          <w:sz w:val="20"/>
          <w:szCs w:val="20"/>
          <w:lang w:eastAsia="zh-CN"/>
        </w:rPr>
        <w:t>评标委员会按照第三章“评标办法”规定的方法、评审因素、标准和程序对投标文件进行评审。第三章“评标办法”没有规定的方法、评审因素和标准，不作为评标依据。</w:t>
      </w:r>
    </w:p>
    <w:p>
      <w:pPr>
        <w:pStyle w:val="3"/>
        <w:spacing w:line="267" w:lineRule="auto"/>
        <w:rPr>
          <w:color w:val="auto"/>
          <w:lang w:eastAsia="zh-CN"/>
        </w:rPr>
      </w:pPr>
    </w:p>
    <w:p>
      <w:pPr>
        <w:spacing w:before="101" w:line="228" w:lineRule="auto"/>
        <w:ind w:left="7"/>
        <w:outlineLvl w:val="1"/>
        <w:rPr>
          <w:rFonts w:ascii="黑体" w:hAnsi="黑体" w:eastAsia="黑体" w:cs="黑体"/>
          <w:color w:val="auto"/>
          <w:sz w:val="31"/>
          <w:szCs w:val="31"/>
          <w:lang w:eastAsia="zh-CN"/>
        </w:rPr>
      </w:pPr>
      <w:bookmarkStart w:id="103" w:name="bookmark109"/>
      <w:bookmarkEnd w:id="103"/>
      <w:bookmarkStart w:id="104" w:name="bookmark112"/>
      <w:bookmarkEnd w:id="104"/>
      <w:bookmarkStart w:id="105" w:name="bookmark110"/>
      <w:bookmarkEnd w:id="105"/>
      <w:r>
        <w:rPr>
          <w:rFonts w:ascii="黑体" w:hAnsi="黑体" w:eastAsia="黑体" w:cs="黑体"/>
          <w:b/>
          <w:bCs/>
          <w:color w:val="auto"/>
          <w:spacing w:val="1"/>
          <w:sz w:val="31"/>
          <w:szCs w:val="31"/>
          <w:lang w:eastAsia="zh-CN"/>
        </w:rPr>
        <w:t>7.合同授予</w:t>
      </w:r>
    </w:p>
    <w:p>
      <w:pPr>
        <w:pStyle w:val="3"/>
        <w:spacing w:line="330"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106" w:name="bookmark111"/>
      <w:bookmarkEnd w:id="106"/>
      <w:r>
        <w:rPr>
          <w:rFonts w:ascii="黑体" w:hAnsi="黑体" w:eastAsia="黑体" w:cs="黑体"/>
          <w:color w:val="auto"/>
          <w:spacing w:val="-5"/>
          <w:sz w:val="28"/>
          <w:szCs w:val="28"/>
          <w:lang w:eastAsia="zh-CN"/>
        </w:rPr>
        <w:t>7.1中标候选人公示</w:t>
      </w:r>
    </w:p>
    <w:p>
      <w:pPr>
        <w:pStyle w:val="3"/>
        <w:spacing w:line="426" w:lineRule="auto"/>
        <w:rPr>
          <w:color w:val="auto"/>
          <w:lang w:eastAsia="zh-CN"/>
        </w:rPr>
      </w:pPr>
    </w:p>
    <w:p>
      <w:pPr>
        <w:spacing w:before="66" w:line="411" w:lineRule="auto"/>
        <w:ind w:lef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招标人在收到评标报告之日起3 日内，按照投标人须知前附表规定的公示媒介和期限公示中</w:t>
      </w:r>
      <w:r>
        <w:rPr>
          <w:rFonts w:ascii="宋体" w:hAnsi="宋体" w:eastAsia="宋体" w:cs="宋体"/>
          <w:color w:val="auto"/>
          <w:spacing w:val="3"/>
          <w:sz w:val="20"/>
          <w:szCs w:val="20"/>
          <w:lang w:eastAsia="zh-CN"/>
        </w:rPr>
        <w:t>标候选人，公示期不得少于3 日。</w:t>
      </w:r>
    </w:p>
    <w:p>
      <w:pPr>
        <w:spacing w:before="282" w:line="222" w:lineRule="auto"/>
        <w:ind w:left="5"/>
        <w:outlineLvl w:val="2"/>
        <w:rPr>
          <w:rFonts w:ascii="黑体" w:hAnsi="黑体" w:eastAsia="黑体" w:cs="黑体"/>
          <w:color w:val="auto"/>
          <w:sz w:val="28"/>
          <w:szCs w:val="28"/>
          <w:lang w:eastAsia="zh-CN"/>
        </w:rPr>
      </w:pPr>
      <w:bookmarkStart w:id="107" w:name="bookmark114"/>
      <w:bookmarkEnd w:id="107"/>
      <w:bookmarkStart w:id="108" w:name="bookmark113"/>
      <w:bookmarkEnd w:id="108"/>
      <w:r>
        <w:rPr>
          <w:rFonts w:ascii="黑体" w:hAnsi="黑体" w:eastAsia="黑体" w:cs="黑体"/>
          <w:color w:val="auto"/>
          <w:spacing w:val="-2"/>
          <w:sz w:val="28"/>
          <w:szCs w:val="28"/>
          <w:lang w:eastAsia="zh-CN"/>
        </w:rPr>
        <w:t>7.2 评标结果异议</w:t>
      </w:r>
    </w:p>
    <w:p>
      <w:pPr>
        <w:pStyle w:val="3"/>
        <w:spacing w:line="426" w:lineRule="auto"/>
        <w:rPr>
          <w:color w:val="auto"/>
          <w:lang w:eastAsia="zh-CN"/>
        </w:rPr>
      </w:pPr>
    </w:p>
    <w:p>
      <w:pPr>
        <w:spacing w:before="66" w:line="411" w:lineRule="auto"/>
        <w:ind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投标人或者其他利害关系人对评标结果有异议的，应当在中标候选人公示</w:t>
      </w:r>
      <w:r>
        <w:rPr>
          <w:rFonts w:ascii="宋体" w:hAnsi="宋体" w:eastAsia="宋体" w:cs="宋体"/>
          <w:color w:val="auto"/>
          <w:spacing w:val="8"/>
          <w:sz w:val="20"/>
          <w:szCs w:val="20"/>
          <w:lang w:eastAsia="zh-CN"/>
        </w:rPr>
        <w:t>期间提出。招标人</w:t>
      </w:r>
      <w:r>
        <w:rPr>
          <w:rFonts w:ascii="宋体" w:hAnsi="宋体" w:eastAsia="宋体" w:cs="宋体"/>
          <w:color w:val="auto"/>
          <w:spacing w:val="7"/>
          <w:sz w:val="20"/>
          <w:szCs w:val="20"/>
          <w:lang w:eastAsia="zh-CN"/>
        </w:rPr>
        <w:t>将在收到异议之日起3 日内作出答复；作出答复前，将暂停招标投标活动。</w:t>
      </w:r>
    </w:p>
    <w:p>
      <w:pPr>
        <w:spacing w:before="282" w:line="222" w:lineRule="auto"/>
        <w:ind w:left="5"/>
        <w:outlineLvl w:val="2"/>
        <w:rPr>
          <w:rFonts w:ascii="黑体" w:hAnsi="黑体" w:eastAsia="黑体" w:cs="黑体"/>
          <w:color w:val="auto"/>
          <w:sz w:val="28"/>
          <w:szCs w:val="28"/>
          <w:lang w:eastAsia="zh-CN"/>
        </w:rPr>
      </w:pPr>
      <w:bookmarkStart w:id="109" w:name="bookmark116"/>
      <w:bookmarkEnd w:id="109"/>
      <w:bookmarkStart w:id="110" w:name="bookmark115"/>
      <w:bookmarkEnd w:id="110"/>
      <w:r>
        <w:rPr>
          <w:rFonts w:ascii="黑体" w:hAnsi="黑体" w:eastAsia="黑体" w:cs="黑体"/>
          <w:color w:val="auto"/>
          <w:spacing w:val="-1"/>
          <w:sz w:val="28"/>
          <w:szCs w:val="28"/>
          <w:lang w:eastAsia="zh-CN"/>
        </w:rPr>
        <w:t>7.3 中标候选人履约能力审查</w:t>
      </w:r>
    </w:p>
    <w:p>
      <w:pPr>
        <w:pStyle w:val="3"/>
        <w:spacing w:line="428" w:lineRule="auto"/>
        <w:rPr>
          <w:color w:val="auto"/>
          <w:lang w:eastAsia="zh-CN"/>
        </w:rPr>
      </w:pPr>
    </w:p>
    <w:p>
      <w:pPr>
        <w:spacing w:before="65" w:line="410" w:lineRule="auto"/>
        <w:ind w:left="5" w:firstLine="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中标候选人的经营、财务状况发生较大变化或存在违法行为，招标人认为可能影响其履约能</w:t>
      </w:r>
      <w:r>
        <w:rPr>
          <w:rFonts w:ascii="宋体" w:hAnsi="宋体" w:eastAsia="宋体" w:cs="宋体"/>
          <w:color w:val="auto"/>
          <w:spacing w:val="9"/>
          <w:sz w:val="20"/>
          <w:szCs w:val="20"/>
          <w:lang w:eastAsia="zh-CN"/>
        </w:rPr>
        <w:t>力的，将在发出中标通知书前提请原评标委员会按照招标文件规定的标准和方</w:t>
      </w:r>
      <w:r>
        <w:rPr>
          <w:rFonts w:ascii="宋体" w:hAnsi="宋体" w:eastAsia="宋体" w:cs="宋体"/>
          <w:color w:val="auto"/>
          <w:spacing w:val="8"/>
          <w:sz w:val="20"/>
          <w:szCs w:val="20"/>
          <w:lang w:eastAsia="zh-CN"/>
        </w:rPr>
        <w:t>法进行审查确认。</w:t>
      </w:r>
    </w:p>
    <w:p>
      <w:pPr>
        <w:spacing w:before="283" w:line="225" w:lineRule="auto"/>
        <w:ind w:left="142"/>
        <w:outlineLvl w:val="2"/>
        <w:rPr>
          <w:rFonts w:ascii="黑体" w:hAnsi="黑体" w:eastAsia="黑体" w:cs="黑体"/>
          <w:color w:val="auto"/>
          <w:sz w:val="28"/>
          <w:szCs w:val="28"/>
          <w:lang w:eastAsia="zh-CN"/>
        </w:rPr>
      </w:pPr>
      <w:bookmarkStart w:id="111" w:name="bookmark118"/>
      <w:bookmarkEnd w:id="111"/>
      <w:bookmarkStart w:id="112" w:name="bookmark117"/>
      <w:bookmarkEnd w:id="112"/>
      <w:r>
        <w:rPr>
          <w:rFonts w:ascii="黑体" w:hAnsi="黑体" w:eastAsia="黑体" w:cs="黑体"/>
          <w:color w:val="auto"/>
          <w:spacing w:val="-2"/>
          <w:sz w:val="28"/>
          <w:szCs w:val="28"/>
          <w:lang w:eastAsia="zh-CN"/>
        </w:rPr>
        <w:t>7.4 定标</w:t>
      </w:r>
    </w:p>
    <w:p>
      <w:pPr>
        <w:pStyle w:val="3"/>
        <w:spacing w:line="423" w:lineRule="auto"/>
        <w:rPr>
          <w:color w:val="auto"/>
          <w:lang w:eastAsia="zh-CN"/>
        </w:rPr>
      </w:pPr>
    </w:p>
    <w:p>
      <w:pPr>
        <w:spacing w:before="65" w:line="227"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按照投标人须知前附表的规定，招标人或招标人授权的评标委员会依法确定中标人。</w:t>
      </w:r>
    </w:p>
    <w:p>
      <w:pPr>
        <w:tabs>
          <w:tab w:val="left" w:pos="1124"/>
        </w:tabs>
        <w:rPr>
          <w:color w:val="auto"/>
          <w:lang w:eastAsia="zh-CN"/>
        </w:rPr>
      </w:pPr>
    </w:p>
    <w:p>
      <w:pPr>
        <w:spacing w:before="91" w:line="223" w:lineRule="auto"/>
        <w:ind w:left="4"/>
        <w:outlineLvl w:val="2"/>
        <w:rPr>
          <w:color w:val="auto"/>
          <w:lang w:eastAsia="zh-CN"/>
        </w:rPr>
      </w:pPr>
      <w:bookmarkStart w:id="113" w:name="bookmark119"/>
      <w:bookmarkEnd w:id="113"/>
      <w:bookmarkStart w:id="114" w:name="bookmark120"/>
      <w:bookmarkEnd w:id="114"/>
      <w:r>
        <w:rPr>
          <w:rFonts w:ascii="黑体" w:hAnsi="黑体" w:eastAsia="黑体" w:cs="黑体"/>
          <w:color w:val="auto"/>
          <w:spacing w:val="-7"/>
          <w:sz w:val="28"/>
          <w:szCs w:val="28"/>
          <w:lang w:eastAsia="zh-CN"/>
        </w:rPr>
        <w:t>7.5中标通知</w:t>
      </w:r>
    </w:p>
    <w:p>
      <w:pPr>
        <w:spacing w:before="65" w:line="411" w:lineRule="auto"/>
        <w:ind w:left="20" w:right="2" w:firstLine="39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在本章第3.3款规定的投标有效期内，招标人以书面形式向中标人发出中标通知书，同时将</w:t>
      </w:r>
      <w:r>
        <w:rPr>
          <w:rFonts w:ascii="宋体" w:hAnsi="宋体" w:eastAsia="宋体" w:cs="宋体"/>
          <w:color w:val="auto"/>
          <w:spacing w:val="7"/>
          <w:sz w:val="20"/>
          <w:szCs w:val="20"/>
          <w:lang w:eastAsia="zh-CN"/>
        </w:rPr>
        <w:t>中标结果通知未中标的投标人。</w:t>
      </w:r>
    </w:p>
    <w:p>
      <w:pPr>
        <w:spacing w:before="77" w:line="222" w:lineRule="auto"/>
        <w:ind w:left="4"/>
        <w:outlineLvl w:val="2"/>
        <w:rPr>
          <w:rFonts w:ascii="黑体" w:hAnsi="黑体" w:eastAsia="黑体" w:cs="黑体"/>
          <w:color w:val="auto"/>
          <w:sz w:val="28"/>
          <w:szCs w:val="28"/>
          <w:lang w:eastAsia="zh-CN"/>
        </w:rPr>
      </w:pPr>
      <w:bookmarkStart w:id="115" w:name="bookmark121"/>
      <w:bookmarkEnd w:id="115"/>
      <w:bookmarkStart w:id="116" w:name="bookmark122"/>
      <w:bookmarkEnd w:id="116"/>
      <w:r>
        <w:rPr>
          <w:rFonts w:ascii="黑体" w:hAnsi="黑体" w:eastAsia="黑体" w:cs="黑体"/>
          <w:color w:val="auto"/>
          <w:spacing w:val="-2"/>
          <w:sz w:val="28"/>
          <w:szCs w:val="28"/>
          <w:lang w:eastAsia="zh-CN"/>
        </w:rPr>
        <w:t>7.6 履约担保</w:t>
      </w:r>
    </w:p>
    <w:p>
      <w:pPr>
        <w:spacing w:before="278" w:line="362" w:lineRule="auto"/>
        <w:ind w:right="2" w:firstLine="425"/>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7.6.1 在签订合同前，中标人应按投标人须知前附表规定的金额、担保形式和招标文件第四章“合同条款及格式”规定的履约担保格式向招标人提交履约担保。联合体中标的，其履约担保</w:t>
      </w:r>
      <w:r>
        <w:rPr>
          <w:rFonts w:ascii="宋体" w:hAnsi="宋体" w:eastAsia="宋体" w:cs="宋体"/>
          <w:color w:val="auto"/>
          <w:spacing w:val="9"/>
          <w:sz w:val="20"/>
          <w:szCs w:val="20"/>
          <w:lang w:eastAsia="zh-CN"/>
        </w:rPr>
        <w:t>由牵头人递交，并应符合投标人须知前附表规定的金额、担保形式和招标文件第四章“合</w:t>
      </w:r>
      <w:r>
        <w:rPr>
          <w:rFonts w:ascii="宋体" w:hAnsi="宋体" w:eastAsia="宋体" w:cs="宋体"/>
          <w:color w:val="auto"/>
          <w:spacing w:val="8"/>
          <w:sz w:val="20"/>
          <w:szCs w:val="20"/>
          <w:lang w:eastAsia="zh-CN"/>
        </w:rPr>
        <w:t>同条款</w:t>
      </w:r>
      <w:r>
        <w:rPr>
          <w:rFonts w:ascii="宋体" w:hAnsi="宋体" w:eastAsia="宋体" w:cs="宋体"/>
          <w:color w:val="auto"/>
          <w:spacing w:val="7"/>
          <w:sz w:val="20"/>
          <w:szCs w:val="20"/>
          <w:lang w:eastAsia="zh-CN"/>
        </w:rPr>
        <w:t>及格式”规定的履约担保格式要求。</w:t>
      </w:r>
    </w:p>
    <w:p>
      <w:pPr>
        <w:spacing w:before="32" w:line="298" w:lineRule="auto"/>
        <w:ind w:left="7" w:right="2"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7.6.2中标人不能按本章第7.6.1项要求</w:t>
      </w:r>
      <w:r>
        <w:rPr>
          <w:rFonts w:ascii="宋体" w:hAnsi="宋体" w:eastAsia="宋体" w:cs="宋体"/>
          <w:color w:val="auto"/>
          <w:spacing w:val="6"/>
          <w:sz w:val="20"/>
          <w:szCs w:val="20"/>
          <w:lang w:eastAsia="zh-CN"/>
        </w:rPr>
        <w:t>提交履约担保的，视为放弃中标，其投标保证金不</w:t>
      </w:r>
      <w:r>
        <w:rPr>
          <w:rFonts w:ascii="宋体" w:hAnsi="宋体" w:eastAsia="宋体" w:cs="宋体"/>
          <w:color w:val="auto"/>
          <w:spacing w:val="9"/>
          <w:sz w:val="20"/>
          <w:szCs w:val="20"/>
          <w:lang w:eastAsia="zh-CN"/>
        </w:rPr>
        <w:t>予退还，给招标人造成的损失超过投标保证金数额的，中标人还应当对超过部分予以赔偿。</w:t>
      </w:r>
    </w:p>
    <w:p>
      <w:pPr>
        <w:spacing w:before="142" w:line="224" w:lineRule="auto"/>
        <w:ind w:left="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7.7 签订合同</w:t>
      </w:r>
    </w:p>
    <w:p>
      <w:pPr>
        <w:spacing w:before="183" w:line="375" w:lineRule="auto"/>
        <w:ind w:left="1"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7.7.1 招标人和中标人应当在中标通知书发出之日起30 日内，</w:t>
      </w:r>
      <w:r>
        <w:rPr>
          <w:rFonts w:ascii="宋体" w:hAnsi="宋体" w:eastAsia="宋体" w:cs="宋体"/>
          <w:color w:val="auto"/>
          <w:spacing w:val="8"/>
          <w:sz w:val="20"/>
          <w:szCs w:val="20"/>
          <w:lang w:eastAsia="zh-CN"/>
        </w:rPr>
        <w:t>根据招标文件和中标人的投</w:t>
      </w:r>
      <w:r>
        <w:rPr>
          <w:rFonts w:ascii="宋体" w:hAnsi="宋体" w:eastAsia="宋体" w:cs="宋体"/>
          <w:color w:val="auto"/>
          <w:spacing w:val="9"/>
          <w:sz w:val="20"/>
          <w:szCs w:val="20"/>
          <w:lang w:eastAsia="zh-CN"/>
        </w:rPr>
        <w:t>标文件订立书面合同。中标人无正当理由拒签合同，在签订合同时向招标人提出附加条</w:t>
      </w:r>
      <w:r>
        <w:rPr>
          <w:rFonts w:ascii="宋体" w:hAnsi="宋体" w:eastAsia="宋体" w:cs="宋体"/>
          <w:color w:val="auto"/>
          <w:spacing w:val="8"/>
          <w:sz w:val="20"/>
          <w:szCs w:val="20"/>
          <w:lang w:eastAsia="zh-CN"/>
        </w:rPr>
        <w:t>件，或者</w:t>
      </w:r>
      <w:r>
        <w:rPr>
          <w:rFonts w:ascii="宋体" w:hAnsi="宋体" w:eastAsia="宋体" w:cs="宋体"/>
          <w:color w:val="auto"/>
          <w:spacing w:val="9"/>
          <w:sz w:val="20"/>
          <w:szCs w:val="20"/>
          <w:lang w:eastAsia="zh-CN"/>
        </w:rPr>
        <w:t>不按照招标文件要求提交履约保证金的，招标人取消其中标资格，其投标保证金不予退</w:t>
      </w:r>
      <w:r>
        <w:rPr>
          <w:rFonts w:ascii="宋体" w:hAnsi="宋体" w:eastAsia="宋体" w:cs="宋体"/>
          <w:color w:val="auto"/>
          <w:spacing w:val="8"/>
          <w:sz w:val="20"/>
          <w:szCs w:val="20"/>
          <w:lang w:eastAsia="zh-CN"/>
        </w:rPr>
        <w:t>还；给招</w:t>
      </w:r>
      <w:r>
        <w:rPr>
          <w:rFonts w:ascii="宋体" w:hAnsi="宋体" w:eastAsia="宋体" w:cs="宋体"/>
          <w:color w:val="auto"/>
          <w:spacing w:val="9"/>
          <w:sz w:val="20"/>
          <w:szCs w:val="20"/>
          <w:lang w:eastAsia="zh-CN"/>
        </w:rPr>
        <w:t>标人造成的损失超过投标保证金数额的，中标人还应当对超过部分予以赔偿。</w:t>
      </w:r>
    </w:p>
    <w:p>
      <w:pPr>
        <w:spacing w:before="213" w:line="326" w:lineRule="auto"/>
        <w:ind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7.7.2 发出中标通知书后，招标人无正当理由拒签合同，或者在签订合同时向中标人提出附</w:t>
      </w:r>
      <w:r>
        <w:rPr>
          <w:rFonts w:ascii="宋体" w:hAnsi="宋体" w:eastAsia="宋体" w:cs="宋体"/>
          <w:color w:val="auto"/>
          <w:spacing w:val="9"/>
          <w:sz w:val="20"/>
          <w:szCs w:val="20"/>
          <w:lang w:eastAsia="zh-CN"/>
        </w:rPr>
        <w:t>加条件的，招标人向中标人退还投标保证金；给中标人造成损失的，还应当赔偿损失。</w:t>
      </w:r>
    </w:p>
    <w:p>
      <w:pPr>
        <w:spacing w:before="215" w:line="325" w:lineRule="auto"/>
        <w:ind w:left="6"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7.7.3 联合体中标的，联合体各方应当共同与招标人签订合同，就中标项目向招标人承担连</w:t>
      </w:r>
      <w:r>
        <w:rPr>
          <w:rFonts w:ascii="宋体" w:hAnsi="宋体" w:eastAsia="宋体" w:cs="宋体"/>
          <w:color w:val="auto"/>
          <w:spacing w:val="3"/>
          <w:sz w:val="20"/>
          <w:szCs w:val="20"/>
          <w:lang w:eastAsia="zh-CN"/>
        </w:rPr>
        <w:t>带责任。</w:t>
      </w:r>
    </w:p>
    <w:p>
      <w:pPr>
        <w:pStyle w:val="3"/>
        <w:spacing w:line="317" w:lineRule="auto"/>
        <w:rPr>
          <w:color w:val="auto"/>
          <w:lang w:eastAsia="zh-CN"/>
        </w:rPr>
      </w:pPr>
    </w:p>
    <w:p>
      <w:pPr>
        <w:spacing w:before="101" w:line="226" w:lineRule="auto"/>
        <w:ind w:left="1"/>
        <w:outlineLvl w:val="1"/>
        <w:rPr>
          <w:rFonts w:ascii="黑体" w:hAnsi="黑体" w:eastAsia="黑体" w:cs="黑体"/>
          <w:color w:val="auto"/>
          <w:sz w:val="31"/>
          <w:szCs w:val="31"/>
          <w:lang w:eastAsia="zh-CN"/>
        </w:rPr>
      </w:pPr>
      <w:bookmarkStart w:id="117" w:name="bookmark126"/>
      <w:bookmarkEnd w:id="117"/>
      <w:bookmarkStart w:id="118" w:name="bookmark124"/>
      <w:bookmarkEnd w:id="118"/>
      <w:bookmarkStart w:id="119" w:name="bookmark123"/>
      <w:bookmarkEnd w:id="119"/>
      <w:r>
        <w:rPr>
          <w:rFonts w:ascii="黑体" w:hAnsi="黑体" w:eastAsia="黑体" w:cs="黑体"/>
          <w:b/>
          <w:bCs/>
          <w:color w:val="auto"/>
          <w:spacing w:val="4"/>
          <w:sz w:val="31"/>
          <w:szCs w:val="31"/>
          <w:lang w:eastAsia="zh-CN"/>
        </w:rPr>
        <w:t>8.纪律和监督</w:t>
      </w:r>
    </w:p>
    <w:p>
      <w:pPr>
        <w:pStyle w:val="3"/>
        <w:spacing w:line="282" w:lineRule="auto"/>
        <w:rPr>
          <w:color w:val="auto"/>
          <w:lang w:eastAsia="zh-CN"/>
        </w:rPr>
      </w:pPr>
    </w:p>
    <w:p>
      <w:pPr>
        <w:spacing w:before="92" w:line="223" w:lineRule="auto"/>
        <w:outlineLvl w:val="2"/>
        <w:rPr>
          <w:rFonts w:ascii="黑体" w:hAnsi="黑体" w:eastAsia="黑体" w:cs="黑体"/>
          <w:color w:val="auto"/>
          <w:sz w:val="28"/>
          <w:szCs w:val="28"/>
          <w:lang w:eastAsia="zh-CN"/>
        </w:rPr>
      </w:pPr>
      <w:bookmarkStart w:id="120" w:name="bookmark125"/>
      <w:bookmarkEnd w:id="120"/>
      <w:r>
        <w:rPr>
          <w:rFonts w:ascii="黑体" w:hAnsi="黑体" w:eastAsia="黑体" w:cs="黑体"/>
          <w:color w:val="auto"/>
          <w:spacing w:val="-1"/>
          <w:sz w:val="28"/>
          <w:szCs w:val="28"/>
          <w:lang w:eastAsia="zh-CN"/>
        </w:rPr>
        <w:t>8.1 对招标人的纪律要求</w:t>
      </w:r>
    </w:p>
    <w:p>
      <w:pPr>
        <w:spacing w:before="278" w:line="355" w:lineRule="auto"/>
        <w:ind w:left="2" w:right="3"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招标人不得泄漏招标投标活动中应当保密的情况和资料，不得与投标人串通</w:t>
      </w:r>
      <w:r>
        <w:rPr>
          <w:rFonts w:ascii="宋体" w:hAnsi="宋体" w:eastAsia="宋体" w:cs="宋体"/>
          <w:color w:val="auto"/>
          <w:spacing w:val="8"/>
          <w:sz w:val="20"/>
          <w:szCs w:val="20"/>
          <w:lang w:eastAsia="zh-CN"/>
        </w:rPr>
        <w:t>损害国家利益、社会公共利益或者他人合法权益。</w:t>
      </w:r>
    </w:p>
    <w:p>
      <w:pPr>
        <w:spacing w:before="33" w:line="228" w:lineRule="auto"/>
        <w:ind w:left="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下列行为均属招标人与投标人串通投标：</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（一）招标人在开标前开启投标文件并将有关信息泄露给其他投标人；</w:t>
      </w:r>
    </w:p>
    <w:p>
      <w:pPr>
        <w:spacing w:before="154" w:line="227" w:lineRule="auto"/>
        <w:ind w:left="430"/>
        <w:rPr>
          <w:color w:val="auto"/>
          <w:lang w:eastAsia="zh-CN"/>
        </w:rPr>
      </w:pPr>
      <w:r>
        <w:rPr>
          <w:rFonts w:ascii="宋体" w:hAnsi="宋体" w:eastAsia="宋体" w:cs="宋体"/>
          <w:color w:val="auto"/>
          <w:spacing w:val="9"/>
          <w:sz w:val="20"/>
          <w:szCs w:val="20"/>
          <w:lang w:eastAsia="zh-CN"/>
        </w:rPr>
        <w:t>（二）招标人直接或者间接向投标人泄露标底、评标委员会成员等信息；</w:t>
      </w:r>
    </w:p>
    <w:p>
      <w:pPr>
        <w:spacing w:before="6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（三）招标人明示或者暗示投标人压低或者抬高</w:t>
      </w:r>
      <w:r>
        <w:rPr>
          <w:rFonts w:ascii="宋体" w:hAnsi="宋体" w:eastAsia="宋体" w:cs="宋体"/>
          <w:color w:val="auto"/>
          <w:spacing w:val="8"/>
          <w:sz w:val="20"/>
          <w:szCs w:val="20"/>
          <w:lang w:eastAsia="zh-CN"/>
        </w:rPr>
        <w:t>投标报价；</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（四）招标人授意投标人撤换、修改投标文件；</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（五）招标人明示或者暗示投标人为特定投标人中标提供</w:t>
      </w:r>
      <w:r>
        <w:rPr>
          <w:rFonts w:ascii="宋体" w:hAnsi="宋体" w:eastAsia="宋体" w:cs="宋体"/>
          <w:color w:val="auto"/>
          <w:spacing w:val="8"/>
          <w:sz w:val="20"/>
          <w:szCs w:val="20"/>
          <w:lang w:eastAsia="zh-CN"/>
        </w:rPr>
        <w:t>方便；</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（六）招标人与投标人为谋求特定投标人中标而采取的其他串通行为。</w:t>
      </w:r>
    </w:p>
    <w:p>
      <w:pPr>
        <w:spacing w:before="251" w:line="223" w:lineRule="auto"/>
        <w:outlineLvl w:val="2"/>
        <w:rPr>
          <w:rFonts w:ascii="黑体" w:hAnsi="黑体" w:eastAsia="黑体" w:cs="黑体"/>
          <w:color w:val="auto"/>
          <w:sz w:val="28"/>
          <w:szCs w:val="28"/>
          <w:lang w:eastAsia="zh-CN"/>
        </w:rPr>
      </w:pPr>
      <w:bookmarkStart w:id="121" w:name="bookmark128"/>
      <w:bookmarkEnd w:id="121"/>
      <w:bookmarkStart w:id="122" w:name="bookmark127"/>
      <w:bookmarkEnd w:id="122"/>
      <w:r>
        <w:rPr>
          <w:rFonts w:ascii="黑体" w:hAnsi="黑体" w:eastAsia="黑体" w:cs="黑体"/>
          <w:color w:val="auto"/>
          <w:spacing w:val="-1"/>
          <w:sz w:val="28"/>
          <w:szCs w:val="28"/>
          <w:lang w:eastAsia="zh-CN"/>
        </w:rPr>
        <w:t>8.2 对投标人的纪律要求</w:t>
      </w:r>
    </w:p>
    <w:p>
      <w:pPr>
        <w:spacing w:before="279" w:line="359"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投标人不得相互串通投标或者与招标人串通投标，不得向招标人或者评标</w:t>
      </w:r>
      <w:r>
        <w:rPr>
          <w:rFonts w:ascii="宋体" w:hAnsi="宋体" w:eastAsia="宋体" w:cs="宋体"/>
          <w:color w:val="auto"/>
          <w:spacing w:val="8"/>
          <w:sz w:val="20"/>
          <w:szCs w:val="20"/>
          <w:lang w:eastAsia="zh-CN"/>
        </w:rPr>
        <w:t>委员会成员行贿谋</w:t>
      </w:r>
      <w:r>
        <w:rPr>
          <w:rFonts w:ascii="宋体" w:hAnsi="宋体" w:eastAsia="宋体" w:cs="宋体"/>
          <w:color w:val="auto"/>
          <w:spacing w:val="9"/>
          <w:sz w:val="20"/>
          <w:szCs w:val="20"/>
          <w:lang w:eastAsia="zh-CN"/>
        </w:rPr>
        <w:t>取中标，不得以他人名义投标或者以其它方式弄虚作假骗取中标；投标人不得以任何方</w:t>
      </w:r>
      <w:r>
        <w:rPr>
          <w:rFonts w:ascii="宋体" w:hAnsi="宋体" w:eastAsia="宋体" w:cs="宋体"/>
          <w:color w:val="auto"/>
          <w:spacing w:val="8"/>
          <w:sz w:val="20"/>
          <w:szCs w:val="20"/>
          <w:lang w:eastAsia="zh-CN"/>
        </w:rPr>
        <w:t>式干扰、</w:t>
      </w:r>
      <w:r>
        <w:rPr>
          <w:rFonts w:ascii="宋体" w:hAnsi="宋体" w:eastAsia="宋体" w:cs="宋体"/>
          <w:color w:val="auto"/>
          <w:spacing w:val="7"/>
          <w:sz w:val="20"/>
          <w:szCs w:val="20"/>
          <w:lang w:eastAsia="zh-CN"/>
        </w:rPr>
        <w:t>影响评标工作。</w:t>
      </w:r>
    </w:p>
    <w:p>
      <w:pPr>
        <w:spacing w:before="32" w:line="228"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8.2.1  下列行为均属以他人名义投标：</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（1）投标人挂靠其它施工单位；</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（2）投标人从其它施工单位通过转让或租借的方式获取资格或</w:t>
      </w:r>
      <w:r>
        <w:rPr>
          <w:rFonts w:ascii="宋体" w:hAnsi="宋体" w:eastAsia="宋体" w:cs="宋体"/>
          <w:color w:val="auto"/>
          <w:spacing w:val="8"/>
          <w:sz w:val="20"/>
          <w:szCs w:val="20"/>
          <w:lang w:eastAsia="zh-CN"/>
        </w:rPr>
        <w:t>资质证书；</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（3）由其它单位及法定代表人在自己编制的投标文件上加盖印</w:t>
      </w:r>
      <w:r>
        <w:rPr>
          <w:rFonts w:ascii="宋体" w:hAnsi="宋体" w:eastAsia="宋体" w:cs="宋体"/>
          <w:color w:val="auto"/>
          <w:spacing w:val="7"/>
          <w:sz w:val="20"/>
          <w:szCs w:val="20"/>
          <w:lang w:eastAsia="zh-CN"/>
        </w:rPr>
        <w:t>章或签字的行为。</w:t>
      </w:r>
    </w:p>
    <w:p>
      <w:pPr>
        <w:spacing w:before="153" w:line="227"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8.2.2  下列行为，视为他人以本单位名义承揽</w:t>
      </w:r>
      <w:r>
        <w:rPr>
          <w:rFonts w:ascii="宋体" w:hAnsi="宋体" w:eastAsia="宋体" w:cs="宋体"/>
          <w:color w:val="auto"/>
          <w:spacing w:val="7"/>
          <w:sz w:val="20"/>
          <w:szCs w:val="20"/>
          <w:lang w:eastAsia="zh-CN"/>
        </w:rPr>
        <w:t>工程：</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（1）投标人的法定代表人的委托代理人不是</w:t>
      </w:r>
      <w:r>
        <w:rPr>
          <w:rFonts w:ascii="宋体" w:hAnsi="宋体" w:eastAsia="宋体" w:cs="宋体"/>
          <w:color w:val="auto"/>
          <w:spacing w:val="8"/>
          <w:sz w:val="20"/>
          <w:szCs w:val="20"/>
          <w:lang w:eastAsia="zh-CN"/>
        </w:rPr>
        <w:t>投标人本单位人员；</w:t>
      </w:r>
    </w:p>
    <w:p>
      <w:pPr>
        <w:spacing w:before="155" w:line="297"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（2）投标人拟在施工现场所设项目管理机构的项目负责人、技术负责人、财务负责人、质</w:t>
      </w:r>
      <w:r>
        <w:rPr>
          <w:rFonts w:ascii="宋体" w:hAnsi="宋体" w:eastAsia="宋体" w:cs="宋体"/>
          <w:color w:val="auto"/>
          <w:spacing w:val="9"/>
          <w:sz w:val="20"/>
          <w:szCs w:val="20"/>
          <w:lang w:eastAsia="zh-CN"/>
        </w:rPr>
        <w:t>量管理人员、安全管理人员（专职安全生产管理人员）不是本单位人员。</w:t>
      </w:r>
    </w:p>
    <w:p>
      <w:pPr>
        <w:spacing w:before="155"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投标人本单位人员，必须同时满足以下条件：</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（1）聘任合同必须由投标人单位与之签订；</w:t>
      </w:r>
    </w:p>
    <w:p>
      <w:pPr>
        <w:spacing w:before="152"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（2）投标人单位为其办理社会保险关系，或具有其它有效证明</w:t>
      </w:r>
      <w:r>
        <w:rPr>
          <w:rFonts w:ascii="宋体" w:hAnsi="宋体" w:eastAsia="宋体" w:cs="宋体"/>
          <w:color w:val="auto"/>
          <w:spacing w:val="7"/>
          <w:sz w:val="20"/>
          <w:szCs w:val="20"/>
          <w:lang w:eastAsia="zh-CN"/>
        </w:rPr>
        <w:t>其为本单位人员身份的文件。</w:t>
      </w:r>
    </w:p>
    <w:p>
      <w:pPr>
        <w:spacing w:before="155" w:line="226" w:lineRule="auto"/>
        <w:ind w:left="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8.2.3  下列行为均属投标人串通投标报价：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（1）投标人之间相互约定抬高或压低投标报价；</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（2）投标人之间相互约定，在招标项目中分别以高、中、低</w:t>
      </w:r>
      <w:r>
        <w:rPr>
          <w:rFonts w:ascii="宋体" w:hAnsi="宋体" w:eastAsia="宋体" w:cs="宋体"/>
          <w:color w:val="auto"/>
          <w:spacing w:val="8"/>
          <w:sz w:val="20"/>
          <w:szCs w:val="20"/>
          <w:lang w:eastAsia="zh-CN"/>
        </w:rPr>
        <w:t>价位报价；</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（3）投标人之间先进行内部竞价，内定中标人，然后再参加投标；</w:t>
      </w:r>
    </w:p>
    <w:p>
      <w:pPr>
        <w:spacing w:before="156"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（4）投标人之间其它串通投标报价的行为。</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8.2.4  有下列情形之一的，视为投标人相互串通投</w:t>
      </w:r>
      <w:r>
        <w:rPr>
          <w:rFonts w:ascii="宋体" w:hAnsi="宋体" w:eastAsia="宋体" w:cs="宋体"/>
          <w:color w:val="auto"/>
          <w:spacing w:val="7"/>
          <w:sz w:val="20"/>
          <w:szCs w:val="20"/>
          <w:lang w:eastAsia="zh-CN"/>
        </w:rPr>
        <w:t>标：</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（1）不同投标人的投标文件由同一单位或者个人编制；</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（2）不同投标人委托同一单位或者个人办理投标事宜；</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（3）不同投标人的投标文件载明的项目管理成员为同一人；</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（4）不同投标人的投标文件异常一致或者投标报价</w:t>
      </w:r>
      <w:r>
        <w:rPr>
          <w:rFonts w:ascii="宋体" w:hAnsi="宋体" w:eastAsia="宋体" w:cs="宋体"/>
          <w:color w:val="auto"/>
          <w:spacing w:val="8"/>
          <w:sz w:val="20"/>
          <w:szCs w:val="20"/>
          <w:lang w:eastAsia="zh-CN"/>
        </w:rPr>
        <w:t>呈规律性差异；</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（5）不同投标人的投标文件相互混装；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（6）不同投标人的投标保证金从同一单位或</w:t>
      </w:r>
      <w:r>
        <w:rPr>
          <w:rFonts w:ascii="宋体" w:hAnsi="宋体" w:eastAsia="宋体" w:cs="宋体"/>
          <w:color w:val="auto"/>
          <w:spacing w:val="8"/>
          <w:sz w:val="20"/>
          <w:szCs w:val="20"/>
          <w:lang w:eastAsia="zh-CN"/>
        </w:rPr>
        <w:t>者个人的账户转出；</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（7）不同投标人的投标文件由同一台电脑编制。</w:t>
      </w:r>
    </w:p>
    <w:p>
      <w:pPr>
        <w:spacing w:line="228" w:lineRule="auto"/>
        <w:rPr>
          <w:rFonts w:ascii="宋体" w:hAnsi="宋体" w:eastAsia="宋体" w:cs="宋体"/>
          <w:color w:val="auto"/>
          <w:sz w:val="20"/>
          <w:szCs w:val="20"/>
          <w:lang w:eastAsia="zh-CN"/>
        </w:rPr>
      </w:pPr>
    </w:p>
    <w:p>
      <w:pPr>
        <w:spacing w:before="65" w:line="227"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8.2.5  有下列情形之一的，属于投标人弄虚作假的行为：</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（1）使用伪造、变造的许可证件；</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（2）提供虚假的财务状况或者业绩；</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（3）提供虚假的项目负责人或者主要技术人员简历、</w:t>
      </w:r>
      <w:r>
        <w:rPr>
          <w:rFonts w:ascii="宋体" w:hAnsi="宋体" w:eastAsia="宋体" w:cs="宋体"/>
          <w:color w:val="auto"/>
          <w:spacing w:val="8"/>
          <w:sz w:val="20"/>
          <w:szCs w:val="20"/>
          <w:lang w:eastAsia="zh-CN"/>
        </w:rPr>
        <w:t>劳动关系证明；</w:t>
      </w:r>
    </w:p>
    <w:p>
      <w:pPr>
        <w:spacing w:before="154"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（4）提供虚假的信用状况；</w:t>
      </w:r>
    </w:p>
    <w:p>
      <w:pPr>
        <w:spacing w:before="155" w:line="227" w:lineRule="auto"/>
        <w:ind w:left="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（5）其他弄虚作假的行为。</w:t>
      </w:r>
    </w:p>
    <w:p>
      <w:pPr>
        <w:spacing w:before="249" w:line="222" w:lineRule="auto"/>
        <w:ind w:left="3"/>
        <w:outlineLvl w:val="2"/>
        <w:rPr>
          <w:rFonts w:ascii="黑体" w:hAnsi="黑体" w:eastAsia="黑体" w:cs="黑体"/>
          <w:color w:val="auto"/>
          <w:sz w:val="28"/>
          <w:szCs w:val="28"/>
          <w:lang w:eastAsia="zh-CN"/>
        </w:rPr>
      </w:pPr>
      <w:bookmarkStart w:id="123" w:name="bookmark130"/>
      <w:bookmarkEnd w:id="123"/>
      <w:bookmarkStart w:id="124" w:name="bookmark129"/>
      <w:bookmarkEnd w:id="124"/>
      <w:r>
        <w:rPr>
          <w:rFonts w:ascii="黑体" w:hAnsi="黑体" w:eastAsia="黑体" w:cs="黑体"/>
          <w:color w:val="auto"/>
          <w:spacing w:val="-1"/>
          <w:sz w:val="28"/>
          <w:szCs w:val="28"/>
          <w:lang w:eastAsia="zh-CN"/>
        </w:rPr>
        <w:t>8.3 对评标委员会成员的纪律要求</w:t>
      </w:r>
    </w:p>
    <w:p>
      <w:pPr>
        <w:spacing w:before="279" w:line="362" w:lineRule="auto"/>
        <w:ind w:left="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评标委员会成员不得收受他人的财物或者其他好处，不得向他人透露对投标文件</w:t>
      </w:r>
      <w:r>
        <w:rPr>
          <w:rFonts w:ascii="宋体" w:hAnsi="宋体" w:eastAsia="宋体" w:cs="宋体"/>
          <w:color w:val="auto"/>
          <w:spacing w:val="8"/>
          <w:sz w:val="20"/>
          <w:szCs w:val="20"/>
          <w:lang w:eastAsia="zh-CN"/>
        </w:rPr>
        <w:t>的评审和比</w:t>
      </w:r>
      <w:r>
        <w:rPr>
          <w:rFonts w:ascii="宋体" w:hAnsi="宋体" w:eastAsia="宋体" w:cs="宋体"/>
          <w:color w:val="auto"/>
          <w:spacing w:val="6"/>
          <w:sz w:val="20"/>
          <w:szCs w:val="20"/>
          <w:lang w:eastAsia="zh-CN"/>
        </w:rPr>
        <w:t>较、中标候选人的推荐情况以及评标有关的其他情况。在评标活动中</w:t>
      </w:r>
      <w:r>
        <w:rPr>
          <w:rFonts w:ascii="宋体" w:hAnsi="宋体" w:eastAsia="宋体" w:cs="宋体"/>
          <w:color w:val="auto"/>
          <w:spacing w:val="5"/>
          <w:sz w:val="20"/>
          <w:szCs w:val="20"/>
          <w:lang w:eastAsia="zh-CN"/>
        </w:rPr>
        <w:t>，评标委员会成员应当客观、</w:t>
      </w:r>
      <w:r>
        <w:rPr>
          <w:rFonts w:ascii="宋体" w:hAnsi="宋体" w:eastAsia="宋体" w:cs="宋体"/>
          <w:color w:val="auto"/>
          <w:spacing w:val="9"/>
          <w:sz w:val="20"/>
          <w:szCs w:val="20"/>
          <w:lang w:eastAsia="zh-CN"/>
        </w:rPr>
        <w:t>公正地履行职责，遵守职业道德，不得擅离职守，影响评标程序正常进行，不得使用第三</w:t>
      </w:r>
      <w:r>
        <w:rPr>
          <w:rFonts w:ascii="宋体" w:hAnsi="宋体" w:eastAsia="宋体" w:cs="宋体"/>
          <w:color w:val="auto"/>
          <w:spacing w:val="8"/>
          <w:sz w:val="20"/>
          <w:szCs w:val="20"/>
          <w:lang w:eastAsia="zh-CN"/>
        </w:rPr>
        <w:t>章“评</w:t>
      </w:r>
      <w:r>
        <w:rPr>
          <w:rFonts w:ascii="宋体" w:hAnsi="宋体" w:eastAsia="宋体" w:cs="宋体"/>
          <w:color w:val="auto"/>
          <w:spacing w:val="7"/>
          <w:sz w:val="20"/>
          <w:szCs w:val="20"/>
          <w:lang w:eastAsia="zh-CN"/>
        </w:rPr>
        <w:t>标办法”没有规定的评审因素和标准进行评标。</w:t>
      </w:r>
    </w:p>
    <w:p>
      <w:pPr>
        <w:spacing w:before="126" w:line="222" w:lineRule="auto"/>
        <w:ind w:left="3"/>
        <w:outlineLvl w:val="2"/>
        <w:rPr>
          <w:rFonts w:ascii="黑体" w:hAnsi="黑体" w:eastAsia="黑体" w:cs="黑体"/>
          <w:color w:val="auto"/>
          <w:sz w:val="28"/>
          <w:szCs w:val="28"/>
          <w:lang w:eastAsia="zh-CN"/>
        </w:rPr>
      </w:pPr>
      <w:bookmarkStart w:id="125" w:name="bookmark131"/>
      <w:bookmarkEnd w:id="125"/>
      <w:bookmarkStart w:id="126" w:name="bookmark132"/>
      <w:bookmarkEnd w:id="126"/>
      <w:r>
        <w:rPr>
          <w:rFonts w:ascii="黑体" w:hAnsi="黑体" w:eastAsia="黑体" w:cs="黑体"/>
          <w:color w:val="auto"/>
          <w:spacing w:val="-1"/>
          <w:sz w:val="28"/>
          <w:szCs w:val="28"/>
          <w:lang w:eastAsia="zh-CN"/>
        </w:rPr>
        <w:t>8.4 对与评标活动有关的工作人员的纪律要求</w:t>
      </w:r>
    </w:p>
    <w:p>
      <w:pPr>
        <w:spacing w:before="281" w:line="360" w:lineRule="auto"/>
        <w:ind w:left="7"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与评标活动有关的工作人员不得收受他人的财物或者其他好处，不得</w:t>
      </w:r>
      <w:r>
        <w:rPr>
          <w:rFonts w:ascii="宋体" w:hAnsi="宋体" w:eastAsia="宋体" w:cs="宋体"/>
          <w:color w:val="auto"/>
          <w:spacing w:val="8"/>
          <w:sz w:val="20"/>
          <w:szCs w:val="20"/>
          <w:lang w:eastAsia="zh-CN"/>
        </w:rPr>
        <w:t>向他人透露对投标文件</w:t>
      </w:r>
      <w:r>
        <w:rPr>
          <w:rFonts w:ascii="宋体" w:hAnsi="宋体" w:eastAsia="宋体" w:cs="宋体"/>
          <w:color w:val="auto"/>
          <w:spacing w:val="9"/>
          <w:sz w:val="20"/>
          <w:szCs w:val="20"/>
          <w:lang w:eastAsia="zh-CN"/>
        </w:rPr>
        <w:t>的评审和比较、中标候选人的推荐情况以及评标有关的其他情况。在评标活动中</w:t>
      </w:r>
      <w:r>
        <w:rPr>
          <w:rFonts w:ascii="宋体" w:hAnsi="宋体" w:eastAsia="宋体" w:cs="宋体"/>
          <w:color w:val="auto"/>
          <w:spacing w:val="8"/>
          <w:sz w:val="20"/>
          <w:szCs w:val="20"/>
          <w:lang w:eastAsia="zh-CN"/>
        </w:rPr>
        <w:t>，与评标活动有</w:t>
      </w:r>
      <w:r>
        <w:rPr>
          <w:rFonts w:ascii="宋体" w:hAnsi="宋体" w:eastAsia="宋体" w:cs="宋体"/>
          <w:color w:val="auto"/>
          <w:spacing w:val="9"/>
          <w:sz w:val="20"/>
          <w:szCs w:val="20"/>
          <w:lang w:eastAsia="zh-CN"/>
        </w:rPr>
        <w:t>关的工作人员不得擅离职守，影响评标程序正常进行。</w:t>
      </w:r>
    </w:p>
    <w:p>
      <w:pPr>
        <w:spacing w:before="126" w:line="221" w:lineRule="auto"/>
        <w:ind w:left="3"/>
        <w:outlineLvl w:val="2"/>
        <w:rPr>
          <w:rFonts w:ascii="黑体" w:hAnsi="黑体" w:eastAsia="黑体" w:cs="黑体"/>
          <w:color w:val="auto"/>
          <w:sz w:val="28"/>
          <w:szCs w:val="28"/>
          <w:lang w:eastAsia="zh-CN"/>
        </w:rPr>
      </w:pPr>
      <w:bookmarkStart w:id="127" w:name="bookmark133"/>
      <w:bookmarkEnd w:id="127"/>
      <w:bookmarkStart w:id="128" w:name="bookmark134"/>
      <w:bookmarkEnd w:id="128"/>
      <w:r>
        <w:rPr>
          <w:rFonts w:ascii="黑体" w:hAnsi="黑体" w:eastAsia="黑体" w:cs="黑体"/>
          <w:color w:val="auto"/>
          <w:spacing w:val="-2"/>
          <w:sz w:val="28"/>
          <w:szCs w:val="28"/>
          <w:lang w:eastAsia="zh-CN"/>
        </w:rPr>
        <w:t>8.5 投诉</w:t>
      </w:r>
    </w:p>
    <w:p>
      <w:pPr>
        <w:spacing w:before="281" w:line="359" w:lineRule="auto"/>
        <w:ind w:left="6" w:right="70" w:firstLine="418"/>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8.5.1 投标人或者其他利害关系人认为招标投标活动不符合法律、行政法规规定的，可以自</w:t>
      </w:r>
      <w:r>
        <w:rPr>
          <w:rFonts w:ascii="宋体" w:hAnsi="宋体" w:eastAsia="宋体" w:cs="宋体"/>
          <w:color w:val="auto"/>
          <w:spacing w:val="9"/>
          <w:sz w:val="20"/>
          <w:szCs w:val="20"/>
          <w:lang w:eastAsia="zh-CN"/>
        </w:rPr>
        <w:t>知道或者应当知道之日起10 日内按照《工程建设项目投标活动投诉处理办法》、《湖南省招标</w:t>
      </w:r>
      <w:r>
        <w:rPr>
          <w:rFonts w:ascii="宋体" w:hAnsi="宋体" w:eastAsia="宋体" w:cs="宋体"/>
          <w:color w:val="auto"/>
          <w:spacing w:val="8"/>
          <w:sz w:val="20"/>
          <w:szCs w:val="20"/>
          <w:lang w:eastAsia="zh-CN"/>
        </w:rPr>
        <w:t>投标活动投诉处理办法》向有关行政监督部门投诉。投诉应当有明确的请求和必要</w:t>
      </w:r>
      <w:r>
        <w:rPr>
          <w:rFonts w:ascii="宋体" w:hAnsi="宋体" w:eastAsia="宋体" w:cs="宋体"/>
          <w:color w:val="auto"/>
          <w:spacing w:val="7"/>
          <w:sz w:val="20"/>
          <w:szCs w:val="20"/>
          <w:lang w:eastAsia="zh-CN"/>
        </w:rPr>
        <w:t>的证明材料。</w:t>
      </w:r>
    </w:p>
    <w:p>
      <w:pPr>
        <w:spacing w:before="34" w:line="355"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8.5.2 投标人或者其他利害关系人对招标文件、开标和评标结果提出投诉的，应当按照投标</w:t>
      </w:r>
      <w:r>
        <w:rPr>
          <w:rFonts w:ascii="宋体" w:hAnsi="宋体" w:eastAsia="宋体" w:cs="宋体"/>
          <w:color w:val="auto"/>
          <w:spacing w:val="6"/>
          <w:sz w:val="20"/>
          <w:szCs w:val="20"/>
          <w:lang w:eastAsia="zh-CN"/>
        </w:rPr>
        <w:t>人须知第10.3款的规定先向招标人提出异议。异议答复期间不计算在第8.5.1项规定的期限内。</w:t>
      </w: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101" w:line="228" w:lineRule="auto"/>
        <w:outlineLvl w:val="1"/>
        <w:rPr>
          <w:rFonts w:ascii="黑体" w:hAnsi="黑体" w:eastAsia="黑体" w:cs="黑体"/>
          <w:color w:val="auto"/>
          <w:sz w:val="31"/>
          <w:szCs w:val="31"/>
          <w:lang w:eastAsia="zh-CN"/>
        </w:rPr>
      </w:pPr>
      <w:bookmarkStart w:id="129" w:name="bookmark136"/>
      <w:bookmarkEnd w:id="129"/>
      <w:bookmarkStart w:id="130" w:name="bookmark135"/>
      <w:bookmarkEnd w:id="130"/>
      <w:r>
        <w:rPr>
          <w:rFonts w:ascii="黑体" w:hAnsi="黑体" w:eastAsia="黑体" w:cs="黑体"/>
          <w:b/>
          <w:bCs/>
          <w:color w:val="auto"/>
          <w:spacing w:val="6"/>
          <w:sz w:val="31"/>
          <w:szCs w:val="31"/>
          <w:lang w:eastAsia="zh-CN"/>
        </w:rPr>
        <w:t>9.需要补充的其他内容</w:t>
      </w:r>
    </w:p>
    <w:p>
      <w:pPr>
        <w:pStyle w:val="3"/>
        <w:spacing w:line="367" w:lineRule="auto"/>
        <w:rPr>
          <w:color w:val="auto"/>
          <w:lang w:eastAsia="zh-CN"/>
        </w:rPr>
      </w:pPr>
    </w:p>
    <w:p>
      <w:pPr>
        <w:spacing w:before="65" w:line="227" w:lineRule="auto"/>
        <w:ind w:left="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需要补充的其他内容：见投标人须知前附表。</w:t>
      </w:r>
    </w:p>
    <w:p>
      <w:pPr>
        <w:spacing w:line="227" w:lineRule="auto"/>
        <w:rPr>
          <w:rFonts w:ascii="宋体" w:hAnsi="宋体" w:eastAsia="宋体" w:cs="宋体"/>
          <w:color w:val="auto"/>
          <w:sz w:val="20"/>
          <w:szCs w:val="20"/>
          <w:lang w:eastAsia="zh-CN"/>
        </w:rPr>
        <w:sectPr>
          <w:footerReference r:id="rId14" w:type="default"/>
          <w:pgSz w:w="11906" w:h="16839"/>
          <w:pgMar w:top="1431" w:right="1462" w:bottom="1356" w:left="1592" w:header="0" w:footer="1191" w:gutter="0"/>
          <w:cols w:space="720" w:num="1"/>
          <w:docGrid w:linePitch="0" w:charSpace="0"/>
        </w:sectPr>
      </w:pPr>
    </w:p>
    <w:p>
      <w:pPr>
        <w:pStyle w:val="3"/>
        <w:spacing w:line="431" w:lineRule="auto"/>
        <w:rPr>
          <w:color w:val="auto"/>
          <w:lang w:eastAsia="zh-CN"/>
        </w:rPr>
      </w:pPr>
    </w:p>
    <w:p>
      <w:pPr>
        <w:spacing w:before="101" w:line="224" w:lineRule="auto"/>
        <w:ind w:left="185"/>
        <w:outlineLvl w:val="2"/>
        <w:rPr>
          <w:rFonts w:ascii="宋体" w:hAnsi="宋体" w:eastAsia="宋体" w:cs="宋体"/>
          <w:color w:val="auto"/>
          <w:sz w:val="31"/>
          <w:szCs w:val="31"/>
          <w:lang w:eastAsia="zh-CN"/>
        </w:rPr>
      </w:pPr>
      <w:bookmarkStart w:id="131" w:name="bookmark541"/>
      <w:bookmarkEnd w:id="131"/>
      <w:bookmarkStart w:id="132" w:name="bookmark138"/>
      <w:bookmarkEnd w:id="132"/>
      <w:bookmarkStart w:id="133" w:name="bookmark137"/>
      <w:bookmarkEnd w:id="133"/>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1</w:t>
      </w:r>
      <w:r>
        <w:rPr>
          <w:rFonts w:ascii="宋体" w:hAnsi="宋体" w:eastAsia="宋体" w:cs="宋体"/>
          <w:b/>
          <w:bCs/>
          <w:color w:val="auto"/>
          <w:spacing w:val="-1"/>
          <w:sz w:val="31"/>
          <w:szCs w:val="31"/>
          <w:lang w:eastAsia="zh-CN"/>
        </w:rPr>
        <w:t>：招标文件修改通知</w:t>
      </w:r>
    </w:p>
    <w:p>
      <w:pPr>
        <w:pStyle w:val="3"/>
        <w:spacing w:line="241" w:lineRule="auto"/>
        <w:rPr>
          <w:color w:val="auto"/>
          <w:lang w:eastAsia="zh-CN"/>
        </w:rPr>
      </w:pPr>
    </w:p>
    <w:p>
      <w:pPr>
        <w:pStyle w:val="3"/>
        <w:spacing w:line="241" w:lineRule="auto"/>
        <w:rPr>
          <w:color w:val="auto"/>
          <w:lang w:eastAsia="zh-CN"/>
        </w:rPr>
      </w:pPr>
    </w:p>
    <w:p>
      <w:pPr>
        <w:spacing w:before="91" w:line="222" w:lineRule="auto"/>
        <w:ind w:left="327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招标文件修改通知</w:t>
      </w:r>
    </w:p>
    <w:p>
      <w:pPr>
        <w:pStyle w:val="3"/>
        <w:spacing w:line="287" w:lineRule="auto"/>
        <w:rPr>
          <w:color w:val="auto"/>
          <w:lang w:eastAsia="zh-CN"/>
        </w:rPr>
      </w:pPr>
    </w:p>
    <w:p>
      <w:pPr>
        <w:pStyle w:val="3"/>
        <w:spacing w:line="288" w:lineRule="auto"/>
        <w:rPr>
          <w:color w:val="auto"/>
          <w:lang w:eastAsia="zh-CN"/>
        </w:rPr>
      </w:pPr>
    </w:p>
    <w:p>
      <w:pPr>
        <w:spacing w:before="65" w:line="228" w:lineRule="auto"/>
        <w:ind w:left="340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（编号</w:t>
      </w:r>
      <w:r>
        <w:rPr>
          <w:rFonts w:ascii="宋体" w:hAnsi="宋体" w:eastAsia="宋体" w:cs="宋体"/>
          <w:color w:val="auto"/>
          <w:spacing w:val="5"/>
          <w:sz w:val="20"/>
          <w:szCs w:val="20"/>
          <w:lang w:eastAsia="zh-CN"/>
        </w:rPr>
        <w:t>：）</w:t>
      </w:r>
    </w:p>
    <w:p>
      <w:pPr>
        <w:pStyle w:val="3"/>
        <w:spacing w:line="301" w:lineRule="auto"/>
        <w:rPr>
          <w:color w:val="auto"/>
          <w:lang w:eastAsia="zh-CN"/>
        </w:rPr>
      </w:pPr>
    </w:p>
    <w:p>
      <w:pPr>
        <w:pStyle w:val="3"/>
        <w:spacing w:line="302"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经研究，对（项目名称）设备（材料）采购招标文件，作如下修改：</w:t>
      </w:r>
    </w:p>
    <w:p>
      <w:pPr>
        <w:spacing w:before="214" w:line="228" w:lineRule="auto"/>
        <w:ind w:left="433"/>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1.原条款第条为：</w:t>
      </w:r>
    </w:p>
    <w:p>
      <w:pPr>
        <w:spacing w:before="213" w:line="228" w:lineRule="auto"/>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现修改为</w:t>
      </w:r>
      <w:r>
        <w:rPr>
          <w:rFonts w:ascii="宋体" w:hAnsi="宋体" w:eastAsia="宋体" w:cs="宋体"/>
          <w:color w:val="auto"/>
          <w:spacing w:val="5"/>
          <w:sz w:val="20"/>
          <w:szCs w:val="20"/>
          <w:u w:val="single"/>
          <w:lang w:eastAsia="zh-CN"/>
        </w:rPr>
        <w:t>。</w:t>
      </w:r>
    </w:p>
    <w:p>
      <w:pPr>
        <w:spacing w:before="246" w:line="494" w:lineRule="auto"/>
        <w:ind w:left="430" w:right="7107" w:hanging="10"/>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r>
        <w:rPr>
          <w:rFonts w:ascii="宋体" w:hAnsi="宋体" w:eastAsia="宋体" w:cs="宋体"/>
          <w:color w:val="auto"/>
          <w:spacing w:val="-2"/>
          <w:sz w:val="20"/>
          <w:szCs w:val="20"/>
          <w:lang w:eastAsia="zh-CN"/>
        </w:rPr>
        <w:t>……</w:t>
      </w:r>
    </w:p>
    <w:p>
      <w:pPr>
        <w:pStyle w:val="3"/>
        <w:spacing w:line="281" w:lineRule="auto"/>
        <w:rPr>
          <w:color w:val="auto"/>
          <w:lang w:eastAsia="zh-CN"/>
        </w:rPr>
      </w:pPr>
    </w:p>
    <w:p>
      <w:pPr>
        <w:pStyle w:val="3"/>
        <w:spacing w:line="281" w:lineRule="auto"/>
        <w:rPr>
          <w:color w:val="auto"/>
          <w:lang w:eastAsia="zh-CN"/>
        </w:rPr>
      </w:pPr>
    </w:p>
    <w:p>
      <w:pPr>
        <w:pStyle w:val="3"/>
        <w:spacing w:line="281" w:lineRule="auto"/>
        <w:rPr>
          <w:color w:val="auto"/>
          <w:lang w:eastAsia="zh-CN"/>
        </w:rPr>
      </w:pPr>
    </w:p>
    <w:p>
      <w:pPr>
        <w:pStyle w:val="3"/>
        <w:spacing w:line="282" w:lineRule="auto"/>
        <w:rPr>
          <w:color w:val="auto"/>
          <w:lang w:eastAsia="zh-CN"/>
        </w:rPr>
      </w:pPr>
    </w:p>
    <w:p>
      <w:pPr>
        <w:spacing w:before="65" w:line="227" w:lineRule="auto"/>
        <w:ind w:left="251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招标人（或招标代理机构</w:t>
      </w:r>
      <w:r>
        <w:rPr>
          <w:rFonts w:ascii="宋体" w:hAnsi="宋体" w:eastAsia="宋体" w:cs="宋体"/>
          <w:color w:val="auto"/>
          <w:spacing w:val="2"/>
          <w:sz w:val="20"/>
          <w:szCs w:val="20"/>
          <w:lang w:eastAsia="zh-CN"/>
        </w:rPr>
        <w:t>）：（</w:t>
      </w:r>
      <w:r>
        <w:rPr>
          <w:rFonts w:ascii="宋体" w:hAnsi="宋体" w:eastAsia="宋体" w:cs="宋体"/>
          <w:color w:val="auto"/>
          <w:spacing w:val="10"/>
          <w:sz w:val="20"/>
          <w:szCs w:val="20"/>
          <w:lang w:eastAsia="zh-CN"/>
        </w:rPr>
        <w:t>盖章）</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tabs>
          <w:tab w:val="left" w:pos="5552"/>
        </w:tabs>
        <w:spacing w:before="65" w:line="228" w:lineRule="auto"/>
        <w:ind w:left="4609"/>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5" w:type="default"/>
          <w:pgSz w:w="11906" w:h="16839"/>
          <w:pgMar w:top="1431" w:right="1530" w:bottom="1356" w:left="1598" w:header="0" w:footer="1191" w:gutter="0"/>
          <w:cols w:space="720" w:num="1"/>
          <w:docGrid w:linePitch="0" w:charSpace="0"/>
        </w:sectPr>
      </w:pPr>
    </w:p>
    <w:p>
      <w:pPr>
        <w:pStyle w:val="3"/>
        <w:spacing w:line="431" w:lineRule="auto"/>
        <w:rPr>
          <w:color w:val="auto"/>
          <w:lang w:eastAsia="zh-CN"/>
        </w:rPr>
      </w:pPr>
    </w:p>
    <w:p>
      <w:pPr>
        <w:spacing w:before="101" w:line="224" w:lineRule="auto"/>
        <w:ind w:left="316"/>
        <w:outlineLvl w:val="2"/>
        <w:rPr>
          <w:rFonts w:ascii="宋体" w:hAnsi="宋体" w:eastAsia="宋体" w:cs="宋体"/>
          <w:color w:val="auto"/>
          <w:sz w:val="31"/>
          <w:szCs w:val="31"/>
          <w:lang w:eastAsia="zh-CN"/>
        </w:rPr>
      </w:pPr>
      <w:bookmarkStart w:id="134" w:name="bookmark139"/>
      <w:bookmarkEnd w:id="134"/>
      <w:bookmarkStart w:id="135" w:name="bookmark140"/>
      <w:bookmarkEnd w:id="135"/>
      <w:r>
        <w:rPr>
          <w:rFonts w:ascii="宋体" w:hAnsi="宋体" w:eastAsia="宋体" w:cs="宋体"/>
          <w:b/>
          <w:bCs/>
          <w:color w:val="auto"/>
          <w:spacing w:val="-4"/>
          <w:sz w:val="31"/>
          <w:szCs w:val="31"/>
          <w:lang w:eastAsia="zh-CN"/>
        </w:rPr>
        <w:t>附件</w:t>
      </w:r>
      <w:r>
        <w:rPr>
          <w:rFonts w:ascii="Calibri" w:hAnsi="Calibri" w:eastAsia="Calibri" w:cs="Calibri"/>
          <w:b/>
          <w:bCs/>
          <w:color w:val="auto"/>
          <w:spacing w:val="-4"/>
          <w:sz w:val="31"/>
          <w:szCs w:val="31"/>
          <w:lang w:eastAsia="zh-CN"/>
        </w:rPr>
        <w:t>2</w:t>
      </w:r>
      <w:r>
        <w:rPr>
          <w:rFonts w:ascii="宋体" w:hAnsi="宋体" w:eastAsia="宋体" w:cs="宋体"/>
          <w:b/>
          <w:bCs/>
          <w:color w:val="auto"/>
          <w:spacing w:val="-4"/>
          <w:sz w:val="31"/>
          <w:szCs w:val="31"/>
          <w:lang w:eastAsia="zh-CN"/>
        </w:rPr>
        <w:t>：开标记录表</w:t>
      </w:r>
    </w:p>
    <w:p>
      <w:pPr>
        <w:pStyle w:val="3"/>
        <w:spacing w:line="374" w:lineRule="auto"/>
        <w:rPr>
          <w:color w:val="auto"/>
          <w:lang w:eastAsia="zh-CN"/>
        </w:rPr>
      </w:pPr>
    </w:p>
    <w:p>
      <w:pPr>
        <w:tabs>
          <w:tab w:val="left" w:pos="2481"/>
        </w:tabs>
        <w:spacing w:before="91" w:line="222" w:lineRule="auto"/>
        <w:ind w:left="164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（项目名称）标段施工开标记录表</w:t>
      </w:r>
    </w:p>
    <w:p>
      <w:pPr>
        <w:pStyle w:val="3"/>
        <w:spacing w:line="455" w:lineRule="auto"/>
        <w:rPr>
          <w:color w:val="auto"/>
          <w:lang w:eastAsia="zh-CN"/>
        </w:rPr>
      </w:pPr>
    </w:p>
    <w:p>
      <w:pPr>
        <w:spacing w:before="65" w:line="228" w:lineRule="auto"/>
        <w:ind w:left="4538"/>
        <w:rPr>
          <w:rFonts w:ascii="宋体" w:hAnsi="宋体" w:eastAsia="宋体" w:cs="宋体"/>
          <w:color w:val="auto"/>
          <w:sz w:val="20"/>
          <w:szCs w:val="20"/>
        </w:rPr>
      </w:pPr>
      <w:r>
        <w:rPr>
          <w:rFonts w:ascii="宋体" w:hAnsi="宋体" w:eastAsia="宋体" w:cs="宋体"/>
          <w:color w:val="auto"/>
          <w:sz w:val="20"/>
          <w:szCs w:val="20"/>
        </w:rPr>
        <w:t>开标时间：年月日时分</w:t>
      </w:r>
    </w:p>
    <w:p>
      <w:pPr>
        <w:spacing w:line="139" w:lineRule="auto"/>
        <w:rPr>
          <w:color w:val="auto"/>
          <w:sz w:val="2"/>
        </w:rPr>
      </w:pPr>
    </w:p>
    <w:tbl>
      <w:tblPr>
        <w:tblStyle w:val="14"/>
        <w:tblW w:w="90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8"/>
        <w:gridCol w:w="940"/>
        <w:gridCol w:w="1133"/>
        <w:gridCol w:w="1512"/>
        <w:gridCol w:w="1402"/>
        <w:gridCol w:w="1128"/>
        <w:gridCol w:w="817"/>
        <w:gridCol w:w="759"/>
        <w:gridCol w:w="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568" w:type="dxa"/>
            <w:textDirection w:val="tbRlV"/>
          </w:tcPr>
          <w:p>
            <w:pPr>
              <w:pStyle w:val="15"/>
              <w:spacing w:before="178" w:line="218" w:lineRule="auto"/>
              <w:ind w:left="114"/>
              <w:rPr>
                <w:color w:val="auto"/>
              </w:rPr>
            </w:pPr>
            <w:r>
              <w:rPr>
                <w:b/>
                <w:bCs/>
                <w:color w:val="auto"/>
                <w:spacing w:val="6"/>
              </w:rPr>
              <w:t>序号</w:t>
            </w:r>
          </w:p>
        </w:tc>
        <w:tc>
          <w:tcPr>
            <w:tcW w:w="940" w:type="dxa"/>
          </w:tcPr>
          <w:p>
            <w:pPr>
              <w:pStyle w:val="15"/>
              <w:spacing w:before="294" w:line="228" w:lineRule="auto"/>
              <w:ind w:left="158"/>
              <w:rPr>
                <w:color w:val="auto"/>
              </w:rPr>
            </w:pPr>
            <w:r>
              <w:rPr>
                <w:b/>
                <w:bCs/>
                <w:color w:val="auto"/>
                <w:spacing w:val="4"/>
              </w:rPr>
              <w:t>投标人</w:t>
            </w:r>
          </w:p>
        </w:tc>
        <w:tc>
          <w:tcPr>
            <w:tcW w:w="1133" w:type="dxa"/>
          </w:tcPr>
          <w:p>
            <w:pPr>
              <w:pStyle w:val="15"/>
              <w:spacing w:before="294" w:line="228" w:lineRule="auto"/>
              <w:ind w:left="150"/>
              <w:rPr>
                <w:color w:val="auto"/>
              </w:rPr>
            </w:pPr>
            <w:r>
              <w:rPr>
                <w:b/>
                <w:bCs/>
                <w:color w:val="auto"/>
                <w:spacing w:val="6"/>
              </w:rPr>
              <w:t>密封情况</w:t>
            </w:r>
          </w:p>
        </w:tc>
        <w:tc>
          <w:tcPr>
            <w:tcW w:w="1512" w:type="dxa"/>
          </w:tcPr>
          <w:p>
            <w:pPr>
              <w:pStyle w:val="15"/>
              <w:spacing w:before="294" w:line="228" w:lineRule="auto"/>
              <w:ind w:left="235"/>
              <w:rPr>
                <w:color w:val="auto"/>
              </w:rPr>
            </w:pPr>
            <w:r>
              <w:rPr>
                <w:b/>
                <w:bCs/>
                <w:color w:val="auto"/>
                <w:spacing w:val="6"/>
              </w:rPr>
              <w:t>投标保证金</w:t>
            </w:r>
          </w:p>
        </w:tc>
        <w:tc>
          <w:tcPr>
            <w:tcW w:w="1402" w:type="dxa"/>
          </w:tcPr>
          <w:p>
            <w:pPr>
              <w:pStyle w:val="15"/>
              <w:spacing w:before="114" w:line="279" w:lineRule="auto"/>
              <w:ind w:left="401" w:right="276" w:hanging="113"/>
              <w:rPr>
                <w:color w:val="auto"/>
              </w:rPr>
            </w:pPr>
            <w:r>
              <w:rPr>
                <w:b/>
                <w:bCs/>
                <w:color w:val="auto"/>
                <w:spacing w:val="5"/>
              </w:rPr>
              <w:t>投标报价</w:t>
            </w:r>
            <w:r>
              <w:rPr>
                <w:b/>
                <w:bCs/>
                <w:color w:val="auto"/>
                <w:spacing w:val="-2"/>
              </w:rPr>
              <w:t>（元）</w:t>
            </w:r>
          </w:p>
        </w:tc>
        <w:tc>
          <w:tcPr>
            <w:tcW w:w="1128" w:type="dxa"/>
          </w:tcPr>
          <w:p>
            <w:pPr>
              <w:pStyle w:val="15"/>
              <w:spacing w:before="294" w:line="228" w:lineRule="auto"/>
              <w:ind w:left="149"/>
              <w:rPr>
                <w:color w:val="auto"/>
              </w:rPr>
            </w:pPr>
            <w:r>
              <w:rPr>
                <w:b/>
                <w:bCs/>
                <w:color w:val="auto"/>
                <w:spacing w:val="6"/>
              </w:rPr>
              <w:t>质量目标</w:t>
            </w:r>
          </w:p>
        </w:tc>
        <w:tc>
          <w:tcPr>
            <w:tcW w:w="817" w:type="dxa"/>
          </w:tcPr>
          <w:p>
            <w:pPr>
              <w:pStyle w:val="15"/>
              <w:spacing w:before="294" w:line="228" w:lineRule="auto"/>
              <w:ind w:left="206"/>
              <w:rPr>
                <w:color w:val="auto"/>
              </w:rPr>
            </w:pPr>
            <w:r>
              <w:rPr>
                <w:b/>
                <w:bCs/>
                <w:color w:val="auto"/>
                <w:spacing w:val="2"/>
              </w:rPr>
              <w:t>工期</w:t>
            </w:r>
          </w:p>
        </w:tc>
        <w:tc>
          <w:tcPr>
            <w:tcW w:w="759" w:type="dxa"/>
          </w:tcPr>
          <w:p>
            <w:pPr>
              <w:pStyle w:val="15"/>
              <w:spacing w:before="294" w:line="229" w:lineRule="auto"/>
              <w:ind w:left="179"/>
              <w:rPr>
                <w:color w:val="auto"/>
              </w:rPr>
            </w:pPr>
            <w:r>
              <w:rPr>
                <w:b/>
                <w:bCs/>
                <w:color w:val="auto"/>
                <w:spacing w:val="2"/>
              </w:rPr>
              <w:t>备注</w:t>
            </w:r>
          </w:p>
        </w:tc>
        <w:tc>
          <w:tcPr>
            <w:tcW w:w="761" w:type="dxa"/>
          </w:tcPr>
          <w:p>
            <w:pPr>
              <w:pStyle w:val="15"/>
              <w:spacing w:before="294" w:line="231" w:lineRule="auto"/>
              <w:ind w:left="175"/>
              <w:rPr>
                <w:color w:val="auto"/>
              </w:rPr>
            </w:pPr>
            <w:r>
              <w:rPr>
                <w:b/>
                <w:bCs/>
                <w:color w:val="auto"/>
                <w:spacing w:val="3"/>
              </w:rPr>
              <w:t>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4"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5" w:hRule="atLeast"/>
        </w:trPr>
        <w:tc>
          <w:tcPr>
            <w:tcW w:w="568" w:type="dxa"/>
          </w:tcPr>
          <w:p>
            <w:pPr>
              <w:rPr>
                <w:color w:val="auto"/>
              </w:rPr>
            </w:pPr>
          </w:p>
        </w:tc>
        <w:tc>
          <w:tcPr>
            <w:tcW w:w="940" w:type="dxa"/>
          </w:tcPr>
          <w:p>
            <w:pPr>
              <w:rPr>
                <w:color w:val="auto"/>
              </w:rPr>
            </w:pPr>
          </w:p>
        </w:tc>
        <w:tc>
          <w:tcPr>
            <w:tcW w:w="1133" w:type="dxa"/>
          </w:tcPr>
          <w:p>
            <w:pPr>
              <w:rPr>
                <w:color w:val="auto"/>
              </w:rPr>
            </w:pPr>
          </w:p>
        </w:tc>
        <w:tc>
          <w:tcPr>
            <w:tcW w:w="1512" w:type="dxa"/>
          </w:tcPr>
          <w:p>
            <w:pPr>
              <w:rPr>
                <w:color w:val="auto"/>
              </w:rPr>
            </w:pPr>
          </w:p>
        </w:tc>
        <w:tc>
          <w:tcPr>
            <w:tcW w:w="1402" w:type="dxa"/>
          </w:tcPr>
          <w:p>
            <w:pPr>
              <w:rPr>
                <w:color w:val="auto"/>
              </w:rPr>
            </w:pPr>
          </w:p>
        </w:tc>
        <w:tc>
          <w:tcPr>
            <w:tcW w:w="1128" w:type="dxa"/>
          </w:tcPr>
          <w:p>
            <w:pPr>
              <w:rPr>
                <w:color w:val="auto"/>
              </w:rPr>
            </w:pPr>
          </w:p>
        </w:tc>
        <w:tc>
          <w:tcPr>
            <w:tcW w:w="817" w:type="dxa"/>
          </w:tcPr>
          <w:p>
            <w:pPr>
              <w:rPr>
                <w:color w:val="auto"/>
              </w:rPr>
            </w:pPr>
          </w:p>
        </w:tc>
        <w:tc>
          <w:tcPr>
            <w:tcW w:w="759" w:type="dxa"/>
          </w:tcPr>
          <w:p>
            <w:pPr>
              <w:rPr>
                <w:color w:val="auto"/>
              </w:rPr>
            </w:pPr>
          </w:p>
        </w:tc>
        <w:tc>
          <w:tcPr>
            <w:tcW w:w="76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9" w:hRule="atLeast"/>
        </w:trPr>
        <w:tc>
          <w:tcPr>
            <w:tcW w:w="2641" w:type="dxa"/>
            <w:gridSpan w:val="3"/>
          </w:tcPr>
          <w:p>
            <w:pPr>
              <w:pStyle w:val="15"/>
              <w:spacing w:before="225" w:line="226" w:lineRule="auto"/>
              <w:ind w:left="119"/>
              <w:rPr>
                <w:color w:val="auto"/>
              </w:rPr>
            </w:pPr>
            <w:r>
              <w:rPr>
                <w:color w:val="auto"/>
                <w:spacing w:val="7"/>
              </w:rPr>
              <w:t>最高投标限价</w:t>
            </w:r>
          </w:p>
        </w:tc>
        <w:tc>
          <w:tcPr>
            <w:tcW w:w="6379" w:type="dxa"/>
            <w:gridSpan w:val="6"/>
          </w:tcPr>
          <w:p>
            <w:pPr>
              <w:rPr>
                <w:color w:val="auto"/>
              </w:rPr>
            </w:pPr>
          </w:p>
        </w:tc>
      </w:tr>
    </w:tbl>
    <w:p>
      <w:pPr>
        <w:pStyle w:val="3"/>
        <w:spacing w:line="343" w:lineRule="auto"/>
        <w:rPr>
          <w:color w:val="auto"/>
        </w:rPr>
      </w:pPr>
    </w:p>
    <w:p>
      <w:pPr>
        <w:pStyle w:val="3"/>
        <w:spacing w:line="344" w:lineRule="auto"/>
        <w:rPr>
          <w:color w:val="auto"/>
        </w:rPr>
      </w:pPr>
    </w:p>
    <w:p>
      <w:pPr>
        <w:spacing w:before="65" w:line="228" w:lineRule="auto"/>
        <w:ind w:left="12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招标人代表： 记录人： 监标人：</w:t>
      </w:r>
    </w:p>
    <w:p>
      <w:pPr>
        <w:pStyle w:val="3"/>
        <w:spacing w:line="306" w:lineRule="auto"/>
        <w:rPr>
          <w:color w:val="auto"/>
          <w:lang w:eastAsia="zh-CN"/>
        </w:rPr>
      </w:pPr>
    </w:p>
    <w:p>
      <w:pPr>
        <w:pStyle w:val="3"/>
        <w:spacing w:line="307" w:lineRule="auto"/>
        <w:rPr>
          <w:color w:val="auto"/>
          <w:lang w:eastAsia="zh-CN"/>
        </w:rPr>
      </w:pPr>
    </w:p>
    <w:p>
      <w:pPr>
        <w:pStyle w:val="3"/>
        <w:spacing w:line="307" w:lineRule="auto"/>
        <w:rPr>
          <w:color w:val="auto"/>
          <w:lang w:eastAsia="zh-CN"/>
        </w:rPr>
      </w:pPr>
    </w:p>
    <w:p>
      <w:pPr>
        <w:tabs>
          <w:tab w:val="left" w:pos="6102"/>
        </w:tabs>
        <w:spacing w:before="66" w:line="228" w:lineRule="auto"/>
        <w:ind w:left="526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6" w:type="default"/>
          <w:pgSz w:w="11906" w:h="16839"/>
          <w:pgMar w:top="1431" w:right="1412" w:bottom="1356" w:left="1468" w:header="0" w:footer="1191" w:gutter="0"/>
          <w:cols w:space="720" w:num="1"/>
          <w:docGrid w:linePitch="0" w:charSpace="0"/>
        </w:sectPr>
      </w:pPr>
    </w:p>
    <w:p>
      <w:pPr>
        <w:pStyle w:val="3"/>
        <w:spacing w:line="431" w:lineRule="auto"/>
        <w:rPr>
          <w:color w:val="auto"/>
          <w:lang w:eastAsia="zh-CN"/>
        </w:rPr>
      </w:pPr>
    </w:p>
    <w:p>
      <w:pPr>
        <w:spacing w:before="101" w:line="224" w:lineRule="auto"/>
        <w:ind w:left="189"/>
        <w:outlineLvl w:val="2"/>
        <w:rPr>
          <w:rFonts w:ascii="宋体" w:hAnsi="宋体" w:eastAsia="宋体" w:cs="宋体"/>
          <w:color w:val="auto"/>
          <w:sz w:val="31"/>
          <w:szCs w:val="31"/>
          <w:lang w:eastAsia="zh-CN"/>
        </w:rPr>
      </w:pPr>
      <w:bookmarkStart w:id="136" w:name="bookmark142"/>
      <w:bookmarkEnd w:id="136"/>
      <w:bookmarkStart w:id="137" w:name="bookmark141"/>
      <w:bookmarkEnd w:id="137"/>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3</w:t>
      </w:r>
      <w:r>
        <w:rPr>
          <w:rFonts w:ascii="宋体" w:hAnsi="宋体" w:eastAsia="宋体" w:cs="宋体"/>
          <w:b/>
          <w:bCs/>
          <w:color w:val="auto"/>
          <w:spacing w:val="-2"/>
          <w:sz w:val="31"/>
          <w:szCs w:val="31"/>
          <w:lang w:eastAsia="zh-CN"/>
        </w:rPr>
        <w:t>：问题澄清通知</w:t>
      </w:r>
    </w:p>
    <w:p>
      <w:pPr>
        <w:pStyle w:val="3"/>
        <w:spacing w:line="294" w:lineRule="auto"/>
        <w:rPr>
          <w:color w:val="auto"/>
          <w:lang w:eastAsia="zh-CN"/>
        </w:rPr>
      </w:pPr>
    </w:p>
    <w:p>
      <w:pPr>
        <w:pStyle w:val="3"/>
        <w:spacing w:line="295" w:lineRule="auto"/>
        <w:rPr>
          <w:color w:val="auto"/>
          <w:lang w:eastAsia="zh-CN"/>
        </w:rPr>
      </w:pPr>
    </w:p>
    <w:p>
      <w:pPr>
        <w:pStyle w:val="3"/>
        <w:spacing w:line="295" w:lineRule="auto"/>
        <w:rPr>
          <w:color w:val="auto"/>
          <w:lang w:eastAsia="zh-CN"/>
        </w:rPr>
      </w:pPr>
    </w:p>
    <w:p>
      <w:pPr>
        <w:spacing w:before="91" w:line="275" w:lineRule="auto"/>
        <w:ind w:left="3501" w:right="3397"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问题澄清通知</w:t>
      </w:r>
      <w:r>
        <w:rPr>
          <w:rFonts w:ascii="黑体" w:hAnsi="黑体" w:eastAsia="黑体" w:cs="黑体"/>
          <w:color w:val="auto"/>
          <w:spacing w:val="-3"/>
          <w:sz w:val="28"/>
          <w:szCs w:val="28"/>
          <w:lang w:eastAsia="zh-CN"/>
        </w:rPr>
        <w:t>编号：</w:t>
      </w:r>
    </w:p>
    <w:p>
      <w:pPr>
        <w:pStyle w:val="3"/>
        <w:spacing w:line="446" w:lineRule="auto"/>
        <w:rPr>
          <w:color w:val="auto"/>
          <w:lang w:eastAsia="zh-CN"/>
        </w:rPr>
      </w:pPr>
    </w:p>
    <w:p>
      <w:pPr>
        <w:tabs>
          <w:tab w:val="left" w:pos="1461"/>
        </w:tabs>
        <w:spacing w:before="65" w:line="228" w:lineRule="auto"/>
        <w:ind w:left="20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（投标人名称</w:t>
      </w:r>
      <w:r>
        <w:rPr>
          <w:rFonts w:ascii="宋体" w:hAnsi="宋体" w:eastAsia="宋体" w:cs="宋体"/>
          <w:color w:val="auto"/>
          <w:spacing w:val="2"/>
          <w:sz w:val="20"/>
          <w:szCs w:val="20"/>
          <w:lang w:eastAsia="zh-CN"/>
        </w:rPr>
        <w:t>）：</w:t>
      </w:r>
    </w:p>
    <w:p>
      <w:pPr>
        <w:pStyle w:val="3"/>
        <w:spacing w:line="241" w:lineRule="auto"/>
        <w:rPr>
          <w:color w:val="auto"/>
          <w:lang w:eastAsia="zh-CN"/>
        </w:rPr>
      </w:pPr>
    </w:p>
    <w:p>
      <w:pPr>
        <w:pStyle w:val="3"/>
        <w:spacing w:line="242" w:lineRule="auto"/>
        <w:rPr>
          <w:color w:val="auto"/>
          <w:lang w:eastAsia="zh-CN"/>
        </w:rPr>
      </w:pPr>
    </w:p>
    <w:p>
      <w:pPr>
        <w:tabs>
          <w:tab w:val="left" w:pos="2196"/>
        </w:tabs>
        <w:spacing w:before="65" w:line="355" w:lineRule="auto"/>
        <w:ind w:firstLine="62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（项目名称）标段施工招标的评标委</w:t>
      </w:r>
      <w:r>
        <w:rPr>
          <w:rFonts w:ascii="宋体" w:hAnsi="宋体" w:eastAsia="宋体" w:cs="宋体"/>
          <w:color w:val="auto"/>
          <w:spacing w:val="7"/>
          <w:sz w:val="20"/>
          <w:szCs w:val="20"/>
          <w:lang w:eastAsia="zh-CN"/>
        </w:rPr>
        <w:t>员会，对你方的投标文件</w:t>
      </w:r>
      <w:r>
        <w:rPr>
          <w:rFonts w:ascii="宋体" w:hAnsi="宋体" w:eastAsia="宋体" w:cs="宋体"/>
          <w:color w:val="auto"/>
          <w:spacing w:val="9"/>
          <w:sz w:val="20"/>
          <w:szCs w:val="20"/>
          <w:lang w:eastAsia="zh-CN"/>
        </w:rPr>
        <w:t>进行了仔细的审查，现需你方对下列问题以书面形式予以澄清：</w:t>
      </w:r>
    </w:p>
    <w:p>
      <w:pPr>
        <w:pStyle w:val="3"/>
        <w:spacing w:line="394" w:lineRule="auto"/>
        <w:rPr>
          <w:color w:val="auto"/>
          <w:lang w:eastAsia="zh-CN"/>
        </w:rPr>
      </w:pPr>
    </w:p>
    <w:p>
      <w:pPr>
        <w:spacing w:before="66" w:line="375" w:lineRule="auto"/>
        <w:ind w:left="424" w:right="6056" w:firstLine="1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w:t>
      </w:r>
      <w:r>
        <w:rPr>
          <w:rFonts w:ascii="宋体" w:hAnsi="宋体" w:eastAsia="宋体" w:cs="宋体"/>
          <w:color w:val="auto"/>
          <w:spacing w:val="-1"/>
          <w:sz w:val="20"/>
          <w:szCs w:val="20"/>
          <w:lang w:eastAsia="zh-CN"/>
        </w:rPr>
        <w:t>2.</w:t>
      </w:r>
    </w:p>
    <w:p>
      <w:pPr>
        <w:spacing w:before="109" w:line="84" w:lineRule="exact"/>
        <w:ind w:left="530"/>
        <w:rPr>
          <w:rFonts w:ascii="宋体" w:hAnsi="宋体" w:eastAsia="宋体" w:cs="宋体"/>
          <w:color w:val="auto"/>
          <w:sz w:val="20"/>
          <w:szCs w:val="20"/>
          <w:lang w:eastAsia="zh-CN"/>
        </w:rPr>
      </w:pPr>
      <w:r>
        <w:rPr>
          <w:rFonts w:ascii="宋体" w:hAnsi="宋体" w:eastAsia="宋体" w:cs="宋体"/>
          <w:color w:val="auto"/>
          <w:spacing w:val="4"/>
          <w:position w:val="1"/>
          <w:sz w:val="20"/>
          <w:szCs w:val="20"/>
          <w:lang w:eastAsia="zh-CN"/>
        </w:rPr>
        <w:t>......</w:t>
      </w:r>
    </w:p>
    <w:p>
      <w:pPr>
        <w:pStyle w:val="3"/>
        <w:spacing w:line="248" w:lineRule="auto"/>
        <w:rPr>
          <w:color w:val="auto"/>
          <w:lang w:eastAsia="zh-CN"/>
        </w:rPr>
      </w:pPr>
    </w:p>
    <w:p>
      <w:pPr>
        <w:pStyle w:val="3"/>
        <w:spacing w:line="248" w:lineRule="auto"/>
        <w:rPr>
          <w:color w:val="auto"/>
          <w:lang w:eastAsia="zh-CN"/>
        </w:rPr>
      </w:pPr>
    </w:p>
    <w:p>
      <w:pPr>
        <w:spacing w:before="65" w:line="359" w:lineRule="auto"/>
        <w:ind w:firstLine="420"/>
        <w:jc w:val="both"/>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请将上述问题的澄清于年月日时前递交至</w:t>
      </w:r>
      <w:r>
        <w:rPr>
          <w:rFonts w:ascii="宋体" w:hAnsi="宋体" w:eastAsia="宋体" w:cs="宋体"/>
          <w:color w:val="auto"/>
          <w:spacing w:val="6"/>
          <w:sz w:val="20"/>
          <w:szCs w:val="20"/>
          <w:lang w:eastAsia="zh-CN"/>
        </w:rPr>
        <w:t>（详细地址）或传真至（传真号码）。采用传真方式的，应在年月日时前将原件递交至（详细地址）。</w:t>
      </w:r>
    </w:p>
    <w:p>
      <w:pPr>
        <w:pStyle w:val="3"/>
        <w:spacing w:line="254" w:lineRule="auto"/>
        <w:rPr>
          <w:color w:val="auto"/>
          <w:lang w:eastAsia="zh-CN"/>
        </w:rPr>
      </w:pPr>
    </w:p>
    <w:p>
      <w:pPr>
        <w:pStyle w:val="3"/>
        <w:spacing w:line="254" w:lineRule="auto"/>
        <w:rPr>
          <w:color w:val="auto"/>
          <w:lang w:eastAsia="zh-CN"/>
        </w:rPr>
      </w:pPr>
    </w:p>
    <w:p>
      <w:pPr>
        <w:pStyle w:val="3"/>
        <w:spacing w:line="254" w:lineRule="auto"/>
        <w:rPr>
          <w:color w:val="auto"/>
          <w:lang w:eastAsia="zh-CN"/>
        </w:rPr>
      </w:pPr>
    </w:p>
    <w:p>
      <w:pPr>
        <w:spacing w:before="65" w:line="228" w:lineRule="auto"/>
        <w:ind w:left="398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评标工作组负责人</w:t>
      </w:r>
      <w:r>
        <w:rPr>
          <w:rFonts w:ascii="宋体" w:hAnsi="宋体" w:eastAsia="宋体" w:cs="宋体"/>
          <w:color w:val="auto"/>
          <w:sz w:val="20"/>
          <w:szCs w:val="20"/>
          <w:lang w:eastAsia="zh-CN"/>
        </w:rPr>
        <w:t>：（</w:t>
      </w:r>
      <w:r>
        <w:rPr>
          <w:rFonts w:ascii="宋体" w:hAnsi="宋体" w:eastAsia="宋体" w:cs="宋体"/>
          <w:color w:val="auto"/>
          <w:spacing w:val="10"/>
          <w:sz w:val="20"/>
          <w:szCs w:val="20"/>
          <w:lang w:eastAsia="zh-CN"/>
        </w:rPr>
        <w:t>签字）</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tabs>
          <w:tab w:val="left" w:pos="5452"/>
        </w:tabs>
        <w:spacing w:before="66" w:line="228" w:lineRule="auto"/>
        <w:ind w:left="461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z w:val="20"/>
          <w:szCs w:val="20"/>
          <w:lang w:eastAsia="zh-CN"/>
        </w:rPr>
        <w:t>年月 日</w:t>
      </w:r>
    </w:p>
    <w:p>
      <w:pPr>
        <w:spacing w:line="228" w:lineRule="auto"/>
        <w:rPr>
          <w:rFonts w:ascii="宋体" w:hAnsi="宋体" w:eastAsia="宋体" w:cs="宋体"/>
          <w:color w:val="auto"/>
          <w:sz w:val="20"/>
          <w:szCs w:val="20"/>
          <w:lang w:eastAsia="zh-CN"/>
        </w:rPr>
        <w:sectPr>
          <w:footerReference r:id="rId17" w:type="default"/>
          <w:pgSz w:w="11906" w:h="16839"/>
          <w:pgMar w:top="1431" w:right="1532" w:bottom="1356" w:left="1595"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38" w:name="bookmark143"/>
      <w:bookmarkEnd w:id="138"/>
      <w:bookmarkStart w:id="139" w:name="bookmark144"/>
      <w:bookmarkEnd w:id="139"/>
      <w:bookmarkStart w:id="140" w:name="bookmark543"/>
      <w:bookmarkEnd w:id="140"/>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4</w:t>
      </w:r>
      <w:r>
        <w:rPr>
          <w:rFonts w:ascii="宋体" w:hAnsi="宋体" w:eastAsia="宋体" w:cs="宋体"/>
          <w:b/>
          <w:bCs/>
          <w:color w:val="auto"/>
          <w:spacing w:val="-3"/>
          <w:sz w:val="31"/>
          <w:szCs w:val="31"/>
          <w:lang w:eastAsia="zh-CN"/>
        </w:rPr>
        <w:t>：问题的澄清</w:t>
      </w:r>
    </w:p>
    <w:p>
      <w:pPr>
        <w:pStyle w:val="3"/>
        <w:spacing w:line="287" w:lineRule="auto"/>
        <w:rPr>
          <w:color w:val="auto"/>
          <w:lang w:eastAsia="zh-CN"/>
        </w:rPr>
      </w:pPr>
    </w:p>
    <w:p>
      <w:pPr>
        <w:pStyle w:val="3"/>
        <w:spacing w:line="287" w:lineRule="auto"/>
        <w:rPr>
          <w:color w:val="auto"/>
          <w:lang w:eastAsia="zh-CN"/>
        </w:rPr>
      </w:pPr>
    </w:p>
    <w:p>
      <w:pPr>
        <w:pStyle w:val="3"/>
        <w:spacing w:line="288" w:lineRule="auto"/>
        <w:rPr>
          <w:color w:val="auto"/>
          <w:lang w:eastAsia="zh-CN"/>
        </w:rPr>
      </w:pPr>
    </w:p>
    <w:p>
      <w:pPr>
        <w:spacing w:before="91" w:line="337" w:lineRule="auto"/>
        <w:ind w:left="3647" w:right="3656" w:firstLine="70"/>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问题的澄清</w:t>
      </w:r>
      <w:r>
        <w:rPr>
          <w:rFonts w:ascii="黑体" w:hAnsi="黑体" w:eastAsia="黑体" w:cs="黑体"/>
          <w:color w:val="auto"/>
          <w:spacing w:val="-3"/>
          <w:sz w:val="28"/>
          <w:szCs w:val="28"/>
          <w:lang w:eastAsia="zh-CN"/>
        </w:rPr>
        <w:t>编号：</w:t>
      </w:r>
    </w:p>
    <w:p>
      <w:pPr>
        <w:pStyle w:val="3"/>
        <w:spacing w:line="305" w:lineRule="auto"/>
        <w:rPr>
          <w:color w:val="auto"/>
          <w:lang w:eastAsia="zh-CN"/>
        </w:rPr>
      </w:pPr>
    </w:p>
    <w:p>
      <w:pPr>
        <w:tabs>
          <w:tab w:val="left" w:pos="2006"/>
        </w:tabs>
        <w:spacing w:before="65" w:line="227"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3"/>
          <w:sz w:val="20"/>
          <w:szCs w:val="20"/>
          <w:u w:val="single"/>
          <w:lang w:eastAsia="zh-CN"/>
        </w:rPr>
        <w:t>（</w:t>
      </w:r>
      <w:r>
        <w:rPr>
          <w:rFonts w:ascii="宋体" w:hAnsi="宋体" w:eastAsia="宋体" w:cs="宋体"/>
          <w:color w:val="auto"/>
          <w:spacing w:val="3"/>
          <w:sz w:val="20"/>
          <w:szCs w:val="20"/>
          <w:lang w:eastAsia="zh-CN"/>
        </w:rPr>
        <w:t>项目名称）标段施工招标评标委员会：</w:t>
      </w:r>
    </w:p>
    <w:p>
      <w:pPr>
        <w:pStyle w:val="3"/>
        <w:spacing w:line="242" w:lineRule="auto"/>
        <w:rPr>
          <w:color w:val="auto"/>
          <w:lang w:eastAsia="zh-CN"/>
        </w:rPr>
      </w:pPr>
    </w:p>
    <w:p>
      <w:pPr>
        <w:pStyle w:val="3"/>
        <w:spacing w:line="243" w:lineRule="auto"/>
        <w:rPr>
          <w:color w:val="auto"/>
          <w:lang w:eastAsia="zh-CN"/>
        </w:rPr>
      </w:pPr>
    </w:p>
    <w:p>
      <w:pPr>
        <w:spacing w:before="65" w:line="348" w:lineRule="auto"/>
        <w:ind w:left="444" w:right="3255" w:firstLine="8"/>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问题澄清通知（编号</w:t>
      </w:r>
      <w:r>
        <w:rPr>
          <w:rFonts w:ascii="宋体" w:hAnsi="宋体" w:eastAsia="宋体" w:cs="宋体"/>
          <w:color w:val="auto"/>
          <w:spacing w:val="17"/>
          <w:sz w:val="20"/>
          <w:szCs w:val="20"/>
          <w:lang w:eastAsia="zh-CN"/>
        </w:rPr>
        <w:t>：）</w:t>
      </w:r>
      <w:r>
        <w:rPr>
          <w:rFonts w:ascii="宋体" w:hAnsi="宋体" w:eastAsia="宋体" w:cs="宋体"/>
          <w:color w:val="auto"/>
          <w:spacing w:val="3"/>
          <w:sz w:val="20"/>
          <w:szCs w:val="20"/>
          <w:lang w:eastAsia="zh-CN"/>
        </w:rPr>
        <w:t>已收悉，现澄清如下：</w:t>
      </w:r>
      <w:r>
        <w:rPr>
          <w:rFonts w:ascii="宋体" w:hAnsi="宋体" w:eastAsia="宋体" w:cs="宋体"/>
          <w:color w:val="auto"/>
          <w:spacing w:val="-7"/>
          <w:sz w:val="20"/>
          <w:szCs w:val="20"/>
          <w:lang w:eastAsia="zh-CN"/>
        </w:rPr>
        <w:t>1.</w:t>
      </w:r>
    </w:p>
    <w:p>
      <w:pPr>
        <w:spacing w:before="77" w:line="189" w:lineRule="auto"/>
        <w:ind w:left="431"/>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2.</w:t>
      </w:r>
    </w:p>
    <w:p>
      <w:pPr>
        <w:pStyle w:val="3"/>
        <w:spacing w:line="324" w:lineRule="auto"/>
        <w:rPr>
          <w:color w:val="auto"/>
          <w:lang w:eastAsia="zh-CN"/>
        </w:rPr>
      </w:pPr>
    </w:p>
    <w:p>
      <w:pPr>
        <w:pStyle w:val="3"/>
        <w:spacing w:line="325" w:lineRule="auto"/>
        <w:rPr>
          <w:color w:val="auto"/>
          <w:lang w:eastAsia="zh-CN"/>
        </w:rPr>
      </w:pPr>
    </w:p>
    <w:p>
      <w:pPr>
        <w:spacing w:before="65" w:line="84" w:lineRule="exact"/>
        <w:ind w:left="434"/>
        <w:rPr>
          <w:rFonts w:ascii="宋体" w:hAnsi="宋体" w:eastAsia="宋体" w:cs="宋体"/>
          <w:color w:val="auto"/>
          <w:sz w:val="20"/>
          <w:szCs w:val="20"/>
          <w:lang w:eastAsia="zh-CN"/>
        </w:rPr>
      </w:pPr>
      <w:r>
        <w:rPr>
          <w:rFonts w:ascii="宋体" w:hAnsi="宋体" w:eastAsia="宋体" w:cs="宋体"/>
          <w:color w:val="auto"/>
          <w:spacing w:val="3"/>
          <w:position w:val="1"/>
          <w:sz w:val="20"/>
          <w:szCs w:val="20"/>
          <w:lang w:eastAsia="zh-CN"/>
        </w:rPr>
        <w:t>.....</w:t>
      </w:r>
    </w:p>
    <w:p>
      <w:pPr>
        <w:pStyle w:val="3"/>
        <w:spacing w:line="257" w:lineRule="auto"/>
        <w:rPr>
          <w:color w:val="auto"/>
          <w:lang w:eastAsia="zh-CN"/>
        </w:rPr>
      </w:pPr>
    </w:p>
    <w:p>
      <w:pPr>
        <w:pStyle w:val="3"/>
        <w:spacing w:line="257" w:lineRule="auto"/>
        <w:rPr>
          <w:color w:val="auto"/>
          <w:lang w:eastAsia="zh-CN"/>
        </w:rPr>
      </w:pPr>
    </w:p>
    <w:p>
      <w:pPr>
        <w:pStyle w:val="3"/>
        <w:spacing w:line="257" w:lineRule="auto"/>
        <w:rPr>
          <w:color w:val="auto"/>
          <w:lang w:eastAsia="zh-CN"/>
        </w:rPr>
      </w:pPr>
    </w:p>
    <w:p>
      <w:pPr>
        <w:pStyle w:val="3"/>
        <w:spacing w:line="258" w:lineRule="auto"/>
        <w:rPr>
          <w:color w:val="auto"/>
          <w:lang w:eastAsia="zh-CN"/>
        </w:rPr>
      </w:pPr>
    </w:p>
    <w:p>
      <w:pPr>
        <w:pStyle w:val="3"/>
        <w:spacing w:line="258"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8"/>
          <w:w w:val="88"/>
          <w:sz w:val="20"/>
          <w:szCs w:val="20"/>
          <w:lang w:eastAsia="zh-CN"/>
        </w:rPr>
        <w:t>：（</w:t>
      </w:r>
      <w:r>
        <w:rPr>
          <w:rFonts w:ascii="宋体" w:hAnsi="宋体" w:eastAsia="宋体" w:cs="宋体"/>
          <w:color w:val="auto"/>
          <w:spacing w:val="9"/>
          <w:sz w:val="20"/>
          <w:szCs w:val="20"/>
          <w:lang w:eastAsia="zh-CN"/>
        </w:rPr>
        <w:t>签字或盖章）</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tabs>
          <w:tab w:val="left" w:pos="5774"/>
        </w:tabs>
        <w:spacing w:before="65" w:line="228" w:lineRule="auto"/>
        <w:ind w:left="493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8"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101"/>
        <w:outlineLvl w:val="2"/>
        <w:rPr>
          <w:rFonts w:ascii="宋体" w:hAnsi="宋体" w:eastAsia="宋体" w:cs="宋体"/>
          <w:color w:val="auto"/>
          <w:sz w:val="31"/>
          <w:szCs w:val="31"/>
          <w:lang w:eastAsia="zh-CN"/>
        </w:rPr>
      </w:pPr>
      <w:bookmarkStart w:id="141" w:name="bookmark146"/>
      <w:bookmarkEnd w:id="141"/>
      <w:bookmarkStart w:id="142" w:name="bookmark145"/>
      <w:bookmarkEnd w:id="142"/>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5</w:t>
      </w:r>
      <w:r>
        <w:rPr>
          <w:rFonts w:ascii="宋体" w:hAnsi="宋体" w:eastAsia="宋体" w:cs="宋体"/>
          <w:b/>
          <w:bCs/>
          <w:color w:val="auto"/>
          <w:spacing w:val="-2"/>
          <w:sz w:val="31"/>
          <w:szCs w:val="31"/>
          <w:lang w:eastAsia="zh-CN"/>
        </w:rPr>
        <w:t>：中标候选人公示</w:t>
      </w:r>
    </w:p>
    <w:p>
      <w:pPr>
        <w:pStyle w:val="3"/>
        <w:spacing w:line="267" w:lineRule="auto"/>
        <w:rPr>
          <w:color w:val="auto"/>
          <w:lang w:eastAsia="zh-CN"/>
        </w:rPr>
      </w:pPr>
    </w:p>
    <w:p>
      <w:pPr>
        <w:pStyle w:val="3"/>
        <w:spacing w:line="268" w:lineRule="auto"/>
        <w:rPr>
          <w:color w:val="auto"/>
          <w:lang w:eastAsia="zh-CN"/>
        </w:rPr>
      </w:pPr>
    </w:p>
    <w:p>
      <w:pPr>
        <w:tabs>
          <w:tab w:val="left" w:pos="3126"/>
        </w:tabs>
        <w:spacing w:before="91" w:line="309" w:lineRule="auto"/>
        <w:ind w:left="3509" w:right="2219" w:hanging="1223"/>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
          <w:sz w:val="28"/>
          <w:szCs w:val="28"/>
          <w:lang w:eastAsia="zh-CN"/>
        </w:rPr>
        <w:t>（项目名称）标段施工</w:t>
      </w:r>
      <w:r>
        <w:rPr>
          <w:rFonts w:ascii="黑体" w:hAnsi="黑体" w:eastAsia="黑体" w:cs="黑体"/>
          <w:color w:val="auto"/>
          <w:spacing w:val="-5"/>
          <w:sz w:val="28"/>
          <w:szCs w:val="28"/>
          <w:lang w:eastAsia="zh-CN"/>
        </w:rPr>
        <w:t>中标候选人公示</w:t>
      </w:r>
    </w:p>
    <w:p>
      <w:pPr>
        <w:pStyle w:val="3"/>
        <w:spacing w:line="263" w:lineRule="auto"/>
        <w:rPr>
          <w:color w:val="auto"/>
          <w:lang w:eastAsia="zh-CN"/>
        </w:rPr>
      </w:pPr>
    </w:p>
    <w:p>
      <w:pPr>
        <w:pStyle w:val="3"/>
        <w:spacing w:line="263" w:lineRule="auto"/>
        <w:rPr>
          <w:color w:val="auto"/>
          <w:lang w:eastAsia="zh-CN"/>
        </w:rPr>
      </w:pPr>
    </w:p>
    <w:p>
      <w:pPr>
        <w:spacing w:before="65" w:line="227"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根据招标投标相关法律法规及招标文件的规定，</w:t>
      </w:r>
      <w:r>
        <w:rPr>
          <w:rFonts w:ascii="宋体" w:hAnsi="宋体" w:eastAsia="宋体" w:cs="宋体"/>
          <w:color w:val="auto"/>
          <w:spacing w:val="7"/>
          <w:sz w:val="20"/>
          <w:szCs w:val="20"/>
          <w:lang w:eastAsia="zh-CN"/>
        </w:rPr>
        <w:t>评标工作已经结束，评标委员会</w:t>
      </w:r>
    </w:p>
    <w:p>
      <w:pPr>
        <w:spacing w:before="243" w:line="227" w:lineRule="auto"/>
        <w:ind w:left="7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推荐了以下名中标候选人，现将相关信息予以公示。</w:t>
      </w:r>
    </w:p>
    <w:p>
      <w:pPr>
        <w:pStyle w:val="3"/>
        <w:spacing w:line="421" w:lineRule="auto"/>
        <w:rPr>
          <w:color w:val="auto"/>
          <w:lang w:eastAsia="zh-CN"/>
        </w:rPr>
      </w:pPr>
    </w:p>
    <w:p>
      <w:pPr>
        <w:spacing w:before="91" w:line="224" w:lineRule="auto"/>
        <w:ind w:left="3510"/>
        <w:rPr>
          <w:rFonts w:ascii="黑体" w:hAnsi="黑体" w:eastAsia="黑体" w:cs="黑体"/>
          <w:color w:val="auto"/>
          <w:sz w:val="28"/>
          <w:szCs w:val="28"/>
        </w:rPr>
      </w:pPr>
      <w:r>
        <w:rPr>
          <w:rFonts w:ascii="黑体" w:hAnsi="黑体" w:eastAsia="黑体" w:cs="黑体"/>
          <w:color w:val="auto"/>
          <w:spacing w:val="-5"/>
          <w:sz w:val="28"/>
          <w:szCs w:val="28"/>
        </w:rPr>
        <w:t>中标候选人信息</w:t>
      </w:r>
    </w:p>
    <w:p>
      <w:pPr>
        <w:spacing w:before="183"/>
        <w:rPr>
          <w:color w:val="auto"/>
        </w:rPr>
      </w:pPr>
    </w:p>
    <w:tbl>
      <w:tblPr>
        <w:tblStyle w:val="14"/>
        <w:tblW w:w="85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4"/>
        <w:gridCol w:w="874"/>
        <w:gridCol w:w="1482"/>
        <w:gridCol w:w="1721"/>
        <w:gridCol w:w="1582"/>
        <w:gridCol w:w="20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41" w:hRule="atLeast"/>
        </w:trPr>
        <w:tc>
          <w:tcPr>
            <w:tcW w:w="1758" w:type="dxa"/>
            <w:gridSpan w:val="2"/>
          </w:tcPr>
          <w:p>
            <w:pPr>
              <w:pStyle w:val="15"/>
              <w:spacing w:before="112" w:line="228" w:lineRule="auto"/>
              <w:ind w:left="369"/>
              <w:rPr>
                <w:color w:val="auto"/>
              </w:rPr>
            </w:pPr>
            <w:r>
              <w:rPr>
                <w:b/>
                <w:bCs/>
                <w:color w:val="auto"/>
                <w:spacing w:val="2"/>
              </w:rPr>
              <w:t>中标候选人</w:t>
            </w:r>
          </w:p>
        </w:tc>
        <w:tc>
          <w:tcPr>
            <w:tcW w:w="1482" w:type="dxa"/>
          </w:tcPr>
          <w:p>
            <w:pPr>
              <w:pStyle w:val="15"/>
              <w:spacing w:before="112" w:line="228" w:lineRule="auto"/>
              <w:ind w:left="421"/>
              <w:rPr>
                <w:color w:val="auto"/>
              </w:rPr>
            </w:pPr>
            <w:r>
              <w:rPr>
                <w:b/>
                <w:bCs/>
                <w:color w:val="auto"/>
                <w:spacing w:val="5"/>
              </w:rPr>
              <w:t>第一名</w:t>
            </w:r>
          </w:p>
        </w:tc>
        <w:tc>
          <w:tcPr>
            <w:tcW w:w="1721" w:type="dxa"/>
            <w:tcBorders>
              <w:right w:val="single" w:color="000000" w:sz="2" w:space="0"/>
            </w:tcBorders>
          </w:tcPr>
          <w:p>
            <w:pPr>
              <w:pStyle w:val="15"/>
              <w:spacing w:before="112" w:line="228" w:lineRule="auto"/>
              <w:ind w:left="544"/>
              <w:rPr>
                <w:color w:val="auto"/>
              </w:rPr>
            </w:pPr>
            <w:r>
              <w:rPr>
                <w:b/>
                <w:bCs/>
                <w:color w:val="auto"/>
                <w:spacing w:val="5"/>
              </w:rPr>
              <w:t>第二名</w:t>
            </w:r>
          </w:p>
        </w:tc>
        <w:tc>
          <w:tcPr>
            <w:tcW w:w="1582" w:type="dxa"/>
            <w:tcBorders>
              <w:left w:val="single" w:color="000000" w:sz="2" w:space="0"/>
            </w:tcBorders>
          </w:tcPr>
          <w:p>
            <w:pPr>
              <w:pStyle w:val="15"/>
              <w:spacing w:before="113" w:line="317" w:lineRule="exact"/>
              <w:ind w:left="601"/>
              <w:rPr>
                <w:color w:val="auto"/>
              </w:rPr>
            </w:pPr>
            <w:r>
              <w:rPr>
                <w:b/>
                <w:bCs/>
                <w:color w:val="auto"/>
                <w:spacing w:val="-3"/>
                <w:position w:val="2"/>
              </w:rPr>
              <w:t>……</w:t>
            </w:r>
          </w:p>
        </w:tc>
        <w:tc>
          <w:tcPr>
            <w:tcW w:w="2025" w:type="dxa"/>
          </w:tcPr>
          <w:p>
            <w:pPr>
              <w:pStyle w:val="15"/>
              <w:spacing w:before="113" w:line="317" w:lineRule="exact"/>
              <w:ind w:left="816"/>
              <w:rPr>
                <w:color w:val="auto"/>
              </w:rPr>
            </w:pPr>
            <w:r>
              <w:rPr>
                <w:b/>
                <w:bCs/>
                <w:color w:val="auto"/>
                <w:spacing w:val="-3"/>
                <w:position w:val="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88" w:line="228" w:lineRule="auto"/>
              <w:ind w:left="161"/>
              <w:rPr>
                <w:color w:val="auto"/>
              </w:rPr>
            </w:pPr>
            <w:r>
              <w:rPr>
                <w:color w:val="auto"/>
                <w:spacing w:val="5"/>
              </w:rPr>
              <w:t>中标候选人名称</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0" w:line="226" w:lineRule="auto"/>
              <w:ind w:left="144"/>
              <w:rPr>
                <w:color w:val="auto"/>
              </w:rPr>
            </w:pPr>
            <w:r>
              <w:rPr>
                <w:color w:val="auto"/>
                <w:spacing w:val="6"/>
              </w:rPr>
              <w:t>投标报价（元）</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758" w:type="dxa"/>
            <w:gridSpan w:val="2"/>
          </w:tcPr>
          <w:p>
            <w:pPr>
              <w:pStyle w:val="15"/>
              <w:spacing w:before="91" w:line="228" w:lineRule="auto"/>
              <w:ind w:left="667"/>
              <w:rPr>
                <w:color w:val="auto"/>
              </w:rPr>
            </w:pPr>
            <w:r>
              <w:rPr>
                <w:color w:val="auto"/>
                <w:spacing w:val="4"/>
              </w:rPr>
              <w:t>质量</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1" w:line="227" w:lineRule="auto"/>
              <w:ind w:left="144"/>
              <w:rPr>
                <w:color w:val="auto"/>
              </w:rPr>
            </w:pPr>
            <w:r>
              <w:rPr>
                <w:color w:val="auto"/>
                <w:spacing w:val="6"/>
              </w:rPr>
              <w:t>工期（交货期）</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6" w:hRule="atLeast"/>
        </w:trPr>
        <w:tc>
          <w:tcPr>
            <w:tcW w:w="1758" w:type="dxa"/>
            <w:gridSpan w:val="2"/>
          </w:tcPr>
          <w:p>
            <w:pPr>
              <w:pStyle w:val="15"/>
              <w:spacing w:before="92" w:line="228" w:lineRule="auto"/>
              <w:ind w:left="457"/>
              <w:rPr>
                <w:color w:val="auto"/>
              </w:rPr>
            </w:pPr>
            <w:r>
              <w:rPr>
                <w:color w:val="auto"/>
                <w:spacing w:val="7"/>
              </w:rPr>
              <w:t>评标得分</w:t>
            </w:r>
          </w:p>
        </w:tc>
        <w:tc>
          <w:tcPr>
            <w:tcW w:w="1482" w:type="dxa"/>
          </w:tcPr>
          <w:p>
            <w:pPr>
              <w:rPr>
                <w:color w:val="auto"/>
              </w:rPr>
            </w:pPr>
          </w:p>
        </w:tc>
        <w:tc>
          <w:tcPr>
            <w:tcW w:w="1721" w:type="dxa"/>
            <w:tcBorders>
              <w:right w:val="single" w:color="000000" w:sz="2" w:space="0"/>
            </w:tcBorders>
          </w:tcPr>
          <w:p>
            <w:pPr>
              <w:rPr>
                <w:color w:val="auto"/>
              </w:rPr>
            </w:pPr>
          </w:p>
        </w:tc>
        <w:tc>
          <w:tcPr>
            <w:tcW w:w="1582" w:type="dxa"/>
            <w:tcBorders>
              <w:left w:val="single" w:color="000000" w:sz="2" w:space="0"/>
            </w:tcBorders>
          </w:tcPr>
          <w:p>
            <w:pPr>
              <w:rPr>
                <w:color w:val="auto"/>
              </w:rPr>
            </w:pPr>
          </w:p>
        </w:tc>
        <w:tc>
          <w:tcPr>
            <w:tcW w:w="2025" w:type="dxa"/>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1" w:hRule="atLeast"/>
        </w:trPr>
        <w:tc>
          <w:tcPr>
            <w:tcW w:w="884" w:type="dxa"/>
            <w:vMerge w:val="restart"/>
            <w:tcBorders>
              <w:bottom w:val="nil"/>
            </w:tcBorders>
          </w:tcPr>
          <w:p>
            <w:pPr>
              <w:spacing w:line="308" w:lineRule="auto"/>
              <w:rPr>
                <w:color w:val="auto"/>
              </w:rPr>
            </w:pPr>
          </w:p>
          <w:p>
            <w:pPr>
              <w:pStyle w:val="15"/>
              <w:spacing w:before="65" w:line="273" w:lineRule="auto"/>
              <w:ind w:left="126" w:right="123"/>
              <w:rPr>
                <w:color w:val="auto"/>
              </w:rPr>
            </w:pPr>
            <w:r>
              <w:rPr>
                <w:color w:val="auto"/>
                <w:spacing w:val="6"/>
              </w:rPr>
              <w:t>主要技术参数</w:t>
            </w:r>
          </w:p>
        </w:tc>
        <w:tc>
          <w:tcPr>
            <w:tcW w:w="874" w:type="dxa"/>
          </w:tcPr>
          <w:p>
            <w:pPr>
              <w:pStyle w:val="15"/>
              <w:spacing w:before="94" w:line="267" w:lineRule="exact"/>
              <w:ind w:left="24"/>
              <w:rPr>
                <w:color w:val="auto"/>
              </w:rPr>
            </w:pPr>
            <w:r>
              <w:rPr>
                <w:color w:val="auto"/>
                <w:spacing w:val="1"/>
                <w:position w:val="1"/>
              </w:rPr>
              <w:t>1.……</w:t>
            </w:r>
          </w:p>
        </w:tc>
        <w:tc>
          <w:tcPr>
            <w:tcW w:w="1482" w:type="dxa"/>
            <w:tcBorders>
              <w:bottom w:val="single" w:color="000000" w:sz="2" w:space="0"/>
            </w:tcBorders>
          </w:tcPr>
          <w:p>
            <w:pPr>
              <w:rPr>
                <w:color w:val="auto"/>
              </w:rPr>
            </w:pPr>
          </w:p>
        </w:tc>
        <w:tc>
          <w:tcPr>
            <w:tcW w:w="1721" w:type="dxa"/>
            <w:tcBorders>
              <w:bottom w:val="single" w:color="000000" w:sz="2" w:space="0"/>
              <w:right w:val="single" w:color="000000" w:sz="2" w:space="0"/>
            </w:tcBorders>
          </w:tcPr>
          <w:p>
            <w:pPr>
              <w:rPr>
                <w:color w:val="auto"/>
              </w:rPr>
            </w:pPr>
          </w:p>
        </w:tc>
        <w:tc>
          <w:tcPr>
            <w:tcW w:w="1582" w:type="dxa"/>
            <w:tcBorders>
              <w:left w:val="single" w:color="000000" w:sz="2" w:space="0"/>
              <w:bottom w:val="single" w:color="000000" w:sz="2" w:space="0"/>
            </w:tcBorders>
          </w:tcPr>
          <w:p>
            <w:pPr>
              <w:rPr>
                <w:color w:val="auto"/>
              </w:rPr>
            </w:pPr>
          </w:p>
        </w:tc>
        <w:tc>
          <w:tcPr>
            <w:tcW w:w="2025" w:type="dxa"/>
            <w:tcBorders>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19" w:hRule="atLeast"/>
        </w:trPr>
        <w:tc>
          <w:tcPr>
            <w:tcW w:w="884" w:type="dxa"/>
            <w:vMerge w:val="continue"/>
            <w:tcBorders>
              <w:top w:val="nil"/>
              <w:bottom w:val="nil"/>
            </w:tcBorders>
          </w:tcPr>
          <w:p>
            <w:pPr>
              <w:rPr>
                <w:color w:val="auto"/>
              </w:rPr>
            </w:pPr>
          </w:p>
        </w:tc>
        <w:tc>
          <w:tcPr>
            <w:tcW w:w="874" w:type="dxa"/>
          </w:tcPr>
          <w:p>
            <w:pPr>
              <w:pStyle w:val="15"/>
              <w:spacing w:before="104" w:line="268" w:lineRule="exact"/>
              <w:ind w:left="11"/>
              <w:rPr>
                <w:color w:val="auto"/>
              </w:rPr>
            </w:pPr>
            <w:r>
              <w:rPr>
                <w:color w:val="auto"/>
                <w:spacing w:val="4"/>
                <w:position w:val="1"/>
              </w:rPr>
              <w:t>2.……</w:t>
            </w:r>
          </w:p>
        </w:tc>
        <w:tc>
          <w:tcPr>
            <w:tcW w:w="1482" w:type="dxa"/>
            <w:tcBorders>
              <w:top w:val="single" w:color="000000" w:sz="2" w:space="0"/>
              <w:bottom w:val="single" w:color="000000" w:sz="2" w:space="0"/>
            </w:tcBorders>
          </w:tcPr>
          <w:p>
            <w:pPr>
              <w:rPr>
                <w:color w:val="auto"/>
              </w:rPr>
            </w:pPr>
          </w:p>
        </w:tc>
        <w:tc>
          <w:tcPr>
            <w:tcW w:w="1721" w:type="dxa"/>
            <w:tcBorders>
              <w:top w:val="single" w:color="000000" w:sz="2" w:space="0"/>
              <w:bottom w:val="single" w:color="000000" w:sz="2" w:space="0"/>
              <w:right w:val="single" w:color="000000" w:sz="2" w:space="0"/>
            </w:tcBorders>
          </w:tcPr>
          <w:p>
            <w:pPr>
              <w:rPr>
                <w:color w:val="auto"/>
              </w:rPr>
            </w:pPr>
          </w:p>
        </w:tc>
        <w:tc>
          <w:tcPr>
            <w:tcW w:w="1582" w:type="dxa"/>
            <w:tcBorders>
              <w:top w:val="single" w:color="000000" w:sz="2" w:space="0"/>
              <w:left w:val="single" w:color="000000" w:sz="2" w:space="0"/>
              <w:bottom w:val="single" w:color="000000" w:sz="2" w:space="0"/>
            </w:tcBorders>
          </w:tcPr>
          <w:p>
            <w:pPr>
              <w:rPr>
                <w:color w:val="auto"/>
              </w:rPr>
            </w:pPr>
          </w:p>
        </w:tc>
        <w:tc>
          <w:tcPr>
            <w:tcW w:w="2025" w:type="dxa"/>
            <w:tcBorders>
              <w:top w:val="single" w:color="000000" w:sz="2" w:space="0"/>
              <w:bottom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rPr>
        <w:tc>
          <w:tcPr>
            <w:tcW w:w="884" w:type="dxa"/>
            <w:vMerge w:val="continue"/>
            <w:tcBorders>
              <w:top w:val="nil"/>
            </w:tcBorders>
          </w:tcPr>
          <w:p>
            <w:pPr>
              <w:rPr>
                <w:color w:val="auto"/>
              </w:rPr>
            </w:pPr>
          </w:p>
        </w:tc>
        <w:tc>
          <w:tcPr>
            <w:tcW w:w="874" w:type="dxa"/>
          </w:tcPr>
          <w:p>
            <w:pPr>
              <w:pStyle w:val="15"/>
              <w:spacing w:before="107" w:line="268" w:lineRule="exact"/>
              <w:ind w:left="12"/>
              <w:rPr>
                <w:color w:val="auto"/>
              </w:rPr>
            </w:pPr>
            <w:r>
              <w:rPr>
                <w:color w:val="auto"/>
                <w:spacing w:val="4"/>
                <w:position w:val="1"/>
              </w:rPr>
              <w:t>3.……</w:t>
            </w:r>
          </w:p>
        </w:tc>
        <w:tc>
          <w:tcPr>
            <w:tcW w:w="1482" w:type="dxa"/>
            <w:tcBorders>
              <w:top w:val="single" w:color="000000" w:sz="2" w:space="0"/>
            </w:tcBorders>
          </w:tcPr>
          <w:p>
            <w:pPr>
              <w:rPr>
                <w:color w:val="auto"/>
              </w:rPr>
            </w:pPr>
          </w:p>
        </w:tc>
        <w:tc>
          <w:tcPr>
            <w:tcW w:w="1721" w:type="dxa"/>
            <w:tcBorders>
              <w:top w:val="single" w:color="000000" w:sz="2" w:space="0"/>
              <w:right w:val="single" w:color="000000" w:sz="2" w:space="0"/>
            </w:tcBorders>
          </w:tcPr>
          <w:p>
            <w:pPr>
              <w:rPr>
                <w:color w:val="auto"/>
              </w:rPr>
            </w:pPr>
          </w:p>
        </w:tc>
        <w:tc>
          <w:tcPr>
            <w:tcW w:w="1582" w:type="dxa"/>
            <w:tcBorders>
              <w:top w:val="single" w:color="000000" w:sz="2" w:space="0"/>
              <w:left w:val="single" w:color="000000" w:sz="2" w:space="0"/>
            </w:tcBorders>
          </w:tcPr>
          <w:p>
            <w:pPr>
              <w:rPr>
                <w:color w:val="auto"/>
              </w:rPr>
            </w:pPr>
          </w:p>
        </w:tc>
        <w:tc>
          <w:tcPr>
            <w:tcW w:w="2025" w:type="dxa"/>
            <w:tcBorders>
              <w:top w:val="single" w:color="000000" w:sz="2" w:space="0"/>
            </w:tcBorders>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2" w:hRule="atLeast"/>
        </w:trPr>
        <w:tc>
          <w:tcPr>
            <w:tcW w:w="1758" w:type="dxa"/>
            <w:gridSpan w:val="2"/>
          </w:tcPr>
          <w:p>
            <w:pPr>
              <w:pStyle w:val="15"/>
              <w:spacing w:before="57" w:line="265" w:lineRule="auto"/>
              <w:ind w:left="143" w:right="140" w:firstLine="1"/>
              <w:rPr>
                <w:color w:val="auto"/>
                <w:lang w:eastAsia="zh-CN"/>
              </w:rPr>
            </w:pPr>
            <w:r>
              <w:rPr>
                <w:color w:val="auto"/>
                <w:spacing w:val="8"/>
                <w:lang w:eastAsia="zh-CN"/>
              </w:rPr>
              <w:t>项目负责人（含</w:t>
            </w:r>
            <w:r>
              <w:rPr>
                <w:color w:val="auto"/>
                <w:spacing w:val="6"/>
                <w:lang w:eastAsia="zh-CN"/>
              </w:rPr>
              <w:t>主要参与人员）</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52" w:hRule="atLeast"/>
        </w:trPr>
        <w:tc>
          <w:tcPr>
            <w:tcW w:w="1758" w:type="dxa"/>
            <w:gridSpan w:val="2"/>
          </w:tcPr>
          <w:p>
            <w:pPr>
              <w:pStyle w:val="15"/>
              <w:spacing w:before="59" w:line="269" w:lineRule="auto"/>
              <w:ind w:left="255" w:right="140" w:hanging="103"/>
              <w:rPr>
                <w:color w:val="auto"/>
                <w:lang w:eastAsia="zh-CN"/>
              </w:rPr>
            </w:pPr>
            <w:r>
              <w:rPr>
                <w:color w:val="auto"/>
                <w:spacing w:val="7"/>
                <w:lang w:eastAsia="zh-CN"/>
              </w:rPr>
              <w:t>响应招标文件的</w:t>
            </w:r>
            <w:r>
              <w:rPr>
                <w:color w:val="auto"/>
                <w:spacing w:val="6"/>
                <w:lang w:eastAsia="zh-CN"/>
              </w:rPr>
              <w:t>资格能力条件</w:t>
            </w:r>
          </w:p>
        </w:tc>
        <w:tc>
          <w:tcPr>
            <w:tcW w:w="1482" w:type="dxa"/>
          </w:tcPr>
          <w:p>
            <w:pPr>
              <w:rPr>
                <w:color w:val="auto"/>
                <w:lang w:eastAsia="zh-CN"/>
              </w:rPr>
            </w:pPr>
          </w:p>
        </w:tc>
        <w:tc>
          <w:tcPr>
            <w:tcW w:w="1721" w:type="dxa"/>
            <w:tcBorders>
              <w:right w:val="single" w:color="000000" w:sz="2" w:space="0"/>
            </w:tcBorders>
          </w:tcPr>
          <w:p>
            <w:pPr>
              <w:rPr>
                <w:color w:val="auto"/>
                <w:lang w:eastAsia="zh-CN"/>
              </w:rPr>
            </w:pPr>
          </w:p>
        </w:tc>
        <w:tc>
          <w:tcPr>
            <w:tcW w:w="1582" w:type="dxa"/>
            <w:tcBorders>
              <w:left w:val="single" w:color="000000" w:sz="2" w:space="0"/>
            </w:tcBorders>
          </w:tcPr>
          <w:p>
            <w:pPr>
              <w:rPr>
                <w:color w:val="auto"/>
                <w:lang w:eastAsia="zh-CN"/>
              </w:rPr>
            </w:pPr>
          </w:p>
        </w:tc>
        <w:tc>
          <w:tcPr>
            <w:tcW w:w="2025" w:type="dxa"/>
          </w:tcPr>
          <w:p>
            <w:pPr>
              <w:rPr>
                <w:color w:val="auto"/>
                <w:lang w:eastAsia="zh-CN"/>
              </w:rPr>
            </w:pPr>
          </w:p>
        </w:tc>
      </w:tr>
    </w:tbl>
    <w:p>
      <w:pPr>
        <w:spacing w:before="141" w:line="228" w:lineRule="auto"/>
        <w:ind w:left="49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被否决投标情况：被否决投标单位名称、被否决理由。</w:t>
      </w:r>
    </w:p>
    <w:p>
      <w:pPr>
        <w:spacing w:before="154" w:line="353" w:lineRule="auto"/>
        <w:ind w:left="75"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公示期天。公示期间，投标人和其他利害关系人如有异议，应按照《工程</w:t>
      </w:r>
      <w:r>
        <w:rPr>
          <w:rFonts w:ascii="宋体" w:hAnsi="宋体" w:eastAsia="宋体" w:cs="宋体"/>
          <w:color w:val="auto"/>
          <w:spacing w:val="10"/>
          <w:sz w:val="20"/>
          <w:szCs w:val="20"/>
          <w:lang w:eastAsia="zh-CN"/>
        </w:rPr>
        <w:t>建设项目投标</w:t>
      </w:r>
      <w:r>
        <w:rPr>
          <w:rFonts w:ascii="宋体" w:hAnsi="宋体" w:eastAsia="宋体" w:cs="宋体"/>
          <w:color w:val="auto"/>
          <w:spacing w:val="9"/>
          <w:sz w:val="20"/>
          <w:szCs w:val="20"/>
          <w:lang w:eastAsia="zh-CN"/>
        </w:rPr>
        <w:t>活动投诉处理办法》、《湖南省招标投标活动投诉处理办法》提出异议或投诉。</w:t>
      </w:r>
    </w:p>
    <w:p>
      <w:pPr>
        <w:spacing w:before="36" w:line="362" w:lineRule="auto"/>
        <w:ind w:left="493" w:right="250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名称、地址、联系人及联系方式）</w:t>
      </w:r>
      <w:r>
        <w:rPr>
          <w:rFonts w:ascii="宋体" w:hAnsi="宋体" w:eastAsia="宋体" w:cs="宋体"/>
          <w:color w:val="auto"/>
          <w:spacing w:val="9"/>
          <w:sz w:val="20"/>
          <w:szCs w:val="20"/>
          <w:lang w:eastAsia="zh-CN"/>
        </w:rPr>
        <w:t>招标代理</w:t>
      </w:r>
      <w:r>
        <w:rPr>
          <w:rFonts w:ascii="宋体" w:hAnsi="宋体" w:eastAsia="宋体" w:cs="宋体"/>
          <w:color w:val="auto"/>
          <w:spacing w:val="3"/>
          <w:sz w:val="20"/>
          <w:szCs w:val="20"/>
          <w:lang w:eastAsia="zh-CN"/>
        </w:rPr>
        <w:t>：（</w:t>
      </w:r>
      <w:r>
        <w:rPr>
          <w:rFonts w:ascii="宋体" w:hAnsi="宋体" w:eastAsia="宋体" w:cs="宋体"/>
          <w:color w:val="auto"/>
          <w:spacing w:val="9"/>
          <w:sz w:val="20"/>
          <w:szCs w:val="20"/>
          <w:lang w:eastAsia="zh-CN"/>
        </w:rPr>
        <w:t>名称、地址、联系人及联系方式） 监管部门</w:t>
      </w:r>
      <w:r>
        <w:rPr>
          <w:rFonts w:ascii="宋体" w:hAnsi="宋体" w:eastAsia="宋体" w:cs="宋体"/>
          <w:color w:val="auto"/>
          <w:spacing w:val="1"/>
          <w:sz w:val="20"/>
          <w:szCs w:val="20"/>
          <w:lang w:eastAsia="zh-CN"/>
        </w:rPr>
        <w:t>：（</w:t>
      </w:r>
      <w:r>
        <w:rPr>
          <w:rFonts w:ascii="宋体" w:hAnsi="宋体" w:eastAsia="宋体" w:cs="宋体"/>
          <w:color w:val="auto"/>
          <w:spacing w:val="9"/>
          <w:sz w:val="20"/>
          <w:szCs w:val="20"/>
          <w:lang w:eastAsia="zh-CN"/>
        </w:rPr>
        <w:t>名称、地址、联系方式）</w:t>
      </w:r>
      <w:r>
        <w:rPr>
          <w:rFonts w:ascii="宋体" w:hAnsi="宋体" w:eastAsia="宋体" w:cs="宋体"/>
          <w:color w:val="auto"/>
          <w:spacing w:val="6"/>
          <w:sz w:val="20"/>
          <w:szCs w:val="20"/>
          <w:lang w:eastAsia="zh-CN"/>
        </w:rPr>
        <w:t>时间：</w:t>
      </w:r>
    </w:p>
    <w:p>
      <w:pPr>
        <w:spacing w:line="362" w:lineRule="auto"/>
        <w:rPr>
          <w:rFonts w:ascii="宋体" w:hAnsi="宋体" w:eastAsia="宋体" w:cs="宋体"/>
          <w:color w:val="auto"/>
          <w:sz w:val="20"/>
          <w:szCs w:val="20"/>
          <w:lang w:eastAsia="zh-CN"/>
        </w:rPr>
        <w:sectPr>
          <w:footerReference r:id="rId19" w:type="default"/>
          <w:pgSz w:w="11906" w:h="16839"/>
          <w:pgMar w:top="1431" w:right="1533" w:bottom="1356" w:left="1524"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3" w:name="bookmark148"/>
      <w:bookmarkEnd w:id="143"/>
      <w:bookmarkStart w:id="144" w:name="bookmark147"/>
      <w:bookmarkEnd w:id="144"/>
      <w:r>
        <w:rPr>
          <w:rFonts w:ascii="宋体" w:hAnsi="宋体" w:eastAsia="宋体" w:cs="宋体"/>
          <w:b/>
          <w:bCs/>
          <w:color w:val="auto"/>
          <w:spacing w:val="-3"/>
          <w:sz w:val="31"/>
          <w:szCs w:val="31"/>
          <w:lang w:eastAsia="zh-CN"/>
        </w:rPr>
        <w:t>附件</w:t>
      </w:r>
      <w:r>
        <w:rPr>
          <w:rFonts w:ascii="Calibri" w:hAnsi="Calibri" w:eastAsia="Calibri" w:cs="Calibri"/>
          <w:b/>
          <w:bCs/>
          <w:color w:val="auto"/>
          <w:spacing w:val="-3"/>
          <w:sz w:val="31"/>
          <w:szCs w:val="31"/>
          <w:lang w:eastAsia="zh-CN"/>
        </w:rPr>
        <w:t>6</w:t>
      </w:r>
      <w:r>
        <w:rPr>
          <w:rFonts w:ascii="宋体" w:hAnsi="宋体" w:eastAsia="宋体" w:cs="宋体"/>
          <w:b/>
          <w:bCs/>
          <w:color w:val="auto"/>
          <w:spacing w:val="-3"/>
          <w:sz w:val="31"/>
          <w:szCs w:val="31"/>
          <w:lang w:eastAsia="zh-CN"/>
        </w:rPr>
        <w:t>：中标通知书</w:t>
      </w:r>
    </w:p>
    <w:p>
      <w:pPr>
        <w:pStyle w:val="3"/>
        <w:spacing w:line="467" w:lineRule="auto"/>
        <w:rPr>
          <w:color w:val="auto"/>
          <w:lang w:eastAsia="zh-CN"/>
        </w:rPr>
      </w:pPr>
    </w:p>
    <w:p>
      <w:pPr>
        <w:spacing w:before="91" w:line="223" w:lineRule="auto"/>
        <w:ind w:left="3724"/>
        <w:rPr>
          <w:rFonts w:ascii="黑体" w:hAnsi="黑体" w:eastAsia="黑体" w:cs="黑体"/>
          <w:color w:val="auto"/>
          <w:sz w:val="28"/>
          <w:szCs w:val="28"/>
          <w:lang w:eastAsia="zh-CN"/>
        </w:rPr>
      </w:pPr>
      <w:r>
        <w:rPr>
          <w:rFonts w:ascii="黑体" w:hAnsi="黑体" w:eastAsia="黑体" w:cs="黑体"/>
          <w:color w:val="auto"/>
          <w:spacing w:val="-7"/>
          <w:sz w:val="28"/>
          <w:szCs w:val="28"/>
          <w:lang w:eastAsia="zh-CN"/>
        </w:rPr>
        <w:t>中标通知书</w:t>
      </w:r>
    </w:p>
    <w:p>
      <w:pPr>
        <w:pStyle w:val="3"/>
        <w:spacing w:line="292" w:lineRule="auto"/>
        <w:rPr>
          <w:color w:val="auto"/>
          <w:lang w:eastAsia="zh-CN"/>
        </w:rPr>
      </w:pPr>
    </w:p>
    <w:p>
      <w:pPr>
        <w:pStyle w:val="3"/>
        <w:spacing w:line="292" w:lineRule="auto"/>
        <w:rPr>
          <w:color w:val="auto"/>
          <w:lang w:eastAsia="zh-CN"/>
        </w:rPr>
      </w:pPr>
    </w:p>
    <w:p>
      <w:pPr>
        <w:tabs>
          <w:tab w:val="left" w:pos="1995"/>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（中标人名称</w:t>
      </w:r>
      <w:r>
        <w:rPr>
          <w:rFonts w:ascii="宋体" w:hAnsi="宋体" w:eastAsia="宋体" w:cs="宋体"/>
          <w:color w:val="auto"/>
          <w:spacing w:val="1"/>
          <w:sz w:val="20"/>
          <w:szCs w:val="20"/>
          <w:lang w:eastAsia="zh-CN"/>
        </w:rPr>
        <w:t>）：</w:t>
      </w:r>
    </w:p>
    <w:p>
      <w:pPr>
        <w:pStyle w:val="3"/>
        <w:spacing w:line="243" w:lineRule="auto"/>
        <w:rPr>
          <w:color w:val="auto"/>
          <w:lang w:eastAsia="zh-CN"/>
        </w:rPr>
      </w:pPr>
    </w:p>
    <w:p>
      <w:pPr>
        <w:pStyle w:val="3"/>
        <w:spacing w:line="243" w:lineRule="auto"/>
        <w:rPr>
          <w:color w:val="auto"/>
          <w:lang w:eastAsia="zh-CN"/>
        </w:rPr>
      </w:pPr>
    </w:p>
    <w:p>
      <w:pPr>
        <w:spacing w:before="65" w:line="353" w:lineRule="auto"/>
        <w:ind w:left="8" w:right="8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你方于（投标日期）所递交的（项目名称）标段施工投标文件已被我方接受，被确定为中标人。</w:t>
      </w:r>
    </w:p>
    <w:p>
      <w:pPr>
        <w:spacing w:before="33" w:line="356" w:lineRule="auto"/>
        <w:ind w:left="431" w:right="5234" w:firstLine="17"/>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中标价：元。</w:t>
      </w:r>
      <w:r>
        <w:rPr>
          <w:rFonts w:ascii="宋体" w:hAnsi="宋体" w:eastAsia="宋体" w:cs="宋体"/>
          <w:color w:val="auto"/>
          <w:sz w:val="20"/>
          <w:szCs w:val="20"/>
          <w:lang w:eastAsia="zh-CN"/>
        </w:rPr>
        <w:t xml:space="preserve"> 工期：日历天。</w:t>
      </w:r>
    </w:p>
    <w:p>
      <w:pPr>
        <w:spacing w:before="29" w:line="355" w:lineRule="auto"/>
        <w:ind w:left="431" w:right="407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工程质量：符合标准。</w:t>
      </w:r>
      <w:r>
        <w:rPr>
          <w:rFonts w:ascii="宋体" w:hAnsi="宋体" w:eastAsia="宋体" w:cs="宋体"/>
          <w:color w:val="auto"/>
          <w:spacing w:val="9"/>
          <w:sz w:val="20"/>
          <w:szCs w:val="20"/>
          <w:lang w:eastAsia="zh-CN"/>
        </w:rPr>
        <w:t>项目经理</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姓名）。</w:t>
      </w:r>
    </w:p>
    <w:p>
      <w:pPr>
        <w:spacing w:before="31" w:line="353" w:lineRule="auto"/>
        <w:ind w:left="8" w:right="8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请你方在接到本通知书后的日内到</w:t>
      </w:r>
      <w:r>
        <w:rPr>
          <w:rFonts w:ascii="宋体" w:hAnsi="宋体" w:eastAsia="宋体" w:cs="宋体"/>
          <w:color w:val="auto"/>
          <w:spacing w:val="7"/>
          <w:sz w:val="20"/>
          <w:szCs w:val="20"/>
          <w:lang w:eastAsia="zh-CN"/>
        </w:rPr>
        <w:t>（指定地点）与我方签订</w:t>
      </w:r>
      <w:r>
        <w:rPr>
          <w:rFonts w:ascii="宋体" w:hAnsi="宋体" w:eastAsia="宋体" w:cs="宋体"/>
          <w:color w:val="auto"/>
          <w:spacing w:val="8"/>
          <w:sz w:val="20"/>
          <w:szCs w:val="20"/>
          <w:lang w:eastAsia="zh-CN"/>
        </w:rPr>
        <w:t>施工承包合同，在此之前按招标文件第二章</w:t>
      </w:r>
      <w:r>
        <w:rPr>
          <w:rFonts w:ascii="宋体" w:hAnsi="宋体" w:eastAsia="宋体" w:cs="宋体"/>
          <w:color w:val="auto"/>
          <w:spacing w:val="7"/>
          <w:sz w:val="20"/>
          <w:szCs w:val="20"/>
          <w:lang w:eastAsia="zh-CN"/>
        </w:rPr>
        <w:t>“投标人须知”第7.3款规定向我方提交履约担保。</w:t>
      </w:r>
    </w:p>
    <w:p>
      <w:pPr>
        <w:spacing w:before="34" w:line="228" w:lineRule="auto"/>
        <w:ind w:left="42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特此通知。</w:t>
      </w:r>
    </w:p>
    <w:p>
      <w:pPr>
        <w:pStyle w:val="3"/>
        <w:spacing w:line="265" w:lineRule="auto"/>
        <w:rPr>
          <w:color w:val="auto"/>
          <w:lang w:eastAsia="zh-CN"/>
        </w:rPr>
      </w:pPr>
    </w:p>
    <w:p>
      <w:pPr>
        <w:pStyle w:val="3"/>
        <w:spacing w:line="265"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pStyle w:val="3"/>
        <w:spacing w:line="266" w:lineRule="auto"/>
        <w:rPr>
          <w:color w:val="auto"/>
          <w:lang w:eastAsia="zh-CN"/>
        </w:rPr>
      </w:pPr>
    </w:p>
    <w:p>
      <w:pPr>
        <w:spacing w:before="66" w:line="227"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招标人</w:t>
      </w:r>
      <w:r>
        <w:rPr>
          <w:rFonts w:ascii="宋体" w:hAnsi="宋体" w:eastAsia="宋体" w:cs="宋体"/>
          <w:color w:val="auto"/>
          <w:spacing w:val="-14"/>
          <w:sz w:val="20"/>
          <w:szCs w:val="20"/>
          <w:lang w:eastAsia="zh-CN"/>
        </w:rPr>
        <w:t>：（</w:t>
      </w:r>
      <w:r>
        <w:rPr>
          <w:rFonts w:ascii="宋体" w:hAnsi="宋体" w:eastAsia="宋体" w:cs="宋体"/>
          <w:color w:val="auto"/>
          <w:spacing w:val="10"/>
          <w:sz w:val="20"/>
          <w:szCs w:val="20"/>
          <w:lang w:eastAsia="zh-CN"/>
        </w:rPr>
        <w:t>盖章）</w:t>
      </w:r>
    </w:p>
    <w:p>
      <w:pPr>
        <w:pStyle w:val="3"/>
        <w:spacing w:line="278" w:lineRule="auto"/>
        <w:rPr>
          <w:color w:val="auto"/>
          <w:lang w:eastAsia="zh-CN"/>
        </w:rPr>
      </w:pPr>
    </w:p>
    <w:p>
      <w:pPr>
        <w:pStyle w:val="3"/>
        <w:spacing w:line="278" w:lineRule="auto"/>
        <w:rPr>
          <w:color w:val="auto"/>
          <w:lang w:eastAsia="zh-CN"/>
        </w:rPr>
      </w:pPr>
    </w:p>
    <w:p>
      <w:pPr>
        <w:tabs>
          <w:tab w:val="left" w:pos="6487"/>
        </w:tabs>
        <w:spacing w:before="66" w:line="228" w:lineRule="auto"/>
        <w:ind w:left="5752"/>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0" w:type="default"/>
          <w:pgSz w:w="11906" w:h="16839"/>
          <w:pgMar w:top="1431" w:right="1445"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8"/>
        <w:outlineLvl w:val="2"/>
        <w:rPr>
          <w:rFonts w:ascii="宋体" w:hAnsi="宋体" w:eastAsia="宋体" w:cs="宋体"/>
          <w:color w:val="auto"/>
          <w:sz w:val="31"/>
          <w:szCs w:val="31"/>
          <w:lang w:eastAsia="zh-CN"/>
        </w:rPr>
      </w:pPr>
      <w:bookmarkStart w:id="145" w:name="bookmark150"/>
      <w:bookmarkEnd w:id="145"/>
      <w:bookmarkStart w:id="146" w:name="bookmark149"/>
      <w:bookmarkEnd w:id="146"/>
      <w:bookmarkStart w:id="147" w:name="bookmark549"/>
      <w:bookmarkEnd w:id="147"/>
      <w:r>
        <w:rPr>
          <w:rFonts w:ascii="宋体" w:hAnsi="宋体" w:eastAsia="宋体" w:cs="宋体"/>
          <w:b/>
          <w:bCs/>
          <w:color w:val="auto"/>
          <w:spacing w:val="-1"/>
          <w:sz w:val="31"/>
          <w:szCs w:val="31"/>
          <w:lang w:eastAsia="zh-CN"/>
        </w:rPr>
        <w:t>附件</w:t>
      </w:r>
      <w:r>
        <w:rPr>
          <w:rFonts w:ascii="Calibri" w:hAnsi="Calibri" w:eastAsia="Calibri" w:cs="Calibri"/>
          <w:b/>
          <w:bCs/>
          <w:color w:val="auto"/>
          <w:spacing w:val="-1"/>
          <w:sz w:val="31"/>
          <w:szCs w:val="31"/>
          <w:lang w:eastAsia="zh-CN"/>
        </w:rPr>
        <w:t>7</w:t>
      </w:r>
      <w:r>
        <w:rPr>
          <w:rFonts w:ascii="宋体" w:hAnsi="宋体" w:eastAsia="宋体" w:cs="宋体"/>
          <w:b/>
          <w:bCs/>
          <w:color w:val="auto"/>
          <w:spacing w:val="-1"/>
          <w:sz w:val="31"/>
          <w:szCs w:val="31"/>
          <w:lang w:eastAsia="zh-CN"/>
        </w:rPr>
        <w:t>：中标结果通知书</w:t>
      </w:r>
    </w:p>
    <w:p>
      <w:pPr>
        <w:pStyle w:val="3"/>
        <w:spacing w:line="379" w:lineRule="auto"/>
        <w:rPr>
          <w:color w:val="auto"/>
          <w:lang w:eastAsia="zh-CN"/>
        </w:rPr>
      </w:pPr>
    </w:p>
    <w:p>
      <w:pPr>
        <w:spacing w:before="91" w:line="223" w:lineRule="auto"/>
        <w:ind w:left="3446"/>
        <w:rPr>
          <w:rFonts w:ascii="黑体" w:hAnsi="黑体" w:eastAsia="黑体" w:cs="黑体"/>
          <w:color w:val="auto"/>
          <w:sz w:val="28"/>
          <w:szCs w:val="28"/>
          <w:lang w:eastAsia="zh-CN"/>
        </w:rPr>
      </w:pPr>
      <w:r>
        <w:rPr>
          <w:rFonts w:ascii="黑体" w:hAnsi="黑体" w:eastAsia="黑体" w:cs="黑体"/>
          <w:color w:val="auto"/>
          <w:spacing w:val="-5"/>
          <w:sz w:val="28"/>
          <w:szCs w:val="28"/>
          <w:lang w:eastAsia="zh-CN"/>
        </w:rPr>
        <w:t>中标结果通知书</w:t>
      </w:r>
    </w:p>
    <w:p>
      <w:pPr>
        <w:pStyle w:val="3"/>
        <w:spacing w:line="293" w:lineRule="auto"/>
        <w:rPr>
          <w:color w:val="auto"/>
          <w:lang w:eastAsia="zh-CN"/>
        </w:rPr>
      </w:pPr>
    </w:p>
    <w:p>
      <w:pPr>
        <w:pStyle w:val="3"/>
        <w:spacing w:line="293" w:lineRule="auto"/>
        <w:rPr>
          <w:color w:val="auto"/>
          <w:lang w:eastAsia="zh-CN"/>
        </w:rPr>
      </w:pPr>
    </w:p>
    <w:p>
      <w:pPr>
        <w:tabs>
          <w:tab w:val="left" w:pos="1888"/>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（未中标人名称</w:t>
      </w:r>
      <w:r>
        <w:rPr>
          <w:rFonts w:ascii="宋体" w:hAnsi="宋体" w:eastAsia="宋体" w:cs="宋体"/>
          <w:color w:val="auto"/>
          <w:spacing w:val="2"/>
          <w:sz w:val="20"/>
          <w:szCs w:val="20"/>
          <w:lang w:eastAsia="zh-CN"/>
        </w:rPr>
        <w:t>）：</w:t>
      </w:r>
    </w:p>
    <w:p>
      <w:pPr>
        <w:pStyle w:val="3"/>
        <w:spacing w:line="242" w:lineRule="auto"/>
        <w:rPr>
          <w:color w:val="auto"/>
          <w:lang w:eastAsia="zh-CN"/>
        </w:rPr>
      </w:pPr>
    </w:p>
    <w:p>
      <w:pPr>
        <w:pStyle w:val="3"/>
        <w:spacing w:line="242" w:lineRule="auto"/>
        <w:rPr>
          <w:color w:val="auto"/>
          <w:lang w:eastAsia="zh-CN"/>
        </w:rPr>
      </w:pPr>
    </w:p>
    <w:p>
      <w:pPr>
        <w:spacing w:before="65" w:line="359" w:lineRule="auto"/>
        <w:ind w:left="8"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我方已接受 （中标人名称）于</w:t>
      </w:r>
      <w:r>
        <w:rPr>
          <w:rFonts w:ascii="宋体" w:hAnsi="宋体" w:eastAsia="宋体" w:cs="宋体"/>
          <w:color w:val="auto"/>
          <w:spacing w:val="7"/>
          <w:sz w:val="20"/>
          <w:szCs w:val="20"/>
          <w:lang w:eastAsia="zh-CN"/>
        </w:rPr>
        <w:t>（投标日期）所递</w:t>
      </w:r>
      <w:r>
        <w:rPr>
          <w:rFonts w:ascii="宋体" w:hAnsi="宋体" w:eastAsia="宋体" w:cs="宋体"/>
          <w:color w:val="auto"/>
          <w:spacing w:val="6"/>
          <w:sz w:val="20"/>
          <w:szCs w:val="20"/>
          <w:lang w:eastAsia="zh-CN"/>
        </w:rPr>
        <w:t>交的（项目名称）标段施工投标文件，确定（中标人名</w:t>
      </w:r>
      <w:r>
        <w:rPr>
          <w:rFonts w:ascii="宋体" w:hAnsi="宋体" w:eastAsia="宋体" w:cs="宋体"/>
          <w:color w:val="auto"/>
          <w:spacing w:val="7"/>
          <w:sz w:val="20"/>
          <w:szCs w:val="20"/>
          <w:lang w:eastAsia="zh-CN"/>
        </w:rPr>
        <w:t>称）为中标人。</w:t>
      </w:r>
    </w:p>
    <w:p>
      <w:pPr>
        <w:pStyle w:val="3"/>
        <w:spacing w:line="365" w:lineRule="auto"/>
        <w:rPr>
          <w:color w:val="auto"/>
          <w:lang w:eastAsia="zh-CN"/>
        </w:rPr>
      </w:pPr>
    </w:p>
    <w:p>
      <w:pPr>
        <w:spacing w:before="65" w:line="228"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感谢你单位对我们工作的大力支持！</w:t>
      </w:r>
    </w:p>
    <w:p>
      <w:pPr>
        <w:pStyle w:val="3"/>
        <w:spacing w:line="310" w:lineRule="auto"/>
        <w:rPr>
          <w:color w:val="auto"/>
          <w:lang w:eastAsia="zh-CN"/>
        </w:rPr>
      </w:pPr>
    </w:p>
    <w:p>
      <w:pPr>
        <w:pStyle w:val="3"/>
        <w:spacing w:line="310" w:lineRule="auto"/>
        <w:rPr>
          <w:color w:val="auto"/>
          <w:lang w:eastAsia="zh-CN"/>
        </w:rPr>
      </w:pPr>
    </w:p>
    <w:p>
      <w:pPr>
        <w:pStyle w:val="3"/>
        <w:spacing w:line="310" w:lineRule="auto"/>
        <w:rPr>
          <w:color w:val="auto"/>
          <w:lang w:eastAsia="zh-CN"/>
        </w:rPr>
      </w:pPr>
    </w:p>
    <w:p>
      <w:pPr>
        <w:spacing w:before="65" w:line="227" w:lineRule="auto"/>
        <w:ind w:left="503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盖章招标人</w:t>
      </w:r>
      <w:r>
        <w:rPr>
          <w:rFonts w:ascii="宋体" w:hAnsi="宋体" w:eastAsia="宋体" w:cs="宋体"/>
          <w:color w:val="auto"/>
          <w:spacing w:val="-5"/>
          <w:sz w:val="20"/>
          <w:szCs w:val="20"/>
          <w:lang w:eastAsia="zh-CN"/>
        </w:rPr>
        <w:t>：（</w:t>
      </w:r>
      <w:r>
        <w:rPr>
          <w:rFonts w:ascii="宋体" w:hAnsi="宋体" w:eastAsia="宋体" w:cs="宋体"/>
          <w:color w:val="auto"/>
          <w:spacing w:val="11"/>
          <w:sz w:val="20"/>
          <w:szCs w:val="20"/>
          <w:lang w:eastAsia="zh-CN"/>
        </w:rPr>
        <w:t>盖章）</w:t>
      </w:r>
    </w:p>
    <w:p>
      <w:pPr>
        <w:pStyle w:val="3"/>
        <w:spacing w:line="248" w:lineRule="auto"/>
        <w:rPr>
          <w:color w:val="auto"/>
          <w:lang w:eastAsia="zh-CN"/>
        </w:rPr>
      </w:pPr>
    </w:p>
    <w:p>
      <w:pPr>
        <w:pStyle w:val="3"/>
        <w:spacing w:line="248" w:lineRule="auto"/>
        <w:rPr>
          <w:color w:val="auto"/>
          <w:lang w:eastAsia="zh-CN"/>
        </w:rPr>
      </w:pPr>
    </w:p>
    <w:p>
      <w:pPr>
        <w:tabs>
          <w:tab w:val="left" w:pos="6194"/>
        </w:tabs>
        <w:spacing w:before="66" w:line="228" w:lineRule="auto"/>
        <w:ind w:left="5460"/>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21" w:type="default"/>
          <w:pgSz w:w="11906" w:h="16839"/>
          <w:pgMar w:top="1431" w:right="1533" w:bottom="1356" w:left="1588" w:header="0" w:footer="1191" w:gutter="0"/>
          <w:cols w:space="720" w:num="1"/>
          <w:docGrid w:linePitch="0" w:charSpace="0"/>
        </w:sectPr>
      </w:pPr>
    </w:p>
    <w:p>
      <w:pPr>
        <w:pStyle w:val="3"/>
        <w:spacing w:line="431" w:lineRule="auto"/>
        <w:rPr>
          <w:color w:val="auto"/>
          <w:lang w:eastAsia="zh-CN"/>
        </w:rPr>
      </w:pPr>
    </w:p>
    <w:p>
      <w:pPr>
        <w:spacing w:before="101" w:line="224" w:lineRule="auto"/>
        <w:ind w:left="30"/>
        <w:outlineLvl w:val="2"/>
        <w:rPr>
          <w:rFonts w:ascii="宋体" w:hAnsi="宋体" w:eastAsia="宋体" w:cs="宋体"/>
          <w:color w:val="auto"/>
          <w:sz w:val="31"/>
          <w:szCs w:val="31"/>
          <w:lang w:eastAsia="zh-CN"/>
        </w:rPr>
      </w:pPr>
      <w:bookmarkStart w:id="148" w:name="bookmark151"/>
      <w:bookmarkEnd w:id="148"/>
      <w:bookmarkStart w:id="149" w:name="bookmark152"/>
      <w:bookmarkEnd w:id="149"/>
      <w:r>
        <w:rPr>
          <w:rFonts w:ascii="宋体" w:hAnsi="宋体" w:eastAsia="宋体" w:cs="宋体"/>
          <w:b/>
          <w:bCs/>
          <w:color w:val="auto"/>
          <w:spacing w:val="-2"/>
          <w:sz w:val="31"/>
          <w:szCs w:val="31"/>
          <w:lang w:eastAsia="zh-CN"/>
        </w:rPr>
        <w:t>附件</w:t>
      </w:r>
      <w:r>
        <w:rPr>
          <w:rFonts w:ascii="Calibri" w:hAnsi="Calibri" w:eastAsia="Calibri" w:cs="Calibri"/>
          <w:b/>
          <w:bCs/>
          <w:color w:val="auto"/>
          <w:spacing w:val="-2"/>
          <w:sz w:val="31"/>
          <w:szCs w:val="31"/>
          <w:lang w:eastAsia="zh-CN"/>
        </w:rPr>
        <w:t>8</w:t>
      </w:r>
      <w:r>
        <w:rPr>
          <w:rFonts w:ascii="宋体" w:hAnsi="宋体" w:eastAsia="宋体" w:cs="宋体"/>
          <w:b/>
          <w:bCs/>
          <w:color w:val="auto"/>
          <w:spacing w:val="-2"/>
          <w:sz w:val="31"/>
          <w:szCs w:val="31"/>
          <w:lang w:eastAsia="zh-CN"/>
        </w:rPr>
        <w:t>：中标结果公示</w:t>
      </w:r>
    </w:p>
    <w:p>
      <w:pPr>
        <w:pStyle w:val="3"/>
        <w:spacing w:line="313" w:lineRule="auto"/>
        <w:rPr>
          <w:color w:val="auto"/>
          <w:lang w:eastAsia="zh-CN"/>
        </w:rPr>
      </w:pPr>
    </w:p>
    <w:p>
      <w:pPr>
        <w:pStyle w:val="3"/>
        <w:spacing w:line="313" w:lineRule="auto"/>
        <w:rPr>
          <w:color w:val="auto"/>
          <w:lang w:eastAsia="zh-CN"/>
        </w:rPr>
      </w:pPr>
    </w:p>
    <w:p>
      <w:pPr>
        <w:pStyle w:val="3"/>
        <w:spacing w:line="314" w:lineRule="auto"/>
        <w:rPr>
          <w:color w:val="auto"/>
          <w:lang w:eastAsia="zh-CN"/>
        </w:rPr>
      </w:pPr>
    </w:p>
    <w:p>
      <w:pPr>
        <w:spacing w:before="91" w:line="222" w:lineRule="auto"/>
        <w:ind w:left="3578"/>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中标结果公示</w:t>
      </w:r>
    </w:p>
    <w:p>
      <w:pPr>
        <w:pStyle w:val="3"/>
        <w:spacing w:line="287" w:lineRule="auto"/>
        <w:rPr>
          <w:color w:val="auto"/>
          <w:lang w:eastAsia="zh-CN"/>
        </w:rPr>
      </w:pPr>
    </w:p>
    <w:p>
      <w:pPr>
        <w:pStyle w:val="3"/>
        <w:spacing w:line="288" w:lineRule="auto"/>
        <w:rPr>
          <w:color w:val="auto"/>
          <w:lang w:eastAsia="zh-CN"/>
        </w:rPr>
      </w:pPr>
    </w:p>
    <w:p>
      <w:pPr>
        <w:tabs>
          <w:tab w:val="left" w:pos="1561"/>
        </w:tabs>
        <w:spacing w:before="65" w:line="227" w:lineRule="auto"/>
        <w:ind w:left="413"/>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0"/>
          <w:sz w:val="20"/>
          <w:szCs w:val="20"/>
          <w:lang w:eastAsia="zh-CN"/>
        </w:rPr>
        <w:t>（代理公司）受（招标人）的委托，代理的项目（采</w:t>
      </w:r>
    </w:p>
    <w:p>
      <w:pPr>
        <w:spacing w:before="212"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购编号</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进行国内公开招标。于年月日在湖南省招标投标监管网</w:t>
      </w:r>
    </w:p>
    <w:p>
      <w:pPr>
        <w:spacing w:before="214" w:line="227" w:lineRule="auto"/>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及（媒介）对中标候选人进行了公示，公示期满且无异议和投诉。现招标人按照招标</w:t>
      </w:r>
    </w:p>
    <w:p>
      <w:pPr>
        <w:spacing w:before="215" w:line="226" w:lineRule="auto"/>
        <w:ind w:left="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文件规定确定中标人公告如下：</w:t>
      </w:r>
    </w:p>
    <w:p>
      <w:pPr>
        <w:spacing w:before="21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项目名称：</w:t>
      </w:r>
    </w:p>
    <w:p>
      <w:pPr>
        <w:spacing w:before="213"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4" w:line="228" w:lineRule="auto"/>
        <w:ind w:left="441"/>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中标单位：</w:t>
      </w:r>
    </w:p>
    <w:p>
      <w:pPr>
        <w:spacing w:before="211" w:line="324" w:lineRule="exact"/>
        <w:ind w:left="643"/>
        <w:rPr>
          <w:rFonts w:ascii="宋体" w:hAnsi="宋体" w:eastAsia="宋体" w:cs="宋体"/>
          <w:color w:val="auto"/>
          <w:sz w:val="20"/>
          <w:szCs w:val="20"/>
          <w:lang w:eastAsia="zh-CN"/>
        </w:rPr>
      </w:pPr>
      <w:r>
        <w:rPr>
          <w:rFonts w:ascii="宋体" w:hAnsi="宋体" w:eastAsia="宋体" w:cs="宋体"/>
          <w:color w:val="auto"/>
          <w:spacing w:val="-2"/>
          <w:position w:val="2"/>
          <w:sz w:val="20"/>
          <w:szCs w:val="20"/>
          <w:lang w:eastAsia="zh-CN"/>
        </w:rPr>
        <w:t>……</w:t>
      </w: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1"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pStyle w:val="3"/>
        <w:spacing w:line="272" w:lineRule="auto"/>
        <w:rPr>
          <w:color w:val="auto"/>
          <w:lang w:eastAsia="zh-CN"/>
        </w:rPr>
      </w:pPr>
    </w:p>
    <w:p>
      <w:pPr>
        <w:spacing w:before="66" w:line="228"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招标代理：</w:t>
      </w:r>
    </w:p>
    <w:p>
      <w:pPr>
        <w:spacing w:before="211" w:line="230" w:lineRule="auto"/>
        <w:ind w:left="357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联系地址：</w:t>
      </w:r>
    </w:p>
    <w:p>
      <w:pPr>
        <w:spacing w:before="212" w:line="230" w:lineRule="auto"/>
        <w:ind w:left="357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联系人：</w:t>
      </w:r>
    </w:p>
    <w:p>
      <w:pPr>
        <w:spacing w:before="211" w:line="230" w:lineRule="auto"/>
        <w:ind w:left="3594"/>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电话：</w:t>
      </w:r>
    </w:p>
    <w:p>
      <w:pPr>
        <w:spacing w:before="210" w:line="227" w:lineRule="auto"/>
        <w:ind w:left="35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传真：</w:t>
      </w:r>
    </w:p>
    <w:p>
      <w:pPr>
        <w:spacing w:line="227" w:lineRule="auto"/>
        <w:rPr>
          <w:rFonts w:ascii="宋体" w:hAnsi="宋体" w:eastAsia="宋体" w:cs="宋体"/>
          <w:color w:val="auto"/>
          <w:sz w:val="20"/>
          <w:szCs w:val="20"/>
          <w:lang w:eastAsia="zh-CN"/>
        </w:rPr>
        <w:sectPr>
          <w:footerReference r:id="rId22" w:type="default"/>
          <w:pgSz w:w="11906" w:h="16839"/>
          <w:pgMar w:top="1431" w:right="1530" w:bottom="1356" w:left="1595" w:header="0" w:footer="1191" w:gutter="0"/>
          <w:cols w:space="720" w:num="1"/>
          <w:docGrid w:linePitch="0" w:charSpace="0"/>
        </w:sectPr>
      </w:pPr>
    </w:p>
    <w:p>
      <w:pPr>
        <w:pStyle w:val="3"/>
        <w:spacing w:line="246" w:lineRule="auto"/>
        <w:rPr>
          <w:color w:val="auto"/>
          <w:lang w:eastAsia="zh-CN"/>
        </w:rPr>
      </w:pPr>
    </w:p>
    <w:p>
      <w:pPr>
        <w:spacing w:before="140" w:line="222" w:lineRule="auto"/>
        <w:ind w:left="231"/>
        <w:outlineLvl w:val="0"/>
        <w:rPr>
          <w:rFonts w:ascii="宋体" w:hAnsi="宋体" w:eastAsia="宋体" w:cs="宋体"/>
          <w:color w:val="auto"/>
          <w:sz w:val="43"/>
          <w:szCs w:val="43"/>
          <w:lang w:eastAsia="zh-CN"/>
        </w:rPr>
      </w:pPr>
      <w:bookmarkStart w:id="150" w:name="bookmark154"/>
      <w:bookmarkEnd w:id="150"/>
      <w:bookmarkStart w:id="151" w:name="bookmark156"/>
      <w:bookmarkEnd w:id="151"/>
      <w:bookmarkStart w:id="152" w:name="bookmark553"/>
      <w:bookmarkEnd w:id="152"/>
      <w:bookmarkStart w:id="153" w:name="bookmark153"/>
      <w:bookmarkEnd w:id="153"/>
      <w:r>
        <w:rPr>
          <w:rFonts w:ascii="宋体" w:hAnsi="宋体" w:eastAsia="宋体" w:cs="宋体"/>
          <w:b/>
          <w:bCs/>
          <w:color w:val="auto"/>
          <w:spacing w:val="-6"/>
          <w:sz w:val="43"/>
          <w:szCs w:val="43"/>
          <w:lang w:eastAsia="zh-CN"/>
        </w:rPr>
        <w:t>第三章评标办法（综合评估法Ⅰ)</w:t>
      </w:r>
    </w:p>
    <w:p>
      <w:pPr>
        <w:pStyle w:val="3"/>
        <w:spacing w:line="244" w:lineRule="auto"/>
        <w:rPr>
          <w:color w:val="auto"/>
          <w:lang w:eastAsia="zh-CN"/>
        </w:rPr>
      </w:pPr>
    </w:p>
    <w:p>
      <w:pPr>
        <w:pStyle w:val="3"/>
        <w:spacing w:line="244" w:lineRule="auto"/>
        <w:rPr>
          <w:color w:val="auto"/>
          <w:lang w:eastAsia="zh-CN"/>
        </w:rPr>
      </w:pPr>
    </w:p>
    <w:p>
      <w:pPr>
        <w:spacing w:before="101" w:line="226" w:lineRule="auto"/>
        <w:ind w:left="225"/>
        <w:outlineLvl w:val="1"/>
        <w:rPr>
          <w:rFonts w:ascii="黑体" w:hAnsi="黑体" w:eastAsia="黑体" w:cs="黑体"/>
          <w:color w:val="auto"/>
          <w:sz w:val="31"/>
          <w:szCs w:val="31"/>
        </w:rPr>
      </w:pPr>
      <w:bookmarkStart w:id="154" w:name="bookmark155"/>
      <w:bookmarkEnd w:id="154"/>
      <w:r>
        <w:rPr>
          <w:rFonts w:ascii="黑体" w:hAnsi="黑体" w:eastAsia="黑体" w:cs="黑体"/>
          <w:b/>
          <w:bCs/>
          <w:color w:val="auto"/>
          <w:spacing w:val="6"/>
          <w:sz w:val="31"/>
          <w:szCs w:val="31"/>
        </w:rPr>
        <w:t>评标办法前附表</w:t>
      </w:r>
    </w:p>
    <w:p>
      <w:pPr>
        <w:spacing w:before="58"/>
        <w:rPr>
          <w:color w:val="auto"/>
        </w:rPr>
      </w:pPr>
    </w:p>
    <w:p>
      <w:pPr>
        <w:spacing w:before="57"/>
        <w:rPr>
          <w:color w:val="auto"/>
        </w:rPr>
      </w:pPr>
    </w:p>
    <w:tbl>
      <w:tblPr>
        <w:tblStyle w:val="14"/>
        <w:tblW w:w="92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0"/>
        <w:gridCol w:w="1123"/>
        <w:gridCol w:w="2655"/>
        <w:gridCol w:w="42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2263" w:type="dxa"/>
            <w:gridSpan w:val="2"/>
          </w:tcPr>
          <w:p>
            <w:pPr>
              <w:pStyle w:val="15"/>
              <w:spacing w:before="97" w:line="228" w:lineRule="auto"/>
              <w:ind w:left="824"/>
              <w:rPr>
                <w:color w:val="auto"/>
              </w:rPr>
            </w:pPr>
            <w:r>
              <w:rPr>
                <w:b/>
                <w:bCs/>
                <w:color w:val="auto"/>
                <w:spacing w:val="5"/>
              </w:rPr>
              <w:t>条款号</w:t>
            </w:r>
          </w:p>
        </w:tc>
        <w:tc>
          <w:tcPr>
            <w:tcW w:w="2655" w:type="dxa"/>
          </w:tcPr>
          <w:p>
            <w:pPr>
              <w:pStyle w:val="15"/>
              <w:spacing w:before="97" w:line="228" w:lineRule="auto"/>
              <w:ind w:left="910"/>
              <w:rPr>
                <w:color w:val="auto"/>
              </w:rPr>
            </w:pPr>
            <w:r>
              <w:rPr>
                <w:b/>
                <w:bCs/>
                <w:color w:val="auto"/>
                <w:spacing w:val="6"/>
              </w:rPr>
              <w:t>评审因素</w:t>
            </w:r>
          </w:p>
        </w:tc>
        <w:tc>
          <w:tcPr>
            <w:tcW w:w="4291" w:type="dxa"/>
          </w:tcPr>
          <w:p>
            <w:pPr>
              <w:pStyle w:val="15"/>
              <w:spacing w:before="98" w:line="228" w:lineRule="auto"/>
              <w:ind w:left="1728"/>
              <w:rPr>
                <w:color w:val="auto"/>
              </w:rPr>
            </w:pPr>
            <w:r>
              <w:rPr>
                <w:b/>
                <w:bCs/>
                <w:color w:val="auto"/>
                <w:spacing w:val="6"/>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40" w:type="dxa"/>
          </w:tcPr>
          <w:p>
            <w:pPr>
              <w:spacing w:line="312" w:lineRule="auto"/>
              <w:rPr>
                <w:color w:val="auto"/>
              </w:rPr>
            </w:pPr>
          </w:p>
          <w:p>
            <w:pPr>
              <w:spacing w:line="313" w:lineRule="auto"/>
              <w:rPr>
                <w:color w:val="auto"/>
              </w:rPr>
            </w:pPr>
          </w:p>
          <w:p>
            <w:pPr>
              <w:pStyle w:val="15"/>
              <w:spacing w:before="65" w:line="189" w:lineRule="auto"/>
              <w:ind w:left="538"/>
              <w:rPr>
                <w:color w:val="auto"/>
              </w:rPr>
            </w:pPr>
            <w:r>
              <w:rPr>
                <w:color w:val="auto"/>
              </w:rPr>
              <w:t>1</w:t>
            </w:r>
          </w:p>
        </w:tc>
        <w:tc>
          <w:tcPr>
            <w:tcW w:w="1123" w:type="dxa"/>
          </w:tcPr>
          <w:p>
            <w:pPr>
              <w:spacing w:line="296" w:lineRule="auto"/>
              <w:rPr>
                <w:color w:val="auto"/>
              </w:rPr>
            </w:pPr>
          </w:p>
          <w:p>
            <w:pPr>
              <w:spacing w:line="297" w:lineRule="auto"/>
              <w:rPr>
                <w:color w:val="auto"/>
              </w:rPr>
            </w:pPr>
          </w:p>
          <w:p>
            <w:pPr>
              <w:pStyle w:val="15"/>
              <w:spacing w:before="65" w:line="228" w:lineRule="auto"/>
              <w:ind w:left="144"/>
              <w:rPr>
                <w:color w:val="auto"/>
              </w:rPr>
            </w:pPr>
            <w:r>
              <w:rPr>
                <w:color w:val="auto"/>
                <w:spacing w:val="7"/>
              </w:rPr>
              <w:t>评标方法</w:t>
            </w:r>
          </w:p>
        </w:tc>
        <w:tc>
          <w:tcPr>
            <w:tcW w:w="2655" w:type="dxa"/>
          </w:tcPr>
          <w:p>
            <w:pPr>
              <w:spacing w:line="296" w:lineRule="auto"/>
              <w:rPr>
                <w:color w:val="auto"/>
              </w:rPr>
            </w:pPr>
          </w:p>
          <w:p>
            <w:pPr>
              <w:spacing w:line="297" w:lineRule="auto"/>
              <w:rPr>
                <w:color w:val="auto"/>
              </w:rPr>
            </w:pPr>
          </w:p>
          <w:p>
            <w:pPr>
              <w:pStyle w:val="15"/>
              <w:spacing w:before="65" w:line="228" w:lineRule="auto"/>
              <w:ind w:left="407"/>
              <w:rPr>
                <w:color w:val="auto"/>
              </w:rPr>
            </w:pPr>
            <w:r>
              <w:rPr>
                <w:color w:val="auto"/>
                <w:spacing w:val="6"/>
              </w:rPr>
              <w:t>中标候选人排序方法</w:t>
            </w:r>
          </w:p>
        </w:tc>
        <w:tc>
          <w:tcPr>
            <w:tcW w:w="4291" w:type="dxa"/>
          </w:tcPr>
          <w:p>
            <w:pPr>
              <w:pStyle w:val="15"/>
              <w:spacing w:before="61" w:line="262" w:lineRule="auto"/>
              <w:ind w:left="113" w:right="107" w:firstLine="3"/>
              <w:rPr>
                <w:color w:val="auto"/>
                <w:lang w:eastAsia="zh-CN"/>
              </w:rPr>
            </w:pPr>
            <w:r>
              <w:rPr>
                <w:color w:val="auto"/>
                <w:spacing w:val="13"/>
                <w:lang w:eastAsia="zh-CN"/>
              </w:rPr>
              <w:t>综合评分相等时，评标委员会依次按照以下</w:t>
            </w:r>
            <w:r>
              <w:rPr>
                <w:color w:val="auto"/>
                <w:spacing w:val="8"/>
                <w:lang w:eastAsia="zh-CN"/>
              </w:rPr>
              <w:t>优先顺序推荐中标候选人或确定中标人：</w:t>
            </w:r>
          </w:p>
          <w:p>
            <w:pPr>
              <w:pStyle w:val="15"/>
              <w:spacing w:before="32" w:line="226" w:lineRule="auto"/>
              <w:ind w:left="150"/>
              <w:rPr>
                <w:color w:val="auto"/>
                <w:lang w:eastAsia="zh-CN"/>
              </w:rPr>
            </w:pPr>
            <w:r>
              <w:rPr>
                <w:color w:val="auto"/>
                <w:spacing w:val="4"/>
                <w:lang w:eastAsia="zh-CN"/>
              </w:rPr>
              <w:t>(1) 评标价低的投标人优先；</w:t>
            </w:r>
          </w:p>
          <w:p>
            <w:pPr>
              <w:pStyle w:val="15"/>
              <w:spacing w:before="54" w:line="228" w:lineRule="auto"/>
              <w:ind w:left="150"/>
              <w:rPr>
                <w:color w:val="auto"/>
                <w:lang w:eastAsia="zh-CN"/>
              </w:rPr>
            </w:pPr>
            <w:r>
              <w:rPr>
                <w:color w:val="auto"/>
                <w:spacing w:val="4"/>
                <w:lang w:eastAsia="zh-CN"/>
              </w:rPr>
              <w:t>(2) 技术部分得分高的优先；</w:t>
            </w:r>
          </w:p>
          <w:p>
            <w:pPr>
              <w:pStyle w:val="15"/>
              <w:spacing w:before="53" w:line="216" w:lineRule="auto"/>
              <w:ind w:left="150"/>
              <w:rPr>
                <w:color w:val="auto"/>
              </w:rPr>
            </w:pPr>
            <w:r>
              <w:rPr>
                <w:color w:val="auto"/>
                <w:spacing w:val="2"/>
              </w:rPr>
              <w:t>(3)随机摇号确定排序。</w:t>
            </w:r>
          </w:p>
        </w:tc>
      </w:tr>
    </w:tbl>
    <w:p>
      <w:pPr>
        <w:spacing w:before="71"/>
        <w:rPr>
          <w:color w:val="auto"/>
        </w:rPr>
      </w:pPr>
    </w:p>
    <w:p>
      <w:pPr>
        <w:spacing w:before="70"/>
        <w:rPr>
          <w:color w:val="auto"/>
        </w:rPr>
      </w:pPr>
    </w:p>
    <w:tbl>
      <w:tblPr>
        <w:tblStyle w:val="14"/>
        <w:tblW w:w="9002" w:type="dxa"/>
        <w:tblInd w:w="10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评审因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restart"/>
            <w:tcBorders>
              <w:bottom w:val="nil"/>
            </w:tcBorders>
          </w:tcPr>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pStyle w:val="15"/>
              <w:spacing w:before="65" w:line="190" w:lineRule="auto"/>
              <w:ind w:left="164"/>
              <w:rPr>
                <w:color w:val="auto"/>
              </w:rPr>
            </w:pPr>
            <w:r>
              <w:rPr>
                <w:color w:val="auto"/>
                <w:spacing w:val="2"/>
              </w:rPr>
              <w:t>2.1.1</w:t>
            </w:r>
          </w:p>
        </w:tc>
        <w:tc>
          <w:tcPr>
            <w:tcW w:w="696" w:type="dxa"/>
            <w:vMerge w:val="restart"/>
            <w:tcBorders>
              <w:bottom w:val="nil"/>
            </w:tcBorders>
          </w:tcPr>
          <w:p>
            <w:pPr>
              <w:spacing w:line="261" w:lineRule="auto"/>
              <w:rPr>
                <w:color w:val="auto"/>
              </w:rPr>
            </w:pPr>
          </w:p>
          <w:p>
            <w:pPr>
              <w:spacing w:line="261" w:lineRule="auto"/>
              <w:rPr>
                <w:color w:val="auto"/>
              </w:rPr>
            </w:pPr>
          </w:p>
          <w:p>
            <w:pPr>
              <w:spacing w:line="261" w:lineRule="auto"/>
              <w:rPr>
                <w:color w:val="auto"/>
              </w:rPr>
            </w:pPr>
          </w:p>
          <w:p>
            <w:pPr>
              <w:spacing w:line="261"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spacing w:line="262" w:lineRule="auto"/>
              <w:rPr>
                <w:color w:val="auto"/>
              </w:rPr>
            </w:pPr>
          </w:p>
          <w:p>
            <w:pPr>
              <w:pStyle w:val="15"/>
              <w:spacing w:before="65" w:line="278" w:lineRule="auto"/>
              <w:ind w:left="140" w:right="139" w:firstLine="3"/>
              <w:jc w:val="both"/>
              <w:rPr>
                <w:color w:val="auto"/>
              </w:rPr>
            </w:pPr>
            <w:r>
              <w:rPr>
                <w:color w:val="auto"/>
                <w:spacing w:val="3"/>
              </w:rPr>
              <w:t>形式</w:t>
            </w:r>
            <w:r>
              <w:rPr>
                <w:color w:val="auto"/>
                <w:spacing w:val="5"/>
              </w:rPr>
              <w:t>评审标准</w:t>
            </w:r>
          </w:p>
        </w:tc>
        <w:tc>
          <w:tcPr>
            <w:tcW w:w="937" w:type="dxa"/>
          </w:tcPr>
          <w:p>
            <w:pPr>
              <w:pStyle w:val="15"/>
              <w:spacing w:before="150" w:line="274" w:lineRule="auto"/>
              <w:ind w:left="266" w:right="152" w:hanging="105"/>
              <w:rPr>
                <w:color w:val="auto"/>
              </w:rPr>
            </w:pPr>
            <w:r>
              <w:rPr>
                <w:color w:val="auto"/>
                <w:spacing w:val="6"/>
              </w:rPr>
              <w:t>投标人</w:t>
            </w:r>
            <w:r>
              <w:rPr>
                <w:color w:val="auto"/>
                <w:spacing w:val="3"/>
              </w:rPr>
              <w:t>名称</w:t>
            </w:r>
          </w:p>
        </w:tc>
        <w:tc>
          <w:tcPr>
            <w:tcW w:w="6530" w:type="dxa"/>
          </w:tcPr>
          <w:p>
            <w:pPr>
              <w:pStyle w:val="15"/>
              <w:spacing w:before="150" w:line="273" w:lineRule="auto"/>
              <w:ind w:left="1385" w:right="114" w:hanging="1260"/>
              <w:rPr>
                <w:color w:val="auto"/>
                <w:lang w:eastAsia="zh-CN"/>
              </w:rPr>
            </w:pPr>
            <w:r>
              <w:rPr>
                <w:color w:val="auto"/>
                <w:spacing w:val="9"/>
                <w:lang w:eastAsia="zh-CN"/>
              </w:rPr>
              <w:t>与营业执照（事业单位法人证书）、资质证书一致（单位名称或证书</w:t>
            </w:r>
            <w:r>
              <w:rPr>
                <w:color w:val="auto"/>
                <w:spacing w:val="8"/>
                <w:lang w:eastAsia="zh-CN"/>
              </w:rPr>
              <w:t>正在变更过程中的应提供相应证明材料）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352" w:lineRule="auto"/>
              <w:rPr>
                <w:color w:val="auto"/>
                <w:lang w:eastAsia="zh-CN"/>
              </w:rPr>
            </w:pPr>
          </w:p>
          <w:p>
            <w:pPr>
              <w:spacing w:line="353" w:lineRule="auto"/>
              <w:rPr>
                <w:color w:val="auto"/>
                <w:lang w:eastAsia="zh-CN"/>
              </w:rPr>
            </w:pPr>
          </w:p>
          <w:p>
            <w:pPr>
              <w:pStyle w:val="15"/>
              <w:spacing w:before="65" w:line="228" w:lineRule="auto"/>
              <w:ind w:left="161"/>
              <w:rPr>
                <w:color w:val="auto"/>
              </w:rPr>
            </w:pPr>
            <w:r>
              <w:rPr>
                <w:color w:val="auto"/>
                <w:spacing w:val="6"/>
              </w:rPr>
              <w:t>投标函</w:t>
            </w:r>
          </w:p>
          <w:p>
            <w:pPr>
              <w:pStyle w:val="15"/>
              <w:spacing w:before="64" w:line="228" w:lineRule="auto"/>
              <w:ind w:left="158"/>
              <w:rPr>
                <w:color w:val="auto"/>
              </w:rPr>
            </w:pPr>
            <w:r>
              <w:rPr>
                <w:color w:val="auto"/>
                <w:spacing w:val="6"/>
              </w:rPr>
              <w:t>签字盖</w:t>
            </w:r>
          </w:p>
          <w:p>
            <w:pPr>
              <w:pStyle w:val="15"/>
              <w:spacing w:before="65" w:line="227" w:lineRule="auto"/>
              <w:ind w:left="374"/>
              <w:rPr>
                <w:color w:val="auto"/>
              </w:rPr>
            </w:pPr>
            <w:r>
              <w:rPr>
                <w:color w:val="auto"/>
              </w:rPr>
              <w:t>章</w:t>
            </w:r>
          </w:p>
        </w:tc>
        <w:tc>
          <w:tcPr>
            <w:tcW w:w="6530" w:type="dxa"/>
          </w:tcPr>
          <w:p>
            <w:pPr>
              <w:pStyle w:val="15"/>
              <w:spacing w:before="150" w:line="282" w:lineRule="auto"/>
              <w:ind w:left="120" w:right="19" w:hanging="4"/>
              <w:rPr>
                <w:color w:val="auto"/>
                <w:lang w:eastAsia="zh-CN"/>
              </w:rPr>
            </w:pPr>
            <w:r>
              <w:rPr>
                <w:color w:val="auto"/>
                <w:spacing w:val="6"/>
                <w:lang w:eastAsia="zh-CN"/>
              </w:rPr>
              <w:t>投标人所提交文件中除投标函、联合体协议（若有）和授权页（若有）</w:t>
            </w:r>
            <w:r>
              <w:rPr>
                <w:color w:val="auto"/>
                <w:spacing w:val="9"/>
                <w:lang w:eastAsia="zh-CN"/>
              </w:rPr>
              <w:t xml:space="preserve">必须签字并盖章外，其余部分可不再需要签章，评标委员会不得因投  </w:t>
            </w:r>
            <w:r>
              <w:rPr>
                <w:color w:val="auto"/>
                <w:spacing w:val="10"/>
                <w:lang w:eastAsia="zh-CN"/>
              </w:rPr>
              <w:t>标函、联合体协议（若有）和授权页（若有）外内容未签</w:t>
            </w:r>
            <w:r>
              <w:rPr>
                <w:color w:val="auto"/>
                <w:spacing w:val="9"/>
                <w:lang w:eastAsia="zh-CN"/>
              </w:rPr>
              <w:t>章而废标;</w:t>
            </w:r>
            <w:r>
              <w:rPr>
                <w:color w:val="auto"/>
                <w:spacing w:val="10"/>
                <w:lang w:eastAsia="zh-CN"/>
              </w:rPr>
              <w:t>签字应由企业法定代表人或其授权委托人签写，签字方式包含签章。</w:t>
            </w:r>
            <w:r>
              <w:rPr>
                <w:color w:val="auto"/>
                <w:spacing w:val="9"/>
                <w:lang w:eastAsia="zh-CN"/>
              </w:rPr>
              <w:t>由法定代表人《单位负责人)签字的，应附法定代表人《单位负责人)</w:t>
            </w:r>
          </w:p>
          <w:p>
            <w:pPr>
              <w:pStyle w:val="15"/>
              <w:spacing w:before="32" w:line="273" w:lineRule="auto"/>
              <w:ind w:left="1385" w:right="114" w:hanging="1258"/>
              <w:rPr>
                <w:color w:val="auto"/>
                <w:lang w:eastAsia="zh-CN"/>
              </w:rPr>
            </w:pPr>
            <w:r>
              <w:rPr>
                <w:color w:val="auto"/>
                <w:spacing w:val="9"/>
                <w:lang w:eastAsia="zh-CN"/>
              </w:rPr>
              <w:t>身份证明，由代理人签字的，应附授权委托书，身份证明或授权委托</w:t>
            </w:r>
            <w:r>
              <w:rPr>
                <w:color w:val="auto"/>
                <w:spacing w:val="7"/>
                <w:lang w:eastAsia="zh-CN"/>
              </w:rPr>
              <w:t>书应符合第六章“投标文件格式”的规定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3" w:lineRule="auto"/>
              <w:ind w:left="157" w:right="152" w:firstLine="3"/>
              <w:rPr>
                <w:color w:val="auto"/>
              </w:rPr>
            </w:pPr>
            <w:r>
              <w:rPr>
                <w:color w:val="auto"/>
                <w:spacing w:val="6"/>
              </w:rPr>
              <w:t>投标文</w:t>
            </w:r>
            <w:r>
              <w:rPr>
                <w:color w:val="auto"/>
                <w:spacing w:val="7"/>
              </w:rPr>
              <w:t>件格式</w:t>
            </w:r>
          </w:p>
        </w:tc>
        <w:tc>
          <w:tcPr>
            <w:tcW w:w="6530" w:type="dxa"/>
          </w:tcPr>
          <w:p>
            <w:pPr>
              <w:spacing w:line="242" w:lineRule="auto"/>
              <w:rPr>
                <w:color w:val="auto"/>
                <w:lang w:eastAsia="zh-CN"/>
              </w:rPr>
            </w:pPr>
          </w:p>
          <w:p>
            <w:pPr>
              <w:pStyle w:val="15"/>
              <w:spacing w:before="65" w:line="227" w:lineRule="auto"/>
              <w:ind w:left="1592"/>
              <w:rPr>
                <w:color w:val="auto"/>
                <w:lang w:eastAsia="zh-CN"/>
              </w:rPr>
            </w:pPr>
            <w:r>
              <w:rPr>
                <w:color w:val="auto"/>
                <w:spacing w:val="7"/>
                <w:lang w:eastAsia="zh-CN"/>
              </w:rPr>
              <w:t>符合第八章“投标文件格式”的要求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160" w:right="152" w:hanging="1"/>
              <w:rPr>
                <w:color w:val="auto"/>
              </w:rPr>
            </w:pPr>
            <w:r>
              <w:rPr>
                <w:color w:val="auto"/>
                <w:spacing w:val="6"/>
              </w:rPr>
              <w:t>联合体投标人</w:t>
            </w:r>
          </w:p>
        </w:tc>
        <w:tc>
          <w:tcPr>
            <w:tcW w:w="6530" w:type="dxa"/>
          </w:tcPr>
          <w:p>
            <w:pPr>
              <w:spacing w:line="242" w:lineRule="auto"/>
              <w:rPr>
                <w:color w:val="auto"/>
                <w:lang w:eastAsia="zh-CN"/>
              </w:rPr>
            </w:pPr>
          </w:p>
          <w:p>
            <w:pPr>
              <w:pStyle w:val="15"/>
              <w:spacing w:before="65" w:line="227" w:lineRule="auto"/>
              <w:ind w:left="1382"/>
              <w:rPr>
                <w:color w:val="auto"/>
                <w:lang w:eastAsia="zh-CN"/>
              </w:rPr>
            </w:pPr>
            <w:r>
              <w:rPr>
                <w:color w:val="auto"/>
                <w:spacing w:val="9"/>
                <w:lang w:eastAsia="zh-CN"/>
              </w:rPr>
              <w:t>提交联合体协议书，并明确联合体牵头人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2" w:line="226" w:lineRule="auto"/>
              <w:ind w:left="156"/>
              <w:rPr>
                <w:color w:val="auto"/>
              </w:rPr>
            </w:pPr>
            <w:r>
              <w:rPr>
                <w:color w:val="auto"/>
                <w:spacing w:val="7"/>
              </w:rPr>
              <w:t>报价唯</w:t>
            </w:r>
          </w:p>
          <w:p>
            <w:pPr>
              <w:pStyle w:val="15"/>
              <w:spacing w:before="145" w:line="156" w:lineRule="exact"/>
              <w:ind w:left="370"/>
              <w:rPr>
                <w:color w:val="auto"/>
              </w:rPr>
            </w:pPr>
            <w:r>
              <w:rPr>
                <w:color w:val="auto"/>
                <w:position w:val="-4"/>
              </w:rPr>
              <w:t>一</w:t>
            </w:r>
          </w:p>
        </w:tc>
        <w:tc>
          <w:tcPr>
            <w:tcW w:w="6530" w:type="dxa"/>
          </w:tcPr>
          <w:p>
            <w:pPr>
              <w:spacing w:line="242" w:lineRule="auto"/>
              <w:rPr>
                <w:color w:val="auto"/>
              </w:rPr>
            </w:pPr>
          </w:p>
          <w:p>
            <w:pPr>
              <w:pStyle w:val="15"/>
              <w:spacing w:before="65" w:line="226" w:lineRule="auto"/>
              <w:ind w:left="2337"/>
              <w:rPr>
                <w:color w:val="auto"/>
              </w:rPr>
            </w:pPr>
            <w:r>
              <w:rPr>
                <w:color w:val="auto"/>
                <w:spacing w:val="7"/>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tcPr>
          <w:p>
            <w:pPr>
              <w:pStyle w:val="15"/>
              <w:spacing w:before="186" w:line="190" w:lineRule="auto"/>
              <w:ind w:left="164"/>
              <w:rPr>
                <w:color w:val="auto"/>
              </w:rPr>
            </w:pPr>
            <w:r>
              <w:rPr>
                <w:color w:val="auto"/>
                <w:spacing w:val="2"/>
              </w:rPr>
              <w:t>2.1.2</w:t>
            </w:r>
          </w:p>
        </w:tc>
        <w:tc>
          <w:tcPr>
            <w:tcW w:w="696" w:type="dxa"/>
          </w:tcPr>
          <w:p>
            <w:pPr>
              <w:pStyle w:val="15"/>
              <w:spacing w:before="154" w:line="228" w:lineRule="auto"/>
              <w:ind w:left="150"/>
              <w:rPr>
                <w:color w:val="auto"/>
              </w:rPr>
            </w:pPr>
            <w:r>
              <w:rPr>
                <w:color w:val="auto"/>
              </w:rPr>
              <w:t>资格</w:t>
            </w:r>
          </w:p>
        </w:tc>
        <w:tc>
          <w:tcPr>
            <w:tcW w:w="937" w:type="dxa"/>
          </w:tcPr>
          <w:p>
            <w:pPr>
              <w:pStyle w:val="15"/>
              <w:spacing w:before="154" w:line="228" w:lineRule="auto"/>
              <w:ind w:left="165"/>
              <w:rPr>
                <w:color w:val="auto"/>
              </w:rPr>
            </w:pPr>
            <w:r>
              <w:rPr>
                <w:color w:val="auto"/>
                <w:spacing w:val="4"/>
              </w:rPr>
              <w:t>营业执</w:t>
            </w:r>
          </w:p>
        </w:tc>
        <w:tc>
          <w:tcPr>
            <w:tcW w:w="6530" w:type="dxa"/>
          </w:tcPr>
          <w:p>
            <w:pPr>
              <w:pStyle w:val="15"/>
              <w:spacing w:before="154" w:line="228" w:lineRule="auto"/>
              <w:ind w:left="2328"/>
              <w:rPr>
                <w:color w:val="auto"/>
              </w:rPr>
            </w:pPr>
            <w:r>
              <w:rPr>
                <w:color w:val="auto"/>
                <w:spacing w:val="8"/>
              </w:rPr>
              <w:t>具备有效的营业执照</w:t>
            </w:r>
          </w:p>
        </w:tc>
      </w:tr>
    </w:tbl>
    <w:p>
      <w:pPr>
        <w:pStyle w:val="3"/>
        <w:rPr>
          <w:color w:val="auto"/>
        </w:rPr>
      </w:pPr>
    </w:p>
    <w:p>
      <w:pPr>
        <w:rPr>
          <w:color w:val="auto"/>
        </w:rPr>
        <w:sectPr>
          <w:footerReference r:id="rId23" w:type="default"/>
          <w:pgSz w:w="11906" w:h="16839"/>
          <w:pgMar w:top="1431" w:right="1317" w:bottom="1356" w:left="1374" w:header="0" w:footer="1191" w:gutter="0"/>
          <w:cols w:space="720" w:num="1"/>
          <w:docGrid w:linePitch="0" w:charSpace="0"/>
        </w:sectPr>
      </w:pPr>
    </w:p>
    <w:p>
      <w:pPr>
        <w:spacing w:before="198"/>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839" w:type="dxa"/>
            <w:vMerge w:val="restart"/>
            <w:tcBorders>
              <w:bottom w:val="nil"/>
            </w:tcBorders>
          </w:tcPr>
          <w:p>
            <w:pPr>
              <w:rPr>
                <w:color w:val="auto"/>
              </w:rPr>
            </w:pPr>
          </w:p>
        </w:tc>
        <w:tc>
          <w:tcPr>
            <w:tcW w:w="696" w:type="dxa"/>
            <w:vMerge w:val="restart"/>
            <w:tcBorders>
              <w:bottom w:val="nil"/>
            </w:tcBorders>
          </w:tcPr>
          <w:p>
            <w:pPr>
              <w:pStyle w:val="15"/>
              <w:spacing w:before="150" w:line="274" w:lineRule="auto"/>
              <w:ind w:left="141" w:right="139" w:hanging="1"/>
              <w:rPr>
                <w:color w:val="auto"/>
              </w:rPr>
            </w:pPr>
            <w:r>
              <w:rPr>
                <w:color w:val="auto"/>
                <w:spacing w:val="5"/>
              </w:rPr>
              <w:t>评审</w:t>
            </w:r>
            <w:r>
              <w:rPr>
                <w:color w:val="auto"/>
                <w:spacing w:val="4"/>
              </w:rPr>
              <w:t>标准</w:t>
            </w:r>
          </w:p>
        </w:tc>
        <w:tc>
          <w:tcPr>
            <w:tcW w:w="937" w:type="dxa"/>
          </w:tcPr>
          <w:p>
            <w:pPr>
              <w:pStyle w:val="15"/>
              <w:spacing w:before="151" w:line="233" w:lineRule="auto"/>
              <w:ind w:left="373"/>
              <w:rPr>
                <w:color w:val="auto"/>
              </w:rPr>
            </w:pPr>
            <w:r>
              <w:rPr>
                <w:color w:val="auto"/>
              </w:rPr>
              <w:t>照</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pStyle w:val="15"/>
              <w:spacing w:before="150" w:line="229" w:lineRule="auto"/>
              <w:ind w:left="162"/>
              <w:rPr>
                <w:color w:val="auto"/>
              </w:rPr>
            </w:pPr>
            <w:r>
              <w:rPr>
                <w:color w:val="auto"/>
                <w:spacing w:val="5"/>
              </w:rPr>
              <w:t>安全生</w:t>
            </w:r>
          </w:p>
          <w:p>
            <w:pPr>
              <w:pStyle w:val="15"/>
              <w:spacing w:before="63" w:line="228" w:lineRule="auto"/>
              <w:ind w:left="158"/>
              <w:rPr>
                <w:color w:val="auto"/>
              </w:rPr>
            </w:pPr>
            <w:r>
              <w:rPr>
                <w:color w:val="auto"/>
                <w:spacing w:val="6"/>
              </w:rPr>
              <w:t>产许可</w:t>
            </w:r>
          </w:p>
          <w:p>
            <w:pPr>
              <w:pStyle w:val="15"/>
              <w:spacing w:before="65" w:line="238" w:lineRule="auto"/>
              <w:ind w:left="367"/>
              <w:rPr>
                <w:color w:val="auto"/>
              </w:rPr>
            </w:pPr>
            <w:r>
              <w:rPr>
                <w:color w:val="auto"/>
              </w:rPr>
              <w:t>证</w:t>
            </w:r>
          </w:p>
        </w:tc>
        <w:tc>
          <w:tcPr>
            <w:tcW w:w="6530" w:type="dxa"/>
          </w:tcPr>
          <w:p>
            <w:pPr>
              <w:spacing w:line="394" w:lineRule="auto"/>
              <w:rPr>
                <w:color w:val="auto"/>
                <w:lang w:eastAsia="zh-CN"/>
              </w:rPr>
            </w:pPr>
          </w:p>
          <w:p>
            <w:pPr>
              <w:pStyle w:val="15"/>
              <w:spacing w:before="65" w:line="228" w:lineRule="auto"/>
              <w:ind w:left="2014"/>
              <w:rPr>
                <w:color w:val="auto"/>
                <w:lang w:eastAsia="zh-CN"/>
              </w:rPr>
            </w:pPr>
            <w:r>
              <w:rPr>
                <w:color w:val="auto"/>
                <w:spacing w:val="8"/>
                <w:lang w:eastAsia="zh-CN"/>
              </w:rPr>
              <w:t>具备有效的安全生产许可证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370" w:right="152" w:hanging="203"/>
              <w:rPr>
                <w:color w:val="auto"/>
              </w:rPr>
            </w:pPr>
            <w:r>
              <w:rPr>
                <w:color w:val="auto"/>
                <w:spacing w:val="3"/>
              </w:rPr>
              <w:t>资质等</w:t>
            </w:r>
            <w:r>
              <w:rPr>
                <w:color w:val="auto"/>
              </w:rPr>
              <w:t>级</w:t>
            </w:r>
          </w:p>
        </w:tc>
        <w:tc>
          <w:tcPr>
            <w:tcW w:w="6530" w:type="dxa"/>
          </w:tcPr>
          <w:p>
            <w:pPr>
              <w:pStyle w:val="15"/>
              <w:spacing w:before="306"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8" w:line="274" w:lineRule="auto"/>
              <w:ind w:left="368" w:right="152" w:hanging="209"/>
              <w:rPr>
                <w:color w:val="auto"/>
              </w:rPr>
            </w:pPr>
            <w:r>
              <w:rPr>
                <w:color w:val="auto"/>
                <w:spacing w:val="6"/>
              </w:rPr>
              <w:t>财务状</w:t>
            </w:r>
            <w:r>
              <w:rPr>
                <w:color w:val="auto"/>
              </w:rPr>
              <w:t xml:space="preserve"> 况</w:t>
            </w:r>
          </w:p>
        </w:tc>
        <w:tc>
          <w:tcPr>
            <w:tcW w:w="6530" w:type="dxa"/>
          </w:tcPr>
          <w:p>
            <w:pPr>
              <w:pStyle w:val="15"/>
              <w:spacing w:before="30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4" w:lineRule="auto"/>
              <w:ind w:left="197" w:right="152" w:hanging="39"/>
              <w:rPr>
                <w:color w:val="auto"/>
              </w:rPr>
            </w:pPr>
            <w:r>
              <w:rPr>
                <w:color w:val="auto"/>
                <w:spacing w:val="6"/>
              </w:rPr>
              <w:t>类似项</w:t>
            </w:r>
            <w:r>
              <w:rPr>
                <w:color w:val="auto"/>
                <w:spacing w:val="-7"/>
              </w:rPr>
              <w:t>目业绩</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0" w:line="227" w:lineRule="auto"/>
              <w:ind w:left="264"/>
              <w:rPr>
                <w:color w:val="auto"/>
              </w:rPr>
            </w:pPr>
            <w:r>
              <w:rPr>
                <w:color w:val="auto"/>
                <w:spacing w:val="4"/>
              </w:rPr>
              <w:t>信誉</w:t>
            </w:r>
          </w:p>
        </w:tc>
        <w:tc>
          <w:tcPr>
            <w:tcW w:w="6530" w:type="dxa"/>
          </w:tcPr>
          <w:p>
            <w:pPr>
              <w:pStyle w:val="15"/>
              <w:spacing w:before="150"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8" w:lineRule="auto"/>
              <w:ind w:left="368" w:right="152" w:hanging="207"/>
              <w:rPr>
                <w:color w:val="auto"/>
              </w:rPr>
            </w:pPr>
            <w:r>
              <w:rPr>
                <w:color w:val="auto"/>
                <w:spacing w:val="5"/>
              </w:rPr>
              <w:t>项目经</w:t>
            </w:r>
            <w:r>
              <w:rPr>
                <w:color w:val="auto"/>
              </w:rPr>
              <w:t>理</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2" w:line="274" w:lineRule="auto"/>
              <w:ind w:left="368" w:right="152" w:hanging="209"/>
              <w:rPr>
                <w:color w:val="auto"/>
              </w:rPr>
            </w:pPr>
            <w:r>
              <w:rPr>
                <w:color w:val="auto"/>
                <w:spacing w:val="6"/>
              </w:rPr>
              <w:t>其他要</w:t>
            </w:r>
            <w:r>
              <w:rPr>
                <w:color w:val="auto"/>
              </w:rPr>
              <w:t xml:space="preserve"> 求</w:t>
            </w:r>
          </w:p>
        </w:tc>
        <w:tc>
          <w:tcPr>
            <w:tcW w:w="6530" w:type="dxa"/>
          </w:tcPr>
          <w:p>
            <w:pPr>
              <w:spacing w:line="241"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0" w:line="274" w:lineRule="auto"/>
              <w:ind w:left="160" w:right="152" w:hanging="1"/>
              <w:rPr>
                <w:color w:val="auto"/>
              </w:rPr>
            </w:pPr>
            <w:r>
              <w:rPr>
                <w:color w:val="auto"/>
                <w:spacing w:val="6"/>
              </w:rPr>
              <w:t>联合体投标人</w:t>
            </w:r>
          </w:p>
        </w:tc>
        <w:tc>
          <w:tcPr>
            <w:tcW w:w="6530" w:type="dxa"/>
          </w:tcPr>
          <w:p>
            <w:pPr>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符合第二章“投标人须知”第1.4.2项规定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restart"/>
            <w:tcBorders>
              <w:bottom w:val="nil"/>
            </w:tcBorders>
          </w:tcPr>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49"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pStyle w:val="15"/>
              <w:spacing w:before="65" w:line="190" w:lineRule="auto"/>
              <w:ind w:left="164"/>
              <w:rPr>
                <w:color w:val="auto"/>
              </w:rPr>
            </w:pPr>
            <w:r>
              <w:rPr>
                <w:color w:val="auto"/>
                <w:spacing w:val="2"/>
              </w:rPr>
              <w:t>2.1.3</w:t>
            </w:r>
          </w:p>
        </w:tc>
        <w:tc>
          <w:tcPr>
            <w:tcW w:w="696" w:type="dxa"/>
            <w:vMerge w:val="restart"/>
            <w:tcBorders>
              <w:bottom w:val="nil"/>
            </w:tcBorders>
          </w:tcPr>
          <w:p>
            <w:pPr>
              <w:spacing w:line="249" w:lineRule="auto"/>
              <w:rPr>
                <w:color w:val="auto"/>
              </w:rPr>
            </w:pPr>
          </w:p>
          <w:p>
            <w:pPr>
              <w:spacing w:line="249"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spacing w:line="250" w:lineRule="auto"/>
              <w:rPr>
                <w:color w:val="auto"/>
              </w:rPr>
            </w:pPr>
          </w:p>
          <w:p>
            <w:pPr>
              <w:pStyle w:val="15"/>
              <w:spacing w:before="65" w:line="230" w:lineRule="auto"/>
              <w:ind w:left="152"/>
              <w:rPr>
                <w:color w:val="auto"/>
              </w:rPr>
            </w:pPr>
            <w:r>
              <w:rPr>
                <w:color w:val="auto"/>
                <w:spacing w:val="-1"/>
              </w:rPr>
              <w:t>响应</w:t>
            </w:r>
          </w:p>
          <w:p>
            <w:pPr>
              <w:pStyle w:val="15"/>
              <w:spacing w:before="63" w:line="228" w:lineRule="auto"/>
              <w:ind w:left="144"/>
              <w:rPr>
                <w:color w:val="auto"/>
              </w:rPr>
            </w:pPr>
            <w:r>
              <w:rPr>
                <w:color w:val="auto"/>
                <w:spacing w:val="3"/>
              </w:rPr>
              <w:t>性评</w:t>
            </w:r>
          </w:p>
          <w:p>
            <w:pPr>
              <w:pStyle w:val="15"/>
              <w:spacing w:before="65" w:line="228" w:lineRule="auto"/>
              <w:ind w:left="152"/>
              <w:rPr>
                <w:color w:val="auto"/>
              </w:rPr>
            </w:pPr>
            <w:r>
              <w:rPr>
                <w:color w:val="auto"/>
                <w:spacing w:val="-1"/>
              </w:rPr>
              <w:t>审标</w:t>
            </w:r>
          </w:p>
          <w:p>
            <w:pPr>
              <w:pStyle w:val="15"/>
              <w:spacing w:before="64" w:line="229" w:lineRule="auto"/>
              <w:ind w:left="249"/>
              <w:rPr>
                <w:color w:val="auto"/>
              </w:rPr>
            </w:pPr>
            <w:r>
              <w:rPr>
                <w:color w:val="auto"/>
              </w:rPr>
              <w:t>准</w:t>
            </w:r>
          </w:p>
        </w:tc>
        <w:tc>
          <w:tcPr>
            <w:tcW w:w="937" w:type="dxa"/>
          </w:tcPr>
          <w:p>
            <w:pPr>
              <w:pStyle w:val="15"/>
              <w:spacing w:before="152" w:line="274" w:lineRule="auto"/>
              <w:ind w:left="369" w:right="152" w:hanging="208"/>
              <w:rPr>
                <w:color w:val="auto"/>
              </w:rPr>
            </w:pPr>
            <w:r>
              <w:rPr>
                <w:color w:val="auto"/>
                <w:spacing w:val="6"/>
              </w:rPr>
              <w:t>投标内</w:t>
            </w:r>
            <w:r>
              <w:rPr>
                <w:color w:val="auto"/>
              </w:rPr>
              <w:t xml:space="preserve"> 容</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28" w:lineRule="auto"/>
              <w:ind w:left="266"/>
              <w:rPr>
                <w:color w:val="auto"/>
              </w:rPr>
            </w:pPr>
            <w:r>
              <w:rPr>
                <w:color w:val="auto"/>
                <w:spacing w:val="3"/>
              </w:rPr>
              <w:t>工期</w:t>
            </w:r>
          </w:p>
        </w:tc>
        <w:tc>
          <w:tcPr>
            <w:tcW w:w="6530" w:type="dxa"/>
          </w:tcPr>
          <w:p>
            <w:pPr>
              <w:pStyle w:val="15"/>
              <w:spacing w:before="152" w:line="227" w:lineRule="auto"/>
              <w:ind w:left="1277"/>
              <w:rPr>
                <w:color w:val="auto"/>
                <w:lang w:eastAsia="zh-CN"/>
              </w:rPr>
            </w:pPr>
            <w:r>
              <w:rPr>
                <w:color w:val="auto"/>
                <w:spacing w:val="5"/>
                <w:lang w:eastAsia="zh-CN"/>
              </w:rPr>
              <w:t>符合第二章“投标人须知”第1.3.2项规定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3"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6" w:lineRule="auto"/>
              <w:ind w:left="367" w:right="152" w:hanging="206"/>
              <w:rPr>
                <w:color w:val="auto"/>
              </w:rPr>
            </w:pPr>
            <w:r>
              <w:rPr>
                <w:color w:val="auto"/>
                <w:spacing w:val="6"/>
              </w:rPr>
              <w:t>工程质</w:t>
            </w:r>
            <w:r>
              <w:rPr>
                <w:color w:val="auto"/>
              </w:rPr>
              <w:t xml:space="preserve"> 量</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3" w:line="274" w:lineRule="auto"/>
              <w:ind w:left="269" w:right="152" w:hanging="108"/>
              <w:rPr>
                <w:color w:val="auto"/>
              </w:rPr>
            </w:pPr>
            <w:r>
              <w:rPr>
                <w:color w:val="auto"/>
                <w:spacing w:val="6"/>
              </w:rPr>
              <w:t>投标有</w:t>
            </w:r>
            <w:r>
              <w:rPr>
                <w:color w:val="auto"/>
                <w:spacing w:val="2"/>
              </w:rPr>
              <w:t>效期</w:t>
            </w:r>
          </w:p>
        </w:tc>
        <w:tc>
          <w:tcPr>
            <w:tcW w:w="6530" w:type="dxa"/>
          </w:tcPr>
          <w:p>
            <w:pPr>
              <w:spacing w:line="243"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4" w:line="277" w:lineRule="auto"/>
              <w:ind w:left="264" w:right="152" w:hanging="103"/>
              <w:rPr>
                <w:color w:val="auto"/>
              </w:rPr>
            </w:pPr>
            <w:r>
              <w:rPr>
                <w:color w:val="auto"/>
                <w:spacing w:val="6"/>
              </w:rPr>
              <w:t>投标保</w:t>
            </w:r>
            <w:r>
              <w:rPr>
                <w:color w:val="auto"/>
                <w:spacing w:val="4"/>
              </w:rPr>
              <w:t>证金</w:t>
            </w:r>
          </w:p>
        </w:tc>
        <w:tc>
          <w:tcPr>
            <w:tcW w:w="6530" w:type="dxa"/>
          </w:tcPr>
          <w:p>
            <w:pPr>
              <w:spacing w:line="244" w:lineRule="auto"/>
              <w:rPr>
                <w:color w:val="auto"/>
                <w:lang w:eastAsia="zh-CN"/>
              </w:rPr>
            </w:pPr>
          </w:p>
          <w:p>
            <w:pPr>
              <w:pStyle w:val="15"/>
              <w:spacing w:before="65" w:line="227" w:lineRule="auto"/>
              <w:ind w:left="1277"/>
              <w:rPr>
                <w:color w:val="auto"/>
                <w:lang w:eastAsia="zh-CN"/>
              </w:rPr>
            </w:pPr>
            <w:r>
              <w:rPr>
                <w:color w:val="auto"/>
                <w:spacing w:val="5"/>
                <w:lang w:eastAsia="zh-CN"/>
              </w:rPr>
              <w:t>符合第二章“投标人须知”第3.4.1项规定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5" w:line="273" w:lineRule="auto"/>
              <w:ind w:left="368" w:right="152" w:hanging="211"/>
              <w:rPr>
                <w:color w:val="auto"/>
              </w:rPr>
            </w:pPr>
            <w:r>
              <w:rPr>
                <w:color w:val="auto"/>
                <w:spacing w:val="7"/>
              </w:rPr>
              <w:t>权利义</w:t>
            </w:r>
            <w:r>
              <w:rPr>
                <w:color w:val="auto"/>
              </w:rPr>
              <w:t xml:space="preserve"> 务</w:t>
            </w:r>
          </w:p>
        </w:tc>
        <w:tc>
          <w:tcPr>
            <w:tcW w:w="6530" w:type="dxa"/>
          </w:tcPr>
          <w:p>
            <w:pPr>
              <w:spacing w:line="243" w:lineRule="auto"/>
              <w:rPr>
                <w:color w:val="auto"/>
                <w:lang w:eastAsia="zh-CN"/>
              </w:rPr>
            </w:pPr>
          </w:p>
          <w:p>
            <w:pPr>
              <w:pStyle w:val="15"/>
              <w:spacing w:before="65" w:line="227" w:lineRule="auto"/>
              <w:ind w:left="1592"/>
              <w:rPr>
                <w:color w:val="auto"/>
                <w:lang w:eastAsia="zh-CN"/>
              </w:rPr>
            </w:pPr>
            <w:r>
              <w:rPr>
                <w:color w:val="auto"/>
                <w:spacing w:val="7"/>
                <w:lang w:eastAsia="zh-CN"/>
              </w:rPr>
              <w:t>符合第四章“合同条款及格式”规定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154" w:line="278" w:lineRule="auto"/>
              <w:ind w:left="161" w:right="152" w:firstLine="20"/>
              <w:jc w:val="both"/>
              <w:rPr>
                <w:color w:val="auto"/>
              </w:rPr>
            </w:pPr>
            <w:r>
              <w:rPr>
                <w:color w:val="auto"/>
                <w:spacing w:val="-1"/>
              </w:rPr>
              <w:t>已标价</w:t>
            </w:r>
            <w:r>
              <w:rPr>
                <w:color w:val="auto"/>
                <w:spacing w:val="6"/>
              </w:rPr>
              <w:t>工程量</w:t>
            </w:r>
            <w:r>
              <w:rPr>
                <w:color w:val="auto"/>
                <w:spacing w:val="16"/>
                <w:w w:val="120"/>
              </w:rPr>
              <w:t>清单</w:t>
            </w:r>
          </w:p>
        </w:tc>
        <w:tc>
          <w:tcPr>
            <w:tcW w:w="6530" w:type="dxa"/>
          </w:tcPr>
          <w:p>
            <w:pPr>
              <w:spacing w:line="397" w:lineRule="auto"/>
              <w:rPr>
                <w:color w:val="auto"/>
                <w:lang w:eastAsia="zh-CN"/>
              </w:rPr>
            </w:pPr>
          </w:p>
          <w:p>
            <w:pPr>
              <w:pStyle w:val="15"/>
              <w:spacing w:before="65" w:line="227" w:lineRule="auto"/>
              <w:ind w:left="1172"/>
              <w:rPr>
                <w:color w:val="auto"/>
                <w:lang w:eastAsia="zh-CN"/>
              </w:rPr>
            </w:pPr>
            <w:r>
              <w:rPr>
                <w:color w:val="auto"/>
                <w:spacing w:val="7"/>
                <w:lang w:eastAsia="zh-CN"/>
              </w:rPr>
              <w:t>符合第五章“工程量清单”给出的范围及数量</w:t>
            </w:r>
          </w:p>
        </w:tc>
      </w:tr>
    </w:tbl>
    <w:p>
      <w:pPr>
        <w:pStyle w:val="3"/>
        <w:rPr>
          <w:color w:val="auto"/>
          <w:lang w:eastAsia="zh-CN"/>
        </w:rPr>
      </w:pPr>
    </w:p>
    <w:p>
      <w:pPr>
        <w:rPr>
          <w:color w:val="auto"/>
          <w:lang w:eastAsia="zh-CN"/>
        </w:rPr>
        <w:sectPr>
          <w:footerReference r:id="rId24"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8" w:hRule="atLeast"/>
        </w:trPr>
        <w:tc>
          <w:tcPr>
            <w:tcW w:w="839" w:type="dxa"/>
          </w:tcPr>
          <w:p>
            <w:pPr>
              <w:rPr>
                <w:color w:val="auto"/>
                <w:lang w:eastAsia="zh-CN"/>
              </w:rPr>
            </w:pPr>
          </w:p>
        </w:tc>
        <w:tc>
          <w:tcPr>
            <w:tcW w:w="696" w:type="dxa"/>
          </w:tcPr>
          <w:p>
            <w:pPr>
              <w:rPr>
                <w:color w:val="auto"/>
                <w:lang w:eastAsia="zh-CN"/>
              </w:rPr>
            </w:pPr>
          </w:p>
        </w:tc>
        <w:tc>
          <w:tcPr>
            <w:tcW w:w="937" w:type="dxa"/>
          </w:tcPr>
          <w:p>
            <w:pPr>
              <w:pStyle w:val="15"/>
              <w:spacing w:before="150" w:line="228" w:lineRule="auto"/>
              <w:ind w:left="159"/>
              <w:rPr>
                <w:color w:val="auto"/>
              </w:rPr>
            </w:pPr>
            <w:r>
              <w:rPr>
                <w:color w:val="auto"/>
                <w:spacing w:val="6"/>
              </w:rPr>
              <w:t>技术标</w:t>
            </w:r>
          </w:p>
          <w:p>
            <w:pPr>
              <w:pStyle w:val="15"/>
              <w:spacing w:before="65" w:line="229" w:lineRule="auto"/>
              <w:ind w:left="160"/>
              <w:rPr>
                <w:color w:val="auto"/>
              </w:rPr>
            </w:pPr>
            <w:r>
              <w:rPr>
                <w:color w:val="auto"/>
                <w:spacing w:val="6"/>
              </w:rPr>
              <w:t>准和要</w:t>
            </w:r>
          </w:p>
          <w:p>
            <w:pPr>
              <w:pStyle w:val="15"/>
              <w:spacing w:before="63" w:line="229" w:lineRule="auto"/>
              <w:ind w:left="369"/>
              <w:rPr>
                <w:color w:val="auto"/>
              </w:rPr>
            </w:pPr>
            <w:r>
              <w:rPr>
                <w:color w:val="auto"/>
              </w:rPr>
              <w:t>求</w:t>
            </w:r>
          </w:p>
        </w:tc>
        <w:tc>
          <w:tcPr>
            <w:tcW w:w="6530" w:type="dxa"/>
          </w:tcPr>
          <w:p>
            <w:pPr>
              <w:spacing w:line="395" w:lineRule="auto"/>
              <w:rPr>
                <w:color w:val="auto"/>
                <w:lang w:eastAsia="zh-CN"/>
              </w:rPr>
            </w:pPr>
          </w:p>
          <w:p>
            <w:pPr>
              <w:pStyle w:val="15"/>
              <w:spacing w:before="65" w:line="227" w:lineRule="auto"/>
              <w:ind w:left="1592"/>
              <w:rPr>
                <w:color w:val="auto"/>
                <w:lang w:eastAsia="zh-CN"/>
              </w:rPr>
            </w:pPr>
            <w:r>
              <w:rPr>
                <w:color w:val="auto"/>
                <w:spacing w:val="7"/>
                <w:lang w:eastAsia="zh-CN"/>
              </w:rPr>
              <w:t>符合第七章“技术标准和要求”规定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49" w:line="274" w:lineRule="auto"/>
              <w:ind w:left="369" w:right="152" w:hanging="209"/>
              <w:rPr>
                <w:color w:val="auto"/>
              </w:rPr>
            </w:pPr>
            <w:r>
              <w:rPr>
                <w:color w:val="auto"/>
                <w:spacing w:val="6"/>
              </w:rPr>
              <w:t>条款内</w:t>
            </w:r>
            <w:r>
              <w:rPr>
                <w:color w:val="auto"/>
              </w:rPr>
              <w:t xml:space="preserve"> 容</w:t>
            </w:r>
          </w:p>
        </w:tc>
        <w:tc>
          <w:tcPr>
            <w:tcW w:w="6530" w:type="dxa"/>
          </w:tcPr>
          <w:p>
            <w:pPr>
              <w:pStyle w:val="15"/>
              <w:spacing w:before="306" w:line="228" w:lineRule="auto"/>
              <w:ind w:left="2852"/>
              <w:rPr>
                <w:color w:val="auto"/>
              </w:rPr>
            </w:pPr>
            <w:r>
              <w:rPr>
                <w:color w:val="auto"/>
                <w:spacing w:val="6"/>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535" w:type="dxa"/>
            <w:gridSpan w:val="2"/>
          </w:tcPr>
          <w:p>
            <w:pPr>
              <w:spacing w:line="290" w:lineRule="auto"/>
              <w:rPr>
                <w:color w:val="auto"/>
              </w:rPr>
            </w:pPr>
          </w:p>
          <w:p>
            <w:pPr>
              <w:spacing w:line="290" w:lineRule="auto"/>
              <w:rPr>
                <w:color w:val="auto"/>
              </w:rPr>
            </w:pPr>
          </w:p>
          <w:p>
            <w:pPr>
              <w:pStyle w:val="15"/>
              <w:spacing w:before="65" w:line="190" w:lineRule="auto"/>
              <w:ind w:left="512"/>
              <w:rPr>
                <w:color w:val="auto"/>
              </w:rPr>
            </w:pPr>
            <w:r>
              <w:rPr>
                <w:color w:val="auto"/>
                <w:spacing w:val="2"/>
              </w:rPr>
              <w:t>2.2.1</w:t>
            </w:r>
          </w:p>
        </w:tc>
        <w:tc>
          <w:tcPr>
            <w:tcW w:w="937" w:type="dxa"/>
          </w:tcPr>
          <w:p>
            <w:pPr>
              <w:pStyle w:val="15"/>
              <w:spacing w:before="149" w:line="228" w:lineRule="auto"/>
              <w:ind w:left="161"/>
              <w:rPr>
                <w:color w:val="auto"/>
              </w:rPr>
            </w:pPr>
            <w:r>
              <w:rPr>
                <w:color w:val="auto"/>
                <w:spacing w:val="6"/>
              </w:rPr>
              <w:t>分值构</w:t>
            </w:r>
          </w:p>
          <w:p>
            <w:pPr>
              <w:pStyle w:val="15"/>
              <w:spacing w:before="65" w:line="229" w:lineRule="auto"/>
              <w:ind w:left="369"/>
              <w:rPr>
                <w:color w:val="auto"/>
              </w:rPr>
            </w:pPr>
            <w:r>
              <w:rPr>
                <w:color w:val="auto"/>
              </w:rPr>
              <w:t>成</w:t>
            </w:r>
          </w:p>
          <w:p>
            <w:pPr>
              <w:pStyle w:val="15"/>
              <w:spacing w:before="64" w:line="228" w:lineRule="auto"/>
              <w:ind w:left="248"/>
              <w:rPr>
                <w:color w:val="auto"/>
              </w:rPr>
            </w:pPr>
            <w:r>
              <w:rPr>
                <w:color w:val="auto"/>
                <w:spacing w:val="-8"/>
              </w:rPr>
              <w:t>(总分</w:t>
            </w:r>
          </w:p>
          <w:p>
            <w:pPr>
              <w:pStyle w:val="15"/>
              <w:spacing w:before="65" w:line="228" w:lineRule="auto"/>
              <w:ind w:left="147"/>
              <w:rPr>
                <w:color w:val="auto"/>
              </w:rPr>
            </w:pPr>
            <w:r>
              <w:rPr>
                <w:color w:val="auto"/>
                <w:spacing w:val="-2"/>
              </w:rPr>
              <w:t>100分)</w:t>
            </w:r>
          </w:p>
        </w:tc>
        <w:tc>
          <w:tcPr>
            <w:tcW w:w="6530" w:type="dxa"/>
          </w:tcPr>
          <w:p>
            <w:pPr>
              <w:pStyle w:val="15"/>
              <w:spacing w:before="305" w:line="228" w:lineRule="auto"/>
              <w:ind w:left="2408"/>
              <w:rPr>
                <w:color w:val="auto"/>
                <w:lang w:eastAsia="zh-CN"/>
              </w:rPr>
            </w:pPr>
            <w:r>
              <w:rPr>
                <w:color w:val="auto"/>
                <w:spacing w:val="5"/>
                <w:lang w:eastAsia="zh-CN"/>
              </w:rPr>
              <w:t>商务部分：30.0分</w:t>
            </w:r>
          </w:p>
          <w:p>
            <w:pPr>
              <w:pStyle w:val="15"/>
              <w:spacing w:before="64" w:line="228" w:lineRule="auto"/>
              <w:ind w:left="2404"/>
              <w:rPr>
                <w:color w:val="auto"/>
                <w:lang w:eastAsia="zh-CN"/>
              </w:rPr>
            </w:pPr>
            <w:r>
              <w:rPr>
                <w:color w:val="auto"/>
                <w:spacing w:val="6"/>
                <w:lang w:eastAsia="zh-CN"/>
              </w:rPr>
              <w:t>技术部分：30.0分</w:t>
            </w:r>
          </w:p>
          <w:p>
            <w:pPr>
              <w:pStyle w:val="15"/>
              <w:spacing w:before="65" w:line="226" w:lineRule="auto"/>
              <w:ind w:left="2406"/>
              <w:rPr>
                <w:color w:val="auto"/>
              </w:rPr>
            </w:pPr>
            <w:r>
              <w:rPr>
                <w:color w:val="auto"/>
                <w:spacing w:val="5"/>
              </w:rPr>
              <w:t>投标报价：40.0分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1535" w:type="dxa"/>
            <w:gridSpan w:val="2"/>
          </w:tcPr>
          <w:p>
            <w:pPr>
              <w:spacing w:line="426" w:lineRule="auto"/>
              <w:rPr>
                <w:color w:val="auto"/>
              </w:rPr>
            </w:pPr>
          </w:p>
          <w:p>
            <w:pPr>
              <w:pStyle w:val="15"/>
              <w:spacing w:before="65" w:line="189" w:lineRule="auto"/>
              <w:ind w:left="512"/>
              <w:rPr>
                <w:color w:val="auto"/>
              </w:rPr>
            </w:pPr>
            <w:r>
              <w:rPr>
                <w:color w:val="auto"/>
                <w:spacing w:val="2"/>
              </w:rPr>
              <w:t>2.2.2</w:t>
            </w:r>
          </w:p>
        </w:tc>
        <w:tc>
          <w:tcPr>
            <w:tcW w:w="937" w:type="dxa"/>
          </w:tcPr>
          <w:p>
            <w:pPr>
              <w:pStyle w:val="15"/>
              <w:spacing w:before="150" w:line="278" w:lineRule="auto"/>
              <w:ind w:left="159" w:right="152" w:hanging="2"/>
              <w:jc w:val="both"/>
              <w:rPr>
                <w:color w:val="auto"/>
              </w:rPr>
            </w:pPr>
            <w:r>
              <w:rPr>
                <w:color w:val="auto"/>
                <w:spacing w:val="7"/>
              </w:rPr>
              <w:t>评标基</w:t>
            </w:r>
            <w:r>
              <w:rPr>
                <w:color w:val="auto"/>
                <w:spacing w:val="6"/>
              </w:rPr>
              <w:t>准价计算方法</w:t>
            </w:r>
          </w:p>
        </w:tc>
        <w:tc>
          <w:tcPr>
            <w:tcW w:w="65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1535" w:type="dxa"/>
            <w:gridSpan w:val="2"/>
          </w:tcPr>
          <w:p>
            <w:pPr>
              <w:spacing w:line="291" w:lineRule="auto"/>
              <w:rPr>
                <w:color w:val="auto"/>
              </w:rPr>
            </w:pPr>
          </w:p>
          <w:p>
            <w:pPr>
              <w:spacing w:line="292" w:lineRule="auto"/>
              <w:rPr>
                <w:color w:val="auto"/>
              </w:rPr>
            </w:pPr>
          </w:p>
          <w:p>
            <w:pPr>
              <w:pStyle w:val="15"/>
              <w:spacing w:before="65" w:line="189" w:lineRule="auto"/>
              <w:ind w:left="512"/>
              <w:rPr>
                <w:color w:val="auto"/>
              </w:rPr>
            </w:pPr>
            <w:r>
              <w:rPr>
                <w:color w:val="auto"/>
                <w:spacing w:val="2"/>
              </w:rPr>
              <w:t>2.2.3</w:t>
            </w:r>
          </w:p>
        </w:tc>
        <w:tc>
          <w:tcPr>
            <w:tcW w:w="937" w:type="dxa"/>
          </w:tcPr>
          <w:p>
            <w:pPr>
              <w:pStyle w:val="15"/>
              <w:spacing w:before="149" w:line="281" w:lineRule="auto"/>
              <w:ind w:left="159" w:right="152" w:firstLine="1"/>
              <w:jc w:val="both"/>
              <w:rPr>
                <w:color w:val="auto"/>
                <w:lang w:eastAsia="zh-CN"/>
              </w:rPr>
            </w:pPr>
            <w:r>
              <w:rPr>
                <w:color w:val="auto"/>
                <w:spacing w:val="6"/>
                <w:lang w:eastAsia="zh-CN"/>
              </w:rPr>
              <w:t>投标报价的偏差率计算公式</w:t>
            </w:r>
          </w:p>
        </w:tc>
        <w:tc>
          <w:tcPr>
            <w:tcW w:w="6530" w:type="dxa"/>
          </w:tcPr>
          <w:p>
            <w:pPr>
              <w:spacing w:line="275" w:lineRule="auto"/>
              <w:rPr>
                <w:color w:val="auto"/>
                <w:lang w:eastAsia="zh-CN"/>
              </w:rPr>
            </w:pPr>
          </w:p>
          <w:p>
            <w:pPr>
              <w:spacing w:line="275" w:lineRule="auto"/>
              <w:rPr>
                <w:color w:val="auto"/>
                <w:lang w:eastAsia="zh-CN"/>
              </w:rPr>
            </w:pPr>
          </w:p>
          <w:p>
            <w:pPr>
              <w:pStyle w:val="15"/>
              <w:spacing w:before="65" w:line="226" w:lineRule="auto"/>
              <w:ind w:left="541"/>
              <w:rPr>
                <w:color w:val="auto"/>
                <w:lang w:eastAsia="zh-CN"/>
              </w:rPr>
            </w:pPr>
            <w:r>
              <w:rPr>
                <w:color w:val="auto"/>
                <w:spacing w:val="7"/>
                <w:lang w:eastAsia="zh-CN"/>
              </w:rPr>
              <w:t>偏差率=100%×（投标人报价 - 评标基准价）</w:t>
            </w:r>
            <w:r>
              <w:rPr>
                <w:color w:val="auto"/>
                <w:spacing w:val="6"/>
                <w:lang w:eastAsia="zh-CN"/>
              </w:rPr>
              <w:t>/评标基准价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4" w:hRule="atLeast"/>
        </w:trPr>
        <w:tc>
          <w:tcPr>
            <w:tcW w:w="1535" w:type="dxa"/>
            <w:gridSpan w:val="2"/>
          </w:tcPr>
          <w:p>
            <w:pPr>
              <w:pStyle w:val="15"/>
              <w:spacing w:before="306" w:line="228" w:lineRule="auto"/>
              <w:ind w:left="459"/>
              <w:rPr>
                <w:color w:val="auto"/>
              </w:rPr>
            </w:pPr>
            <w:r>
              <w:rPr>
                <w:color w:val="auto"/>
                <w:spacing w:val="6"/>
              </w:rPr>
              <w:t>条款号</w:t>
            </w:r>
          </w:p>
        </w:tc>
        <w:tc>
          <w:tcPr>
            <w:tcW w:w="937" w:type="dxa"/>
          </w:tcPr>
          <w:p>
            <w:pPr>
              <w:pStyle w:val="15"/>
              <w:spacing w:before="151" w:line="273" w:lineRule="auto"/>
              <w:ind w:left="369" w:right="152" w:hanging="212"/>
              <w:rPr>
                <w:color w:val="auto"/>
              </w:rPr>
            </w:pPr>
            <w:r>
              <w:rPr>
                <w:color w:val="auto"/>
                <w:spacing w:val="7"/>
              </w:rPr>
              <w:t>评分因</w:t>
            </w:r>
            <w:r>
              <w:rPr>
                <w:color w:val="auto"/>
              </w:rPr>
              <w:t xml:space="preserve"> 素</w:t>
            </w:r>
          </w:p>
        </w:tc>
        <w:tc>
          <w:tcPr>
            <w:tcW w:w="6530" w:type="dxa"/>
          </w:tcPr>
          <w:p>
            <w:pPr>
              <w:rPr>
                <w:color w:val="auto"/>
              </w:rPr>
            </w:pPr>
          </w:p>
          <w:p>
            <w:pPr>
              <w:pStyle w:val="15"/>
              <w:spacing w:before="65" w:line="228" w:lineRule="auto"/>
              <w:ind w:left="2849"/>
              <w:rPr>
                <w:color w:val="auto"/>
              </w:rPr>
            </w:pPr>
            <w:r>
              <w:rPr>
                <w:color w:val="auto"/>
                <w:spacing w:val="7"/>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restart"/>
            <w:tcBorders>
              <w:bottom w:val="nil"/>
            </w:tcBorders>
          </w:tcPr>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spacing w:line="247"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（1）</w:t>
            </w:r>
          </w:p>
        </w:tc>
        <w:tc>
          <w:tcPr>
            <w:tcW w:w="696" w:type="dxa"/>
            <w:vMerge w:val="restart"/>
            <w:tcBorders>
              <w:bottom w:val="nil"/>
            </w:tcBorders>
          </w:tcPr>
          <w:p>
            <w:pPr>
              <w:spacing w:line="251"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spacing w:line="252" w:lineRule="auto"/>
              <w:rPr>
                <w:color w:val="auto"/>
              </w:rPr>
            </w:pPr>
          </w:p>
          <w:p>
            <w:pPr>
              <w:pStyle w:val="15"/>
              <w:spacing w:before="65" w:line="278" w:lineRule="auto"/>
              <w:ind w:left="140" w:right="139" w:firstLine="5"/>
              <w:jc w:val="both"/>
              <w:rPr>
                <w:color w:val="auto"/>
              </w:rPr>
            </w:pPr>
            <w:r>
              <w:rPr>
                <w:color w:val="auto"/>
                <w:spacing w:val="2"/>
              </w:rPr>
              <w:t>商务</w:t>
            </w:r>
            <w:r>
              <w:rPr>
                <w:color w:val="auto"/>
                <w:spacing w:val="5"/>
              </w:rPr>
              <w:t>评分标准</w:t>
            </w:r>
          </w:p>
        </w:tc>
        <w:tc>
          <w:tcPr>
            <w:tcW w:w="937" w:type="dxa"/>
          </w:tcPr>
          <w:p>
            <w:pPr>
              <w:spacing w:line="353" w:lineRule="auto"/>
              <w:rPr>
                <w:color w:val="auto"/>
              </w:rPr>
            </w:pPr>
          </w:p>
          <w:p>
            <w:pPr>
              <w:spacing w:line="353" w:lineRule="auto"/>
              <w:rPr>
                <w:color w:val="auto"/>
              </w:rPr>
            </w:pPr>
          </w:p>
          <w:p>
            <w:pPr>
              <w:pStyle w:val="15"/>
              <w:spacing w:before="65" w:line="274" w:lineRule="auto"/>
              <w:ind w:left="157" w:right="152"/>
              <w:rPr>
                <w:color w:val="auto"/>
              </w:rPr>
            </w:pPr>
            <w:r>
              <w:rPr>
                <w:color w:val="auto"/>
                <w:spacing w:val="6"/>
              </w:rPr>
              <w:t>类似工</w:t>
            </w:r>
            <w:r>
              <w:rPr>
                <w:color w:val="auto"/>
                <w:spacing w:val="7"/>
              </w:rPr>
              <w:t>程业绩</w:t>
            </w:r>
          </w:p>
        </w:tc>
        <w:tc>
          <w:tcPr>
            <w:tcW w:w="6530" w:type="dxa"/>
          </w:tcPr>
          <w:p>
            <w:pPr>
              <w:pStyle w:val="15"/>
              <w:spacing w:before="151" w:line="228" w:lineRule="auto"/>
              <w:ind w:left="176"/>
              <w:rPr>
                <w:color w:val="auto"/>
                <w:lang w:eastAsia="zh-CN"/>
              </w:rPr>
            </w:pPr>
            <w:r>
              <w:rPr>
                <w:color w:val="auto"/>
                <w:spacing w:val="8"/>
                <w:lang w:eastAsia="zh-CN"/>
              </w:rPr>
              <w:t>投标人近</w:t>
            </w:r>
            <w:r>
              <w:rPr>
                <w:rFonts w:hint="eastAsia"/>
                <w:color w:val="auto"/>
                <w:spacing w:val="8"/>
                <w:lang w:eastAsia="zh-CN"/>
              </w:rPr>
              <w:t>五</w:t>
            </w:r>
            <w:r>
              <w:rPr>
                <w:color w:val="auto"/>
                <w:spacing w:val="8"/>
                <w:lang w:eastAsia="zh-CN"/>
              </w:rPr>
              <w:t>年(20</w:t>
            </w:r>
            <w:r>
              <w:rPr>
                <w:rFonts w:hint="eastAsia"/>
                <w:color w:val="auto"/>
                <w:spacing w:val="8"/>
                <w:lang w:eastAsia="zh-CN"/>
              </w:rPr>
              <w:t>19</w:t>
            </w:r>
            <w:r>
              <w:rPr>
                <w:color w:val="auto"/>
                <w:spacing w:val="8"/>
                <w:lang w:eastAsia="zh-CN"/>
              </w:rPr>
              <w:t xml:space="preserve"> 年 </w:t>
            </w:r>
            <w:r>
              <w:rPr>
                <w:rFonts w:hint="eastAsia"/>
                <w:color w:val="auto"/>
                <w:spacing w:val="8"/>
                <w:lang w:eastAsia="zh-CN"/>
              </w:rPr>
              <w:t>10</w:t>
            </w:r>
            <w:r>
              <w:rPr>
                <w:color w:val="auto"/>
                <w:spacing w:val="8"/>
                <w:lang w:eastAsia="zh-CN"/>
              </w:rPr>
              <w:t xml:space="preserve"> 月-投标截止时间止) </w:t>
            </w:r>
            <w:r>
              <w:rPr>
                <w:color w:val="auto"/>
                <w:spacing w:val="7"/>
                <w:lang w:eastAsia="zh-CN"/>
              </w:rPr>
              <w:t>企业承担过单项合</w:t>
            </w:r>
          </w:p>
          <w:p>
            <w:pPr>
              <w:pStyle w:val="15"/>
              <w:spacing w:before="65" w:line="228" w:lineRule="auto"/>
              <w:ind w:left="134"/>
              <w:rPr>
                <w:color w:val="auto"/>
                <w:lang w:eastAsia="zh-CN"/>
              </w:rPr>
            </w:pPr>
            <w:r>
              <w:rPr>
                <w:color w:val="auto"/>
                <w:spacing w:val="7"/>
                <w:lang w:eastAsia="zh-CN"/>
              </w:rPr>
              <w:t>同金额达到 93万元及以上的地质灾害类似项目业绩，每个计 5 分；</w:t>
            </w:r>
          </w:p>
          <w:p>
            <w:pPr>
              <w:pStyle w:val="15"/>
              <w:spacing w:before="65" w:line="227" w:lineRule="auto"/>
              <w:ind w:left="122"/>
              <w:rPr>
                <w:color w:val="auto"/>
                <w:lang w:eastAsia="zh-CN"/>
              </w:rPr>
            </w:pPr>
            <w:r>
              <w:rPr>
                <w:color w:val="auto"/>
                <w:spacing w:val="9"/>
                <w:lang w:eastAsia="zh-CN"/>
              </w:rPr>
              <w:t>本项最高计 20 分。完成时间以合同工程竣工或完工验收文件中建设</w:t>
            </w:r>
          </w:p>
          <w:p>
            <w:pPr>
              <w:pStyle w:val="15"/>
              <w:spacing w:before="65" w:line="228" w:lineRule="auto"/>
              <w:ind w:left="123"/>
              <w:rPr>
                <w:color w:val="auto"/>
                <w:lang w:eastAsia="zh-CN"/>
              </w:rPr>
            </w:pPr>
            <w:r>
              <w:rPr>
                <w:color w:val="auto"/>
                <w:spacing w:val="9"/>
                <w:lang w:eastAsia="zh-CN"/>
              </w:rPr>
              <w:t>单位签字之日为准。类似工程业绩完成时间在招标文件要求期限内的</w:t>
            </w:r>
          </w:p>
          <w:p>
            <w:pPr>
              <w:pStyle w:val="15"/>
              <w:spacing w:before="65" w:line="227" w:lineRule="auto"/>
              <w:ind w:right="12"/>
              <w:jc w:val="right"/>
              <w:rPr>
                <w:color w:val="auto"/>
                <w:lang w:eastAsia="zh-CN"/>
              </w:rPr>
            </w:pPr>
            <w:r>
              <w:rPr>
                <w:color w:val="auto"/>
                <w:spacing w:val="2"/>
                <w:lang w:eastAsia="zh-CN"/>
              </w:rPr>
              <w:t>即为合格。(须同时提供中标候选人公示截图、中标通知书、施工合同、</w:t>
            </w:r>
          </w:p>
          <w:p>
            <w:pPr>
              <w:pStyle w:val="15"/>
              <w:spacing w:before="66" w:line="227" w:lineRule="auto"/>
              <w:ind w:left="1118"/>
              <w:rPr>
                <w:color w:val="auto"/>
              </w:rPr>
            </w:pPr>
            <w:r>
              <w:rPr>
                <w:color w:val="auto"/>
                <w:spacing w:val="9"/>
                <w:lang w:eastAsia="zh-CN"/>
              </w:rPr>
              <w:t>竣工验收证明材料并加盖公章，否则不计分。</w:t>
            </w:r>
            <w:r>
              <w:rPr>
                <w:color w:val="auto"/>
                <w:spacing w:val="9"/>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59" w:hRule="atLeast"/>
        </w:trPr>
        <w:tc>
          <w:tcPr>
            <w:tcW w:w="839" w:type="dxa"/>
            <w:vMerge w:val="continue"/>
            <w:tcBorders>
              <w:top w:val="nil"/>
              <w:bottom w:val="nil"/>
            </w:tcBorders>
          </w:tcPr>
          <w:p>
            <w:pPr>
              <w:rPr>
                <w:color w:val="auto"/>
              </w:rPr>
            </w:pPr>
          </w:p>
        </w:tc>
        <w:tc>
          <w:tcPr>
            <w:tcW w:w="696" w:type="dxa"/>
            <w:vMerge w:val="continue"/>
            <w:tcBorders>
              <w:top w:val="nil"/>
              <w:bottom w:val="nil"/>
            </w:tcBorders>
          </w:tcPr>
          <w:p>
            <w:pPr>
              <w:rPr>
                <w:color w:val="auto"/>
              </w:rPr>
            </w:pPr>
          </w:p>
        </w:tc>
        <w:tc>
          <w:tcPr>
            <w:tcW w:w="937" w:type="dxa"/>
          </w:tcPr>
          <w:p>
            <w:pPr>
              <w:spacing w:line="276" w:lineRule="auto"/>
              <w:rPr>
                <w:color w:val="auto"/>
              </w:rPr>
            </w:pPr>
          </w:p>
          <w:p>
            <w:pPr>
              <w:spacing w:line="276" w:lineRule="auto"/>
              <w:rPr>
                <w:color w:val="auto"/>
              </w:rPr>
            </w:pPr>
          </w:p>
          <w:p>
            <w:pPr>
              <w:pStyle w:val="15"/>
              <w:spacing w:before="65" w:line="273" w:lineRule="auto"/>
              <w:ind w:left="293" w:right="152" w:hanging="132"/>
              <w:rPr>
                <w:color w:val="auto"/>
              </w:rPr>
            </w:pPr>
            <w:r>
              <w:rPr>
                <w:color w:val="auto"/>
                <w:spacing w:val="6"/>
              </w:rPr>
              <w:t>综合实</w:t>
            </w:r>
            <w:r>
              <w:rPr>
                <w:color w:val="auto"/>
                <w:spacing w:val="-2"/>
              </w:rPr>
              <w:t>力1</w:t>
            </w:r>
          </w:p>
        </w:tc>
        <w:tc>
          <w:tcPr>
            <w:tcW w:w="6530" w:type="dxa"/>
          </w:tcPr>
          <w:p>
            <w:pPr>
              <w:pStyle w:val="15"/>
              <w:spacing w:before="154" w:line="280" w:lineRule="auto"/>
              <w:ind w:left="114" w:right="106" w:firstLine="11"/>
              <w:jc w:val="both"/>
              <w:rPr>
                <w:color w:val="auto"/>
                <w:lang w:eastAsia="zh-CN"/>
              </w:rPr>
            </w:pPr>
            <w:r>
              <w:rPr>
                <w:color w:val="auto"/>
                <w:spacing w:val="9"/>
                <w:lang w:eastAsia="zh-CN"/>
              </w:rPr>
              <w:t>具备质量管理体系认证证书、环境管理体系认证证书、职业健康安全</w:t>
            </w:r>
            <w:r>
              <w:rPr>
                <w:color w:val="auto"/>
                <w:spacing w:val="8"/>
                <w:lang w:eastAsia="zh-CN"/>
              </w:rPr>
              <w:t>管理体系认证证书</w:t>
            </w:r>
            <w:r>
              <w:rPr>
                <w:rFonts w:hint="eastAsia"/>
                <w:color w:val="auto"/>
                <w:spacing w:val="8"/>
                <w:lang w:eastAsia="zh-CN"/>
              </w:rPr>
              <w:t>、信息安全管理体系认证书</w:t>
            </w:r>
            <w:r>
              <w:rPr>
                <w:color w:val="auto"/>
                <w:spacing w:val="8"/>
                <w:lang w:eastAsia="zh-CN"/>
              </w:rPr>
              <w:t xml:space="preserve">的，计 </w:t>
            </w:r>
            <w:r>
              <w:rPr>
                <w:rFonts w:hint="eastAsia"/>
                <w:color w:val="auto"/>
                <w:spacing w:val="8"/>
                <w:lang w:eastAsia="zh-CN"/>
              </w:rPr>
              <w:t>2</w:t>
            </w:r>
            <w:r>
              <w:rPr>
                <w:color w:val="auto"/>
                <w:spacing w:val="8"/>
                <w:lang w:eastAsia="zh-CN"/>
              </w:rPr>
              <w:t>0 分(提供有效</w:t>
            </w:r>
            <w:r>
              <w:rPr>
                <w:color w:val="auto"/>
                <w:spacing w:val="7"/>
                <w:lang w:eastAsia="zh-CN"/>
              </w:rPr>
              <w:t>期内的证书扫描件及全国</w:t>
            </w:r>
            <w:r>
              <w:rPr>
                <w:color w:val="auto"/>
                <w:spacing w:val="6"/>
                <w:lang w:eastAsia="zh-CN"/>
              </w:rPr>
              <w:t>认证认可信息公共服务平台查询结果截图)；只获得其中一个或两个证</w:t>
            </w:r>
            <w:r>
              <w:rPr>
                <w:color w:val="auto"/>
                <w:spacing w:val="10"/>
                <w:lang w:eastAsia="zh-CN"/>
              </w:rPr>
              <w:t>书的、未提供有效期内的证书扫描件及全国认证认可信息</w:t>
            </w:r>
            <w:r>
              <w:rPr>
                <w:color w:val="auto"/>
                <w:spacing w:val="9"/>
                <w:lang w:eastAsia="zh-CN"/>
              </w:rPr>
              <w:t>公共服务平</w:t>
            </w:r>
            <w:r>
              <w:rPr>
                <w:color w:val="auto"/>
                <w:spacing w:val="7"/>
                <w:lang w:eastAsia="zh-CN"/>
              </w:rPr>
              <w:t>台查询结果截图的均不计分。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5"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5"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力2</w:t>
            </w:r>
          </w:p>
        </w:tc>
        <w:tc>
          <w:tcPr>
            <w:tcW w:w="6530" w:type="dxa"/>
          </w:tcPr>
          <w:p>
            <w:pPr>
              <w:pStyle w:val="15"/>
              <w:spacing w:before="151" w:line="274" w:lineRule="auto"/>
              <w:ind w:left="2590" w:right="269" w:hanging="2310"/>
              <w:rPr>
                <w:color w:val="auto"/>
                <w:lang w:eastAsia="zh-CN"/>
              </w:rPr>
            </w:pPr>
            <w:r>
              <w:rPr>
                <w:color w:val="auto"/>
                <w:spacing w:val="7"/>
                <w:lang w:eastAsia="zh-CN"/>
              </w:rPr>
              <w:t>投标人连续 3 年(2021 年至2023 年)获得过</w:t>
            </w:r>
            <w:r>
              <w:rPr>
                <w:color w:val="auto"/>
                <w:spacing w:val="6"/>
                <w:lang w:eastAsia="zh-CN"/>
              </w:rPr>
              <w:t>省级“守合同重信</w:t>
            </w:r>
            <w:r>
              <w:rPr>
                <w:color w:val="auto"/>
                <w:spacing w:val="-3"/>
                <w:lang w:eastAsia="zh-CN"/>
              </w:rPr>
              <w:t>用”计5分；</w:t>
            </w:r>
          </w:p>
          <w:p>
            <w:pPr>
              <w:pStyle w:val="15"/>
              <w:spacing w:before="30" w:line="274" w:lineRule="auto"/>
              <w:ind w:left="2380" w:right="166" w:hanging="2204"/>
              <w:rPr>
                <w:color w:val="auto"/>
                <w:lang w:eastAsia="zh-CN"/>
              </w:rPr>
            </w:pPr>
            <w:r>
              <w:rPr>
                <w:color w:val="auto"/>
                <w:spacing w:val="7"/>
                <w:lang w:eastAsia="zh-CN"/>
              </w:rPr>
              <w:t>投标人连续 5 年(2019 年至 2023年)获得过省级“守合同</w:t>
            </w:r>
            <w:r>
              <w:rPr>
                <w:color w:val="auto"/>
                <w:spacing w:val="6"/>
                <w:lang w:eastAsia="zh-CN"/>
              </w:rPr>
              <w:t>重信用</w:t>
            </w:r>
            <w:r>
              <w:rPr>
                <w:color w:val="auto"/>
                <w:spacing w:val="-3"/>
                <w:lang w:eastAsia="zh-CN"/>
              </w:rPr>
              <w:t>企业”计10分；</w:t>
            </w:r>
          </w:p>
          <w:p>
            <w:pPr>
              <w:pStyle w:val="15"/>
              <w:spacing w:before="31" w:line="273" w:lineRule="auto"/>
              <w:ind w:left="872" w:right="166" w:hanging="697"/>
              <w:rPr>
                <w:color w:val="auto"/>
                <w:lang w:eastAsia="zh-CN"/>
              </w:rPr>
            </w:pPr>
            <w:r>
              <w:rPr>
                <w:color w:val="auto"/>
                <w:spacing w:val="9"/>
                <w:lang w:eastAsia="zh-CN"/>
              </w:rPr>
              <w:t>本项最高计 1</w:t>
            </w:r>
            <w:r>
              <w:rPr>
                <w:rFonts w:hint="eastAsia"/>
                <w:color w:val="auto"/>
                <w:spacing w:val="9"/>
                <w:lang w:eastAsia="zh-CN"/>
              </w:rPr>
              <w:t>0</w:t>
            </w:r>
            <w:r>
              <w:rPr>
                <w:color w:val="auto"/>
                <w:spacing w:val="9"/>
                <w:lang w:eastAsia="zh-CN"/>
              </w:rPr>
              <w:t xml:space="preserve"> 分(投标文件中提供证书扫描件和最新</w:t>
            </w:r>
            <w:r>
              <w:rPr>
                <w:color w:val="auto"/>
                <w:spacing w:val="8"/>
                <w:lang w:eastAsia="zh-CN"/>
              </w:rPr>
              <w:t>连续公示年度</w:t>
            </w:r>
            <w:r>
              <w:rPr>
                <w:color w:val="auto"/>
                <w:spacing w:val="6"/>
                <w:lang w:eastAsia="zh-CN"/>
              </w:rPr>
              <w:t>的“守合同重信用企业” 网页截图，否则不计分)。</w:t>
            </w:r>
          </w:p>
        </w:tc>
      </w:tr>
    </w:tbl>
    <w:p>
      <w:pPr>
        <w:pStyle w:val="3"/>
        <w:spacing w:line="208" w:lineRule="exact"/>
        <w:rPr>
          <w:color w:val="auto"/>
          <w:sz w:val="18"/>
          <w:lang w:eastAsia="zh-CN"/>
        </w:rPr>
      </w:pPr>
    </w:p>
    <w:p>
      <w:pPr>
        <w:spacing w:line="208" w:lineRule="exact"/>
        <w:rPr>
          <w:color w:val="auto"/>
          <w:sz w:val="18"/>
          <w:szCs w:val="18"/>
          <w:lang w:eastAsia="zh-CN"/>
        </w:rPr>
        <w:sectPr>
          <w:footerReference r:id="rId25"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241" w:lineRule="auto"/>
              <w:rPr>
                <w:color w:val="auto"/>
                <w:lang w:eastAsia="zh-CN"/>
              </w:rPr>
            </w:pPr>
          </w:p>
          <w:p>
            <w:pPr>
              <w:pStyle w:val="15"/>
              <w:spacing w:before="65" w:line="273" w:lineRule="auto"/>
              <w:ind w:left="293" w:right="152" w:hanging="132"/>
              <w:rPr>
                <w:color w:val="auto"/>
              </w:rPr>
            </w:pPr>
            <w:r>
              <w:rPr>
                <w:color w:val="auto"/>
                <w:spacing w:val="6"/>
              </w:rPr>
              <w:t>综合实</w:t>
            </w:r>
            <w:r>
              <w:rPr>
                <w:color w:val="auto"/>
                <w:spacing w:val="-2"/>
              </w:rPr>
              <w:t>力3</w:t>
            </w:r>
          </w:p>
        </w:tc>
        <w:tc>
          <w:tcPr>
            <w:tcW w:w="6530" w:type="dxa"/>
          </w:tcPr>
          <w:p>
            <w:pPr>
              <w:pStyle w:val="15"/>
              <w:spacing w:before="150" w:line="228" w:lineRule="auto"/>
              <w:ind w:left="124"/>
              <w:rPr>
                <w:color w:val="auto"/>
                <w:lang w:eastAsia="zh-CN"/>
              </w:rPr>
            </w:pPr>
            <w:r>
              <w:rPr>
                <w:color w:val="auto"/>
                <w:spacing w:val="9"/>
                <w:lang w:eastAsia="zh-CN"/>
              </w:rPr>
              <w:t>投标人近</w:t>
            </w:r>
            <w:r>
              <w:rPr>
                <w:rFonts w:hint="eastAsia"/>
                <w:color w:val="auto"/>
                <w:spacing w:val="9"/>
                <w:lang w:eastAsia="zh-CN"/>
              </w:rPr>
              <w:t>五</w:t>
            </w:r>
            <w:r>
              <w:rPr>
                <w:color w:val="auto"/>
                <w:spacing w:val="9"/>
                <w:lang w:eastAsia="zh-CN"/>
              </w:rPr>
              <w:t>年至投标截止时间止获得过省级及以上地质灾害防治与生</w:t>
            </w:r>
          </w:p>
          <w:p>
            <w:pPr>
              <w:pStyle w:val="15"/>
              <w:spacing w:before="65" w:line="227" w:lineRule="auto"/>
              <w:ind w:left="114"/>
              <w:rPr>
                <w:color w:val="auto"/>
                <w:lang w:eastAsia="zh-CN"/>
              </w:rPr>
            </w:pPr>
            <w:r>
              <w:rPr>
                <w:color w:val="auto"/>
                <w:spacing w:val="5"/>
                <w:lang w:eastAsia="zh-CN"/>
              </w:rPr>
              <w:t>态修复奖项的，计</w:t>
            </w:r>
            <w:r>
              <w:rPr>
                <w:rFonts w:hint="eastAsia"/>
                <w:color w:val="auto"/>
                <w:spacing w:val="5"/>
                <w:lang w:eastAsia="zh-CN"/>
              </w:rPr>
              <w:t>5</w:t>
            </w:r>
            <w:r>
              <w:rPr>
                <w:color w:val="auto"/>
                <w:spacing w:val="5"/>
                <w:lang w:eastAsia="zh-CN"/>
              </w:rPr>
              <w:t xml:space="preserve"> 分，不提供不计分。  (投标文件中提供相应文</w:t>
            </w:r>
          </w:p>
          <w:p>
            <w:pPr>
              <w:pStyle w:val="15"/>
              <w:spacing w:before="66" w:line="227" w:lineRule="auto"/>
              <w:ind w:left="2273"/>
              <w:rPr>
                <w:color w:val="auto"/>
                <w:lang w:eastAsia="zh-CN"/>
              </w:rPr>
            </w:pPr>
            <w:r>
              <w:rPr>
                <w:color w:val="auto"/>
                <w:spacing w:val="8"/>
                <w:lang w:eastAsia="zh-CN"/>
              </w:rPr>
              <w:t>件或证书扫描件)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8"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61" w:right="152"/>
              <w:jc w:val="both"/>
              <w:rPr>
                <w:color w:val="auto"/>
                <w:lang w:eastAsia="zh-CN"/>
              </w:rPr>
            </w:pPr>
            <w:r>
              <w:rPr>
                <w:color w:val="auto"/>
                <w:spacing w:val="5"/>
                <w:lang w:eastAsia="zh-CN"/>
              </w:rPr>
              <w:t>项目经</w:t>
            </w:r>
            <w:r>
              <w:rPr>
                <w:color w:val="auto"/>
                <w:spacing w:val="6"/>
                <w:lang w:eastAsia="zh-CN"/>
              </w:rPr>
              <w:t>理任职资格及</w:t>
            </w:r>
            <w:r>
              <w:rPr>
                <w:color w:val="auto"/>
                <w:spacing w:val="14"/>
                <w:w w:val="121"/>
                <w:lang w:eastAsia="zh-CN"/>
              </w:rPr>
              <w:t>业绩</w:t>
            </w:r>
          </w:p>
        </w:tc>
        <w:tc>
          <w:tcPr>
            <w:tcW w:w="6530" w:type="dxa"/>
          </w:tcPr>
          <w:p>
            <w:pPr>
              <w:pStyle w:val="15"/>
              <w:spacing w:before="150" w:line="258" w:lineRule="auto"/>
              <w:ind w:left="1016" w:right="113" w:hanging="879"/>
              <w:rPr>
                <w:color w:val="auto"/>
                <w:lang w:eastAsia="zh-CN"/>
              </w:rPr>
            </w:pPr>
            <w:r>
              <w:rPr>
                <w:color w:val="auto"/>
                <w:spacing w:val="9"/>
                <w:lang w:eastAsia="zh-CN"/>
              </w:rPr>
              <w:t>1、拟任项目经理具有市政公用工程专业壹级注册建造师</w:t>
            </w:r>
            <w:r>
              <w:rPr>
                <w:color w:val="auto"/>
                <w:spacing w:val="8"/>
                <w:lang w:eastAsia="zh-CN"/>
              </w:rPr>
              <w:t>执业资格 或建筑工程专业壹级注册建造师执业资格计 8 分；</w:t>
            </w:r>
            <w:r>
              <w:rPr>
                <w:rFonts w:hint="eastAsia"/>
                <w:color w:val="auto"/>
                <w:spacing w:val="8"/>
                <w:lang w:eastAsia="zh-CN"/>
              </w:rPr>
              <w:t>项目经理具有注册土木工程师（岩土）执业资格计5分。</w:t>
            </w:r>
          </w:p>
          <w:p>
            <w:pPr>
              <w:pStyle w:val="15"/>
              <w:spacing w:before="65" w:line="227" w:lineRule="auto"/>
              <w:ind w:left="122"/>
              <w:rPr>
                <w:color w:val="auto"/>
                <w:lang w:eastAsia="zh-CN"/>
              </w:rPr>
            </w:pPr>
            <w:r>
              <w:rPr>
                <w:color w:val="auto"/>
                <w:spacing w:val="5"/>
                <w:lang w:eastAsia="zh-CN"/>
              </w:rPr>
              <w:t>2、拟任项目经 理近</w:t>
            </w:r>
            <w:r>
              <w:rPr>
                <w:color w:val="auto"/>
                <w:spacing w:val="6"/>
                <w:lang w:eastAsia="zh-CN"/>
              </w:rPr>
              <w:t>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w:t>
            </w:r>
            <w:r>
              <w:rPr>
                <w:color w:val="auto"/>
                <w:spacing w:val="5"/>
                <w:lang w:eastAsia="zh-CN"/>
              </w:rPr>
              <w:t xml:space="preserve">承担过地质灾害类似项目业绩，计 8 分， </w:t>
            </w:r>
            <w:r>
              <w:rPr>
                <w:color w:val="auto"/>
                <w:spacing w:val="9"/>
                <w:lang w:eastAsia="zh-CN"/>
              </w:rPr>
              <w:t>以合同工程竣工或完工验收文件中建设单位签字之日为准</w:t>
            </w:r>
            <w:r>
              <w:rPr>
                <w:color w:val="auto"/>
                <w:spacing w:val="5"/>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9"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3"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81" w:lineRule="auto"/>
              <w:ind w:left="157" w:right="152" w:firstLine="1"/>
              <w:jc w:val="both"/>
              <w:rPr>
                <w:color w:val="auto"/>
                <w:lang w:eastAsia="zh-CN"/>
              </w:rPr>
            </w:pPr>
            <w:r>
              <w:rPr>
                <w:color w:val="auto"/>
                <w:spacing w:val="6"/>
                <w:lang w:eastAsia="zh-CN"/>
              </w:rPr>
              <w:t>技术负</w:t>
            </w:r>
            <w:r>
              <w:rPr>
                <w:color w:val="auto"/>
                <w:spacing w:val="7"/>
                <w:lang w:eastAsia="zh-CN"/>
              </w:rPr>
              <w:t>责人任职资格及业绩</w:t>
            </w:r>
          </w:p>
        </w:tc>
        <w:tc>
          <w:tcPr>
            <w:tcW w:w="6530" w:type="dxa"/>
          </w:tcPr>
          <w:p>
            <w:pPr>
              <w:pStyle w:val="15"/>
              <w:spacing w:before="151" w:line="258" w:lineRule="auto"/>
              <w:ind w:left="2796" w:right="52" w:hanging="2667"/>
              <w:rPr>
                <w:color w:val="auto"/>
                <w:lang w:eastAsia="zh-CN"/>
              </w:rPr>
            </w:pPr>
            <w:r>
              <w:rPr>
                <w:color w:val="auto"/>
                <w:spacing w:val="4"/>
                <w:lang w:eastAsia="zh-CN"/>
              </w:rPr>
              <w:t>1、技术负责人具备地质调査和矿产勘查专业或水工环专业高级职 称，</w:t>
            </w:r>
            <w:r>
              <w:rPr>
                <w:color w:val="auto"/>
                <w:spacing w:val="-2"/>
                <w:lang w:eastAsia="zh-CN"/>
              </w:rPr>
              <w:t>计8分；</w:t>
            </w:r>
          </w:p>
          <w:p>
            <w:pPr>
              <w:pStyle w:val="15"/>
              <w:spacing w:before="65" w:line="227" w:lineRule="auto"/>
              <w:ind w:left="122"/>
              <w:rPr>
                <w:color w:val="auto"/>
                <w:lang w:eastAsia="zh-CN"/>
              </w:rPr>
            </w:pPr>
            <w:r>
              <w:rPr>
                <w:color w:val="auto"/>
                <w:spacing w:val="6"/>
                <w:lang w:eastAsia="zh-CN"/>
              </w:rPr>
              <w:t>2、拟任技术负责人近</w:t>
            </w:r>
            <w:r>
              <w:rPr>
                <w:rFonts w:hint="eastAsia"/>
                <w:color w:val="auto"/>
                <w:spacing w:val="6"/>
                <w:lang w:eastAsia="zh-CN"/>
              </w:rPr>
              <w:t>五</w:t>
            </w:r>
            <w:r>
              <w:rPr>
                <w:color w:val="auto"/>
                <w:spacing w:val="6"/>
                <w:lang w:eastAsia="zh-CN"/>
              </w:rPr>
              <w:t>年(20</w:t>
            </w:r>
            <w:r>
              <w:rPr>
                <w:rFonts w:hint="eastAsia"/>
                <w:color w:val="auto"/>
                <w:spacing w:val="6"/>
                <w:lang w:eastAsia="zh-CN"/>
              </w:rPr>
              <w:t>19</w:t>
            </w:r>
            <w:r>
              <w:rPr>
                <w:color w:val="auto"/>
                <w:spacing w:val="6"/>
                <w:lang w:eastAsia="zh-CN"/>
              </w:rPr>
              <w:t>年</w:t>
            </w:r>
            <w:r>
              <w:rPr>
                <w:rFonts w:hint="eastAsia"/>
                <w:color w:val="auto"/>
                <w:spacing w:val="6"/>
                <w:lang w:eastAsia="zh-CN"/>
              </w:rPr>
              <w:t>10</w:t>
            </w:r>
            <w:r>
              <w:rPr>
                <w:color w:val="auto"/>
                <w:spacing w:val="6"/>
                <w:lang w:eastAsia="zh-CN"/>
              </w:rPr>
              <w:t>月-投标截止时间止) 承 担过</w:t>
            </w:r>
            <w:r>
              <w:rPr>
                <w:color w:val="auto"/>
                <w:spacing w:val="2"/>
                <w:lang w:eastAsia="zh-CN"/>
              </w:rPr>
              <w:t>地质灾害类似项目业绩，计 8 分，以</w:t>
            </w:r>
            <w:r>
              <w:rPr>
                <w:color w:val="auto"/>
                <w:spacing w:val="9"/>
                <w:lang w:eastAsia="zh-CN"/>
              </w:rPr>
              <w:t>以合同工程竣工或完工验收文件中建设单位签字之日为准</w:t>
            </w:r>
            <w:r>
              <w:rPr>
                <w:color w:val="auto"/>
                <w:spacing w:val="2"/>
                <w:lang w:eastAsia="zh-CN"/>
              </w:rPr>
              <w:t>。</w:t>
            </w:r>
            <w:r>
              <w:rPr>
                <w:color w:val="auto"/>
                <w:spacing w:val="7"/>
                <w:lang w:eastAsia="zh-CN"/>
              </w:rPr>
              <w:t xml:space="preserve"> </w:t>
            </w:r>
          </w:p>
          <w:p>
            <w:pPr>
              <w:pStyle w:val="15"/>
              <w:spacing w:before="66" w:line="228" w:lineRule="auto"/>
              <w:ind w:left="2853"/>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spacing w:line="254" w:lineRule="auto"/>
              <w:rPr>
                <w:color w:val="auto"/>
                <w:lang w:eastAsia="zh-CN"/>
              </w:rPr>
            </w:pPr>
          </w:p>
          <w:p>
            <w:pPr>
              <w:pStyle w:val="15"/>
              <w:spacing w:before="65" w:line="274" w:lineRule="auto"/>
              <w:ind w:left="159" w:right="152"/>
              <w:rPr>
                <w:color w:val="auto"/>
              </w:rPr>
            </w:pPr>
            <w:r>
              <w:rPr>
                <w:color w:val="auto"/>
                <w:spacing w:val="6"/>
              </w:rPr>
              <w:t>其他主要人员</w:t>
            </w:r>
          </w:p>
        </w:tc>
        <w:tc>
          <w:tcPr>
            <w:tcW w:w="6530" w:type="dxa"/>
          </w:tcPr>
          <w:p>
            <w:pPr>
              <w:pStyle w:val="15"/>
              <w:spacing w:before="150" w:line="274" w:lineRule="auto"/>
              <w:ind w:left="2483" w:right="114" w:hanging="2363"/>
              <w:rPr>
                <w:color w:val="auto"/>
                <w:lang w:eastAsia="zh-CN"/>
              </w:rPr>
            </w:pPr>
            <w:r>
              <w:rPr>
                <w:color w:val="auto"/>
                <w:spacing w:val="10"/>
                <w:lang w:eastAsia="zh-CN"/>
              </w:rPr>
              <w:t>在满足基础人员的配备上，企业配备测绘人</w:t>
            </w:r>
            <w:r>
              <w:rPr>
                <w:color w:val="auto"/>
                <w:spacing w:val="9"/>
                <w:lang w:eastAsia="zh-CN"/>
              </w:rPr>
              <w:t>员具有测绘地理信息高级</w:t>
            </w:r>
            <w:r>
              <w:rPr>
                <w:color w:val="auto"/>
                <w:spacing w:val="3"/>
                <w:lang w:eastAsia="zh-CN"/>
              </w:rPr>
              <w:t>职称，计</w:t>
            </w:r>
            <w:r>
              <w:rPr>
                <w:rFonts w:hint="eastAsia"/>
                <w:color w:val="auto"/>
                <w:spacing w:val="3"/>
                <w:lang w:eastAsia="zh-CN"/>
              </w:rPr>
              <w:t>8</w:t>
            </w:r>
            <w:r>
              <w:rPr>
                <w:color w:val="auto"/>
                <w:spacing w:val="3"/>
                <w:lang w:eastAsia="zh-CN"/>
              </w:rPr>
              <w:t>分。</w:t>
            </w:r>
          </w:p>
          <w:p>
            <w:pPr>
              <w:pStyle w:val="15"/>
              <w:spacing w:before="33" w:line="273" w:lineRule="auto"/>
              <w:ind w:left="2326" w:right="106" w:hanging="2175"/>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9"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pStyle w:val="15"/>
              <w:spacing w:before="65" w:line="274" w:lineRule="auto"/>
              <w:ind w:left="161" w:right="152"/>
              <w:rPr>
                <w:color w:val="auto"/>
              </w:rPr>
            </w:pPr>
          </w:p>
        </w:tc>
        <w:tc>
          <w:tcPr>
            <w:tcW w:w="6530" w:type="dxa"/>
          </w:tcPr>
          <w:p>
            <w:pPr>
              <w:pStyle w:val="15"/>
              <w:spacing w:before="65" w:line="228" w:lineRule="auto"/>
              <w:ind w:left="2276"/>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6" w:hRule="atLeast"/>
        </w:trPr>
        <w:tc>
          <w:tcPr>
            <w:tcW w:w="839" w:type="dxa"/>
          </w:tcPr>
          <w:p>
            <w:pPr>
              <w:spacing w:line="275" w:lineRule="auto"/>
              <w:rPr>
                <w:color w:val="auto"/>
              </w:rPr>
            </w:pPr>
          </w:p>
          <w:p>
            <w:pPr>
              <w:pStyle w:val="15"/>
              <w:spacing w:before="65" w:line="298" w:lineRule="auto"/>
              <w:ind w:left="171" w:right="155" w:hanging="7"/>
              <w:rPr>
                <w:color w:val="auto"/>
              </w:rPr>
            </w:pPr>
            <w:r>
              <w:rPr>
                <w:color w:val="auto"/>
                <w:spacing w:val="2"/>
              </w:rPr>
              <w:t xml:space="preserve">2.2.4 </w:t>
            </w:r>
            <w:r>
              <w:rPr>
                <w:color w:val="auto"/>
                <w:spacing w:val="-2"/>
              </w:rPr>
              <w:t>（2）</w:t>
            </w:r>
          </w:p>
        </w:tc>
        <w:tc>
          <w:tcPr>
            <w:tcW w:w="696" w:type="dxa"/>
          </w:tcPr>
          <w:p>
            <w:pPr>
              <w:pStyle w:val="15"/>
              <w:spacing w:before="155" w:line="278" w:lineRule="auto"/>
              <w:ind w:left="140" w:right="139" w:firstLine="1"/>
              <w:jc w:val="both"/>
              <w:rPr>
                <w:color w:val="auto"/>
              </w:rPr>
            </w:pPr>
            <w:r>
              <w:rPr>
                <w:color w:val="auto"/>
                <w:spacing w:val="4"/>
              </w:rPr>
              <w:t>技术</w:t>
            </w:r>
            <w:r>
              <w:rPr>
                <w:color w:val="auto"/>
                <w:spacing w:val="5"/>
              </w:rPr>
              <w:t>评分标准</w:t>
            </w:r>
          </w:p>
        </w:tc>
        <w:tc>
          <w:tcPr>
            <w:tcW w:w="937" w:type="dxa"/>
          </w:tcPr>
          <w:p>
            <w:pPr>
              <w:pStyle w:val="15"/>
              <w:spacing w:before="154" w:line="278" w:lineRule="auto"/>
              <w:ind w:left="159" w:right="152" w:hanging="2"/>
              <w:jc w:val="both"/>
              <w:rPr>
                <w:color w:val="auto"/>
              </w:rPr>
            </w:pPr>
            <w:r>
              <w:rPr>
                <w:color w:val="auto"/>
                <w:spacing w:val="7"/>
              </w:rPr>
              <w:t>施工方</w:t>
            </w:r>
            <w:r>
              <w:rPr>
                <w:color w:val="auto"/>
                <w:spacing w:val="6"/>
              </w:rPr>
              <w:t>案内容完整性</w:t>
            </w:r>
          </w:p>
        </w:tc>
        <w:tc>
          <w:tcPr>
            <w:tcW w:w="6530" w:type="dxa"/>
          </w:tcPr>
          <w:p>
            <w:pPr>
              <w:pStyle w:val="15"/>
              <w:spacing w:before="154" w:line="273" w:lineRule="auto"/>
              <w:ind w:left="907" w:right="798" w:hanging="158"/>
              <w:rPr>
                <w:color w:val="auto"/>
                <w:lang w:eastAsia="zh-CN"/>
              </w:rPr>
            </w:pPr>
            <w:r>
              <w:rPr>
                <w:color w:val="auto"/>
                <w:spacing w:val="6"/>
                <w:lang w:eastAsia="zh-CN"/>
              </w:rPr>
              <w:t>施工方案描述详细，内容全面，可行性高，15-20 分；</w:t>
            </w:r>
            <w:r>
              <w:rPr>
                <w:color w:val="auto"/>
                <w:spacing w:val="8"/>
                <w:lang w:eastAsia="zh-CN"/>
              </w:rPr>
              <w:t>施工方案描述内容较全面，可行性较高，9-14 分；</w:t>
            </w:r>
          </w:p>
          <w:p>
            <w:pPr>
              <w:pStyle w:val="15"/>
              <w:spacing w:before="31" w:line="228" w:lineRule="auto"/>
              <w:ind w:left="855"/>
              <w:rPr>
                <w:color w:val="auto"/>
                <w:lang w:eastAsia="zh-CN"/>
              </w:rPr>
            </w:pPr>
            <w:r>
              <w:rPr>
                <w:color w:val="auto"/>
                <w:spacing w:val="9"/>
                <w:lang w:eastAsia="zh-CN"/>
              </w:rPr>
              <w:t>施工方案描述粗略，内容欠缺，可行性一般，0-</w:t>
            </w:r>
            <w:r>
              <w:rPr>
                <w:color w:val="auto"/>
                <w:spacing w:val="8"/>
                <w:lang w:eastAsia="zh-CN"/>
              </w:rPr>
              <w:t>8 分</w:t>
            </w:r>
          </w:p>
        </w:tc>
      </w:tr>
    </w:tbl>
    <w:p>
      <w:pPr>
        <w:pStyle w:val="3"/>
        <w:spacing w:line="199" w:lineRule="exact"/>
        <w:rPr>
          <w:color w:val="auto"/>
          <w:sz w:val="17"/>
          <w:lang w:eastAsia="zh-CN"/>
        </w:rPr>
      </w:pPr>
    </w:p>
    <w:p>
      <w:pPr>
        <w:spacing w:line="199" w:lineRule="exact"/>
        <w:rPr>
          <w:color w:val="auto"/>
          <w:sz w:val="17"/>
          <w:szCs w:val="17"/>
          <w:lang w:eastAsia="zh-CN"/>
        </w:rPr>
        <w:sectPr>
          <w:footerReference r:id="rId26" w:type="default"/>
          <w:pgSz w:w="11906" w:h="16839"/>
          <w:pgMar w:top="1431" w:right="1420" w:bottom="1356" w:left="1477" w:header="0" w:footer="1191" w:gutter="0"/>
          <w:cols w:space="720" w:num="1"/>
          <w:docGrid w:linePitch="0" w:charSpace="0"/>
        </w:sectPr>
      </w:pPr>
    </w:p>
    <w:p>
      <w:pPr>
        <w:spacing w:before="198"/>
        <w:rPr>
          <w:color w:val="auto"/>
          <w:lang w:eastAsia="zh-CN"/>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696"/>
        <w:gridCol w:w="937"/>
        <w:gridCol w:w="65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4" w:hRule="atLeast"/>
        </w:trPr>
        <w:tc>
          <w:tcPr>
            <w:tcW w:w="839" w:type="dxa"/>
            <w:vMerge w:val="restart"/>
            <w:tcBorders>
              <w:bottom w:val="nil"/>
            </w:tcBorders>
          </w:tcPr>
          <w:p>
            <w:pPr>
              <w:rPr>
                <w:color w:val="auto"/>
                <w:lang w:eastAsia="zh-CN"/>
              </w:rPr>
            </w:pPr>
          </w:p>
        </w:tc>
        <w:tc>
          <w:tcPr>
            <w:tcW w:w="696" w:type="dxa"/>
            <w:vMerge w:val="restart"/>
            <w:tcBorders>
              <w:bottom w:val="nil"/>
            </w:tcBorders>
          </w:tcPr>
          <w:p>
            <w:pPr>
              <w:rPr>
                <w:color w:val="auto"/>
                <w:lang w:eastAsia="zh-CN"/>
              </w:rPr>
            </w:pPr>
          </w:p>
        </w:tc>
        <w:tc>
          <w:tcPr>
            <w:tcW w:w="937" w:type="dxa"/>
          </w:tcPr>
          <w:p>
            <w:pPr>
              <w:spacing w:line="394" w:lineRule="auto"/>
              <w:rPr>
                <w:color w:val="auto"/>
                <w:lang w:eastAsia="zh-CN"/>
              </w:rPr>
            </w:pPr>
          </w:p>
          <w:p>
            <w:pPr>
              <w:pStyle w:val="15"/>
              <w:spacing w:before="65" w:line="281" w:lineRule="auto"/>
              <w:ind w:left="157" w:right="152"/>
              <w:jc w:val="both"/>
              <w:rPr>
                <w:color w:val="auto"/>
                <w:lang w:eastAsia="zh-CN"/>
              </w:rPr>
            </w:pPr>
            <w:r>
              <w:rPr>
                <w:color w:val="auto"/>
                <w:spacing w:val="7"/>
                <w:lang w:eastAsia="zh-CN"/>
              </w:rPr>
              <w:t>对项目及实施区域了解程度</w:t>
            </w:r>
          </w:p>
        </w:tc>
        <w:tc>
          <w:tcPr>
            <w:tcW w:w="6530" w:type="dxa"/>
          </w:tcPr>
          <w:p>
            <w:pPr>
              <w:pStyle w:val="15"/>
              <w:spacing w:before="150" w:line="228" w:lineRule="auto"/>
              <w:ind w:left="120"/>
              <w:rPr>
                <w:color w:val="auto"/>
                <w:lang w:eastAsia="zh-CN"/>
              </w:rPr>
            </w:pPr>
            <w:r>
              <w:rPr>
                <w:color w:val="auto"/>
                <w:spacing w:val="9"/>
                <w:lang w:eastAsia="zh-CN"/>
              </w:rPr>
              <w:t>对项目主要地质灾害问题分析认识深刻、全面，重点核心内容突出，</w:t>
            </w:r>
          </w:p>
          <w:p>
            <w:pPr>
              <w:pStyle w:val="15"/>
              <w:spacing w:before="65" w:line="228" w:lineRule="auto"/>
              <w:ind w:left="2037"/>
              <w:rPr>
                <w:color w:val="auto"/>
                <w:lang w:eastAsia="zh-CN"/>
              </w:rPr>
            </w:pPr>
            <w:r>
              <w:rPr>
                <w:color w:val="auto"/>
                <w:spacing w:val="5"/>
                <w:lang w:eastAsia="zh-CN"/>
              </w:rPr>
              <w:t>方案切实可行，15-20分；</w:t>
            </w:r>
          </w:p>
          <w:p>
            <w:pPr>
              <w:pStyle w:val="15"/>
              <w:spacing w:before="63" w:line="274" w:lineRule="auto"/>
              <w:ind w:left="2605" w:right="114" w:hanging="2485"/>
              <w:rPr>
                <w:color w:val="auto"/>
                <w:lang w:eastAsia="zh-CN"/>
              </w:rPr>
            </w:pPr>
            <w:r>
              <w:rPr>
                <w:color w:val="auto"/>
                <w:spacing w:val="10"/>
                <w:lang w:eastAsia="zh-CN"/>
              </w:rPr>
              <w:t>对项目主要地质灾害问题分析认识一般、较</w:t>
            </w:r>
            <w:r>
              <w:rPr>
                <w:color w:val="auto"/>
                <w:spacing w:val="9"/>
                <w:lang w:eastAsia="zh-CN"/>
              </w:rPr>
              <w:t>全面，重点核心内容较突</w:t>
            </w:r>
            <w:r>
              <w:rPr>
                <w:color w:val="auto"/>
                <w:spacing w:val="1"/>
                <w:lang w:eastAsia="zh-CN"/>
              </w:rPr>
              <w:t>出，9-14分；</w:t>
            </w:r>
          </w:p>
          <w:p>
            <w:pPr>
              <w:pStyle w:val="15"/>
              <w:spacing w:before="31" w:line="273" w:lineRule="auto"/>
              <w:ind w:left="1491" w:right="114" w:hanging="1371"/>
              <w:rPr>
                <w:color w:val="auto"/>
                <w:lang w:eastAsia="zh-CN"/>
              </w:rPr>
            </w:pPr>
            <w:r>
              <w:rPr>
                <w:color w:val="auto"/>
                <w:spacing w:val="10"/>
                <w:lang w:eastAsia="zh-CN"/>
              </w:rPr>
              <w:t>对项目主要地质灾害问题分析认识表面、不</w:t>
            </w:r>
            <w:r>
              <w:rPr>
                <w:color w:val="auto"/>
                <w:spacing w:val="9"/>
                <w:lang w:eastAsia="zh-CN"/>
              </w:rPr>
              <w:t>全面，重点核心内容不够</w:t>
            </w:r>
            <w:r>
              <w:rPr>
                <w:color w:val="auto"/>
                <w:spacing w:val="7"/>
                <w:lang w:eastAsia="zh-CN"/>
              </w:rPr>
              <w:t>突出，0-8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0" w:right="152" w:hanging="1"/>
              <w:jc w:val="both"/>
              <w:rPr>
                <w:color w:val="auto"/>
              </w:rPr>
            </w:pPr>
            <w:r>
              <w:rPr>
                <w:color w:val="auto"/>
                <w:spacing w:val="6"/>
              </w:rPr>
              <w:t>质量管理体系与措施</w:t>
            </w:r>
          </w:p>
        </w:tc>
        <w:tc>
          <w:tcPr>
            <w:tcW w:w="6530" w:type="dxa"/>
          </w:tcPr>
          <w:p>
            <w:pPr>
              <w:pStyle w:val="15"/>
              <w:spacing w:before="150" w:line="228" w:lineRule="auto"/>
              <w:ind w:left="542"/>
              <w:rPr>
                <w:color w:val="auto"/>
                <w:lang w:eastAsia="zh-CN"/>
              </w:rPr>
            </w:pPr>
            <w:r>
              <w:rPr>
                <w:color w:val="auto"/>
                <w:spacing w:val="8"/>
                <w:lang w:eastAsia="zh-CN"/>
              </w:rPr>
              <w:t>质量目标明确，组织措施合理，管理制度齐全，11-15 分；</w:t>
            </w:r>
          </w:p>
          <w:p>
            <w:pPr>
              <w:pStyle w:val="15"/>
              <w:spacing w:before="65" w:line="227" w:lineRule="auto"/>
              <w:ind w:left="115"/>
              <w:rPr>
                <w:color w:val="auto"/>
                <w:lang w:eastAsia="zh-CN"/>
              </w:rPr>
            </w:pPr>
            <w:r>
              <w:rPr>
                <w:color w:val="auto"/>
                <w:spacing w:val="8"/>
                <w:lang w:eastAsia="zh-CN"/>
              </w:rPr>
              <w:t>质量目标较明确，组织措施基本合理，管理制度比较健全，6-10 分；</w:t>
            </w:r>
          </w:p>
          <w:p>
            <w:pPr>
              <w:pStyle w:val="15"/>
              <w:spacing w:before="66" w:line="227" w:lineRule="auto"/>
              <w:ind w:left="175"/>
              <w:rPr>
                <w:color w:val="auto"/>
                <w:lang w:eastAsia="zh-CN"/>
              </w:rPr>
            </w:pPr>
            <w:r>
              <w:rPr>
                <w:color w:val="auto"/>
                <w:spacing w:val="8"/>
                <w:lang w:eastAsia="zh-CN"/>
              </w:rPr>
              <w:t>质量目标不明确，组织措施不合理，管理制度基本健全，0-5 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51" w:line="278" w:lineRule="auto"/>
              <w:ind w:left="161" w:right="152" w:firstLine="1"/>
              <w:jc w:val="both"/>
              <w:rPr>
                <w:color w:val="auto"/>
              </w:rPr>
            </w:pPr>
            <w:r>
              <w:rPr>
                <w:color w:val="auto"/>
                <w:spacing w:val="5"/>
              </w:rPr>
              <w:t>安全管</w:t>
            </w:r>
            <w:r>
              <w:rPr>
                <w:color w:val="auto"/>
                <w:spacing w:val="6"/>
              </w:rPr>
              <w:t>理体系与措施</w:t>
            </w:r>
          </w:p>
        </w:tc>
        <w:tc>
          <w:tcPr>
            <w:tcW w:w="6530" w:type="dxa"/>
          </w:tcPr>
          <w:p>
            <w:pPr>
              <w:pStyle w:val="15"/>
              <w:spacing w:before="150" w:line="227" w:lineRule="auto"/>
              <w:ind w:left="1068"/>
              <w:rPr>
                <w:color w:val="auto"/>
                <w:lang w:eastAsia="zh-CN"/>
              </w:rPr>
            </w:pPr>
            <w:r>
              <w:rPr>
                <w:color w:val="auto"/>
                <w:spacing w:val="7"/>
                <w:lang w:eastAsia="zh-CN"/>
              </w:rPr>
              <w:t>安全施工保证措施完善，科学合理，11-15 分；</w:t>
            </w:r>
          </w:p>
          <w:p>
            <w:pPr>
              <w:pStyle w:val="15"/>
              <w:spacing w:before="66" w:line="228" w:lineRule="auto"/>
              <w:ind w:left="1647"/>
              <w:rPr>
                <w:color w:val="auto"/>
                <w:lang w:eastAsia="zh-CN"/>
              </w:rPr>
            </w:pPr>
            <w:r>
              <w:rPr>
                <w:color w:val="auto"/>
                <w:spacing w:val="7"/>
                <w:lang w:eastAsia="zh-CN"/>
              </w:rPr>
              <w:t>安全施工保证措施一般，6-10 分；</w:t>
            </w:r>
          </w:p>
          <w:p>
            <w:pPr>
              <w:pStyle w:val="15"/>
              <w:spacing w:before="64" w:line="227" w:lineRule="auto"/>
              <w:ind w:left="648"/>
              <w:rPr>
                <w:color w:val="auto"/>
                <w:lang w:eastAsia="zh-CN"/>
              </w:rPr>
            </w:pPr>
            <w:r>
              <w:rPr>
                <w:color w:val="auto"/>
                <w:spacing w:val="8"/>
                <w:lang w:eastAsia="zh-CN"/>
              </w:rPr>
              <w:t>安全施工保证措施较差，0-5 分。未提供方案的不计分。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pStyle w:val="15"/>
              <w:spacing w:before="149" w:line="228" w:lineRule="auto"/>
              <w:ind w:left="158"/>
              <w:rPr>
                <w:color w:val="auto"/>
                <w:lang w:eastAsia="zh-CN"/>
              </w:rPr>
            </w:pPr>
            <w:r>
              <w:rPr>
                <w:color w:val="auto"/>
                <w:spacing w:val="6"/>
                <w:lang w:eastAsia="zh-CN"/>
              </w:rPr>
              <w:t>环境保</w:t>
            </w:r>
          </w:p>
          <w:p>
            <w:pPr>
              <w:pStyle w:val="15"/>
              <w:spacing w:before="64" w:line="228" w:lineRule="auto"/>
              <w:ind w:left="159"/>
              <w:rPr>
                <w:color w:val="auto"/>
                <w:lang w:eastAsia="zh-CN"/>
              </w:rPr>
            </w:pPr>
            <w:r>
              <w:rPr>
                <w:color w:val="auto"/>
                <w:spacing w:val="6"/>
                <w:lang w:eastAsia="zh-CN"/>
              </w:rPr>
              <w:t>护管理</w:t>
            </w:r>
          </w:p>
          <w:p>
            <w:pPr>
              <w:pStyle w:val="15"/>
              <w:spacing w:before="65" w:line="229" w:lineRule="auto"/>
              <w:ind w:left="158"/>
              <w:rPr>
                <w:color w:val="auto"/>
                <w:lang w:eastAsia="zh-CN"/>
              </w:rPr>
            </w:pPr>
            <w:r>
              <w:rPr>
                <w:color w:val="auto"/>
                <w:spacing w:val="6"/>
                <w:lang w:eastAsia="zh-CN"/>
              </w:rPr>
              <w:t>体系与</w:t>
            </w:r>
          </w:p>
          <w:p>
            <w:pPr>
              <w:pStyle w:val="15"/>
              <w:spacing w:before="64" w:line="228" w:lineRule="auto"/>
              <w:ind w:left="264"/>
              <w:rPr>
                <w:color w:val="auto"/>
                <w:lang w:eastAsia="zh-CN"/>
              </w:rPr>
            </w:pPr>
            <w:r>
              <w:rPr>
                <w:color w:val="auto"/>
                <w:spacing w:val="4"/>
                <w:lang w:eastAsia="zh-CN"/>
              </w:rPr>
              <w:t>措施</w:t>
            </w:r>
          </w:p>
        </w:tc>
        <w:tc>
          <w:tcPr>
            <w:tcW w:w="6530" w:type="dxa"/>
          </w:tcPr>
          <w:p>
            <w:pPr>
              <w:pStyle w:val="15"/>
              <w:spacing w:before="148" w:line="274" w:lineRule="auto"/>
              <w:ind w:left="2274" w:right="52" w:hanging="2160"/>
              <w:rPr>
                <w:color w:val="auto"/>
                <w:lang w:eastAsia="zh-CN"/>
              </w:rPr>
            </w:pPr>
            <w:r>
              <w:rPr>
                <w:color w:val="auto"/>
                <w:spacing w:val="5"/>
                <w:lang w:eastAsia="zh-CN"/>
              </w:rPr>
              <w:t>环境保护管理体系与措施内容明确且全面、科学、系统、完整、合理，</w:t>
            </w:r>
            <w:r>
              <w:rPr>
                <w:color w:val="auto"/>
                <w:spacing w:val="6"/>
                <w:lang w:eastAsia="zh-CN"/>
              </w:rPr>
              <w:t>针对性强，8-10 分；</w:t>
            </w:r>
          </w:p>
          <w:p>
            <w:pPr>
              <w:pStyle w:val="15"/>
              <w:spacing w:before="30" w:line="227" w:lineRule="auto"/>
              <w:ind w:right="9"/>
              <w:jc w:val="right"/>
              <w:rPr>
                <w:color w:val="auto"/>
                <w:lang w:eastAsia="zh-CN"/>
              </w:rPr>
            </w:pPr>
            <w:r>
              <w:rPr>
                <w:color w:val="auto"/>
                <w:spacing w:val="5"/>
                <w:lang w:eastAsia="zh-CN"/>
              </w:rPr>
              <w:t>内容较明确、缺乏合理、完整、可操作性、针对性、科学性，5-7 分；</w:t>
            </w:r>
          </w:p>
          <w:p>
            <w:pPr>
              <w:pStyle w:val="15"/>
              <w:spacing w:before="65" w:line="228" w:lineRule="auto"/>
              <w:ind w:left="199"/>
              <w:rPr>
                <w:color w:val="auto"/>
                <w:lang w:eastAsia="zh-CN"/>
              </w:rPr>
            </w:pPr>
            <w:r>
              <w:rPr>
                <w:color w:val="auto"/>
                <w:spacing w:val="8"/>
                <w:lang w:eastAsia="zh-CN"/>
              </w:rPr>
              <w:t>内容不明确、与项目实际不符，针对性、可操作性差的</w:t>
            </w:r>
            <w:r>
              <w:rPr>
                <w:color w:val="auto"/>
                <w:spacing w:val="7"/>
                <w:lang w:eastAsia="zh-CN"/>
              </w:rPr>
              <w:t>计 0-4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1" w:hRule="atLeast"/>
        </w:trPr>
        <w:tc>
          <w:tcPr>
            <w:tcW w:w="839" w:type="dxa"/>
            <w:vMerge w:val="continue"/>
            <w:tcBorders>
              <w:top w:val="nil"/>
              <w:bottom w:val="nil"/>
            </w:tcBorders>
          </w:tcPr>
          <w:p>
            <w:pPr>
              <w:rPr>
                <w:color w:val="auto"/>
                <w:lang w:eastAsia="zh-CN"/>
              </w:rPr>
            </w:pPr>
          </w:p>
        </w:tc>
        <w:tc>
          <w:tcPr>
            <w:tcW w:w="696" w:type="dxa"/>
            <w:vMerge w:val="continue"/>
            <w:tcBorders>
              <w:top w:val="nil"/>
              <w:bottom w:val="nil"/>
            </w:tcBorders>
          </w:tcPr>
          <w:p>
            <w:pPr>
              <w:rPr>
                <w:color w:val="auto"/>
                <w:lang w:eastAsia="zh-CN"/>
              </w:rPr>
            </w:pPr>
          </w:p>
        </w:tc>
        <w:tc>
          <w:tcPr>
            <w:tcW w:w="937" w:type="dxa"/>
          </w:tcPr>
          <w:p>
            <w:pPr>
              <w:spacing w:line="276" w:lineRule="auto"/>
              <w:rPr>
                <w:color w:val="auto"/>
                <w:lang w:eastAsia="zh-CN"/>
              </w:rPr>
            </w:pPr>
          </w:p>
          <w:p>
            <w:pPr>
              <w:spacing w:line="276" w:lineRule="auto"/>
              <w:rPr>
                <w:color w:val="auto"/>
                <w:lang w:eastAsia="zh-CN"/>
              </w:rPr>
            </w:pPr>
          </w:p>
          <w:p>
            <w:pPr>
              <w:pStyle w:val="15"/>
              <w:spacing w:before="65" w:line="278" w:lineRule="auto"/>
              <w:ind w:left="157" w:right="152" w:firstLine="3"/>
              <w:jc w:val="both"/>
              <w:rPr>
                <w:color w:val="auto"/>
              </w:rPr>
            </w:pPr>
            <w:r>
              <w:rPr>
                <w:color w:val="auto"/>
                <w:spacing w:val="6"/>
              </w:rPr>
              <w:t>工程进</w:t>
            </w:r>
            <w:r>
              <w:rPr>
                <w:color w:val="auto"/>
                <w:spacing w:val="7"/>
              </w:rPr>
              <w:t>度计划与措施</w:t>
            </w:r>
          </w:p>
        </w:tc>
        <w:tc>
          <w:tcPr>
            <w:tcW w:w="6530" w:type="dxa"/>
          </w:tcPr>
          <w:p>
            <w:pPr>
              <w:pStyle w:val="15"/>
              <w:spacing w:before="152" w:line="273" w:lineRule="auto"/>
              <w:ind w:left="1537" w:right="114" w:hanging="1413"/>
              <w:rPr>
                <w:color w:val="auto"/>
                <w:lang w:eastAsia="zh-CN"/>
              </w:rPr>
            </w:pPr>
            <w:r>
              <w:rPr>
                <w:color w:val="auto"/>
                <w:spacing w:val="9"/>
                <w:lang w:eastAsia="zh-CN"/>
              </w:rPr>
              <w:t>工程进度计划与保证措施内容对时间进度安排科学、紧凑，保障措施</w:t>
            </w:r>
            <w:r>
              <w:rPr>
                <w:color w:val="auto"/>
                <w:spacing w:val="7"/>
                <w:lang w:eastAsia="zh-CN"/>
              </w:rPr>
              <w:t>全面，项目进度可控性高，8-10 分；</w:t>
            </w:r>
          </w:p>
          <w:p>
            <w:pPr>
              <w:pStyle w:val="15"/>
              <w:spacing w:before="31" w:line="274" w:lineRule="auto"/>
              <w:ind w:left="3063" w:right="103" w:hanging="2950"/>
              <w:rPr>
                <w:color w:val="auto"/>
                <w:lang w:eastAsia="zh-CN"/>
              </w:rPr>
            </w:pPr>
            <w:r>
              <w:rPr>
                <w:color w:val="auto"/>
                <w:spacing w:val="6"/>
                <w:lang w:eastAsia="zh-CN"/>
              </w:rPr>
              <w:t>对时间进度安排较合理，保障措施较全面，项目进度可控性较高，5-7</w:t>
            </w:r>
            <w:r>
              <w:rPr>
                <w:color w:val="auto"/>
                <w:spacing w:val="-1"/>
                <w:lang w:eastAsia="zh-CN"/>
              </w:rPr>
              <w:t>分；</w:t>
            </w:r>
          </w:p>
          <w:p>
            <w:pPr>
              <w:pStyle w:val="15"/>
              <w:spacing w:before="30" w:line="274" w:lineRule="auto"/>
              <w:ind w:left="3063" w:right="103" w:hanging="2950"/>
              <w:rPr>
                <w:color w:val="auto"/>
                <w:lang w:eastAsia="zh-CN"/>
              </w:rPr>
            </w:pPr>
            <w:r>
              <w:rPr>
                <w:color w:val="auto"/>
                <w:spacing w:val="6"/>
                <w:lang w:eastAsia="zh-CN"/>
              </w:rPr>
              <w:t>对时间进度安排不合理，保障措施不全面，项目进度可控性不高，0-4</w:t>
            </w:r>
            <w:r>
              <w:rPr>
                <w:color w:val="auto"/>
                <w:spacing w:val="-1"/>
                <w:lang w:eastAsia="zh-CN"/>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9" w:type="dxa"/>
            <w:vMerge w:val="continue"/>
            <w:tcBorders>
              <w:top w:val="nil"/>
            </w:tcBorders>
          </w:tcPr>
          <w:p>
            <w:pPr>
              <w:rPr>
                <w:color w:val="auto"/>
                <w:lang w:eastAsia="zh-CN"/>
              </w:rPr>
            </w:pPr>
          </w:p>
        </w:tc>
        <w:tc>
          <w:tcPr>
            <w:tcW w:w="696" w:type="dxa"/>
            <w:vMerge w:val="continue"/>
            <w:tcBorders>
              <w:top w:val="nil"/>
            </w:tcBorders>
          </w:tcPr>
          <w:p>
            <w:pPr>
              <w:rPr>
                <w:color w:val="auto"/>
                <w:lang w:eastAsia="zh-CN"/>
              </w:rPr>
            </w:pPr>
          </w:p>
        </w:tc>
        <w:tc>
          <w:tcPr>
            <w:tcW w:w="937" w:type="dxa"/>
          </w:tcPr>
          <w:p>
            <w:pPr>
              <w:spacing w:line="353" w:lineRule="auto"/>
              <w:rPr>
                <w:color w:val="auto"/>
                <w:lang w:eastAsia="zh-CN"/>
              </w:rPr>
            </w:pPr>
          </w:p>
          <w:p>
            <w:pPr>
              <w:spacing w:line="353" w:lineRule="auto"/>
              <w:rPr>
                <w:color w:val="auto"/>
                <w:lang w:eastAsia="zh-CN"/>
              </w:rPr>
            </w:pPr>
          </w:p>
          <w:p>
            <w:pPr>
              <w:pStyle w:val="15"/>
              <w:spacing w:before="65" w:line="274" w:lineRule="auto"/>
              <w:ind w:left="161" w:right="152" w:firstLine="6"/>
              <w:rPr>
                <w:color w:val="auto"/>
              </w:rPr>
            </w:pPr>
            <w:r>
              <w:rPr>
                <w:color w:val="auto"/>
                <w:spacing w:val="3"/>
              </w:rPr>
              <w:t>资源配</w:t>
            </w:r>
            <w:r>
              <w:rPr>
                <w:color w:val="auto"/>
                <w:spacing w:val="6"/>
              </w:rPr>
              <w:t>备计划</w:t>
            </w:r>
          </w:p>
        </w:tc>
        <w:tc>
          <w:tcPr>
            <w:tcW w:w="6530" w:type="dxa"/>
          </w:tcPr>
          <w:p>
            <w:pPr>
              <w:pStyle w:val="15"/>
              <w:spacing w:before="151" w:line="274" w:lineRule="auto"/>
              <w:ind w:left="2405" w:right="114" w:hanging="2275"/>
              <w:rPr>
                <w:color w:val="auto"/>
                <w:lang w:eastAsia="zh-CN"/>
              </w:rPr>
            </w:pPr>
            <w:r>
              <w:rPr>
                <w:color w:val="auto"/>
                <w:spacing w:val="9"/>
                <w:lang w:eastAsia="zh-CN"/>
              </w:rPr>
              <w:t xml:space="preserve">资源配备计划内容明确且全面，逻辑清晰，资源配备计划科学、合理 </w:t>
            </w:r>
            <w:r>
              <w:rPr>
                <w:color w:val="auto"/>
                <w:spacing w:val="4"/>
                <w:lang w:eastAsia="zh-CN"/>
              </w:rPr>
              <w:t>可行的，8-10分；</w:t>
            </w:r>
          </w:p>
          <w:p>
            <w:pPr>
              <w:pStyle w:val="15"/>
              <w:spacing w:before="31" w:line="273" w:lineRule="auto"/>
              <w:ind w:left="1511" w:right="114" w:hanging="1365"/>
              <w:rPr>
                <w:color w:val="auto"/>
                <w:lang w:eastAsia="zh-CN"/>
              </w:rPr>
            </w:pPr>
            <w:r>
              <w:rPr>
                <w:color w:val="auto"/>
                <w:spacing w:val="9"/>
                <w:lang w:eastAsia="zh-CN"/>
              </w:rPr>
              <w:t>内容较明确，逻辑较清晰，资源配备计划合理性和可</w:t>
            </w:r>
            <w:r>
              <w:rPr>
                <w:color w:val="auto"/>
                <w:spacing w:val="8"/>
                <w:lang w:eastAsia="zh-CN"/>
              </w:rPr>
              <w:t>行性不足的，以</w:t>
            </w:r>
            <w:r>
              <w:rPr>
                <w:color w:val="auto"/>
                <w:spacing w:val="7"/>
                <w:lang w:eastAsia="zh-CN"/>
              </w:rPr>
              <w:t>上内容有漏项或不完善之处，5-7分；</w:t>
            </w:r>
          </w:p>
          <w:p>
            <w:pPr>
              <w:pStyle w:val="15"/>
              <w:spacing w:before="32" w:line="273" w:lineRule="auto"/>
              <w:ind w:left="1091" w:right="114" w:hanging="945"/>
              <w:rPr>
                <w:color w:val="auto"/>
                <w:lang w:eastAsia="zh-CN"/>
              </w:rPr>
            </w:pPr>
            <w:r>
              <w:rPr>
                <w:color w:val="auto"/>
                <w:spacing w:val="7"/>
                <w:lang w:eastAsia="zh-CN"/>
              </w:rPr>
              <w:t>内容模糊，逻辑混乱，资源配备计划合理性和可行性差的，以上内容</w:t>
            </w:r>
            <w:r>
              <w:rPr>
                <w:color w:val="auto"/>
                <w:spacing w:val="8"/>
                <w:lang w:eastAsia="zh-CN"/>
              </w:rPr>
              <w:t>有多处缺漏项或存在明显不完善之处，0-4分。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7" w:hRule="atLeast"/>
        </w:trPr>
        <w:tc>
          <w:tcPr>
            <w:tcW w:w="839" w:type="dxa"/>
          </w:tcPr>
          <w:p>
            <w:pPr>
              <w:spacing w:line="431" w:lineRule="auto"/>
              <w:rPr>
                <w:color w:val="auto"/>
                <w:lang w:eastAsia="zh-CN"/>
              </w:rPr>
            </w:pPr>
          </w:p>
          <w:p>
            <w:pPr>
              <w:pStyle w:val="15"/>
              <w:spacing w:before="65" w:line="298" w:lineRule="auto"/>
              <w:ind w:left="171" w:right="155" w:hanging="7"/>
              <w:rPr>
                <w:color w:val="auto"/>
              </w:rPr>
            </w:pPr>
            <w:r>
              <w:rPr>
                <w:color w:val="auto"/>
                <w:spacing w:val="2"/>
              </w:rPr>
              <w:t xml:space="preserve">2.2.4 </w:t>
            </w:r>
            <w:r>
              <w:rPr>
                <w:color w:val="auto"/>
                <w:spacing w:val="-2"/>
              </w:rPr>
              <w:t>（3）</w:t>
            </w:r>
          </w:p>
        </w:tc>
        <w:tc>
          <w:tcPr>
            <w:tcW w:w="696" w:type="dxa"/>
          </w:tcPr>
          <w:p>
            <w:pPr>
              <w:pStyle w:val="15"/>
              <w:spacing w:before="153" w:line="281" w:lineRule="auto"/>
              <w:ind w:left="140" w:right="139" w:firstLine="4"/>
              <w:jc w:val="both"/>
              <w:rPr>
                <w:color w:val="auto"/>
              </w:rPr>
            </w:pPr>
            <w:r>
              <w:rPr>
                <w:color w:val="auto"/>
                <w:spacing w:val="3"/>
              </w:rPr>
              <w:t>投标</w:t>
            </w:r>
            <w:r>
              <w:rPr>
                <w:color w:val="auto"/>
                <w:spacing w:val="5"/>
              </w:rPr>
              <w:t>报价评分标准</w:t>
            </w:r>
          </w:p>
        </w:tc>
        <w:tc>
          <w:tcPr>
            <w:tcW w:w="937" w:type="dxa"/>
          </w:tcPr>
          <w:p>
            <w:pPr>
              <w:spacing w:line="398" w:lineRule="auto"/>
              <w:rPr>
                <w:color w:val="auto"/>
              </w:rPr>
            </w:pPr>
          </w:p>
          <w:p>
            <w:pPr>
              <w:pStyle w:val="15"/>
              <w:spacing w:before="65" w:line="274" w:lineRule="auto"/>
              <w:ind w:left="369" w:right="152" w:hanging="208"/>
              <w:rPr>
                <w:color w:val="auto"/>
              </w:rPr>
            </w:pPr>
            <w:r>
              <w:rPr>
                <w:color w:val="auto"/>
                <w:spacing w:val="6"/>
              </w:rPr>
              <w:t>投标打</w:t>
            </w:r>
            <w:r>
              <w:rPr>
                <w:color w:val="auto"/>
              </w:rPr>
              <w:t xml:space="preserve"> 分</w:t>
            </w:r>
          </w:p>
        </w:tc>
        <w:tc>
          <w:tcPr>
            <w:tcW w:w="6530" w:type="dxa"/>
          </w:tcPr>
          <w:p>
            <w:pPr>
              <w:pStyle w:val="15"/>
              <w:spacing w:before="153" w:line="228" w:lineRule="auto"/>
              <w:ind w:left="697"/>
              <w:rPr>
                <w:color w:val="auto"/>
                <w:lang w:eastAsia="zh-CN"/>
              </w:rPr>
            </w:pPr>
            <w:r>
              <w:rPr>
                <w:color w:val="auto"/>
                <w:spacing w:val="6"/>
                <w:lang w:eastAsia="zh-CN"/>
              </w:rPr>
              <w:t>偏差率大于 0：偏差率从 0 开始每递升1％减0.5分；</w:t>
            </w:r>
          </w:p>
          <w:p>
            <w:pPr>
              <w:pStyle w:val="15"/>
              <w:spacing w:before="65" w:line="226" w:lineRule="auto"/>
              <w:ind w:left="1643"/>
              <w:rPr>
                <w:color w:val="auto"/>
                <w:lang w:eastAsia="zh-CN"/>
              </w:rPr>
            </w:pPr>
            <w:r>
              <w:rPr>
                <w:color w:val="auto"/>
                <w:spacing w:val="5"/>
                <w:lang w:eastAsia="zh-CN"/>
              </w:rPr>
              <w:t>偏差率等于 0：报价分为100 分；</w:t>
            </w:r>
          </w:p>
          <w:p>
            <w:pPr>
              <w:pStyle w:val="15"/>
              <w:spacing w:before="66" w:line="228" w:lineRule="auto"/>
              <w:ind w:left="594"/>
              <w:rPr>
                <w:color w:val="auto"/>
                <w:lang w:eastAsia="zh-CN"/>
              </w:rPr>
            </w:pPr>
            <w:r>
              <w:rPr>
                <w:color w:val="auto"/>
                <w:spacing w:val="6"/>
                <w:lang w:eastAsia="zh-CN"/>
              </w:rPr>
              <w:t>偏差率小于 0：偏差率从 0 开始每降1％减0.5分计算。</w:t>
            </w:r>
          </w:p>
          <w:p>
            <w:pPr>
              <w:pStyle w:val="15"/>
              <w:spacing w:before="65" w:line="228" w:lineRule="auto"/>
              <w:ind w:left="1547"/>
              <w:rPr>
                <w:color w:val="auto"/>
                <w:lang w:eastAsia="zh-CN"/>
              </w:rPr>
            </w:pPr>
            <w:r>
              <w:rPr>
                <w:color w:val="auto"/>
                <w:spacing w:val="6"/>
                <w:lang w:eastAsia="zh-CN"/>
              </w:rPr>
              <w:t>（偏差率不足1%的，按内插法取值）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6" w:hRule="atLeast"/>
        </w:trPr>
        <w:tc>
          <w:tcPr>
            <w:tcW w:w="9002" w:type="dxa"/>
            <w:gridSpan w:val="4"/>
          </w:tcPr>
          <w:p>
            <w:pPr>
              <w:pStyle w:val="15"/>
              <w:spacing w:before="154" w:line="273" w:lineRule="auto"/>
              <w:ind w:left="3772" w:right="106" w:hanging="3658"/>
              <w:rPr>
                <w:color w:val="auto"/>
                <w:lang w:eastAsia="zh-CN"/>
              </w:rPr>
            </w:pPr>
            <w:r>
              <w:rPr>
                <w:color w:val="auto"/>
                <w:spacing w:val="9"/>
                <w:lang w:eastAsia="zh-CN"/>
              </w:rPr>
              <w:t>注：前附表应列明全部评审因素和评审标准，并在本章前附表标明投标人不满足要求即</w:t>
            </w:r>
            <w:r>
              <w:rPr>
                <w:color w:val="auto"/>
                <w:spacing w:val="8"/>
                <w:lang w:eastAsia="zh-CN"/>
              </w:rPr>
              <w:t>否决其投</w:t>
            </w:r>
            <w:r>
              <w:rPr>
                <w:color w:val="auto"/>
                <w:spacing w:val="6"/>
                <w:lang w:eastAsia="zh-CN"/>
              </w:rPr>
              <w:t>标的全部条款。</w:t>
            </w:r>
          </w:p>
        </w:tc>
      </w:tr>
    </w:tbl>
    <w:p>
      <w:pPr>
        <w:pStyle w:val="3"/>
        <w:spacing w:line="363" w:lineRule="auto"/>
        <w:rPr>
          <w:color w:val="auto"/>
          <w:lang w:eastAsia="zh-CN"/>
        </w:rPr>
      </w:pPr>
    </w:p>
    <w:p>
      <w:pPr>
        <w:spacing w:before="101" w:line="226" w:lineRule="auto"/>
        <w:ind w:left="139"/>
        <w:rPr>
          <w:rFonts w:ascii="黑体" w:hAnsi="黑体" w:eastAsia="黑体" w:cs="黑体"/>
          <w:color w:val="auto"/>
          <w:sz w:val="31"/>
          <w:szCs w:val="31"/>
          <w:lang w:eastAsia="zh-CN"/>
        </w:rPr>
      </w:pPr>
      <w:r>
        <w:rPr>
          <w:rFonts w:ascii="黑体" w:hAnsi="黑体" w:eastAsia="黑体" w:cs="黑体"/>
          <w:b/>
          <w:bCs/>
          <w:color w:val="auto"/>
          <w:spacing w:val="-1"/>
          <w:sz w:val="31"/>
          <w:szCs w:val="31"/>
          <w:lang w:eastAsia="zh-CN"/>
        </w:rPr>
        <w:t>1.评标方法</w:t>
      </w:r>
    </w:p>
    <w:p>
      <w:pPr>
        <w:spacing w:line="226" w:lineRule="auto"/>
        <w:rPr>
          <w:rFonts w:ascii="黑体" w:hAnsi="黑体" w:eastAsia="黑体" w:cs="黑体"/>
          <w:color w:val="auto"/>
          <w:sz w:val="31"/>
          <w:szCs w:val="31"/>
          <w:lang w:eastAsia="zh-CN"/>
        </w:rPr>
        <w:sectPr>
          <w:footerReference r:id="rId27" w:type="default"/>
          <w:pgSz w:w="11906" w:h="16839"/>
          <w:pgMar w:top="1431" w:right="1420" w:bottom="1356" w:left="1477" w:header="0" w:footer="1191" w:gutter="0"/>
          <w:cols w:space="720" w:num="1"/>
          <w:docGrid w:linePitch="0" w:charSpace="0"/>
        </w:sectPr>
      </w:pPr>
    </w:p>
    <w:p>
      <w:pPr>
        <w:pStyle w:val="3"/>
        <w:spacing w:line="254" w:lineRule="auto"/>
        <w:rPr>
          <w:color w:val="auto"/>
          <w:lang w:eastAsia="zh-CN"/>
        </w:rPr>
      </w:pPr>
    </w:p>
    <w:p>
      <w:pPr>
        <w:pStyle w:val="3"/>
        <w:spacing w:line="254" w:lineRule="auto"/>
        <w:rPr>
          <w:color w:val="auto"/>
          <w:lang w:eastAsia="zh-CN"/>
        </w:rPr>
      </w:pPr>
    </w:p>
    <w:p>
      <w:pPr>
        <w:spacing w:before="65" w:line="362" w:lineRule="auto"/>
        <w:ind w:firstLine="42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本次评标采用综合评估法。评标委员会对满足招标文件实质性要求的投标文件</w:t>
      </w:r>
      <w:r>
        <w:rPr>
          <w:rFonts w:ascii="宋体" w:hAnsi="宋体" w:eastAsia="宋体" w:cs="宋体"/>
          <w:color w:val="auto"/>
          <w:spacing w:val="8"/>
          <w:sz w:val="20"/>
          <w:szCs w:val="20"/>
          <w:lang w:eastAsia="zh-CN"/>
        </w:rPr>
        <w:t>，按照本章第</w:t>
      </w:r>
      <w:r>
        <w:rPr>
          <w:rFonts w:ascii="宋体" w:hAnsi="宋体" w:eastAsia="宋体" w:cs="宋体"/>
          <w:color w:val="auto"/>
          <w:spacing w:val="10"/>
          <w:sz w:val="20"/>
          <w:szCs w:val="20"/>
          <w:lang w:eastAsia="zh-CN"/>
        </w:rPr>
        <w:t>2.2款规定的评分标准进行打分，并按得分由高到低顺序推荐</w:t>
      </w:r>
      <w:r>
        <w:rPr>
          <w:rFonts w:ascii="宋体" w:hAnsi="宋体" w:eastAsia="宋体" w:cs="宋体"/>
          <w:color w:val="auto"/>
          <w:spacing w:val="9"/>
          <w:sz w:val="20"/>
          <w:szCs w:val="20"/>
          <w:lang w:eastAsia="zh-CN"/>
        </w:rPr>
        <w:t>中标候选人，或根据招标人授权直接确定中标人，但投标报价低于其成本的除外。综合评分相等时，以投标报价低的优先；</w:t>
      </w:r>
      <w:r>
        <w:rPr>
          <w:rFonts w:ascii="宋体" w:hAnsi="宋体" w:eastAsia="宋体" w:cs="宋体"/>
          <w:color w:val="auto"/>
          <w:spacing w:val="8"/>
          <w:sz w:val="20"/>
          <w:szCs w:val="20"/>
          <w:lang w:eastAsia="zh-CN"/>
        </w:rPr>
        <w:t>投标报</w:t>
      </w:r>
      <w:r>
        <w:rPr>
          <w:rFonts w:ascii="宋体" w:hAnsi="宋体" w:eastAsia="宋体" w:cs="宋体"/>
          <w:color w:val="auto"/>
          <w:spacing w:val="5"/>
          <w:sz w:val="20"/>
          <w:szCs w:val="20"/>
          <w:lang w:eastAsia="zh-CN"/>
        </w:rPr>
        <w:t>价也相等的，由招标人自行确定。</w:t>
      </w:r>
    </w:p>
    <w:p>
      <w:pPr>
        <w:spacing w:before="254" w:line="227" w:lineRule="auto"/>
        <w:ind w:left="2"/>
        <w:outlineLvl w:val="1"/>
        <w:rPr>
          <w:rFonts w:ascii="黑体" w:hAnsi="黑体" w:eastAsia="黑体" w:cs="黑体"/>
          <w:color w:val="auto"/>
          <w:sz w:val="31"/>
          <w:szCs w:val="31"/>
          <w:lang w:eastAsia="zh-CN"/>
        </w:rPr>
      </w:pPr>
      <w:bookmarkStart w:id="155" w:name="bookmark158"/>
      <w:bookmarkEnd w:id="155"/>
      <w:bookmarkStart w:id="156" w:name="bookmark160"/>
      <w:bookmarkEnd w:id="156"/>
      <w:bookmarkStart w:id="157" w:name="bookmark157"/>
      <w:bookmarkEnd w:id="157"/>
      <w:r>
        <w:rPr>
          <w:rFonts w:ascii="黑体" w:hAnsi="黑体" w:eastAsia="黑体" w:cs="黑体"/>
          <w:b/>
          <w:bCs/>
          <w:color w:val="auto"/>
          <w:spacing w:val="4"/>
          <w:sz w:val="31"/>
          <w:szCs w:val="31"/>
          <w:lang w:eastAsia="zh-CN"/>
        </w:rPr>
        <w:t>2.评审标准</w:t>
      </w:r>
    </w:p>
    <w:p>
      <w:pPr>
        <w:spacing w:before="329" w:line="227" w:lineRule="auto"/>
        <w:ind w:left="2"/>
        <w:outlineLvl w:val="2"/>
        <w:rPr>
          <w:rFonts w:ascii="黑体" w:hAnsi="黑体" w:eastAsia="黑体" w:cs="黑体"/>
          <w:color w:val="auto"/>
          <w:sz w:val="31"/>
          <w:szCs w:val="31"/>
          <w:lang w:eastAsia="zh-CN"/>
        </w:rPr>
      </w:pPr>
      <w:bookmarkStart w:id="158" w:name="bookmark159"/>
      <w:bookmarkEnd w:id="158"/>
      <w:r>
        <w:rPr>
          <w:rFonts w:ascii="黑体" w:hAnsi="黑体" w:eastAsia="黑体" w:cs="黑体"/>
          <w:color w:val="auto"/>
          <w:spacing w:val="6"/>
          <w:sz w:val="31"/>
          <w:szCs w:val="31"/>
          <w:lang w:eastAsia="zh-CN"/>
        </w:rPr>
        <w:t>2.1 初步评审标准</w:t>
      </w:r>
    </w:p>
    <w:p>
      <w:pPr>
        <w:spacing w:before="267"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2.1.1 形式评审标准：见评标办法前附表。</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资格评审标准：见评标办法前附表（适用于未进行资格预审的）。</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2.1.2 资格评审标准：见资格预审文件第</w:t>
      </w:r>
      <w:r>
        <w:rPr>
          <w:rFonts w:ascii="宋体" w:hAnsi="宋体" w:eastAsia="宋体" w:cs="宋体"/>
          <w:color w:val="auto"/>
          <w:spacing w:val="7"/>
          <w:sz w:val="20"/>
          <w:szCs w:val="20"/>
          <w:lang w:eastAsia="zh-CN"/>
        </w:rPr>
        <w:t>三章“资格审查办法”详细审查标准（适用于已进</w:t>
      </w:r>
      <w:r>
        <w:rPr>
          <w:rFonts w:ascii="宋体" w:hAnsi="宋体" w:eastAsia="宋体" w:cs="宋体"/>
          <w:color w:val="auto"/>
          <w:spacing w:val="5"/>
          <w:sz w:val="20"/>
          <w:szCs w:val="20"/>
          <w:lang w:eastAsia="zh-CN"/>
        </w:rPr>
        <w:t>行资格预审的）。</w:t>
      </w:r>
    </w:p>
    <w:p>
      <w:pPr>
        <w:spacing w:before="154" w:line="227"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 响应性评审标准：见评标办法前附表。</w:t>
      </w:r>
    </w:p>
    <w:p>
      <w:pPr>
        <w:spacing w:before="216" w:line="227" w:lineRule="auto"/>
        <w:ind w:left="2"/>
        <w:outlineLvl w:val="2"/>
        <w:rPr>
          <w:rFonts w:ascii="黑体" w:hAnsi="黑体" w:eastAsia="黑体" w:cs="黑体"/>
          <w:color w:val="auto"/>
          <w:sz w:val="31"/>
          <w:szCs w:val="31"/>
          <w:lang w:eastAsia="zh-CN"/>
        </w:rPr>
      </w:pPr>
      <w:bookmarkStart w:id="159" w:name="bookmark161"/>
      <w:bookmarkEnd w:id="159"/>
      <w:bookmarkStart w:id="160" w:name="bookmark162"/>
      <w:bookmarkEnd w:id="160"/>
      <w:r>
        <w:rPr>
          <w:rFonts w:ascii="黑体" w:hAnsi="黑体" w:eastAsia="黑体" w:cs="黑体"/>
          <w:color w:val="auto"/>
          <w:spacing w:val="7"/>
          <w:sz w:val="31"/>
          <w:szCs w:val="31"/>
          <w:lang w:eastAsia="zh-CN"/>
        </w:rPr>
        <w:t>2.2 分值构成与评分标准</w:t>
      </w:r>
    </w:p>
    <w:p>
      <w:pPr>
        <w:spacing w:before="267"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2.2.1 分值构成</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（1）商务部分：见评标办法前附表；</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（2）技术部分：见评标办法前附表；</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（3）投标报价：见评标办法前附表。</w:t>
      </w:r>
    </w:p>
    <w:p>
      <w:pPr>
        <w:spacing w:before="15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 评标基准价计算</w:t>
      </w:r>
    </w:p>
    <w:p>
      <w:pPr>
        <w:spacing w:before="204" w:line="226" w:lineRule="auto"/>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评标基准价计算方法：本办法采用最低报价为评标基准价，但投标报价低于其</w:t>
      </w:r>
      <w:r>
        <w:rPr>
          <w:rFonts w:ascii="宋体" w:hAnsi="宋体" w:eastAsia="宋体" w:cs="宋体"/>
          <w:color w:val="auto"/>
          <w:spacing w:val="8"/>
          <w:sz w:val="20"/>
          <w:szCs w:val="20"/>
          <w:lang w:eastAsia="zh-CN"/>
        </w:rPr>
        <w:t>成本的除外。</w:t>
      </w:r>
    </w:p>
    <w:p>
      <w:pPr>
        <w:spacing w:before="166" w:line="226"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2.2.3投标报价的偏差率计算</w:t>
      </w:r>
    </w:p>
    <w:p>
      <w:pPr>
        <w:spacing w:before="156" w:line="226" w:lineRule="auto"/>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投标报价的偏差率计算公式：偏差率</w:t>
      </w:r>
      <w:r>
        <w:rPr>
          <w:rFonts w:ascii="宋体" w:hAnsi="宋体" w:eastAsia="宋体" w:cs="宋体"/>
          <w:color w:val="auto"/>
          <w:spacing w:val="-20"/>
          <w:sz w:val="20"/>
          <w:szCs w:val="20"/>
          <w:lang w:eastAsia="zh-CN"/>
        </w:rPr>
        <w:t>＝（</w:t>
      </w:r>
      <w:r>
        <w:rPr>
          <w:rFonts w:ascii="宋体" w:hAnsi="宋体" w:eastAsia="宋体" w:cs="宋体"/>
          <w:color w:val="auto"/>
          <w:spacing w:val="10"/>
          <w:sz w:val="20"/>
          <w:szCs w:val="20"/>
          <w:lang w:eastAsia="zh-CN"/>
        </w:rPr>
        <w:t>投标人报价－评标基准价）/评</w:t>
      </w:r>
      <w:r>
        <w:rPr>
          <w:rFonts w:ascii="宋体" w:hAnsi="宋体" w:eastAsia="宋体" w:cs="宋体"/>
          <w:color w:val="auto"/>
          <w:spacing w:val="9"/>
          <w:sz w:val="20"/>
          <w:szCs w:val="20"/>
          <w:lang w:eastAsia="zh-CN"/>
        </w:rPr>
        <w:t>标基准价×100％。</w:t>
      </w:r>
    </w:p>
    <w:p>
      <w:pPr>
        <w:spacing w:before="156" w:line="228" w:lineRule="auto"/>
        <w:ind w:left="42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2.2.4评分标准</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（1）商务评分标准：见评标办法前附表；</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（2）技术评分标准：见评标办法前附表；</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（3）投标报价评分标准：见评标办法前附表。</w:t>
      </w:r>
    </w:p>
    <w:p>
      <w:pPr>
        <w:pStyle w:val="3"/>
        <w:spacing w:line="270" w:lineRule="auto"/>
        <w:rPr>
          <w:color w:val="auto"/>
          <w:lang w:eastAsia="zh-CN"/>
        </w:rPr>
      </w:pPr>
    </w:p>
    <w:p>
      <w:pPr>
        <w:spacing w:before="101" w:line="227" w:lineRule="auto"/>
        <w:ind w:left="5"/>
        <w:outlineLvl w:val="1"/>
        <w:rPr>
          <w:rFonts w:ascii="黑体" w:hAnsi="黑体" w:eastAsia="黑体" w:cs="黑体"/>
          <w:color w:val="auto"/>
          <w:sz w:val="31"/>
          <w:szCs w:val="31"/>
          <w:lang w:eastAsia="zh-CN"/>
        </w:rPr>
      </w:pPr>
      <w:bookmarkStart w:id="161" w:name="bookmark166"/>
      <w:bookmarkEnd w:id="161"/>
      <w:bookmarkStart w:id="162" w:name="bookmark164"/>
      <w:bookmarkEnd w:id="162"/>
      <w:bookmarkStart w:id="163" w:name="bookmark163"/>
      <w:bookmarkEnd w:id="163"/>
      <w:r>
        <w:rPr>
          <w:rFonts w:ascii="黑体" w:hAnsi="黑体" w:eastAsia="黑体" w:cs="黑体"/>
          <w:b/>
          <w:bCs/>
          <w:color w:val="auto"/>
          <w:spacing w:val="4"/>
          <w:sz w:val="31"/>
          <w:szCs w:val="31"/>
          <w:lang w:eastAsia="zh-CN"/>
        </w:rPr>
        <w:t>3.评标程序</w:t>
      </w:r>
    </w:p>
    <w:p>
      <w:pPr>
        <w:spacing w:before="332" w:line="227" w:lineRule="auto"/>
        <w:ind w:left="5"/>
        <w:outlineLvl w:val="2"/>
        <w:rPr>
          <w:rFonts w:ascii="黑体" w:hAnsi="黑体" w:eastAsia="黑体" w:cs="黑体"/>
          <w:color w:val="auto"/>
          <w:sz w:val="31"/>
          <w:szCs w:val="31"/>
          <w:lang w:eastAsia="zh-CN"/>
        </w:rPr>
      </w:pPr>
      <w:bookmarkStart w:id="164" w:name="bookmark165"/>
      <w:bookmarkEnd w:id="164"/>
      <w:r>
        <w:rPr>
          <w:rFonts w:ascii="黑体" w:hAnsi="黑体" w:eastAsia="黑体" w:cs="黑体"/>
          <w:color w:val="auto"/>
          <w:spacing w:val="5"/>
          <w:sz w:val="31"/>
          <w:szCs w:val="31"/>
          <w:lang w:eastAsia="zh-CN"/>
        </w:rPr>
        <w:t>3.1 初步评审</w:t>
      </w:r>
    </w:p>
    <w:p>
      <w:pPr>
        <w:spacing w:before="267" w:line="353" w:lineRule="auto"/>
        <w:ind w:left="17" w:firstLine="40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评标委员会可以要求投标人提交第二章“投</w:t>
      </w:r>
      <w:r>
        <w:rPr>
          <w:rFonts w:ascii="宋体" w:hAnsi="宋体" w:eastAsia="宋体" w:cs="宋体"/>
          <w:color w:val="auto"/>
          <w:spacing w:val="5"/>
          <w:sz w:val="20"/>
          <w:szCs w:val="20"/>
          <w:lang w:eastAsia="zh-CN"/>
        </w:rPr>
        <w:t>标人须知”第3.5.1项至第3.5.3项规定</w:t>
      </w:r>
      <w:r>
        <w:rPr>
          <w:rFonts w:ascii="宋体" w:hAnsi="宋体" w:eastAsia="宋体" w:cs="宋体"/>
          <w:color w:val="auto"/>
          <w:spacing w:val="8"/>
          <w:sz w:val="20"/>
          <w:szCs w:val="20"/>
          <w:lang w:eastAsia="zh-CN"/>
        </w:rPr>
        <w:t>的有关证明和证件的原件，以便核验。评标委员会依据本章第2.1</w:t>
      </w:r>
      <w:r>
        <w:rPr>
          <w:rFonts w:ascii="宋体" w:hAnsi="宋体" w:eastAsia="宋体" w:cs="宋体"/>
          <w:color w:val="auto"/>
          <w:spacing w:val="7"/>
          <w:sz w:val="20"/>
          <w:szCs w:val="20"/>
          <w:lang w:eastAsia="zh-CN"/>
        </w:rPr>
        <w:t>款规定的标准对投标文件进行</w:t>
      </w:r>
    </w:p>
    <w:p>
      <w:pPr>
        <w:spacing w:line="353" w:lineRule="auto"/>
        <w:rPr>
          <w:rFonts w:ascii="宋体" w:hAnsi="宋体" w:eastAsia="宋体" w:cs="宋体"/>
          <w:color w:val="auto"/>
          <w:sz w:val="20"/>
          <w:szCs w:val="20"/>
          <w:lang w:eastAsia="zh-CN"/>
        </w:rPr>
        <w:sectPr>
          <w:footerReference r:id="rId28" w:type="default"/>
          <w:pgSz w:w="11906" w:h="16839"/>
          <w:pgMar w:top="1431" w:right="1532" w:bottom="1356" w:left="1596"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初步评审。有一项不符合评审标准的，作否决投标处理。（适用于未进行资格预审的）</w:t>
      </w:r>
    </w:p>
    <w:p>
      <w:pPr>
        <w:spacing w:before="154" w:line="334" w:lineRule="auto"/>
        <w:ind w:left="1" w:right="70" w:firstLine="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3.1.1 评标委员会依据本章第2.1.1项、第2.1.3项规定的评审标准对投标文件进行初步评</w:t>
      </w:r>
      <w:r>
        <w:rPr>
          <w:rFonts w:ascii="宋体" w:hAnsi="宋体" w:eastAsia="宋体" w:cs="宋体"/>
          <w:color w:val="auto"/>
          <w:spacing w:val="9"/>
          <w:sz w:val="20"/>
          <w:szCs w:val="20"/>
          <w:lang w:eastAsia="zh-CN"/>
        </w:rPr>
        <w:t>审。有一项不符合评审标准的，作否决投标处理。当投标人资格预审申请文件的内容发</w:t>
      </w:r>
      <w:r>
        <w:rPr>
          <w:rFonts w:ascii="宋体" w:hAnsi="宋体" w:eastAsia="宋体" w:cs="宋体"/>
          <w:color w:val="auto"/>
          <w:spacing w:val="8"/>
          <w:sz w:val="20"/>
          <w:szCs w:val="20"/>
          <w:lang w:eastAsia="zh-CN"/>
        </w:rPr>
        <w:t>生重大变化时，评标委员会依据本章第2.1.2项规定的标准对其更新资料进行评审。（适</w:t>
      </w:r>
      <w:r>
        <w:rPr>
          <w:rFonts w:ascii="宋体" w:hAnsi="宋体" w:eastAsia="宋体" w:cs="宋体"/>
          <w:color w:val="auto"/>
          <w:spacing w:val="7"/>
          <w:sz w:val="20"/>
          <w:szCs w:val="20"/>
          <w:lang w:eastAsia="zh-CN"/>
        </w:rPr>
        <w:t>用于已进行资格</w:t>
      </w:r>
      <w:r>
        <w:rPr>
          <w:rFonts w:ascii="宋体" w:hAnsi="宋体" w:eastAsia="宋体" w:cs="宋体"/>
          <w:color w:val="auto"/>
          <w:spacing w:val="4"/>
          <w:sz w:val="20"/>
          <w:szCs w:val="20"/>
          <w:lang w:eastAsia="zh-CN"/>
        </w:rPr>
        <w:t>预审的）</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投标人有以下情形之一的，应当否决</w:t>
      </w:r>
      <w:r>
        <w:rPr>
          <w:rFonts w:ascii="宋体" w:hAnsi="宋体" w:eastAsia="宋体" w:cs="宋体"/>
          <w:color w:val="auto"/>
          <w:spacing w:val="7"/>
          <w:sz w:val="20"/>
          <w:szCs w:val="20"/>
          <w:lang w:eastAsia="zh-CN"/>
        </w:rPr>
        <w:t>其投标：</w:t>
      </w:r>
    </w:p>
    <w:p>
      <w:pPr>
        <w:spacing w:before="151"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（1）第二章“投标人须知”第1.4.3项规定的任何一</w:t>
      </w:r>
      <w:r>
        <w:rPr>
          <w:rFonts w:ascii="宋体" w:hAnsi="宋体" w:eastAsia="宋体" w:cs="宋体"/>
          <w:color w:val="auto"/>
          <w:spacing w:val="5"/>
          <w:sz w:val="20"/>
          <w:szCs w:val="20"/>
          <w:lang w:eastAsia="zh-CN"/>
        </w:rPr>
        <w:t>种情形的；</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（2）串通投标或弄虚作假或有其他违法行为的（有9.2条违法违规条件之一的</w:t>
      </w:r>
      <w:r>
        <w:rPr>
          <w:rFonts w:ascii="宋体" w:hAnsi="宋体" w:eastAsia="宋体" w:cs="宋体"/>
          <w:color w:val="auto"/>
          <w:spacing w:val="5"/>
          <w:sz w:val="20"/>
          <w:szCs w:val="20"/>
          <w:lang w:eastAsia="zh-CN"/>
        </w:rPr>
        <w:t>）；</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（3）不按评标委员会要求澄清、说明或补正的。</w:t>
      </w:r>
    </w:p>
    <w:p>
      <w:pPr>
        <w:spacing w:before="152" w:line="298"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3.1.3投标报价有算术错误的，评标委员会按以下原则对投标报价进行修正，修正的价格经投标人书面确认后具有约束力。投标人不接受修正价格的，应当否决其投标。</w:t>
      </w:r>
    </w:p>
    <w:p>
      <w:pPr>
        <w:spacing w:before="156"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（1）投标文件中的大写金额与小写金额不一致的，以</w:t>
      </w:r>
      <w:r>
        <w:rPr>
          <w:rFonts w:ascii="宋体" w:hAnsi="宋体" w:eastAsia="宋体" w:cs="宋体"/>
          <w:color w:val="auto"/>
          <w:spacing w:val="8"/>
          <w:sz w:val="20"/>
          <w:szCs w:val="20"/>
          <w:lang w:eastAsia="zh-CN"/>
        </w:rPr>
        <w:t>大写金额为准；</w:t>
      </w:r>
    </w:p>
    <w:p>
      <w:pPr>
        <w:spacing w:before="151" w:line="299" w:lineRule="auto"/>
        <w:ind w:left="6" w:right="71" w:firstLine="42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（2）总价金额与依据单价计算出的结果不一致的，以单价金额为准修正总价，但单价金额</w:t>
      </w:r>
      <w:r>
        <w:rPr>
          <w:rFonts w:ascii="宋体" w:hAnsi="宋体" w:eastAsia="宋体" w:cs="宋体"/>
          <w:color w:val="auto"/>
          <w:spacing w:val="7"/>
          <w:sz w:val="20"/>
          <w:szCs w:val="20"/>
          <w:lang w:eastAsia="zh-CN"/>
        </w:rPr>
        <w:t>小数点有明显错误的除外。</w:t>
      </w:r>
    </w:p>
    <w:p>
      <w:pPr>
        <w:spacing w:before="216" w:line="227" w:lineRule="auto"/>
        <w:ind w:left="5"/>
        <w:outlineLvl w:val="2"/>
        <w:rPr>
          <w:rFonts w:ascii="黑体" w:hAnsi="黑体" w:eastAsia="黑体" w:cs="黑体"/>
          <w:color w:val="auto"/>
          <w:sz w:val="31"/>
          <w:szCs w:val="31"/>
          <w:lang w:eastAsia="zh-CN"/>
        </w:rPr>
      </w:pPr>
      <w:bookmarkStart w:id="165" w:name="bookmark168"/>
      <w:bookmarkEnd w:id="165"/>
      <w:bookmarkStart w:id="166" w:name="bookmark167"/>
      <w:bookmarkEnd w:id="166"/>
      <w:r>
        <w:rPr>
          <w:rFonts w:ascii="黑体" w:hAnsi="黑体" w:eastAsia="黑体" w:cs="黑体"/>
          <w:color w:val="auto"/>
          <w:spacing w:val="5"/>
          <w:sz w:val="31"/>
          <w:szCs w:val="31"/>
          <w:lang w:eastAsia="zh-CN"/>
        </w:rPr>
        <w:t>3.2 详细评审</w:t>
      </w:r>
    </w:p>
    <w:p>
      <w:pPr>
        <w:pStyle w:val="3"/>
        <w:spacing w:line="273" w:lineRule="auto"/>
        <w:rPr>
          <w:color w:val="auto"/>
          <w:lang w:eastAsia="zh-CN"/>
        </w:rPr>
      </w:pPr>
    </w:p>
    <w:p>
      <w:pPr>
        <w:pStyle w:val="3"/>
        <w:spacing w:line="273" w:lineRule="auto"/>
        <w:rPr>
          <w:color w:val="auto"/>
          <w:lang w:eastAsia="zh-CN"/>
        </w:rPr>
      </w:pPr>
    </w:p>
    <w:p>
      <w:pPr>
        <w:pStyle w:val="3"/>
        <w:spacing w:line="273" w:lineRule="auto"/>
        <w:rPr>
          <w:color w:val="auto"/>
          <w:lang w:eastAsia="zh-CN"/>
        </w:rPr>
      </w:pPr>
    </w:p>
    <w:p>
      <w:pPr>
        <w:spacing w:before="66" w:line="362" w:lineRule="auto"/>
        <w:ind w:left="1" w:right="67"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3.2.1报价评审警戒线为进入详细评审的有效投标报价算术平均</w:t>
      </w:r>
      <w:r>
        <w:rPr>
          <w:rFonts w:ascii="宋体" w:hAnsi="宋体" w:eastAsia="宋体" w:cs="宋体"/>
          <w:color w:val="auto"/>
          <w:spacing w:val="6"/>
          <w:sz w:val="20"/>
          <w:szCs w:val="20"/>
          <w:lang w:eastAsia="zh-CN"/>
        </w:rPr>
        <w:t>值的90%（取值为80%或85%</w:t>
      </w:r>
      <w:r>
        <w:rPr>
          <w:rFonts w:ascii="宋体" w:hAnsi="宋体" w:eastAsia="宋体" w:cs="宋体"/>
          <w:color w:val="auto"/>
          <w:spacing w:val="9"/>
          <w:sz w:val="20"/>
          <w:szCs w:val="20"/>
          <w:lang w:eastAsia="zh-CN"/>
        </w:rPr>
        <w:t>或90%之一，由招标人任选其一）。出现低于报价评审警戒线的</w:t>
      </w:r>
      <w:r>
        <w:rPr>
          <w:rFonts w:ascii="宋体" w:hAnsi="宋体" w:eastAsia="宋体" w:cs="宋体"/>
          <w:color w:val="auto"/>
          <w:spacing w:val="8"/>
          <w:sz w:val="20"/>
          <w:szCs w:val="20"/>
          <w:lang w:eastAsia="zh-CN"/>
        </w:rPr>
        <w:t>投标人，应进入成本评审环节，</w:t>
      </w:r>
      <w:r>
        <w:rPr>
          <w:rFonts w:ascii="宋体" w:hAnsi="宋体" w:eastAsia="宋体" w:cs="宋体"/>
          <w:color w:val="auto"/>
          <w:spacing w:val="9"/>
          <w:sz w:val="20"/>
          <w:szCs w:val="20"/>
          <w:lang w:eastAsia="zh-CN"/>
        </w:rPr>
        <w:t>由评标委员会要求该投标人作出书面说明并提供相应的证明材料。投标人不能合理说明</w:t>
      </w:r>
      <w:r>
        <w:rPr>
          <w:rFonts w:ascii="宋体" w:hAnsi="宋体" w:eastAsia="宋体" w:cs="宋体"/>
          <w:color w:val="auto"/>
          <w:spacing w:val="8"/>
          <w:sz w:val="20"/>
          <w:szCs w:val="20"/>
          <w:lang w:eastAsia="zh-CN"/>
        </w:rPr>
        <w:t>或者不能</w:t>
      </w:r>
      <w:r>
        <w:rPr>
          <w:rFonts w:ascii="宋体" w:hAnsi="宋体" w:eastAsia="宋体" w:cs="宋体"/>
          <w:color w:val="auto"/>
          <w:spacing w:val="9"/>
          <w:sz w:val="20"/>
          <w:szCs w:val="20"/>
          <w:lang w:eastAsia="zh-CN"/>
        </w:rPr>
        <w:t>提供相应证明材料的，评标委员会应当认定该投标人以低于成本报价竞标，并否决其投标。</w:t>
      </w:r>
    </w:p>
    <w:p>
      <w:pPr>
        <w:pStyle w:val="3"/>
        <w:spacing w:line="277" w:lineRule="auto"/>
        <w:rPr>
          <w:color w:val="auto"/>
          <w:lang w:eastAsia="zh-CN"/>
        </w:rPr>
      </w:pPr>
    </w:p>
    <w:p>
      <w:pPr>
        <w:spacing w:before="65" w:line="362"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投标人预计自身报价可能低于成本警戒线时，应提前准备书面说明和相应</w:t>
      </w:r>
      <w:r>
        <w:rPr>
          <w:rFonts w:ascii="宋体" w:hAnsi="宋体" w:eastAsia="宋体" w:cs="宋体"/>
          <w:color w:val="auto"/>
          <w:spacing w:val="8"/>
          <w:sz w:val="20"/>
          <w:szCs w:val="20"/>
          <w:lang w:eastAsia="zh-CN"/>
        </w:rPr>
        <w:t>的证明材料。当投</w:t>
      </w:r>
      <w:r>
        <w:rPr>
          <w:rFonts w:ascii="宋体" w:hAnsi="宋体" w:eastAsia="宋体" w:cs="宋体"/>
          <w:color w:val="auto"/>
          <w:spacing w:val="9"/>
          <w:sz w:val="20"/>
          <w:szCs w:val="20"/>
          <w:lang w:eastAsia="zh-CN"/>
        </w:rPr>
        <w:t>标报价低于成本警戒线进入成本评审时，如投标人不能提供书面说明和相应的证明材料、</w:t>
      </w:r>
      <w:r>
        <w:rPr>
          <w:rFonts w:ascii="宋体" w:hAnsi="宋体" w:eastAsia="宋体" w:cs="宋体"/>
          <w:color w:val="auto"/>
          <w:spacing w:val="8"/>
          <w:sz w:val="20"/>
          <w:szCs w:val="20"/>
          <w:lang w:eastAsia="zh-CN"/>
        </w:rPr>
        <w:t>或者提</w:t>
      </w:r>
      <w:r>
        <w:rPr>
          <w:rFonts w:ascii="宋体" w:hAnsi="宋体" w:eastAsia="宋体" w:cs="宋体"/>
          <w:color w:val="auto"/>
          <w:spacing w:val="9"/>
          <w:sz w:val="20"/>
          <w:szCs w:val="20"/>
          <w:lang w:eastAsia="zh-CN"/>
        </w:rPr>
        <w:t>供的证明材料不完整、不准确或与本采购项目不相关的，视为低于成本报价竞争，该投</w:t>
      </w:r>
      <w:r>
        <w:rPr>
          <w:rFonts w:ascii="宋体" w:hAnsi="宋体" w:eastAsia="宋体" w:cs="宋体"/>
          <w:color w:val="auto"/>
          <w:spacing w:val="8"/>
          <w:sz w:val="20"/>
          <w:szCs w:val="20"/>
          <w:lang w:eastAsia="zh-CN"/>
        </w:rPr>
        <w:t>标人报价为无效报价，评标委员会将否决其投标。</w:t>
      </w:r>
    </w:p>
    <w:p>
      <w:pPr>
        <w:spacing w:before="34" w:line="226"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3.2.2评标委员会按本章第2.2款规定的量化因素和分值进行打分，并计算出综合评估得分。</w:t>
      </w:r>
    </w:p>
    <w:p>
      <w:pPr>
        <w:spacing w:before="154"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（1）按本章第2.2.4（1）目规定的评审因素和分值</w:t>
      </w:r>
      <w:r>
        <w:rPr>
          <w:rFonts w:ascii="宋体" w:hAnsi="宋体" w:eastAsia="宋体" w:cs="宋体"/>
          <w:color w:val="auto"/>
          <w:spacing w:val="7"/>
          <w:sz w:val="20"/>
          <w:szCs w:val="20"/>
          <w:lang w:eastAsia="zh-CN"/>
        </w:rPr>
        <w:t>对商务部分计算出得分A；</w:t>
      </w:r>
    </w:p>
    <w:p>
      <w:pPr>
        <w:spacing w:before="155"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（2）按本章第2.2.4（2）目规定的评审因素和分值</w:t>
      </w:r>
      <w:r>
        <w:rPr>
          <w:rFonts w:ascii="宋体" w:hAnsi="宋体" w:eastAsia="宋体" w:cs="宋体"/>
          <w:color w:val="auto"/>
          <w:spacing w:val="7"/>
          <w:sz w:val="20"/>
          <w:szCs w:val="20"/>
          <w:lang w:eastAsia="zh-CN"/>
        </w:rPr>
        <w:t>对技术部分计算出得分B；</w:t>
      </w:r>
    </w:p>
    <w:p>
      <w:pPr>
        <w:spacing w:before="155" w:line="226"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（3）按本章第2.2.4（3）目规定的评审因素和分值对投标报价部分计算出得分C。</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3.2.3评分分值计算保留小数点后两位，小数点后第三位“四舍五入”。</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3.2.4投标人得分=A+B+C。</w:t>
      </w:r>
    </w:p>
    <w:p>
      <w:pPr>
        <w:spacing w:line="228" w:lineRule="auto"/>
        <w:rPr>
          <w:rFonts w:ascii="宋体" w:hAnsi="宋体" w:eastAsia="宋体" w:cs="宋体"/>
          <w:color w:val="auto"/>
          <w:sz w:val="20"/>
          <w:szCs w:val="20"/>
          <w:lang w:eastAsia="zh-CN"/>
        </w:rPr>
        <w:sectPr>
          <w:footerReference r:id="rId29" w:type="default"/>
          <w:pgSz w:w="11906" w:h="16839"/>
          <w:pgMar w:top="1431" w:right="1462" w:bottom="1356" w:left="1596" w:header="0" w:footer="1191" w:gutter="0"/>
          <w:cols w:space="720" w:num="1"/>
          <w:docGrid w:linePitch="0" w:charSpace="0"/>
        </w:sectPr>
      </w:pPr>
    </w:p>
    <w:p>
      <w:pPr>
        <w:pStyle w:val="3"/>
        <w:spacing w:line="383" w:lineRule="auto"/>
        <w:rPr>
          <w:color w:val="auto"/>
          <w:lang w:eastAsia="zh-CN"/>
        </w:rPr>
      </w:pPr>
    </w:p>
    <w:p>
      <w:pPr>
        <w:spacing w:before="101" w:line="227" w:lineRule="auto"/>
        <w:ind w:left="5"/>
        <w:outlineLvl w:val="2"/>
        <w:rPr>
          <w:rFonts w:ascii="黑体" w:hAnsi="黑体" w:eastAsia="黑体" w:cs="黑体"/>
          <w:color w:val="auto"/>
          <w:sz w:val="31"/>
          <w:szCs w:val="31"/>
          <w:lang w:eastAsia="zh-CN"/>
        </w:rPr>
      </w:pPr>
      <w:bookmarkStart w:id="167" w:name="bookmark170"/>
      <w:bookmarkEnd w:id="167"/>
      <w:bookmarkStart w:id="168" w:name="bookmark169"/>
      <w:bookmarkEnd w:id="168"/>
      <w:r>
        <w:rPr>
          <w:rFonts w:ascii="黑体" w:hAnsi="黑体" w:eastAsia="黑体" w:cs="黑体"/>
          <w:color w:val="auto"/>
          <w:spacing w:val="7"/>
          <w:sz w:val="31"/>
          <w:szCs w:val="31"/>
          <w:lang w:eastAsia="zh-CN"/>
        </w:rPr>
        <w:t>3.3 投标文件的澄清和补正</w:t>
      </w:r>
    </w:p>
    <w:p>
      <w:pPr>
        <w:spacing w:before="267" w:line="322" w:lineRule="auto"/>
        <w:ind w:left="3" w:right="71"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3.3.1在评标过程中，评标委员会可以书面形式要求投标人对所提交投标文件中不明确的内容进行书面澄清或说明，或者对细微偏差进行补正。评标委员会不接受投标人主动</w:t>
      </w:r>
      <w:r>
        <w:rPr>
          <w:rFonts w:ascii="宋体" w:hAnsi="宋体" w:eastAsia="宋体" w:cs="宋体"/>
          <w:color w:val="auto"/>
          <w:spacing w:val="8"/>
          <w:sz w:val="20"/>
          <w:szCs w:val="20"/>
          <w:lang w:eastAsia="zh-CN"/>
        </w:rPr>
        <w:t>提出的澄清、</w:t>
      </w:r>
      <w:r>
        <w:rPr>
          <w:rFonts w:ascii="宋体" w:hAnsi="宋体" w:eastAsia="宋体" w:cs="宋体"/>
          <w:color w:val="auto"/>
          <w:spacing w:val="6"/>
          <w:sz w:val="20"/>
          <w:szCs w:val="20"/>
          <w:lang w:eastAsia="zh-CN"/>
        </w:rPr>
        <w:t>说明或补正。</w:t>
      </w:r>
    </w:p>
    <w:p>
      <w:pPr>
        <w:spacing w:before="155" w:line="298" w:lineRule="auto"/>
        <w:ind w:left="2"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澄清、说明和补正不得改变投标文件的实质性内容（算术性错误修正的除外）。投标</w:t>
      </w:r>
      <w:r>
        <w:rPr>
          <w:rFonts w:ascii="宋体" w:hAnsi="宋体" w:eastAsia="宋体" w:cs="宋体"/>
          <w:color w:val="auto"/>
          <w:spacing w:val="9"/>
          <w:sz w:val="20"/>
          <w:szCs w:val="20"/>
          <w:lang w:eastAsia="zh-CN"/>
        </w:rPr>
        <w:t>人的书面澄清、说明和补正属于投标文件的组成部分。</w:t>
      </w:r>
    </w:p>
    <w:p>
      <w:pPr>
        <w:spacing w:before="153" w:line="298"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3.3.3 评标委员会对投标人提交的澄清、说明或补正有疑问的，可以要求投标人进一步澄清、</w:t>
      </w:r>
      <w:r>
        <w:rPr>
          <w:rFonts w:ascii="宋体" w:hAnsi="宋体" w:eastAsia="宋体" w:cs="宋体"/>
          <w:color w:val="auto"/>
          <w:spacing w:val="8"/>
          <w:sz w:val="20"/>
          <w:szCs w:val="20"/>
          <w:lang w:eastAsia="zh-CN"/>
        </w:rPr>
        <w:t>说明或补正，直至满足评标委员会的要求。</w:t>
      </w:r>
    </w:p>
    <w:p>
      <w:pPr>
        <w:spacing w:before="216" w:line="227" w:lineRule="auto"/>
        <w:ind w:left="5"/>
        <w:outlineLvl w:val="2"/>
        <w:rPr>
          <w:rFonts w:ascii="黑体" w:hAnsi="黑体" w:eastAsia="黑体" w:cs="黑体"/>
          <w:color w:val="auto"/>
          <w:sz w:val="31"/>
          <w:szCs w:val="31"/>
          <w:lang w:eastAsia="zh-CN"/>
        </w:rPr>
      </w:pPr>
      <w:bookmarkStart w:id="169" w:name="bookmark172"/>
      <w:bookmarkEnd w:id="169"/>
      <w:bookmarkStart w:id="170" w:name="bookmark171"/>
      <w:bookmarkEnd w:id="170"/>
      <w:r>
        <w:rPr>
          <w:rFonts w:ascii="黑体" w:hAnsi="黑体" w:eastAsia="黑体" w:cs="黑体"/>
          <w:color w:val="auto"/>
          <w:spacing w:val="5"/>
          <w:sz w:val="31"/>
          <w:szCs w:val="31"/>
          <w:lang w:eastAsia="zh-CN"/>
        </w:rPr>
        <w:t>3.4 评标结果</w:t>
      </w:r>
    </w:p>
    <w:p>
      <w:pPr>
        <w:spacing w:before="268" w:line="298" w:lineRule="auto"/>
        <w:ind w:right="71"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3.4.1除第二章“投标人须知”前附表授权直接确定中标人外，评标委员会按照得分由高到低的顺序推荐中标候选人。</w:t>
      </w:r>
    </w:p>
    <w:p>
      <w:pPr>
        <w:spacing w:before="155" w:line="226"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3.4.2 评标委员会完成评标后，应当向招标人提</w:t>
      </w:r>
      <w:r>
        <w:rPr>
          <w:rFonts w:ascii="宋体" w:hAnsi="宋体" w:eastAsia="宋体" w:cs="宋体"/>
          <w:color w:val="auto"/>
          <w:spacing w:val="8"/>
          <w:sz w:val="20"/>
          <w:szCs w:val="20"/>
          <w:lang w:eastAsia="zh-CN"/>
        </w:rPr>
        <w:t>交书面评标报告和中标候选人名单。</w:t>
      </w:r>
    </w:p>
    <w:p>
      <w:pPr>
        <w:spacing w:line="226" w:lineRule="auto"/>
        <w:rPr>
          <w:rFonts w:ascii="宋体" w:hAnsi="宋体" w:eastAsia="宋体" w:cs="宋体"/>
          <w:color w:val="auto"/>
          <w:sz w:val="20"/>
          <w:szCs w:val="20"/>
          <w:lang w:eastAsia="zh-CN"/>
        </w:rPr>
      </w:pPr>
    </w:p>
    <w:p>
      <w:pPr>
        <w:rPr>
          <w:color w:val="auto"/>
          <w:lang w:eastAsia="zh-CN"/>
        </w:rPr>
      </w:pPr>
    </w:p>
    <w:p>
      <w:pPr>
        <w:tabs>
          <w:tab w:val="left" w:pos="1183"/>
        </w:tabs>
        <w:rPr>
          <w:color w:val="auto"/>
          <w:lang w:eastAsia="zh-CN"/>
        </w:rPr>
      </w:pPr>
      <w:r>
        <w:rPr>
          <w:rFonts w:hint="eastAsia" w:eastAsia="宋体"/>
          <w:color w:val="auto"/>
          <w:lang w:eastAsia="zh-CN"/>
        </w:rPr>
        <w:tab/>
      </w:r>
    </w:p>
    <w:p>
      <w:pPr>
        <w:spacing w:before="101" w:line="227" w:lineRule="auto"/>
        <w:ind w:left="76"/>
        <w:rPr>
          <w:rFonts w:ascii="黑体" w:hAnsi="黑体" w:eastAsia="黑体" w:cs="黑体"/>
          <w:color w:val="auto"/>
          <w:sz w:val="31"/>
          <w:szCs w:val="31"/>
          <w:lang w:eastAsia="zh-CN"/>
        </w:rPr>
      </w:pPr>
      <w:r>
        <w:rPr>
          <w:rFonts w:ascii="黑体" w:hAnsi="黑体" w:eastAsia="黑体" w:cs="黑体"/>
          <w:color w:val="auto"/>
          <w:spacing w:val="2"/>
          <w:sz w:val="31"/>
          <w:szCs w:val="31"/>
          <w:lang w:eastAsia="zh-CN"/>
        </w:rPr>
        <w:t>附表1：形式评审表</w:t>
      </w:r>
    </w:p>
    <w:p>
      <w:pPr>
        <w:pStyle w:val="3"/>
        <w:spacing w:line="293" w:lineRule="auto"/>
        <w:rPr>
          <w:color w:val="auto"/>
          <w:lang w:eastAsia="zh-CN"/>
        </w:rPr>
      </w:pPr>
    </w:p>
    <w:p>
      <w:pPr>
        <w:pStyle w:val="3"/>
        <w:spacing w:line="293" w:lineRule="auto"/>
        <w:rPr>
          <w:color w:val="auto"/>
          <w:lang w:eastAsia="zh-CN"/>
        </w:rPr>
      </w:pPr>
    </w:p>
    <w:p>
      <w:pPr>
        <w:spacing w:before="91" w:line="222" w:lineRule="auto"/>
        <w:ind w:left="375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形式评审表</w:t>
      </w:r>
    </w:p>
    <w:p>
      <w:pPr>
        <w:tabs>
          <w:tab w:val="left" w:pos="1164"/>
        </w:tabs>
        <w:spacing w:before="236" w:line="256" w:lineRule="auto"/>
        <w:ind w:left="56" w:right="2670"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88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380"/>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41" w:type="dxa"/>
            <w:vMerge w:val="restart"/>
            <w:tcBorders>
              <w:bottom w:val="nil"/>
            </w:tcBorders>
          </w:tcPr>
          <w:p>
            <w:pPr>
              <w:spacing w:line="253" w:lineRule="auto"/>
              <w:rPr>
                <w:color w:val="auto"/>
                <w:lang w:eastAsia="zh-CN"/>
              </w:rPr>
            </w:pPr>
          </w:p>
          <w:p>
            <w:pPr>
              <w:spacing w:line="253" w:lineRule="auto"/>
              <w:rPr>
                <w:color w:val="auto"/>
                <w:lang w:eastAsia="zh-CN"/>
              </w:rPr>
            </w:pPr>
          </w:p>
          <w:p>
            <w:pPr>
              <w:pStyle w:val="15"/>
              <w:spacing w:before="65" w:line="229" w:lineRule="auto"/>
              <w:ind w:left="164"/>
              <w:rPr>
                <w:color w:val="auto"/>
              </w:rPr>
            </w:pPr>
            <w:r>
              <w:rPr>
                <w:b/>
                <w:bCs/>
                <w:color w:val="auto"/>
                <w:spacing w:val="4"/>
              </w:rPr>
              <w:t>序号</w:t>
            </w:r>
          </w:p>
        </w:tc>
        <w:tc>
          <w:tcPr>
            <w:tcW w:w="1078"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251" w:lineRule="auto"/>
              <w:rPr>
                <w:color w:val="auto"/>
              </w:rPr>
            </w:pPr>
          </w:p>
          <w:p>
            <w:pPr>
              <w:spacing w:line="252" w:lineRule="auto"/>
              <w:rPr>
                <w:color w:val="auto"/>
              </w:rPr>
            </w:pPr>
          </w:p>
          <w:p>
            <w:pPr>
              <w:pStyle w:val="15"/>
              <w:spacing w:before="65" w:line="228" w:lineRule="auto"/>
              <w:ind w:left="111"/>
              <w:rPr>
                <w:color w:val="auto"/>
              </w:rPr>
            </w:pPr>
            <w:r>
              <w:rPr>
                <w:b/>
                <w:bCs/>
                <w:color w:val="auto"/>
                <w:spacing w:val="6"/>
              </w:rPr>
              <w:t>评审因素</w:t>
            </w:r>
          </w:p>
        </w:tc>
        <w:tc>
          <w:tcPr>
            <w:tcW w:w="2380" w:type="dxa"/>
            <w:vMerge w:val="restart"/>
            <w:tcBorders>
              <w:bottom w:val="nil"/>
            </w:tcBorders>
          </w:tcPr>
          <w:p>
            <w:pPr>
              <w:spacing w:line="252" w:lineRule="auto"/>
              <w:rPr>
                <w:color w:val="auto"/>
              </w:rPr>
            </w:pPr>
          </w:p>
          <w:p>
            <w:pPr>
              <w:spacing w:line="252" w:lineRule="auto"/>
              <w:rPr>
                <w:color w:val="auto"/>
              </w:rPr>
            </w:pPr>
          </w:p>
          <w:p>
            <w:pPr>
              <w:pStyle w:val="15"/>
              <w:spacing w:before="65" w:line="228" w:lineRule="auto"/>
              <w:ind w:left="772"/>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380"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380"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91" w:line="293"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6" w:line="189" w:lineRule="auto"/>
              <w:ind w:left="338"/>
              <w:rPr>
                <w:color w:val="auto"/>
              </w:rPr>
            </w:pPr>
            <w:r>
              <w:rPr>
                <w:color w:val="auto"/>
              </w:rPr>
              <w:t>1</w:t>
            </w:r>
          </w:p>
        </w:tc>
        <w:tc>
          <w:tcPr>
            <w:tcW w:w="1078" w:type="dxa"/>
          </w:tcPr>
          <w:p>
            <w:pPr>
              <w:pStyle w:val="15"/>
              <w:spacing w:before="193" w:line="324" w:lineRule="exact"/>
              <w:ind w:left="346"/>
              <w:rPr>
                <w:color w:val="auto"/>
              </w:rPr>
            </w:pPr>
            <w:r>
              <w:rPr>
                <w:color w:val="auto"/>
                <w:spacing w:val="-2"/>
                <w:position w:val="2"/>
              </w:rPr>
              <w:t>……</w:t>
            </w:r>
          </w:p>
        </w:tc>
        <w:tc>
          <w:tcPr>
            <w:tcW w:w="1252" w:type="dxa"/>
          </w:tcPr>
          <w:p>
            <w:pPr>
              <w:pStyle w:val="15"/>
              <w:spacing w:before="193" w:line="324" w:lineRule="exact"/>
              <w:ind w:left="432"/>
              <w:rPr>
                <w:color w:val="auto"/>
              </w:rPr>
            </w:pPr>
            <w:r>
              <w:rPr>
                <w:color w:val="auto"/>
                <w:spacing w:val="-2"/>
                <w:position w:val="2"/>
              </w:rPr>
              <w:t>……</w:t>
            </w:r>
          </w:p>
        </w:tc>
        <w:tc>
          <w:tcPr>
            <w:tcW w:w="2380" w:type="dxa"/>
          </w:tcPr>
          <w:p>
            <w:pPr>
              <w:pStyle w:val="15"/>
              <w:spacing w:before="193"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5"/>
              <w:rPr>
                <w:color w:val="auto"/>
              </w:rPr>
            </w:pPr>
            <w:r>
              <w:rPr>
                <w:color w:val="auto"/>
              </w:rPr>
              <w:t>2</w:t>
            </w:r>
          </w:p>
        </w:tc>
        <w:tc>
          <w:tcPr>
            <w:tcW w:w="1078" w:type="dxa"/>
          </w:tcPr>
          <w:p>
            <w:pPr>
              <w:pStyle w:val="15"/>
              <w:spacing w:before="192"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7" w:line="189" w:lineRule="auto"/>
              <w:ind w:left="327"/>
              <w:rPr>
                <w:color w:val="auto"/>
              </w:rPr>
            </w:pPr>
            <w:r>
              <w:rPr>
                <w:color w:val="auto"/>
              </w:rPr>
              <w:t>3</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4" w:line="324" w:lineRule="exact"/>
              <w:ind w:left="432"/>
              <w:rPr>
                <w:color w:val="auto"/>
              </w:rPr>
            </w:pPr>
            <w:r>
              <w:rPr>
                <w:color w:val="auto"/>
                <w:spacing w:val="-2"/>
                <w:position w:val="2"/>
              </w:rPr>
              <w:t>……</w:t>
            </w:r>
          </w:p>
        </w:tc>
        <w:tc>
          <w:tcPr>
            <w:tcW w:w="2380" w:type="dxa"/>
          </w:tcPr>
          <w:p>
            <w:pPr>
              <w:pStyle w:val="15"/>
              <w:spacing w:before="194"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29" w:line="189" w:lineRule="auto"/>
              <w:ind w:left="322"/>
              <w:rPr>
                <w:color w:val="auto"/>
              </w:rPr>
            </w:pPr>
            <w:r>
              <w:rPr>
                <w:color w:val="auto"/>
              </w:rPr>
              <w:t>4</w:t>
            </w:r>
          </w:p>
        </w:tc>
        <w:tc>
          <w:tcPr>
            <w:tcW w:w="1078" w:type="dxa"/>
          </w:tcPr>
          <w:p>
            <w:pPr>
              <w:pStyle w:val="15"/>
              <w:spacing w:before="196" w:line="324" w:lineRule="exact"/>
              <w:ind w:left="346"/>
              <w:rPr>
                <w:color w:val="auto"/>
              </w:rPr>
            </w:pPr>
            <w:r>
              <w:rPr>
                <w:color w:val="auto"/>
                <w:spacing w:val="-2"/>
                <w:position w:val="2"/>
              </w:rPr>
              <w:t>……</w:t>
            </w:r>
          </w:p>
        </w:tc>
        <w:tc>
          <w:tcPr>
            <w:tcW w:w="1252" w:type="dxa"/>
          </w:tcPr>
          <w:p>
            <w:pPr>
              <w:pStyle w:val="15"/>
              <w:spacing w:before="196" w:line="324" w:lineRule="exact"/>
              <w:ind w:left="432"/>
              <w:rPr>
                <w:color w:val="auto"/>
              </w:rPr>
            </w:pPr>
            <w:r>
              <w:rPr>
                <w:color w:val="auto"/>
                <w:spacing w:val="-2"/>
                <w:position w:val="2"/>
              </w:rPr>
              <w:t>……</w:t>
            </w:r>
          </w:p>
        </w:tc>
        <w:tc>
          <w:tcPr>
            <w:tcW w:w="2380" w:type="dxa"/>
          </w:tcPr>
          <w:p>
            <w:pPr>
              <w:pStyle w:val="15"/>
              <w:spacing w:before="196"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7"/>
              <w:rPr>
                <w:color w:val="auto"/>
              </w:rPr>
            </w:pPr>
            <w:r>
              <w:rPr>
                <w:color w:val="auto"/>
              </w:rPr>
              <w:t>5</w:t>
            </w:r>
          </w:p>
        </w:tc>
        <w:tc>
          <w:tcPr>
            <w:tcW w:w="1078" w:type="dxa"/>
          </w:tcPr>
          <w:p>
            <w:pPr>
              <w:pStyle w:val="15"/>
              <w:spacing w:before="194"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41" w:type="dxa"/>
          </w:tcPr>
          <w:p>
            <w:pPr>
              <w:pStyle w:val="15"/>
              <w:spacing w:before="228" w:line="189" w:lineRule="auto"/>
              <w:ind w:left="325"/>
              <w:rPr>
                <w:color w:val="auto"/>
              </w:rPr>
            </w:pPr>
            <w:r>
              <w:rPr>
                <w:color w:val="auto"/>
              </w:rPr>
              <w:t>6</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5" w:line="324" w:lineRule="exact"/>
              <w:ind w:left="432"/>
              <w:rPr>
                <w:color w:val="auto"/>
              </w:rPr>
            </w:pPr>
            <w:r>
              <w:rPr>
                <w:color w:val="auto"/>
                <w:spacing w:val="-2"/>
                <w:position w:val="2"/>
              </w:rPr>
              <w:t>……</w:t>
            </w:r>
          </w:p>
        </w:tc>
        <w:tc>
          <w:tcPr>
            <w:tcW w:w="2380" w:type="dxa"/>
          </w:tcPr>
          <w:p>
            <w:pPr>
              <w:pStyle w:val="15"/>
              <w:spacing w:before="195"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2" w:line="187" w:lineRule="auto"/>
              <w:ind w:left="328"/>
              <w:rPr>
                <w:color w:val="auto"/>
              </w:rPr>
            </w:pPr>
            <w:r>
              <w:rPr>
                <w:color w:val="auto"/>
              </w:rPr>
              <w:t>7</w:t>
            </w:r>
          </w:p>
        </w:tc>
        <w:tc>
          <w:tcPr>
            <w:tcW w:w="1078" w:type="dxa"/>
          </w:tcPr>
          <w:p>
            <w:pPr>
              <w:pStyle w:val="15"/>
              <w:spacing w:before="197" w:line="324" w:lineRule="exact"/>
              <w:ind w:left="346"/>
              <w:rPr>
                <w:color w:val="auto"/>
              </w:rPr>
            </w:pPr>
            <w:r>
              <w:rPr>
                <w:color w:val="auto"/>
                <w:spacing w:val="-2"/>
                <w:position w:val="2"/>
              </w:rPr>
              <w:t>……</w:t>
            </w:r>
          </w:p>
        </w:tc>
        <w:tc>
          <w:tcPr>
            <w:tcW w:w="1252" w:type="dxa"/>
          </w:tcPr>
          <w:p>
            <w:pPr>
              <w:pStyle w:val="15"/>
              <w:spacing w:before="197" w:line="324" w:lineRule="exact"/>
              <w:ind w:left="432"/>
              <w:rPr>
                <w:color w:val="auto"/>
              </w:rPr>
            </w:pPr>
            <w:r>
              <w:rPr>
                <w:color w:val="auto"/>
                <w:spacing w:val="-2"/>
                <w:position w:val="2"/>
              </w:rPr>
              <w:t>……</w:t>
            </w:r>
          </w:p>
        </w:tc>
        <w:tc>
          <w:tcPr>
            <w:tcW w:w="2380" w:type="dxa"/>
          </w:tcPr>
          <w:p>
            <w:pPr>
              <w:pStyle w:val="15"/>
              <w:spacing w:before="197"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741" w:type="dxa"/>
          </w:tcPr>
          <w:p>
            <w:pPr>
              <w:pStyle w:val="15"/>
              <w:spacing w:before="231" w:line="189" w:lineRule="auto"/>
              <w:ind w:left="324"/>
              <w:rPr>
                <w:color w:val="auto"/>
              </w:rPr>
            </w:pPr>
            <w:r>
              <w:rPr>
                <w:color w:val="auto"/>
              </w:rPr>
              <w:t>8</w:t>
            </w:r>
          </w:p>
        </w:tc>
        <w:tc>
          <w:tcPr>
            <w:tcW w:w="1078" w:type="dxa"/>
          </w:tcPr>
          <w:p>
            <w:pPr>
              <w:pStyle w:val="15"/>
              <w:spacing w:before="195" w:line="324" w:lineRule="exact"/>
              <w:ind w:left="346"/>
              <w:rPr>
                <w:color w:val="auto"/>
              </w:rPr>
            </w:pPr>
            <w:r>
              <w:rPr>
                <w:color w:val="auto"/>
                <w:spacing w:val="-2"/>
                <w:position w:val="2"/>
              </w:rPr>
              <w:t>……</w:t>
            </w:r>
          </w:p>
        </w:tc>
        <w:tc>
          <w:tcPr>
            <w:tcW w:w="1252" w:type="dxa"/>
          </w:tcPr>
          <w:p>
            <w:pPr>
              <w:pStyle w:val="15"/>
              <w:spacing w:before="198" w:line="324" w:lineRule="exact"/>
              <w:ind w:left="432"/>
              <w:rPr>
                <w:color w:val="auto"/>
              </w:rPr>
            </w:pPr>
            <w:r>
              <w:rPr>
                <w:color w:val="auto"/>
                <w:spacing w:val="-2"/>
                <w:position w:val="2"/>
              </w:rPr>
              <w:t>……</w:t>
            </w:r>
          </w:p>
        </w:tc>
        <w:tc>
          <w:tcPr>
            <w:tcW w:w="2380" w:type="dxa"/>
          </w:tcPr>
          <w:p>
            <w:pPr>
              <w:pStyle w:val="15"/>
              <w:spacing w:before="198" w:line="324"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41" w:type="dxa"/>
          </w:tcPr>
          <w:p>
            <w:pPr>
              <w:rPr>
                <w:color w:val="auto"/>
              </w:rPr>
            </w:pPr>
          </w:p>
        </w:tc>
        <w:tc>
          <w:tcPr>
            <w:tcW w:w="4710" w:type="dxa"/>
            <w:gridSpan w:val="3"/>
          </w:tcPr>
          <w:p>
            <w:pPr>
              <w:pStyle w:val="15"/>
              <w:spacing w:before="196" w:line="228" w:lineRule="auto"/>
              <w:ind w:left="1146"/>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0" w:line="229" w:lineRule="auto"/>
        <w:ind w:left="57"/>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3" w:line="355" w:lineRule="auto"/>
        <w:ind w:left="59" w:right="46"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0" w:line="355" w:lineRule="auto"/>
        <w:ind w:left="56" w:right="46"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2.本表由评标委员会集体评议，评标委员会成员中对</w:t>
      </w:r>
      <w:r>
        <w:rPr>
          <w:rFonts w:ascii="宋体" w:hAnsi="宋体" w:eastAsia="宋体" w:cs="宋体"/>
          <w:color w:val="auto"/>
          <w:spacing w:val="8"/>
          <w:sz w:val="20"/>
          <w:szCs w:val="20"/>
          <w:lang w:eastAsia="zh-CN"/>
        </w:rPr>
        <w:t>评审结论有不同意见时，按少数服从多数的原则，确定评审结论。</w:t>
      </w:r>
    </w:p>
    <w:p>
      <w:pPr>
        <w:pStyle w:val="3"/>
        <w:spacing w:line="264" w:lineRule="auto"/>
        <w:rPr>
          <w:color w:val="auto"/>
          <w:lang w:eastAsia="zh-CN"/>
        </w:rPr>
      </w:pPr>
    </w:p>
    <w:p>
      <w:pPr>
        <w:pStyle w:val="3"/>
        <w:spacing w:line="265" w:lineRule="auto"/>
        <w:rPr>
          <w:color w:val="auto"/>
          <w:lang w:eastAsia="zh-CN"/>
        </w:rPr>
      </w:pPr>
    </w:p>
    <w:p>
      <w:pPr>
        <w:spacing w:before="66" w:line="227" w:lineRule="auto"/>
        <w:ind w:left="5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0" w:type="default"/>
          <w:pgSz w:w="11906" w:h="16839"/>
          <w:pgMar w:top="1431" w:right="1486" w:bottom="1355" w:left="1542"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附表2：响应性评审表</w:t>
      </w:r>
    </w:p>
    <w:p>
      <w:pPr>
        <w:pStyle w:val="3"/>
        <w:spacing w:line="283" w:lineRule="auto"/>
        <w:rPr>
          <w:color w:val="auto"/>
          <w:lang w:eastAsia="zh-CN"/>
        </w:rPr>
      </w:pPr>
    </w:p>
    <w:p>
      <w:pPr>
        <w:pStyle w:val="3"/>
        <w:spacing w:line="284" w:lineRule="auto"/>
        <w:rPr>
          <w:color w:val="auto"/>
          <w:lang w:eastAsia="zh-CN"/>
        </w:rPr>
      </w:pPr>
    </w:p>
    <w:p>
      <w:pPr>
        <w:spacing w:before="91" w:line="222" w:lineRule="auto"/>
        <w:ind w:left="3783"/>
        <w:rPr>
          <w:rFonts w:ascii="黑体" w:hAnsi="黑体" w:eastAsia="黑体" w:cs="黑体"/>
          <w:color w:val="auto"/>
          <w:sz w:val="28"/>
          <w:szCs w:val="28"/>
          <w:lang w:eastAsia="zh-CN"/>
        </w:rPr>
      </w:pPr>
      <w:r>
        <w:rPr>
          <w:rFonts w:ascii="黑体" w:hAnsi="黑体" w:eastAsia="黑体" w:cs="黑体"/>
          <w:color w:val="auto"/>
          <w:spacing w:val="-4"/>
          <w:sz w:val="28"/>
          <w:szCs w:val="28"/>
          <w:lang w:eastAsia="zh-CN"/>
        </w:rPr>
        <w:t>响应性评审表</w:t>
      </w:r>
    </w:p>
    <w:p>
      <w:pPr>
        <w:pStyle w:val="3"/>
        <w:spacing w:line="249" w:lineRule="auto"/>
        <w:rPr>
          <w:color w:val="auto"/>
          <w:lang w:eastAsia="zh-CN"/>
        </w:rPr>
      </w:pPr>
    </w:p>
    <w:p>
      <w:pPr>
        <w:pStyle w:val="3"/>
        <w:spacing w:line="250" w:lineRule="auto"/>
        <w:rPr>
          <w:color w:val="auto"/>
          <w:lang w:eastAsia="zh-CN"/>
        </w:rPr>
      </w:pPr>
    </w:p>
    <w:p>
      <w:pPr>
        <w:tabs>
          <w:tab w:val="left" w:pos="1326"/>
        </w:tabs>
        <w:spacing w:before="91" w:line="256" w:lineRule="auto"/>
        <w:ind w:left="219" w:right="2833" w:hanging="11"/>
        <w:rPr>
          <w:rFonts w:ascii="宋体" w:hAnsi="宋体" w:eastAsia="宋体" w:cs="宋体"/>
          <w:color w:val="auto"/>
          <w:sz w:val="24"/>
          <w:szCs w:val="24"/>
          <w:lang w:eastAsia="zh-CN"/>
        </w:rPr>
      </w:pPr>
      <w:r>
        <w:rPr>
          <w:rFonts w:ascii="仿宋" w:hAnsi="仿宋" w:eastAsia="仿宋" w:cs="仿宋"/>
          <w:color w:val="auto"/>
          <w:sz w:val="28"/>
          <w:szCs w:val="28"/>
          <w:u w:val="single"/>
          <w:lang w:eastAsia="zh-CN"/>
        </w:rPr>
        <w:tab/>
      </w:r>
      <w:r>
        <w:rPr>
          <w:rFonts w:ascii="仿宋" w:hAnsi="仿宋" w:eastAsia="仿宋" w:cs="仿宋"/>
          <w:color w:val="auto"/>
          <w:sz w:val="28"/>
          <w:szCs w:val="28"/>
          <w:u w:val="single"/>
          <w:lang w:eastAsia="zh-CN"/>
        </w:rPr>
        <w:tab/>
      </w:r>
      <w:r>
        <w:rPr>
          <w:rFonts w:ascii="仿宋" w:hAnsi="仿宋" w:eastAsia="仿宋" w:cs="仿宋"/>
          <w:color w:val="auto"/>
          <w:spacing w:val="3"/>
          <w:sz w:val="28"/>
          <w:szCs w:val="28"/>
          <w:lang w:eastAsia="zh-CN"/>
        </w:rPr>
        <w:t>（项目名称</w:t>
      </w:r>
      <w:r>
        <w:rPr>
          <w:rFonts w:ascii="仿宋" w:hAnsi="仿宋" w:eastAsia="仿宋" w:cs="仿宋"/>
          <w:color w:val="auto"/>
          <w:spacing w:val="-18"/>
          <w:sz w:val="28"/>
          <w:szCs w:val="28"/>
          <w:lang w:eastAsia="zh-CN"/>
        </w:rPr>
        <w:t>）（</w:t>
      </w:r>
      <w:r>
        <w:rPr>
          <w:rFonts w:ascii="仿宋" w:hAnsi="仿宋" w:eastAsia="仿宋" w:cs="仿宋"/>
          <w:color w:val="auto"/>
          <w:spacing w:val="3"/>
          <w:sz w:val="28"/>
          <w:szCs w:val="28"/>
          <w:lang w:eastAsia="zh-CN"/>
        </w:rPr>
        <w:t>标段）施工招标</w:t>
      </w:r>
      <w:r>
        <w:rPr>
          <w:rFonts w:ascii="宋体" w:hAnsi="宋体" w:eastAsia="宋体" w:cs="宋体"/>
          <w:color w:val="auto"/>
          <w:spacing w:val="-3"/>
          <w:sz w:val="24"/>
          <w:szCs w:val="24"/>
          <w:lang w:eastAsia="zh-CN"/>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0"/>
        <w:gridCol w:w="1259"/>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560" w:type="dxa"/>
            <w:vMerge w:val="restart"/>
            <w:tcBorders>
              <w:bottom w:val="nil"/>
            </w:tcBorders>
            <w:textDirection w:val="tbRlV"/>
          </w:tcPr>
          <w:p>
            <w:pPr>
              <w:pStyle w:val="15"/>
              <w:spacing w:before="174" w:line="218" w:lineRule="auto"/>
              <w:ind w:left="377"/>
              <w:rPr>
                <w:color w:val="auto"/>
              </w:rPr>
            </w:pPr>
            <w:r>
              <w:rPr>
                <w:b/>
                <w:bCs/>
                <w:color w:val="auto"/>
                <w:spacing w:val="5"/>
              </w:rPr>
              <w:t>序号</w:t>
            </w:r>
          </w:p>
        </w:tc>
        <w:tc>
          <w:tcPr>
            <w:tcW w:w="1259" w:type="dxa"/>
            <w:vMerge w:val="restart"/>
            <w:tcBorders>
              <w:bottom w:val="nil"/>
            </w:tcBorders>
          </w:tcPr>
          <w:p>
            <w:pPr>
              <w:spacing w:line="465" w:lineRule="auto"/>
              <w:rPr>
                <w:color w:val="auto"/>
              </w:rPr>
            </w:pPr>
          </w:p>
          <w:p>
            <w:pPr>
              <w:pStyle w:val="15"/>
              <w:spacing w:before="65" w:line="228" w:lineRule="auto"/>
              <w:ind w:left="319"/>
              <w:rPr>
                <w:color w:val="auto"/>
              </w:rPr>
            </w:pPr>
            <w:r>
              <w:rPr>
                <w:b/>
                <w:bCs/>
                <w:color w:val="auto"/>
                <w:spacing w:val="5"/>
              </w:rPr>
              <w:t>条款号</w:t>
            </w:r>
          </w:p>
        </w:tc>
        <w:tc>
          <w:tcPr>
            <w:tcW w:w="1252" w:type="dxa"/>
            <w:vMerge w:val="restart"/>
            <w:tcBorders>
              <w:bottom w:val="nil"/>
            </w:tcBorders>
          </w:tcPr>
          <w:p>
            <w:pPr>
              <w:spacing w:line="465"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465"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5" w:line="262" w:lineRule="auto"/>
              <w:ind w:left="723" w:right="655" w:hanging="60"/>
              <w:rPr>
                <w:color w:val="auto"/>
                <w:lang w:eastAsia="zh-CN"/>
              </w:rPr>
            </w:pPr>
            <w:r>
              <w:rPr>
                <w:b/>
                <w:bCs/>
                <w:color w:val="auto"/>
                <w:spacing w:val="7"/>
                <w:lang w:eastAsia="zh-CN"/>
              </w:rPr>
              <w:t>投标人名称及评审意见</w:t>
            </w:r>
            <w:r>
              <w:rPr>
                <w:b/>
                <w:bCs/>
                <w:color w:val="auto"/>
                <w:spacing w:val="5"/>
                <w:lang w:eastAsia="zh-CN"/>
              </w:rPr>
              <w:t>（合格√/不合格×)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bottom w:val="nil"/>
            </w:tcBorders>
            <w:textDirection w:val="tbRlV"/>
          </w:tcPr>
          <w:p>
            <w:pPr>
              <w:rPr>
                <w:color w:val="auto"/>
                <w:lang w:eastAsia="zh-CN"/>
              </w:rPr>
            </w:pPr>
          </w:p>
        </w:tc>
        <w:tc>
          <w:tcPr>
            <w:tcW w:w="1259"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4" w:line="189" w:lineRule="auto"/>
              <w:ind w:left="537"/>
              <w:rPr>
                <w:color w:val="auto"/>
              </w:rPr>
            </w:pPr>
            <w:r>
              <w:rPr>
                <w:b/>
                <w:bCs/>
                <w:color w:val="auto"/>
                <w:spacing w:val="-3"/>
              </w:rPr>
              <w:t>1</w:t>
            </w:r>
          </w:p>
        </w:tc>
        <w:tc>
          <w:tcPr>
            <w:tcW w:w="1139" w:type="dxa"/>
          </w:tcPr>
          <w:p>
            <w:pPr>
              <w:pStyle w:val="15"/>
              <w:spacing w:before="84"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560" w:type="dxa"/>
            <w:vMerge w:val="continue"/>
            <w:tcBorders>
              <w:top w:val="nil"/>
            </w:tcBorders>
            <w:textDirection w:val="tbRlV"/>
          </w:tcPr>
          <w:p>
            <w:pPr>
              <w:rPr>
                <w:color w:val="auto"/>
              </w:rPr>
            </w:pPr>
          </w:p>
        </w:tc>
        <w:tc>
          <w:tcPr>
            <w:tcW w:w="1259"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53" w:line="234"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60" w:type="dxa"/>
          </w:tcPr>
          <w:p>
            <w:pPr>
              <w:pStyle w:val="15"/>
              <w:spacing w:before="124" w:line="189" w:lineRule="auto"/>
              <w:ind w:left="247"/>
              <w:rPr>
                <w:color w:val="auto"/>
              </w:rPr>
            </w:pPr>
            <w:r>
              <w:rPr>
                <w:color w:val="auto"/>
              </w:rPr>
              <w:t>1</w:t>
            </w:r>
          </w:p>
        </w:tc>
        <w:tc>
          <w:tcPr>
            <w:tcW w:w="1259" w:type="dxa"/>
          </w:tcPr>
          <w:p>
            <w:pPr>
              <w:pStyle w:val="15"/>
              <w:spacing w:before="91" w:line="297" w:lineRule="exact"/>
              <w:ind w:left="436"/>
              <w:rPr>
                <w:color w:val="auto"/>
              </w:rPr>
            </w:pPr>
            <w:r>
              <w:rPr>
                <w:color w:val="auto"/>
                <w:spacing w:val="-2"/>
                <w:position w:val="2"/>
              </w:rPr>
              <w:t>……</w:t>
            </w:r>
          </w:p>
        </w:tc>
        <w:tc>
          <w:tcPr>
            <w:tcW w:w="1252" w:type="dxa"/>
          </w:tcPr>
          <w:p>
            <w:pPr>
              <w:pStyle w:val="15"/>
              <w:spacing w:before="91" w:line="297" w:lineRule="exact"/>
              <w:ind w:left="432"/>
              <w:rPr>
                <w:color w:val="auto"/>
              </w:rPr>
            </w:pPr>
            <w:r>
              <w:rPr>
                <w:color w:val="auto"/>
                <w:spacing w:val="-2"/>
                <w:position w:val="2"/>
              </w:rPr>
              <w:t>……</w:t>
            </w:r>
          </w:p>
        </w:tc>
        <w:tc>
          <w:tcPr>
            <w:tcW w:w="2706" w:type="dxa"/>
          </w:tcPr>
          <w:p>
            <w:pPr>
              <w:pStyle w:val="15"/>
              <w:spacing w:before="91" w:line="297" w:lineRule="exact"/>
              <w:ind w:left="126"/>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4" w:line="189" w:lineRule="auto"/>
              <w:ind w:left="234"/>
              <w:rPr>
                <w:color w:val="auto"/>
              </w:rPr>
            </w:pPr>
            <w:r>
              <w:rPr>
                <w:color w:val="auto"/>
              </w:rPr>
              <w:t>2</w:t>
            </w:r>
          </w:p>
        </w:tc>
        <w:tc>
          <w:tcPr>
            <w:tcW w:w="1259" w:type="dxa"/>
          </w:tcPr>
          <w:p>
            <w:pPr>
              <w:pStyle w:val="15"/>
              <w:spacing w:before="91" w:line="296" w:lineRule="exact"/>
              <w:ind w:left="436"/>
              <w:rPr>
                <w:color w:val="auto"/>
              </w:rPr>
            </w:pPr>
            <w:r>
              <w:rPr>
                <w:color w:val="auto"/>
                <w:spacing w:val="-2"/>
                <w:position w:val="2"/>
              </w:rPr>
              <w:t>……</w:t>
            </w:r>
          </w:p>
        </w:tc>
        <w:tc>
          <w:tcPr>
            <w:tcW w:w="1252" w:type="dxa"/>
          </w:tcPr>
          <w:p>
            <w:pPr>
              <w:pStyle w:val="15"/>
              <w:spacing w:before="91" w:line="296" w:lineRule="exact"/>
              <w:ind w:left="432"/>
              <w:rPr>
                <w:color w:val="auto"/>
              </w:rPr>
            </w:pPr>
            <w:r>
              <w:rPr>
                <w:color w:val="auto"/>
                <w:spacing w:val="-2"/>
                <w:position w:val="2"/>
              </w:rPr>
              <w:t>……</w:t>
            </w:r>
          </w:p>
        </w:tc>
        <w:tc>
          <w:tcPr>
            <w:tcW w:w="2706" w:type="dxa"/>
          </w:tcPr>
          <w:p>
            <w:pPr>
              <w:pStyle w:val="15"/>
              <w:spacing w:before="91" w:line="296"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5" w:line="189" w:lineRule="auto"/>
              <w:ind w:left="236"/>
              <w:rPr>
                <w:color w:val="auto"/>
              </w:rPr>
            </w:pPr>
            <w:r>
              <w:rPr>
                <w:color w:val="auto"/>
              </w:rPr>
              <w:t>3</w:t>
            </w:r>
          </w:p>
        </w:tc>
        <w:tc>
          <w:tcPr>
            <w:tcW w:w="1259" w:type="dxa"/>
          </w:tcPr>
          <w:p>
            <w:pPr>
              <w:pStyle w:val="15"/>
              <w:spacing w:before="92" w:line="295" w:lineRule="exact"/>
              <w:ind w:left="436"/>
              <w:rPr>
                <w:color w:val="auto"/>
              </w:rPr>
            </w:pPr>
            <w:r>
              <w:rPr>
                <w:color w:val="auto"/>
                <w:spacing w:val="-2"/>
                <w:position w:val="2"/>
              </w:rPr>
              <w:t>……</w:t>
            </w:r>
          </w:p>
        </w:tc>
        <w:tc>
          <w:tcPr>
            <w:tcW w:w="1252" w:type="dxa"/>
          </w:tcPr>
          <w:p>
            <w:pPr>
              <w:pStyle w:val="15"/>
              <w:spacing w:before="92" w:line="295" w:lineRule="exact"/>
              <w:ind w:left="432"/>
              <w:rPr>
                <w:color w:val="auto"/>
              </w:rPr>
            </w:pPr>
            <w:r>
              <w:rPr>
                <w:color w:val="auto"/>
                <w:spacing w:val="-2"/>
                <w:position w:val="2"/>
              </w:rPr>
              <w:t>……</w:t>
            </w:r>
          </w:p>
        </w:tc>
        <w:tc>
          <w:tcPr>
            <w:tcW w:w="2706" w:type="dxa"/>
          </w:tcPr>
          <w:p>
            <w:pPr>
              <w:pStyle w:val="15"/>
              <w:spacing w:before="92" w:line="295"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5" w:line="189" w:lineRule="auto"/>
              <w:ind w:left="231"/>
              <w:rPr>
                <w:color w:val="auto"/>
              </w:rPr>
            </w:pPr>
            <w:r>
              <w:rPr>
                <w:color w:val="auto"/>
              </w:rPr>
              <w:t>4</w:t>
            </w:r>
          </w:p>
        </w:tc>
        <w:tc>
          <w:tcPr>
            <w:tcW w:w="1259" w:type="dxa"/>
          </w:tcPr>
          <w:p>
            <w:pPr>
              <w:pStyle w:val="15"/>
              <w:spacing w:before="93" w:line="294" w:lineRule="exact"/>
              <w:ind w:left="436"/>
              <w:rPr>
                <w:color w:val="auto"/>
              </w:rPr>
            </w:pPr>
            <w:r>
              <w:rPr>
                <w:color w:val="auto"/>
                <w:spacing w:val="-2"/>
                <w:position w:val="2"/>
              </w:rPr>
              <w:t>……</w:t>
            </w:r>
          </w:p>
        </w:tc>
        <w:tc>
          <w:tcPr>
            <w:tcW w:w="1252" w:type="dxa"/>
          </w:tcPr>
          <w:p>
            <w:pPr>
              <w:pStyle w:val="15"/>
              <w:spacing w:before="93" w:line="294" w:lineRule="exact"/>
              <w:ind w:left="432"/>
              <w:rPr>
                <w:color w:val="auto"/>
              </w:rPr>
            </w:pPr>
            <w:r>
              <w:rPr>
                <w:color w:val="auto"/>
                <w:spacing w:val="-2"/>
                <w:position w:val="2"/>
              </w:rPr>
              <w:t>……</w:t>
            </w:r>
          </w:p>
        </w:tc>
        <w:tc>
          <w:tcPr>
            <w:tcW w:w="2706" w:type="dxa"/>
          </w:tcPr>
          <w:p>
            <w:pPr>
              <w:pStyle w:val="15"/>
              <w:spacing w:before="93" w:line="294"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9" w:line="187" w:lineRule="auto"/>
              <w:ind w:left="236"/>
              <w:rPr>
                <w:color w:val="auto"/>
              </w:rPr>
            </w:pPr>
            <w:r>
              <w:rPr>
                <w:color w:val="auto"/>
              </w:rPr>
              <w:t>5</w:t>
            </w:r>
          </w:p>
        </w:tc>
        <w:tc>
          <w:tcPr>
            <w:tcW w:w="1259" w:type="dxa"/>
          </w:tcPr>
          <w:p>
            <w:pPr>
              <w:pStyle w:val="15"/>
              <w:spacing w:before="94" w:line="293" w:lineRule="exact"/>
              <w:ind w:left="436"/>
              <w:rPr>
                <w:color w:val="auto"/>
              </w:rPr>
            </w:pPr>
            <w:r>
              <w:rPr>
                <w:color w:val="auto"/>
                <w:spacing w:val="-2"/>
                <w:position w:val="2"/>
              </w:rPr>
              <w:t>……</w:t>
            </w:r>
          </w:p>
        </w:tc>
        <w:tc>
          <w:tcPr>
            <w:tcW w:w="1252" w:type="dxa"/>
          </w:tcPr>
          <w:p>
            <w:pPr>
              <w:pStyle w:val="15"/>
              <w:spacing w:before="94" w:line="293" w:lineRule="exact"/>
              <w:ind w:left="432"/>
              <w:rPr>
                <w:color w:val="auto"/>
              </w:rPr>
            </w:pPr>
            <w:r>
              <w:rPr>
                <w:color w:val="auto"/>
                <w:spacing w:val="-2"/>
                <w:position w:val="2"/>
              </w:rPr>
              <w:t>……</w:t>
            </w:r>
          </w:p>
        </w:tc>
        <w:tc>
          <w:tcPr>
            <w:tcW w:w="2706" w:type="dxa"/>
          </w:tcPr>
          <w:p>
            <w:pPr>
              <w:pStyle w:val="15"/>
              <w:spacing w:before="94" w:line="293"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560" w:type="dxa"/>
          </w:tcPr>
          <w:p>
            <w:pPr>
              <w:pStyle w:val="15"/>
              <w:spacing w:before="128" w:line="189" w:lineRule="auto"/>
              <w:ind w:left="233"/>
              <w:rPr>
                <w:color w:val="auto"/>
              </w:rPr>
            </w:pPr>
            <w:r>
              <w:rPr>
                <w:color w:val="auto"/>
              </w:rPr>
              <w:t>6</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1" w:line="187" w:lineRule="auto"/>
              <w:ind w:left="236"/>
              <w:rPr>
                <w:color w:val="auto"/>
              </w:rPr>
            </w:pPr>
            <w:r>
              <w:rPr>
                <w:color w:val="auto"/>
              </w:rPr>
              <w:t>7</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8</w:t>
            </w:r>
          </w:p>
        </w:tc>
        <w:tc>
          <w:tcPr>
            <w:tcW w:w="1259" w:type="dxa"/>
          </w:tcPr>
          <w:p>
            <w:pPr>
              <w:pStyle w:val="15"/>
              <w:spacing w:before="96" w:line="291" w:lineRule="exact"/>
              <w:ind w:left="436"/>
              <w:rPr>
                <w:color w:val="auto"/>
              </w:rPr>
            </w:pPr>
            <w:r>
              <w:rPr>
                <w:color w:val="auto"/>
                <w:spacing w:val="-2"/>
                <w:position w:val="2"/>
              </w:rPr>
              <w:t>……</w:t>
            </w:r>
          </w:p>
        </w:tc>
        <w:tc>
          <w:tcPr>
            <w:tcW w:w="1252" w:type="dxa"/>
          </w:tcPr>
          <w:p>
            <w:pPr>
              <w:pStyle w:val="15"/>
              <w:spacing w:before="96" w:line="291" w:lineRule="exact"/>
              <w:ind w:left="432"/>
              <w:rPr>
                <w:color w:val="auto"/>
              </w:rPr>
            </w:pPr>
            <w:r>
              <w:rPr>
                <w:color w:val="auto"/>
                <w:spacing w:val="-2"/>
                <w:position w:val="2"/>
              </w:rPr>
              <w:t>……</w:t>
            </w:r>
          </w:p>
        </w:tc>
        <w:tc>
          <w:tcPr>
            <w:tcW w:w="2706" w:type="dxa"/>
          </w:tcPr>
          <w:p>
            <w:pPr>
              <w:pStyle w:val="15"/>
              <w:spacing w:before="96" w:line="291"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9" w:line="189" w:lineRule="auto"/>
              <w:ind w:left="232"/>
              <w:rPr>
                <w:color w:val="auto"/>
              </w:rPr>
            </w:pPr>
            <w:r>
              <w:rPr>
                <w:color w:val="auto"/>
              </w:rPr>
              <w:t>9</w:t>
            </w:r>
          </w:p>
        </w:tc>
        <w:tc>
          <w:tcPr>
            <w:tcW w:w="1259" w:type="dxa"/>
          </w:tcPr>
          <w:p>
            <w:pPr>
              <w:pStyle w:val="15"/>
              <w:spacing w:before="97" w:line="290" w:lineRule="exact"/>
              <w:ind w:left="436"/>
              <w:rPr>
                <w:color w:val="auto"/>
              </w:rPr>
            </w:pPr>
            <w:r>
              <w:rPr>
                <w:color w:val="auto"/>
                <w:spacing w:val="-2"/>
                <w:position w:val="2"/>
              </w:rPr>
              <w:t>……</w:t>
            </w:r>
          </w:p>
        </w:tc>
        <w:tc>
          <w:tcPr>
            <w:tcW w:w="1252" w:type="dxa"/>
          </w:tcPr>
          <w:p>
            <w:pPr>
              <w:pStyle w:val="15"/>
              <w:spacing w:before="97" w:line="290" w:lineRule="exact"/>
              <w:ind w:left="432"/>
              <w:rPr>
                <w:color w:val="auto"/>
              </w:rPr>
            </w:pPr>
            <w:r>
              <w:rPr>
                <w:color w:val="auto"/>
                <w:spacing w:val="-2"/>
                <w:position w:val="2"/>
              </w:rPr>
              <w:t>……</w:t>
            </w:r>
          </w:p>
        </w:tc>
        <w:tc>
          <w:tcPr>
            <w:tcW w:w="2706" w:type="dxa"/>
          </w:tcPr>
          <w:p>
            <w:pPr>
              <w:pStyle w:val="15"/>
              <w:spacing w:before="97" w:line="290"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8" w:line="190" w:lineRule="auto"/>
              <w:ind w:left="194"/>
              <w:rPr>
                <w:color w:val="auto"/>
              </w:rPr>
            </w:pPr>
            <w:r>
              <w:rPr>
                <w:color w:val="auto"/>
                <w:spacing w:val="-7"/>
              </w:rPr>
              <w:t>10</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30" w:line="189" w:lineRule="auto"/>
              <w:ind w:left="194"/>
              <w:rPr>
                <w:color w:val="auto"/>
              </w:rPr>
            </w:pPr>
            <w:r>
              <w:rPr>
                <w:color w:val="auto"/>
                <w:spacing w:val="-7"/>
              </w:rPr>
              <w:t>11</w:t>
            </w:r>
          </w:p>
        </w:tc>
        <w:tc>
          <w:tcPr>
            <w:tcW w:w="1259" w:type="dxa"/>
          </w:tcPr>
          <w:p>
            <w:pPr>
              <w:pStyle w:val="15"/>
              <w:spacing w:before="97" w:line="290" w:lineRule="exact"/>
              <w:ind w:left="436"/>
              <w:rPr>
                <w:color w:val="auto"/>
              </w:rPr>
            </w:pPr>
            <w:r>
              <w:rPr>
                <w:color w:val="auto"/>
                <w:spacing w:val="-2"/>
                <w:position w:val="1"/>
              </w:rPr>
              <w:t>……</w:t>
            </w:r>
          </w:p>
        </w:tc>
        <w:tc>
          <w:tcPr>
            <w:tcW w:w="1252" w:type="dxa"/>
          </w:tcPr>
          <w:p>
            <w:pPr>
              <w:pStyle w:val="15"/>
              <w:spacing w:before="97" w:line="290" w:lineRule="exact"/>
              <w:ind w:left="432"/>
              <w:rPr>
                <w:color w:val="auto"/>
              </w:rPr>
            </w:pPr>
            <w:r>
              <w:rPr>
                <w:color w:val="auto"/>
                <w:spacing w:val="-2"/>
                <w:position w:val="1"/>
              </w:rPr>
              <w:t>……</w:t>
            </w:r>
          </w:p>
        </w:tc>
        <w:tc>
          <w:tcPr>
            <w:tcW w:w="2706" w:type="dxa"/>
          </w:tcPr>
          <w:p>
            <w:pPr>
              <w:pStyle w:val="15"/>
              <w:spacing w:before="97" w:line="290" w:lineRule="exact"/>
              <w:ind w:left="1160"/>
              <w:rPr>
                <w:color w:val="auto"/>
              </w:rPr>
            </w:pPr>
            <w:r>
              <w:rPr>
                <w:color w:val="auto"/>
                <w:spacing w:val="-2"/>
                <w:position w:val="1"/>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560" w:type="dxa"/>
          </w:tcPr>
          <w:p>
            <w:pPr>
              <w:pStyle w:val="15"/>
              <w:spacing w:before="127" w:line="189" w:lineRule="auto"/>
              <w:ind w:left="194"/>
              <w:rPr>
                <w:color w:val="auto"/>
              </w:rPr>
            </w:pPr>
            <w:r>
              <w:rPr>
                <w:color w:val="auto"/>
                <w:spacing w:val="-7"/>
              </w:rPr>
              <w:t>12</w:t>
            </w:r>
          </w:p>
        </w:tc>
        <w:tc>
          <w:tcPr>
            <w:tcW w:w="1259" w:type="dxa"/>
          </w:tcPr>
          <w:p>
            <w:pPr>
              <w:pStyle w:val="15"/>
              <w:spacing w:before="95" w:line="292" w:lineRule="exact"/>
              <w:ind w:left="436"/>
              <w:rPr>
                <w:color w:val="auto"/>
              </w:rPr>
            </w:pPr>
            <w:r>
              <w:rPr>
                <w:color w:val="auto"/>
                <w:spacing w:val="-2"/>
                <w:position w:val="2"/>
              </w:rPr>
              <w:t>……</w:t>
            </w:r>
          </w:p>
        </w:tc>
        <w:tc>
          <w:tcPr>
            <w:tcW w:w="1252" w:type="dxa"/>
          </w:tcPr>
          <w:p>
            <w:pPr>
              <w:pStyle w:val="15"/>
              <w:spacing w:before="95" w:line="292" w:lineRule="exact"/>
              <w:ind w:left="432"/>
              <w:rPr>
                <w:color w:val="auto"/>
              </w:rPr>
            </w:pPr>
            <w:r>
              <w:rPr>
                <w:color w:val="auto"/>
                <w:spacing w:val="-2"/>
                <w:position w:val="2"/>
              </w:rPr>
              <w:t>……</w:t>
            </w:r>
          </w:p>
        </w:tc>
        <w:tc>
          <w:tcPr>
            <w:tcW w:w="2706" w:type="dxa"/>
          </w:tcPr>
          <w:p>
            <w:pPr>
              <w:pStyle w:val="15"/>
              <w:spacing w:before="95" w:line="292" w:lineRule="exact"/>
              <w:ind w:left="1160"/>
              <w:rPr>
                <w:color w:val="auto"/>
              </w:rPr>
            </w:pPr>
            <w:r>
              <w:rPr>
                <w:color w:val="auto"/>
                <w:spacing w:val="-2"/>
                <w:position w:val="2"/>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560" w:type="dxa"/>
          </w:tcPr>
          <w:p>
            <w:pPr>
              <w:rPr>
                <w:color w:val="auto"/>
              </w:rPr>
            </w:pPr>
          </w:p>
        </w:tc>
        <w:tc>
          <w:tcPr>
            <w:tcW w:w="5217" w:type="dxa"/>
            <w:gridSpan w:val="3"/>
          </w:tcPr>
          <w:p>
            <w:pPr>
              <w:pStyle w:val="15"/>
              <w:spacing w:before="95" w:line="228" w:lineRule="auto"/>
              <w:ind w:left="1399"/>
              <w:rPr>
                <w:color w:val="auto"/>
                <w:lang w:eastAsia="zh-CN"/>
              </w:rPr>
            </w:pPr>
            <w:r>
              <w:rPr>
                <w:b/>
                <w:bCs/>
                <w:color w:val="auto"/>
                <w:spacing w:val="6"/>
                <w:lang w:eastAsia="zh-CN"/>
              </w:rPr>
              <w:t>评审结论（合格/不合格）</w:t>
            </w:r>
          </w:p>
        </w:tc>
        <w:tc>
          <w:tcPr>
            <w:tcW w:w="1138" w:type="dxa"/>
          </w:tcPr>
          <w:p>
            <w:pPr>
              <w:rPr>
                <w:color w:val="auto"/>
                <w:lang w:eastAsia="zh-CN"/>
              </w:rPr>
            </w:pPr>
          </w:p>
        </w:tc>
        <w:tc>
          <w:tcPr>
            <w:tcW w:w="1139" w:type="dxa"/>
          </w:tcPr>
          <w:p>
            <w:pPr>
              <w:rPr>
                <w:color w:val="auto"/>
                <w:lang w:eastAsia="zh-CN"/>
              </w:rPr>
            </w:pPr>
          </w:p>
        </w:tc>
        <w:tc>
          <w:tcPr>
            <w:tcW w:w="1144" w:type="dxa"/>
          </w:tcPr>
          <w:p>
            <w:pPr>
              <w:rPr>
                <w:color w:val="auto"/>
                <w:lang w:eastAsia="zh-CN"/>
              </w:rPr>
            </w:pPr>
          </w:p>
        </w:tc>
      </w:tr>
    </w:tbl>
    <w:p>
      <w:pPr>
        <w:spacing w:before="141" w:line="229" w:lineRule="auto"/>
        <w:ind w:left="220"/>
        <w:rPr>
          <w:rFonts w:ascii="宋体" w:hAnsi="宋体" w:eastAsia="宋体" w:cs="宋体"/>
          <w:color w:val="auto"/>
          <w:sz w:val="20"/>
          <w:szCs w:val="20"/>
          <w:lang w:eastAsia="zh-CN"/>
        </w:rPr>
      </w:pPr>
      <w:r>
        <w:rPr>
          <w:rFonts w:ascii="宋体" w:hAnsi="宋体" w:eastAsia="宋体" w:cs="宋体"/>
          <w:b/>
          <w:bCs/>
          <w:color w:val="auto"/>
          <w:spacing w:val="1"/>
          <w:sz w:val="20"/>
          <w:szCs w:val="20"/>
          <w:lang w:eastAsia="zh-CN"/>
        </w:rPr>
        <w:t>备注：</w:t>
      </w:r>
    </w:p>
    <w:p>
      <w:pPr>
        <w:spacing w:before="151" w:line="355" w:lineRule="auto"/>
        <w:ind w:left="222" w:right="209" w:firstLine="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1.评审项目合格的打“√”,不合格的打“×”。上表中有一项不符合评审标准的，其评审</w:t>
      </w:r>
      <w:r>
        <w:rPr>
          <w:rFonts w:ascii="宋体" w:hAnsi="宋体" w:eastAsia="宋体" w:cs="宋体"/>
          <w:color w:val="auto"/>
          <w:spacing w:val="8"/>
          <w:sz w:val="20"/>
          <w:szCs w:val="20"/>
          <w:lang w:eastAsia="zh-CN"/>
        </w:rPr>
        <w:t>结论为不合格，则不进入投标文件下一轮的评审。</w:t>
      </w:r>
    </w:p>
    <w:p>
      <w:pPr>
        <w:spacing w:before="32" w:line="353" w:lineRule="auto"/>
        <w:ind w:left="221" w:right="209"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2.已标价工程量清单：投标人提供的已标价的工程量</w:t>
      </w:r>
      <w:r>
        <w:rPr>
          <w:rFonts w:ascii="宋体" w:hAnsi="宋体" w:eastAsia="宋体" w:cs="宋体"/>
          <w:color w:val="auto"/>
          <w:spacing w:val="8"/>
          <w:sz w:val="20"/>
          <w:szCs w:val="20"/>
          <w:lang w:eastAsia="zh-CN"/>
        </w:rPr>
        <w:t>清单应符合第五章《工程量清单》的有</w:t>
      </w:r>
      <w:r>
        <w:rPr>
          <w:rFonts w:ascii="宋体" w:hAnsi="宋体" w:eastAsia="宋体" w:cs="宋体"/>
          <w:color w:val="auto"/>
          <w:spacing w:val="9"/>
          <w:sz w:val="20"/>
          <w:szCs w:val="20"/>
          <w:lang w:eastAsia="zh-CN"/>
        </w:rPr>
        <w:t>关要求及给出的范围，给出的范围不得增加和删除，否则视为不符合评审标准。</w:t>
      </w:r>
    </w:p>
    <w:p>
      <w:pPr>
        <w:spacing w:before="35" w:line="355" w:lineRule="auto"/>
        <w:ind w:left="219" w:right="20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3.本表由评标委员会集体评议，评标委员会成员</w:t>
      </w:r>
      <w:r>
        <w:rPr>
          <w:rFonts w:ascii="宋体" w:hAnsi="宋体" w:eastAsia="宋体" w:cs="宋体"/>
          <w:color w:val="auto"/>
          <w:spacing w:val="8"/>
          <w:sz w:val="20"/>
          <w:szCs w:val="20"/>
          <w:lang w:eastAsia="zh-CN"/>
        </w:rPr>
        <w:t>中对评审结论有不同意见时，按少数服从多数的原则，确定评审结论。</w:t>
      </w:r>
    </w:p>
    <w:p>
      <w:pPr>
        <w:pStyle w:val="3"/>
        <w:spacing w:line="252" w:lineRule="auto"/>
        <w:rPr>
          <w:color w:val="auto"/>
          <w:lang w:eastAsia="zh-CN"/>
        </w:rPr>
      </w:pPr>
    </w:p>
    <w:p>
      <w:pPr>
        <w:pStyle w:val="3"/>
        <w:spacing w:line="253" w:lineRule="auto"/>
        <w:rPr>
          <w:color w:val="auto"/>
          <w:lang w:eastAsia="zh-CN"/>
        </w:rPr>
      </w:pPr>
    </w:p>
    <w:p>
      <w:pPr>
        <w:spacing w:before="66"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1" w:type="default"/>
          <w:pgSz w:w="11906" w:h="16839"/>
          <w:pgMar w:top="1431" w:right="1323" w:bottom="1356" w:left="1379" w:header="0" w:footer="1191" w:gutter="0"/>
          <w:cols w:space="720" w:num="1"/>
          <w:docGrid w:linePitch="0" w:charSpace="0"/>
        </w:sectPr>
      </w:pPr>
    </w:p>
    <w:p>
      <w:pPr>
        <w:pStyle w:val="3"/>
        <w:spacing w:line="448" w:lineRule="auto"/>
        <w:rPr>
          <w:color w:val="auto"/>
          <w:lang w:eastAsia="zh-CN"/>
        </w:rPr>
      </w:pPr>
    </w:p>
    <w:p>
      <w:pPr>
        <w:spacing w:before="100" w:line="227" w:lineRule="auto"/>
        <w:ind w:left="228"/>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附表3：技术投标文件评审表</w:t>
      </w:r>
    </w:p>
    <w:p>
      <w:pPr>
        <w:pStyle w:val="3"/>
        <w:spacing w:line="446" w:lineRule="auto"/>
        <w:rPr>
          <w:color w:val="auto"/>
          <w:lang w:eastAsia="zh-CN"/>
        </w:rPr>
      </w:pPr>
    </w:p>
    <w:p>
      <w:pPr>
        <w:spacing w:before="91" w:line="222" w:lineRule="auto"/>
        <w:ind w:left="3341"/>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技术投标文件评审表</w:t>
      </w:r>
    </w:p>
    <w:p>
      <w:pPr>
        <w:pStyle w:val="3"/>
        <w:spacing w:line="370" w:lineRule="auto"/>
        <w:rPr>
          <w:color w:val="auto"/>
          <w:lang w:eastAsia="zh-CN"/>
        </w:rPr>
      </w:pPr>
    </w:p>
    <w:p>
      <w:pPr>
        <w:tabs>
          <w:tab w:val="left" w:pos="1156"/>
        </w:tabs>
        <w:spacing w:before="78" w:line="263" w:lineRule="auto"/>
        <w:ind w:left="208" w:right="3704" w:hanging="1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u w:val="single"/>
          <w:lang w:eastAsia="zh-CN"/>
        </w:rPr>
        <w:tab/>
      </w:r>
      <w:r>
        <w:rPr>
          <w:rFonts w:ascii="宋体" w:hAnsi="宋体" w:eastAsia="宋体" w:cs="宋体"/>
          <w:color w:val="auto"/>
          <w:spacing w:val="3"/>
          <w:sz w:val="24"/>
          <w:szCs w:val="24"/>
          <w:lang w:eastAsia="zh-CN"/>
        </w:rPr>
        <w:t>（项目名称</w:t>
      </w:r>
      <w:r>
        <w:rPr>
          <w:rFonts w:ascii="宋体" w:hAnsi="宋体" w:eastAsia="宋体" w:cs="宋体"/>
          <w:color w:val="auto"/>
          <w:spacing w:val="-18"/>
          <w:sz w:val="24"/>
          <w:szCs w:val="24"/>
          <w:lang w:eastAsia="zh-CN"/>
        </w:rPr>
        <w:t>）（</w:t>
      </w:r>
      <w:r>
        <w:rPr>
          <w:rFonts w:ascii="宋体" w:hAnsi="宋体" w:eastAsia="宋体" w:cs="宋体"/>
          <w:color w:val="auto"/>
          <w:spacing w:val="3"/>
          <w:sz w:val="24"/>
          <w:szCs w:val="24"/>
          <w:lang w:eastAsia="zh-CN"/>
        </w:rPr>
        <w:t>标段）施工招标</w:t>
      </w:r>
      <w:r>
        <w:rPr>
          <w:rFonts w:ascii="宋体" w:hAnsi="宋体" w:eastAsia="宋体" w:cs="宋体"/>
          <w:color w:val="auto"/>
          <w:spacing w:val="-3"/>
          <w:sz w:val="24"/>
          <w:szCs w:val="24"/>
          <w:lang w:eastAsia="zh-CN"/>
        </w:rPr>
        <w:t>招标编号：</w:t>
      </w:r>
    </w:p>
    <w:tbl>
      <w:tblPr>
        <w:tblStyle w:val="14"/>
        <w:tblW w:w="9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8"/>
        <w:gridCol w:w="915"/>
        <w:gridCol w:w="2699"/>
        <w:gridCol w:w="1693"/>
        <w:gridCol w:w="899"/>
        <w:gridCol w:w="720"/>
        <w:gridCol w:w="899"/>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vMerge w:val="restart"/>
            <w:tcBorders>
              <w:bottom w:val="nil"/>
            </w:tcBorders>
            <w:textDirection w:val="tbRlV"/>
          </w:tcPr>
          <w:p>
            <w:pPr>
              <w:pStyle w:val="15"/>
              <w:spacing w:before="116" w:line="218" w:lineRule="auto"/>
              <w:ind w:left="265"/>
              <w:rPr>
                <w:color w:val="auto"/>
              </w:rPr>
            </w:pPr>
            <w:r>
              <w:rPr>
                <w:b/>
                <w:bCs/>
                <w:color w:val="auto"/>
                <w:spacing w:val="5"/>
              </w:rPr>
              <w:t>序号</w:t>
            </w:r>
          </w:p>
        </w:tc>
        <w:tc>
          <w:tcPr>
            <w:tcW w:w="915" w:type="dxa"/>
            <w:vMerge w:val="restart"/>
            <w:tcBorders>
              <w:bottom w:val="nil"/>
            </w:tcBorders>
          </w:tcPr>
          <w:p>
            <w:pPr>
              <w:spacing w:line="351" w:lineRule="auto"/>
              <w:rPr>
                <w:color w:val="auto"/>
              </w:rPr>
            </w:pPr>
          </w:p>
          <w:p>
            <w:pPr>
              <w:pStyle w:val="15"/>
              <w:spacing w:before="65" w:line="228" w:lineRule="auto"/>
              <w:ind w:left="146"/>
              <w:rPr>
                <w:color w:val="auto"/>
              </w:rPr>
            </w:pPr>
            <w:r>
              <w:rPr>
                <w:b/>
                <w:bCs/>
                <w:color w:val="auto"/>
                <w:spacing w:val="5"/>
              </w:rPr>
              <w:t>条款号</w:t>
            </w:r>
          </w:p>
        </w:tc>
        <w:tc>
          <w:tcPr>
            <w:tcW w:w="2699" w:type="dxa"/>
            <w:vMerge w:val="restart"/>
            <w:tcBorders>
              <w:bottom w:val="nil"/>
            </w:tcBorders>
          </w:tcPr>
          <w:p>
            <w:pPr>
              <w:spacing w:line="351" w:lineRule="auto"/>
              <w:rPr>
                <w:color w:val="auto"/>
              </w:rPr>
            </w:pPr>
          </w:p>
          <w:p>
            <w:pPr>
              <w:pStyle w:val="15"/>
              <w:spacing w:before="65" w:line="228" w:lineRule="auto"/>
              <w:ind w:left="930"/>
              <w:rPr>
                <w:color w:val="auto"/>
              </w:rPr>
            </w:pPr>
            <w:r>
              <w:rPr>
                <w:b/>
                <w:bCs/>
                <w:color w:val="auto"/>
                <w:spacing w:val="6"/>
              </w:rPr>
              <w:t>评审因素</w:t>
            </w:r>
          </w:p>
        </w:tc>
        <w:tc>
          <w:tcPr>
            <w:tcW w:w="2592" w:type="dxa"/>
            <w:gridSpan w:val="2"/>
            <w:vMerge w:val="restart"/>
            <w:tcBorders>
              <w:bottom w:val="nil"/>
            </w:tcBorders>
          </w:tcPr>
          <w:p>
            <w:pPr>
              <w:spacing w:line="352" w:lineRule="auto"/>
              <w:rPr>
                <w:color w:val="auto"/>
              </w:rPr>
            </w:pPr>
          </w:p>
          <w:p>
            <w:pPr>
              <w:pStyle w:val="15"/>
              <w:spacing w:before="65" w:line="228" w:lineRule="auto"/>
              <w:ind w:left="878"/>
              <w:rPr>
                <w:color w:val="auto"/>
              </w:rPr>
            </w:pPr>
            <w:r>
              <w:rPr>
                <w:b/>
                <w:bCs/>
                <w:color w:val="auto"/>
                <w:spacing w:val="6"/>
              </w:rPr>
              <w:t>评审标准</w:t>
            </w:r>
          </w:p>
        </w:tc>
        <w:tc>
          <w:tcPr>
            <w:tcW w:w="2523" w:type="dxa"/>
            <w:gridSpan w:val="3"/>
          </w:tcPr>
          <w:p>
            <w:pPr>
              <w:pStyle w:val="15"/>
              <w:spacing w:before="70" w:line="228" w:lineRule="auto"/>
              <w:ind w:left="215"/>
              <w:rPr>
                <w:color w:val="auto"/>
                <w:lang w:eastAsia="zh-CN"/>
              </w:rPr>
            </w:pPr>
            <w:r>
              <w:rPr>
                <w:b/>
                <w:bCs/>
                <w:color w:val="auto"/>
                <w:spacing w:val="7"/>
                <w:lang w:eastAsia="zh-CN"/>
              </w:rPr>
              <w:t>投标人名称及评审意见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bottom w:val="nil"/>
            </w:tcBorders>
            <w:textDirection w:val="tbRlV"/>
          </w:tcPr>
          <w:p>
            <w:pPr>
              <w:rPr>
                <w:color w:val="auto"/>
                <w:lang w:eastAsia="zh-CN"/>
              </w:rPr>
            </w:pPr>
          </w:p>
        </w:tc>
        <w:tc>
          <w:tcPr>
            <w:tcW w:w="915" w:type="dxa"/>
            <w:vMerge w:val="continue"/>
            <w:tcBorders>
              <w:top w:val="nil"/>
              <w:bottom w:val="nil"/>
            </w:tcBorders>
          </w:tcPr>
          <w:p>
            <w:pPr>
              <w:rPr>
                <w:color w:val="auto"/>
                <w:lang w:eastAsia="zh-CN"/>
              </w:rPr>
            </w:pPr>
          </w:p>
        </w:tc>
        <w:tc>
          <w:tcPr>
            <w:tcW w:w="2699" w:type="dxa"/>
            <w:vMerge w:val="continue"/>
            <w:tcBorders>
              <w:top w:val="nil"/>
              <w:bottom w:val="nil"/>
            </w:tcBorders>
          </w:tcPr>
          <w:p>
            <w:pPr>
              <w:rPr>
                <w:color w:val="auto"/>
                <w:lang w:eastAsia="zh-CN"/>
              </w:rPr>
            </w:pPr>
          </w:p>
        </w:tc>
        <w:tc>
          <w:tcPr>
            <w:tcW w:w="2592" w:type="dxa"/>
            <w:gridSpan w:val="2"/>
            <w:vMerge w:val="continue"/>
            <w:tcBorders>
              <w:top w:val="nil"/>
              <w:bottom w:val="nil"/>
            </w:tcBorders>
          </w:tcPr>
          <w:p>
            <w:pPr>
              <w:rPr>
                <w:color w:val="auto"/>
                <w:lang w:eastAsia="zh-CN"/>
              </w:rPr>
            </w:pPr>
          </w:p>
        </w:tc>
        <w:tc>
          <w:tcPr>
            <w:tcW w:w="720" w:type="dxa"/>
          </w:tcPr>
          <w:p>
            <w:pPr>
              <w:pStyle w:val="15"/>
              <w:spacing w:before="100" w:line="189" w:lineRule="auto"/>
              <w:ind w:left="328"/>
              <w:rPr>
                <w:color w:val="auto"/>
              </w:rPr>
            </w:pPr>
            <w:r>
              <w:rPr>
                <w:b/>
                <w:bCs/>
                <w:color w:val="auto"/>
                <w:spacing w:val="-3"/>
              </w:rPr>
              <w:t>1</w:t>
            </w:r>
          </w:p>
        </w:tc>
        <w:tc>
          <w:tcPr>
            <w:tcW w:w="899" w:type="dxa"/>
          </w:tcPr>
          <w:p>
            <w:pPr>
              <w:pStyle w:val="15"/>
              <w:spacing w:before="100" w:line="189" w:lineRule="auto"/>
              <w:ind w:left="407"/>
              <w:rPr>
                <w:color w:val="auto"/>
              </w:rPr>
            </w:pPr>
            <w:r>
              <w:rPr>
                <w:b/>
                <w:bCs/>
                <w:color w:val="auto"/>
                <w:spacing w:val="-3"/>
              </w:rPr>
              <w:t>2</w:t>
            </w:r>
          </w:p>
        </w:tc>
        <w:tc>
          <w:tcPr>
            <w:tcW w:w="904" w:type="dxa"/>
          </w:tcPr>
          <w:p>
            <w:pPr>
              <w:pStyle w:val="15"/>
              <w:spacing w:before="67" w:line="267" w:lineRule="exact"/>
              <w:ind w:left="260"/>
              <w:rPr>
                <w:color w:val="auto"/>
              </w:rPr>
            </w:pPr>
            <w:r>
              <w:rPr>
                <w:b/>
                <w:bCs/>
                <w:color w:val="auto"/>
                <w:spacing w:val="-3"/>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continue"/>
            <w:tcBorders>
              <w:top w:val="nil"/>
            </w:tcBorders>
            <w:textDirection w:val="tbRlV"/>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2592" w:type="dxa"/>
            <w:gridSpan w:val="2"/>
            <w:vMerge w:val="continue"/>
            <w:tcBorders>
              <w:top w:val="nil"/>
            </w:tcBorders>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48" w:type="dxa"/>
            <w:vMerge w:val="restart"/>
            <w:tcBorders>
              <w:bottom w:val="nil"/>
            </w:tcBorders>
          </w:tcPr>
          <w:p>
            <w:pPr>
              <w:spacing w:line="243" w:lineRule="auto"/>
              <w:rPr>
                <w:color w:val="auto"/>
              </w:rPr>
            </w:pPr>
          </w:p>
          <w:p>
            <w:pPr>
              <w:spacing w:line="244" w:lineRule="auto"/>
              <w:rPr>
                <w:color w:val="auto"/>
              </w:rPr>
            </w:pPr>
          </w:p>
          <w:p>
            <w:pPr>
              <w:spacing w:line="244" w:lineRule="auto"/>
              <w:rPr>
                <w:color w:val="auto"/>
              </w:rPr>
            </w:pPr>
          </w:p>
          <w:p>
            <w:pPr>
              <w:pStyle w:val="15"/>
              <w:spacing w:before="65" w:line="189" w:lineRule="auto"/>
              <w:ind w:left="193"/>
              <w:rPr>
                <w:color w:val="auto"/>
              </w:rPr>
            </w:pPr>
            <w:r>
              <w:rPr>
                <w:color w:val="auto"/>
              </w:rPr>
              <w:t>1</w:t>
            </w:r>
          </w:p>
        </w:tc>
        <w:tc>
          <w:tcPr>
            <w:tcW w:w="915" w:type="dxa"/>
            <w:vMerge w:val="restart"/>
            <w:tcBorders>
              <w:bottom w:val="nil"/>
            </w:tcBorders>
          </w:tcPr>
          <w:p>
            <w:pPr>
              <w:rPr>
                <w:color w:val="auto"/>
              </w:rPr>
            </w:pPr>
          </w:p>
        </w:tc>
        <w:tc>
          <w:tcPr>
            <w:tcW w:w="2699" w:type="dxa"/>
            <w:vMerge w:val="restart"/>
            <w:tcBorders>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restart"/>
            <w:tcBorders>
              <w:bottom w:val="nil"/>
            </w:tcBorders>
          </w:tcPr>
          <w:p>
            <w:pPr>
              <w:rPr>
                <w:color w:val="auto"/>
              </w:rPr>
            </w:pPr>
          </w:p>
        </w:tc>
        <w:tc>
          <w:tcPr>
            <w:tcW w:w="899" w:type="dxa"/>
            <w:vMerge w:val="restart"/>
            <w:tcBorders>
              <w:bottom w:val="nil"/>
            </w:tcBorders>
          </w:tcPr>
          <w:p>
            <w:pPr>
              <w:rPr>
                <w:color w:val="auto"/>
              </w:rPr>
            </w:pPr>
          </w:p>
        </w:tc>
        <w:tc>
          <w:tcPr>
            <w:tcW w:w="904"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bottom w:val="nil"/>
            </w:tcBorders>
          </w:tcPr>
          <w:p>
            <w:pPr>
              <w:rPr>
                <w:color w:val="auto"/>
              </w:rPr>
            </w:pPr>
          </w:p>
        </w:tc>
        <w:tc>
          <w:tcPr>
            <w:tcW w:w="915" w:type="dxa"/>
            <w:vMerge w:val="continue"/>
            <w:tcBorders>
              <w:top w:val="nil"/>
              <w:bottom w:val="nil"/>
            </w:tcBorders>
          </w:tcPr>
          <w:p>
            <w:pPr>
              <w:rPr>
                <w:color w:val="auto"/>
              </w:rPr>
            </w:pPr>
          </w:p>
        </w:tc>
        <w:tc>
          <w:tcPr>
            <w:tcW w:w="2699" w:type="dxa"/>
            <w:vMerge w:val="continue"/>
            <w:tcBorders>
              <w:top w:val="nil"/>
              <w:bottom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bottom w:val="nil"/>
            </w:tcBorders>
          </w:tcPr>
          <w:p>
            <w:pPr>
              <w:rPr>
                <w:color w:val="auto"/>
              </w:rPr>
            </w:pPr>
          </w:p>
        </w:tc>
        <w:tc>
          <w:tcPr>
            <w:tcW w:w="899" w:type="dxa"/>
            <w:vMerge w:val="continue"/>
            <w:tcBorders>
              <w:top w:val="nil"/>
              <w:bottom w:val="nil"/>
            </w:tcBorders>
          </w:tcPr>
          <w:p>
            <w:pPr>
              <w:rPr>
                <w:color w:val="auto"/>
              </w:rPr>
            </w:pPr>
          </w:p>
        </w:tc>
        <w:tc>
          <w:tcPr>
            <w:tcW w:w="904"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vMerge w:val="continue"/>
            <w:tcBorders>
              <w:top w:val="nil"/>
            </w:tcBorders>
          </w:tcPr>
          <w:p>
            <w:pPr>
              <w:rPr>
                <w:color w:val="auto"/>
              </w:rPr>
            </w:pPr>
          </w:p>
        </w:tc>
        <w:tc>
          <w:tcPr>
            <w:tcW w:w="915" w:type="dxa"/>
            <w:vMerge w:val="continue"/>
            <w:tcBorders>
              <w:top w:val="nil"/>
            </w:tcBorders>
          </w:tcPr>
          <w:p>
            <w:pPr>
              <w:rPr>
                <w:color w:val="auto"/>
              </w:rPr>
            </w:pPr>
          </w:p>
        </w:tc>
        <w:tc>
          <w:tcPr>
            <w:tcW w:w="2699" w:type="dxa"/>
            <w:vMerge w:val="continue"/>
            <w:tcBorders>
              <w:top w:val="nil"/>
            </w:tcBorders>
          </w:tcPr>
          <w:p>
            <w:pPr>
              <w:rPr>
                <w:color w:val="auto"/>
              </w:rPr>
            </w:pPr>
          </w:p>
        </w:tc>
        <w:tc>
          <w:tcPr>
            <w:tcW w:w="1693" w:type="dxa"/>
          </w:tcPr>
          <w:p>
            <w:pPr>
              <w:rPr>
                <w:color w:val="auto"/>
              </w:rPr>
            </w:pPr>
          </w:p>
        </w:tc>
        <w:tc>
          <w:tcPr>
            <w:tcW w:w="899" w:type="dxa"/>
          </w:tcPr>
          <w:p>
            <w:pPr>
              <w:rPr>
                <w:color w:val="auto"/>
              </w:rPr>
            </w:pPr>
          </w:p>
        </w:tc>
        <w:tc>
          <w:tcPr>
            <w:tcW w:w="720" w:type="dxa"/>
            <w:vMerge w:val="continue"/>
            <w:tcBorders>
              <w:top w:val="nil"/>
            </w:tcBorders>
          </w:tcPr>
          <w:p>
            <w:pPr>
              <w:rPr>
                <w:color w:val="auto"/>
              </w:rPr>
            </w:pPr>
          </w:p>
        </w:tc>
        <w:tc>
          <w:tcPr>
            <w:tcW w:w="899" w:type="dxa"/>
            <w:vMerge w:val="continue"/>
            <w:tcBorders>
              <w:top w:val="nil"/>
            </w:tcBorders>
          </w:tcPr>
          <w:p>
            <w:pPr>
              <w:rPr>
                <w:color w:val="auto"/>
              </w:rPr>
            </w:pPr>
          </w:p>
        </w:tc>
        <w:tc>
          <w:tcPr>
            <w:tcW w:w="904"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0"/>
              <w:rPr>
                <w:color w:val="auto"/>
              </w:rPr>
            </w:pPr>
            <w:r>
              <w:rPr>
                <w:color w:val="auto"/>
              </w:rPr>
              <w:t>2</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81"/>
              <w:rPr>
                <w:color w:val="auto"/>
              </w:rPr>
            </w:pPr>
            <w:r>
              <w:rPr>
                <w:color w:val="auto"/>
              </w:rPr>
              <w:t>3</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2" w:line="189" w:lineRule="auto"/>
              <w:ind w:left="176"/>
              <w:rPr>
                <w:color w:val="auto"/>
              </w:rPr>
            </w:pPr>
            <w:r>
              <w:rPr>
                <w:color w:val="auto"/>
              </w:rPr>
              <w:t>4</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5" w:line="187" w:lineRule="auto"/>
              <w:ind w:left="181"/>
              <w:rPr>
                <w:color w:val="auto"/>
              </w:rPr>
            </w:pPr>
            <w:r>
              <w:rPr>
                <w:color w:val="auto"/>
              </w:rPr>
              <w:t>5</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48" w:type="dxa"/>
          </w:tcPr>
          <w:p>
            <w:pPr>
              <w:pStyle w:val="15"/>
              <w:spacing w:before="103" w:line="189" w:lineRule="auto"/>
              <w:ind w:left="179"/>
              <w:rPr>
                <w:color w:val="auto"/>
              </w:rPr>
            </w:pPr>
            <w:r>
              <w:rPr>
                <w:color w:val="auto"/>
              </w:rPr>
              <w:t>6</w:t>
            </w:r>
          </w:p>
        </w:tc>
        <w:tc>
          <w:tcPr>
            <w:tcW w:w="915" w:type="dxa"/>
          </w:tcPr>
          <w:p>
            <w:pPr>
              <w:rPr>
                <w:color w:val="auto"/>
              </w:rPr>
            </w:pPr>
          </w:p>
        </w:tc>
        <w:tc>
          <w:tcPr>
            <w:tcW w:w="2699" w:type="dxa"/>
          </w:tcPr>
          <w:p>
            <w:pPr>
              <w:rPr>
                <w:color w:val="auto"/>
              </w:rPr>
            </w:pPr>
          </w:p>
        </w:tc>
        <w:tc>
          <w:tcPr>
            <w:tcW w:w="1693" w:type="dxa"/>
          </w:tcPr>
          <w:p>
            <w:pPr>
              <w:rPr>
                <w:color w:val="auto"/>
              </w:rPr>
            </w:pPr>
          </w:p>
        </w:tc>
        <w:tc>
          <w:tcPr>
            <w:tcW w:w="899" w:type="dxa"/>
          </w:tcPr>
          <w:p>
            <w:pPr>
              <w:rPr>
                <w:color w:val="auto"/>
              </w:rPr>
            </w:pPr>
          </w:p>
        </w:tc>
        <w:tc>
          <w:tcPr>
            <w:tcW w:w="720" w:type="dxa"/>
          </w:tcPr>
          <w:p>
            <w:pPr>
              <w:rPr>
                <w:color w:val="auto"/>
              </w:rPr>
            </w:pPr>
          </w:p>
        </w:tc>
        <w:tc>
          <w:tcPr>
            <w:tcW w:w="899" w:type="dxa"/>
          </w:tcPr>
          <w:p>
            <w:pPr>
              <w:rPr>
                <w:color w:val="auto"/>
              </w:rPr>
            </w:pPr>
          </w:p>
        </w:tc>
        <w:tc>
          <w:tcPr>
            <w:tcW w:w="90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448" w:type="dxa"/>
          </w:tcPr>
          <w:p>
            <w:pPr>
              <w:rPr>
                <w:color w:val="auto"/>
              </w:rPr>
            </w:pPr>
          </w:p>
        </w:tc>
        <w:tc>
          <w:tcPr>
            <w:tcW w:w="6206" w:type="dxa"/>
            <w:gridSpan w:val="4"/>
          </w:tcPr>
          <w:p>
            <w:pPr>
              <w:pStyle w:val="15"/>
              <w:spacing w:before="71" w:line="228" w:lineRule="auto"/>
              <w:ind w:left="1893"/>
              <w:rPr>
                <w:color w:val="auto"/>
                <w:lang w:eastAsia="zh-CN"/>
              </w:rPr>
            </w:pPr>
            <w:r>
              <w:rPr>
                <w:b/>
                <w:bCs/>
                <w:color w:val="auto"/>
                <w:spacing w:val="6"/>
                <w:lang w:eastAsia="zh-CN"/>
              </w:rPr>
              <w:t>评审结论（合格/不合格）</w:t>
            </w:r>
          </w:p>
        </w:tc>
        <w:tc>
          <w:tcPr>
            <w:tcW w:w="720" w:type="dxa"/>
          </w:tcPr>
          <w:p>
            <w:pPr>
              <w:rPr>
                <w:color w:val="auto"/>
                <w:lang w:eastAsia="zh-CN"/>
              </w:rPr>
            </w:pPr>
          </w:p>
        </w:tc>
        <w:tc>
          <w:tcPr>
            <w:tcW w:w="899" w:type="dxa"/>
          </w:tcPr>
          <w:p>
            <w:pPr>
              <w:rPr>
                <w:color w:val="auto"/>
                <w:lang w:eastAsia="zh-CN"/>
              </w:rPr>
            </w:pPr>
          </w:p>
        </w:tc>
        <w:tc>
          <w:tcPr>
            <w:tcW w:w="904" w:type="dxa"/>
          </w:tcPr>
          <w:p>
            <w:pPr>
              <w:rPr>
                <w:color w:val="auto"/>
                <w:lang w:eastAsia="zh-CN"/>
              </w:rPr>
            </w:pPr>
          </w:p>
        </w:tc>
      </w:tr>
    </w:tbl>
    <w:p>
      <w:pPr>
        <w:spacing w:before="141" w:line="229" w:lineRule="auto"/>
        <w:ind w:left="209"/>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备注：</w:t>
      </w:r>
    </w:p>
    <w:p>
      <w:pPr>
        <w:spacing w:before="150" w:line="225" w:lineRule="auto"/>
        <w:ind w:left="642"/>
        <w:rPr>
          <w:rFonts w:ascii="宋体" w:hAnsi="宋体" w:eastAsia="宋体" w:cs="宋体"/>
          <w:color w:val="auto"/>
          <w:sz w:val="20"/>
          <w:szCs w:val="20"/>
          <w:lang w:eastAsia="zh-CN"/>
        </w:rPr>
      </w:pPr>
      <w:r>
        <w:rPr>
          <w:rFonts w:ascii="宋体" w:hAnsi="宋体" w:eastAsia="宋体" w:cs="宋体"/>
          <w:color w:val="auto"/>
          <w:sz w:val="20"/>
          <w:szCs w:val="20"/>
          <w:lang w:eastAsia="zh-CN"/>
        </w:rPr>
        <w:t>1.评审项目合格的打“√”,不合格的打“×</w:t>
      </w:r>
      <w:r>
        <w:rPr>
          <w:rFonts w:ascii="宋体" w:hAnsi="宋体" w:eastAsia="宋体" w:cs="宋体"/>
          <w:color w:val="auto"/>
          <w:spacing w:val="-1"/>
          <w:sz w:val="20"/>
          <w:szCs w:val="20"/>
          <w:lang w:eastAsia="zh-CN"/>
        </w:rPr>
        <w:t>”。</w:t>
      </w:r>
    </w:p>
    <w:p>
      <w:pPr>
        <w:spacing w:before="156" w:line="355" w:lineRule="auto"/>
        <w:ind w:left="207" w:right="199"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2.评标委员会对投标人的技术投标文件进行集体评议</w:t>
      </w:r>
      <w:r>
        <w:rPr>
          <w:rFonts w:ascii="宋体" w:hAnsi="宋体" w:eastAsia="宋体" w:cs="宋体"/>
          <w:color w:val="auto"/>
          <w:spacing w:val="8"/>
          <w:sz w:val="20"/>
          <w:szCs w:val="20"/>
          <w:lang w:eastAsia="zh-CN"/>
        </w:rPr>
        <w:t>，评标委员会成员根据集体评议意见对技术投标文件自主评价并作出书面评价。</w:t>
      </w:r>
    </w:p>
    <w:p>
      <w:pPr>
        <w:spacing w:before="32" w:line="355" w:lineRule="auto"/>
        <w:ind w:left="208" w:right="199"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3.按照少数服从多数原则，多数评委评审不合格</w:t>
      </w:r>
      <w:r>
        <w:rPr>
          <w:rFonts w:ascii="宋体" w:hAnsi="宋体" w:eastAsia="宋体" w:cs="宋体"/>
          <w:color w:val="auto"/>
          <w:spacing w:val="8"/>
          <w:sz w:val="20"/>
          <w:szCs w:val="20"/>
          <w:lang w:eastAsia="zh-CN"/>
        </w:rPr>
        <w:t>的技术投标文件评审结果为不合格；通过技</w:t>
      </w:r>
      <w:r>
        <w:rPr>
          <w:rFonts w:ascii="宋体" w:hAnsi="宋体" w:eastAsia="宋体" w:cs="宋体"/>
          <w:color w:val="auto"/>
          <w:spacing w:val="9"/>
          <w:sz w:val="20"/>
          <w:szCs w:val="20"/>
          <w:lang w:eastAsia="zh-CN"/>
        </w:rPr>
        <w:t>术投标文件合格性评审的投标人，视为合格投标人。</w:t>
      </w:r>
    </w:p>
    <w:p>
      <w:pPr>
        <w:spacing w:before="31" w:line="353" w:lineRule="auto"/>
        <w:ind w:left="223" w:right="199" w:firstLine="402"/>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4.招标人可在技术投标文件评审标准表中的其他项中根据项目的特点进行调整</w:t>
      </w:r>
      <w:r>
        <w:rPr>
          <w:rFonts w:ascii="宋体" w:hAnsi="宋体" w:eastAsia="宋体" w:cs="宋体"/>
          <w:color w:val="auto"/>
          <w:spacing w:val="13"/>
          <w:sz w:val="20"/>
          <w:szCs w:val="20"/>
          <w:lang w:eastAsia="zh-CN"/>
        </w:rPr>
        <w:t>和补充评审</w:t>
      </w:r>
      <w:r>
        <w:rPr>
          <w:rFonts w:ascii="宋体" w:hAnsi="宋体" w:eastAsia="宋体" w:cs="宋体"/>
          <w:color w:val="auto"/>
          <w:spacing w:val="-3"/>
          <w:sz w:val="20"/>
          <w:szCs w:val="20"/>
          <w:lang w:eastAsia="zh-CN"/>
        </w:rPr>
        <w:t>因数。</w:t>
      </w:r>
    </w:p>
    <w:p>
      <w:pPr>
        <w:pStyle w:val="3"/>
        <w:spacing w:line="308" w:lineRule="auto"/>
        <w:rPr>
          <w:color w:val="auto"/>
          <w:lang w:eastAsia="zh-CN"/>
        </w:rPr>
      </w:pPr>
    </w:p>
    <w:p>
      <w:pPr>
        <w:pStyle w:val="3"/>
        <w:spacing w:line="309" w:lineRule="auto"/>
        <w:rPr>
          <w:color w:val="auto"/>
          <w:lang w:eastAsia="zh-CN"/>
        </w:rPr>
      </w:pPr>
    </w:p>
    <w:p>
      <w:pPr>
        <w:spacing w:before="66" w:line="228" w:lineRule="auto"/>
        <w:ind w:left="20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评委签字/日期：</w:t>
      </w:r>
    </w:p>
    <w:p>
      <w:pPr>
        <w:spacing w:line="228" w:lineRule="auto"/>
        <w:rPr>
          <w:rFonts w:ascii="宋体" w:hAnsi="宋体" w:eastAsia="宋体" w:cs="宋体"/>
          <w:color w:val="auto"/>
          <w:sz w:val="20"/>
          <w:szCs w:val="20"/>
          <w:lang w:eastAsia="zh-CN"/>
        </w:rPr>
        <w:sectPr>
          <w:footerReference r:id="rId32" w:type="default"/>
          <w:pgSz w:w="11906" w:h="16839"/>
          <w:pgMar w:top="1431" w:right="1333" w:bottom="1356" w:left="1390" w:header="0" w:footer="1191" w:gutter="0"/>
          <w:cols w:space="720" w:num="1"/>
          <w:docGrid w:linePitch="0" w:charSpace="0"/>
        </w:sectPr>
      </w:pPr>
    </w:p>
    <w:p>
      <w:pPr>
        <w:pStyle w:val="3"/>
        <w:spacing w:line="454" w:lineRule="auto"/>
        <w:rPr>
          <w:color w:val="auto"/>
          <w:lang w:eastAsia="zh-CN"/>
        </w:rPr>
      </w:pPr>
    </w:p>
    <w:p>
      <w:pPr>
        <w:spacing w:before="101" w:line="228" w:lineRule="auto"/>
        <w:ind w:left="16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附表4：不合格投标人名单表</w:t>
      </w:r>
    </w:p>
    <w:p>
      <w:pPr>
        <w:pStyle w:val="3"/>
        <w:spacing w:line="267" w:lineRule="auto"/>
        <w:rPr>
          <w:color w:val="auto"/>
          <w:lang w:eastAsia="zh-CN"/>
        </w:rPr>
      </w:pPr>
    </w:p>
    <w:p>
      <w:pPr>
        <w:pStyle w:val="3"/>
        <w:spacing w:line="267" w:lineRule="auto"/>
        <w:rPr>
          <w:color w:val="auto"/>
          <w:lang w:eastAsia="zh-CN"/>
        </w:rPr>
      </w:pPr>
    </w:p>
    <w:p>
      <w:pPr>
        <w:spacing w:before="91" w:line="222" w:lineRule="auto"/>
        <w:ind w:left="3558"/>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不合格情况说明</w:t>
      </w:r>
    </w:p>
    <w:p>
      <w:pPr>
        <w:pStyle w:val="3"/>
        <w:spacing w:line="263" w:lineRule="auto"/>
        <w:rPr>
          <w:color w:val="auto"/>
          <w:lang w:eastAsia="zh-CN"/>
        </w:rPr>
      </w:pPr>
    </w:p>
    <w:p>
      <w:pPr>
        <w:pStyle w:val="3"/>
        <w:spacing w:line="264" w:lineRule="auto"/>
        <w:rPr>
          <w:color w:val="auto"/>
          <w:lang w:eastAsia="zh-CN"/>
        </w:rPr>
      </w:pPr>
    </w:p>
    <w:p>
      <w:pPr>
        <w:tabs>
          <w:tab w:val="left" w:pos="1451"/>
        </w:tabs>
        <w:spacing w:before="78" w:line="220" w:lineRule="auto"/>
        <w:ind w:left="131"/>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41"/>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7"/>
        <w:gridCol w:w="3425"/>
        <w:gridCol w:w="4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2" w:hRule="atLeast"/>
        </w:trPr>
        <w:tc>
          <w:tcPr>
            <w:tcW w:w="797" w:type="dxa"/>
          </w:tcPr>
          <w:p>
            <w:pPr>
              <w:spacing w:line="338" w:lineRule="auto"/>
              <w:rPr>
                <w:color w:val="auto"/>
              </w:rPr>
            </w:pPr>
          </w:p>
          <w:p>
            <w:pPr>
              <w:pStyle w:val="15"/>
              <w:spacing w:before="65" w:line="229" w:lineRule="auto"/>
              <w:ind w:left="191"/>
              <w:rPr>
                <w:color w:val="auto"/>
              </w:rPr>
            </w:pPr>
            <w:r>
              <w:rPr>
                <w:b/>
                <w:bCs/>
                <w:color w:val="auto"/>
                <w:spacing w:val="4"/>
              </w:rPr>
              <w:t>序号</w:t>
            </w:r>
          </w:p>
        </w:tc>
        <w:tc>
          <w:tcPr>
            <w:tcW w:w="3425" w:type="dxa"/>
          </w:tcPr>
          <w:p>
            <w:pPr>
              <w:spacing w:line="338" w:lineRule="auto"/>
              <w:rPr>
                <w:color w:val="auto"/>
              </w:rPr>
            </w:pPr>
          </w:p>
          <w:p>
            <w:pPr>
              <w:pStyle w:val="15"/>
              <w:spacing w:before="65" w:line="228" w:lineRule="auto"/>
              <w:ind w:left="1034"/>
              <w:rPr>
                <w:color w:val="auto"/>
              </w:rPr>
            </w:pPr>
            <w:r>
              <w:rPr>
                <w:b/>
                <w:bCs/>
                <w:color w:val="auto"/>
                <w:spacing w:val="-3"/>
              </w:rPr>
              <w:t>投标人</w:t>
            </w:r>
          </w:p>
        </w:tc>
        <w:tc>
          <w:tcPr>
            <w:tcW w:w="4821" w:type="dxa"/>
          </w:tcPr>
          <w:p>
            <w:pPr>
              <w:spacing w:line="338" w:lineRule="auto"/>
              <w:rPr>
                <w:color w:val="auto"/>
                <w:lang w:eastAsia="zh-CN"/>
              </w:rPr>
            </w:pPr>
          </w:p>
          <w:p>
            <w:pPr>
              <w:pStyle w:val="15"/>
              <w:spacing w:before="65" w:line="227" w:lineRule="auto"/>
              <w:ind w:left="832"/>
              <w:rPr>
                <w:color w:val="auto"/>
                <w:lang w:eastAsia="zh-CN"/>
              </w:rPr>
            </w:pPr>
            <w:r>
              <w:rPr>
                <w:b/>
                <w:bCs/>
                <w:color w:val="auto"/>
                <w:spacing w:val="8"/>
                <w:lang w:eastAsia="zh-CN"/>
              </w:rPr>
              <w:t>认定不合格情况的详细原因和依据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0" w:lineRule="auto"/>
              <w:rPr>
                <w:color w:val="auto"/>
                <w:lang w:eastAsia="zh-CN"/>
              </w:rPr>
            </w:pPr>
          </w:p>
          <w:p>
            <w:pPr>
              <w:pStyle w:val="15"/>
              <w:spacing w:before="65" w:line="189" w:lineRule="auto"/>
              <w:ind w:left="366"/>
              <w:rPr>
                <w:color w:val="auto"/>
              </w:rPr>
            </w:pPr>
            <w:r>
              <w:rPr>
                <w:color w:val="auto"/>
              </w:rPr>
              <w:t>1</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1" w:lineRule="auto"/>
              <w:rPr>
                <w:color w:val="auto"/>
              </w:rPr>
            </w:pPr>
          </w:p>
          <w:p>
            <w:pPr>
              <w:pStyle w:val="15"/>
              <w:spacing w:before="65" w:line="189" w:lineRule="auto"/>
              <w:ind w:left="353"/>
              <w:rPr>
                <w:color w:val="auto"/>
              </w:rPr>
            </w:pPr>
            <w:r>
              <w:rPr>
                <w:color w:val="auto"/>
              </w:rPr>
              <w:t>2</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797" w:type="dxa"/>
          </w:tcPr>
          <w:p>
            <w:pPr>
              <w:spacing w:line="322" w:lineRule="auto"/>
              <w:rPr>
                <w:color w:val="auto"/>
              </w:rPr>
            </w:pPr>
          </w:p>
          <w:p>
            <w:pPr>
              <w:pStyle w:val="15"/>
              <w:spacing w:before="65" w:line="189" w:lineRule="auto"/>
              <w:ind w:left="354"/>
              <w:rPr>
                <w:color w:val="auto"/>
              </w:rPr>
            </w:pPr>
            <w:r>
              <w:rPr>
                <w:color w:val="auto"/>
              </w:rPr>
              <w:t>3</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3" w:hRule="atLeast"/>
        </w:trPr>
        <w:tc>
          <w:tcPr>
            <w:tcW w:w="797" w:type="dxa"/>
          </w:tcPr>
          <w:p>
            <w:pPr>
              <w:spacing w:line="323" w:lineRule="auto"/>
              <w:rPr>
                <w:color w:val="auto"/>
              </w:rPr>
            </w:pPr>
          </w:p>
          <w:p>
            <w:pPr>
              <w:pStyle w:val="15"/>
              <w:spacing w:before="65" w:line="189" w:lineRule="auto"/>
              <w:ind w:left="349"/>
              <w:rPr>
                <w:color w:val="auto"/>
              </w:rPr>
            </w:pPr>
            <w:r>
              <w:rPr>
                <w:color w:val="auto"/>
              </w:rPr>
              <w:t>4</w:t>
            </w:r>
          </w:p>
        </w:tc>
        <w:tc>
          <w:tcPr>
            <w:tcW w:w="3425" w:type="dxa"/>
          </w:tcPr>
          <w:p>
            <w:pPr>
              <w:rPr>
                <w:color w:val="auto"/>
              </w:rPr>
            </w:pPr>
          </w:p>
        </w:tc>
        <w:tc>
          <w:tcPr>
            <w:tcW w:w="48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8" w:hRule="atLeast"/>
        </w:trPr>
        <w:tc>
          <w:tcPr>
            <w:tcW w:w="797" w:type="dxa"/>
          </w:tcPr>
          <w:p>
            <w:pPr>
              <w:spacing w:line="291" w:lineRule="auto"/>
              <w:rPr>
                <w:color w:val="auto"/>
              </w:rPr>
            </w:pPr>
          </w:p>
          <w:p>
            <w:pPr>
              <w:pStyle w:val="15"/>
              <w:spacing w:before="65" w:line="324" w:lineRule="exact"/>
              <w:ind w:left="207"/>
              <w:rPr>
                <w:color w:val="auto"/>
              </w:rPr>
            </w:pPr>
            <w:r>
              <w:rPr>
                <w:color w:val="auto"/>
                <w:spacing w:val="-2"/>
                <w:position w:val="2"/>
              </w:rPr>
              <w:t>……</w:t>
            </w:r>
          </w:p>
        </w:tc>
        <w:tc>
          <w:tcPr>
            <w:tcW w:w="3425" w:type="dxa"/>
          </w:tcPr>
          <w:p>
            <w:pPr>
              <w:rPr>
                <w:color w:val="auto"/>
              </w:rPr>
            </w:pPr>
          </w:p>
        </w:tc>
        <w:tc>
          <w:tcPr>
            <w:tcW w:w="4821" w:type="dxa"/>
          </w:tcPr>
          <w:p>
            <w:pPr>
              <w:rPr>
                <w:color w:val="auto"/>
              </w:rPr>
            </w:pPr>
          </w:p>
        </w:tc>
      </w:tr>
    </w:tbl>
    <w:p>
      <w:pPr>
        <w:spacing w:before="301" w:line="227" w:lineRule="auto"/>
        <w:ind w:left="13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3" w:type="default"/>
          <w:pgSz w:w="11906" w:h="16839"/>
          <w:pgMar w:top="1431" w:right="1400" w:bottom="1355" w:left="1457"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3"/>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附表5：进入详细评审的投标人名单表</w:t>
      </w:r>
    </w:p>
    <w:p>
      <w:pPr>
        <w:pStyle w:val="3"/>
        <w:spacing w:line="317" w:lineRule="auto"/>
        <w:rPr>
          <w:color w:val="auto"/>
          <w:lang w:eastAsia="zh-CN"/>
        </w:rPr>
      </w:pPr>
    </w:p>
    <w:p>
      <w:pPr>
        <w:pStyle w:val="3"/>
        <w:spacing w:line="317" w:lineRule="auto"/>
        <w:rPr>
          <w:color w:val="auto"/>
          <w:lang w:eastAsia="zh-CN"/>
        </w:rPr>
      </w:pPr>
    </w:p>
    <w:p>
      <w:pPr>
        <w:spacing w:before="91" w:line="222" w:lineRule="auto"/>
        <w:ind w:left="2695"/>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进入详细评审的投标人名单表</w:t>
      </w:r>
    </w:p>
    <w:p>
      <w:pPr>
        <w:pStyle w:val="3"/>
        <w:spacing w:line="328" w:lineRule="auto"/>
        <w:rPr>
          <w:color w:val="auto"/>
          <w:lang w:eastAsia="zh-CN"/>
        </w:rPr>
      </w:pPr>
    </w:p>
    <w:p>
      <w:pPr>
        <w:pStyle w:val="3"/>
        <w:spacing w:line="329" w:lineRule="auto"/>
        <w:rPr>
          <w:color w:val="auto"/>
          <w:lang w:eastAsia="zh-CN"/>
        </w:rPr>
      </w:pPr>
    </w:p>
    <w:p>
      <w:pPr>
        <w:tabs>
          <w:tab w:val="left" w:pos="1433"/>
        </w:tabs>
        <w:spacing w:before="78" w:line="220" w:lineRule="auto"/>
        <w:ind w:left="113"/>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2" w:line="219" w:lineRule="auto"/>
        <w:ind w:left="123"/>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86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8"/>
        <w:gridCol w:w="5682"/>
        <w:gridCol w:w="20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pStyle w:val="15"/>
              <w:spacing w:before="127" w:line="229" w:lineRule="auto"/>
              <w:ind w:left="267"/>
              <w:rPr>
                <w:color w:val="auto"/>
              </w:rPr>
            </w:pPr>
            <w:r>
              <w:rPr>
                <w:b/>
                <w:bCs/>
                <w:color w:val="auto"/>
                <w:spacing w:val="4"/>
              </w:rPr>
              <w:t>序号</w:t>
            </w:r>
          </w:p>
        </w:tc>
        <w:tc>
          <w:tcPr>
            <w:tcW w:w="5682" w:type="dxa"/>
          </w:tcPr>
          <w:p>
            <w:pPr>
              <w:pStyle w:val="15"/>
              <w:spacing w:before="127" w:line="228" w:lineRule="auto"/>
              <w:ind w:left="2322"/>
              <w:rPr>
                <w:color w:val="auto"/>
              </w:rPr>
            </w:pPr>
            <w:r>
              <w:rPr>
                <w:b/>
                <w:bCs/>
                <w:color w:val="auto"/>
                <w:spacing w:val="6"/>
              </w:rPr>
              <w:t>投标人名称</w:t>
            </w:r>
          </w:p>
        </w:tc>
        <w:tc>
          <w:tcPr>
            <w:tcW w:w="2018" w:type="dxa"/>
          </w:tcPr>
          <w:p>
            <w:pPr>
              <w:pStyle w:val="15"/>
              <w:spacing w:before="127" w:line="229" w:lineRule="auto"/>
              <w:ind w:left="8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948" w:type="dxa"/>
          </w:tcPr>
          <w:p>
            <w:pPr>
              <w:rPr>
                <w:color w:val="auto"/>
              </w:rPr>
            </w:pPr>
          </w:p>
        </w:tc>
        <w:tc>
          <w:tcPr>
            <w:tcW w:w="5682" w:type="dxa"/>
          </w:tcPr>
          <w:p>
            <w:pPr>
              <w:rPr>
                <w:color w:val="auto"/>
              </w:rPr>
            </w:pPr>
          </w:p>
        </w:tc>
        <w:tc>
          <w:tcPr>
            <w:tcW w:w="201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3" w:hRule="atLeast"/>
        </w:trPr>
        <w:tc>
          <w:tcPr>
            <w:tcW w:w="948" w:type="dxa"/>
          </w:tcPr>
          <w:p>
            <w:pPr>
              <w:rPr>
                <w:color w:val="auto"/>
              </w:rPr>
            </w:pPr>
          </w:p>
        </w:tc>
        <w:tc>
          <w:tcPr>
            <w:tcW w:w="5682" w:type="dxa"/>
          </w:tcPr>
          <w:p>
            <w:pPr>
              <w:rPr>
                <w:color w:val="auto"/>
              </w:rPr>
            </w:pPr>
          </w:p>
        </w:tc>
        <w:tc>
          <w:tcPr>
            <w:tcW w:w="2018" w:type="dxa"/>
          </w:tcPr>
          <w:p>
            <w:pPr>
              <w:rPr>
                <w:color w:val="auto"/>
              </w:rPr>
            </w:pPr>
          </w:p>
        </w:tc>
      </w:tr>
    </w:tbl>
    <w:p>
      <w:pPr>
        <w:spacing w:before="301" w:line="227" w:lineRule="auto"/>
        <w:ind w:left="1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pStyle w:val="3"/>
        <w:spacing w:line="294" w:lineRule="auto"/>
        <w:rPr>
          <w:color w:val="auto"/>
          <w:lang w:eastAsia="zh-CN"/>
        </w:rPr>
      </w:pPr>
    </w:p>
    <w:p>
      <w:pPr>
        <w:pStyle w:val="3"/>
        <w:spacing w:line="294" w:lineRule="auto"/>
        <w:rPr>
          <w:color w:val="auto"/>
          <w:lang w:eastAsia="zh-CN"/>
        </w:rPr>
      </w:pPr>
    </w:p>
    <w:p>
      <w:pPr>
        <w:pStyle w:val="3"/>
        <w:spacing w:line="295"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备注：本表中投标人排名不分先后。</w:t>
      </w:r>
    </w:p>
    <w:p>
      <w:pPr>
        <w:spacing w:line="227" w:lineRule="auto"/>
        <w:rPr>
          <w:rFonts w:ascii="宋体" w:hAnsi="宋体" w:eastAsia="宋体" w:cs="宋体"/>
          <w:color w:val="auto"/>
          <w:sz w:val="20"/>
          <w:szCs w:val="20"/>
          <w:lang w:eastAsia="zh-CN"/>
        </w:rPr>
        <w:sectPr>
          <w:footerReference r:id="rId34" w:type="default"/>
          <w:pgSz w:w="11906" w:h="16839"/>
          <w:pgMar w:top="1431" w:right="1777" w:bottom="1355" w:left="1475"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160"/>
        <w:rPr>
          <w:rFonts w:ascii="黑体" w:hAnsi="黑体" w:eastAsia="黑体" w:cs="黑体"/>
          <w:color w:val="auto"/>
          <w:sz w:val="31"/>
          <w:szCs w:val="31"/>
        </w:rPr>
      </w:pPr>
      <w:r>
        <w:rPr>
          <w:rFonts w:ascii="黑体" w:hAnsi="黑体" w:eastAsia="黑体" w:cs="黑体"/>
          <w:color w:val="auto"/>
          <w:spacing w:val="5"/>
          <w:sz w:val="31"/>
          <w:szCs w:val="31"/>
        </w:rPr>
        <w:t>附表6：算术错误检查表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554"/>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算术错误检查表</w:t>
      </w:r>
    </w:p>
    <w:p>
      <w:pPr>
        <w:pStyle w:val="3"/>
        <w:spacing w:line="327" w:lineRule="auto"/>
        <w:rPr>
          <w:color w:val="auto"/>
          <w:lang w:eastAsia="zh-CN"/>
        </w:rPr>
      </w:pPr>
    </w:p>
    <w:p>
      <w:pPr>
        <w:pStyle w:val="3"/>
        <w:spacing w:line="328" w:lineRule="auto"/>
        <w:rPr>
          <w:color w:val="auto"/>
          <w:lang w:eastAsia="zh-CN"/>
        </w:rPr>
      </w:pPr>
    </w:p>
    <w:p>
      <w:pPr>
        <w:tabs>
          <w:tab w:val="left" w:pos="1450"/>
        </w:tabs>
        <w:spacing w:before="78" w:line="220" w:lineRule="auto"/>
        <w:ind w:left="13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40"/>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1275"/>
        <w:gridCol w:w="1093"/>
        <w:gridCol w:w="1216"/>
        <w:gridCol w:w="1216"/>
        <w:gridCol w:w="1216"/>
        <w:gridCol w:w="1216"/>
        <w:gridCol w:w="12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5" w:hRule="atLeast"/>
        </w:trPr>
        <w:tc>
          <w:tcPr>
            <w:tcW w:w="587" w:type="dxa"/>
            <w:textDirection w:val="tbRlV"/>
          </w:tcPr>
          <w:p>
            <w:pPr>
              <w:pStyle w:val="15"/>
              <w:spacing w:before="187" w:line="218" w:lineRule="auto"/>
              <w:ind w:left="212"/>
              <w:rPr>
                <w:color w:val="auto"/>
              </w:rPr>
            </w:pPr>
            <w:r>
              <w:rPr>
                <w:b/>
                <w:bCs/>
                <w:color w:val="auto"/>
                <w:spacing w:val="5"/>
              </w:rPr>
              <w:t>序号</w:t>
            </w:r>
          </w:p>
        </w:tc>
        <w:tc>
          <w:tcPr>
            <w:tcW w:w="1275" w:type="dxa"/>
          </w:tcPr>
          <w:p>
            <w:pPr>
              <w:spacing w:line="299" w:lineRule="auto"/>
              <w:rPr>
                <w:color w:val="auto"/>
              </w:rPr>
            </w:pPr>
          </w:p>
          <w:p>
            <w:pPr>
              <w:pStyle w:val="15"/>
              <w:spacing w:before="65" w:line="228" w:lineRule="auto"/>
              <w:ind w:left="115"/>
              <w:rPr>
                <w:color w:val="auto"/>
              </w:rPr>
            </w:pPr>
            <w:r>
              <w:rPr>
                <w:b/>
                <w:bCs/>
                <w:color w:val="auto"/>
                <w:spacing w:val="6"/>
              </w:rPr>
              <w:t>投标人名称</w:t>
            </w:r>
          </w:p>
        </w:tc>
        <w:tc>
          <w:tcPr>
            <w:tcW w:w="1093" w:type="dxa"/>
          </w:tcPr>
          <w:p>
            <w:pPr>
              <w:spacing w:line="301" w:lineRule="auto"/>
              <w:rPr>
                <w:color w:val="auto"/>
              </w:rPr>
            </w:pPr>
          </w:p>
          <w:p>
            <w:pPr>
              <w:pStyle w:val="15"/>
              <w:spacing w:before="66" w:line="226" w:lineRule="auto"/>
              <w:ind w:left="131"/>
              <w:rPr>
                <w:color w:val="auto"/>
              </w:rPr>
            </w:pPr>
            <w:r>
              <w:rPr>
                <w:b/>
                <w:bCs/>
                <w:color w:val="auto"/>
                <w:spacing w:val="5"/>
              </w:rPr>
              <w:t>投标报价</w:t>
            </w:r>
          </w:p>
        </w:tc>
        <w:tc>
          <w:tcPr>
            <w:tcW w:w="1216" w:type="dxa"/>
          </w:tcPr>
          <w:p>
            <w:pPr>
              <w:pStyle w:val="15"/>
              <w:spacing w:before="213" w:line="273" w:lineRule="auto"/>
              <w:ind w:left="297" w:right="185" w:hanging="103"/>
              <w:rPr>
                <w:color w:val="auto"/>
              </w:rPr>
            </w:pPr>
            <w:r>
              <w:rPr>
                <w:b/>
                <w:bCs/>
                <w:color w:val="auto"/>
                <w:spacing w:val="5"/>
              </w:rPr>
              <w:t>是否有算术错误</w:t>
            </w:r>
          </w:p>
        </w:tc>
        <w:tc>
          <w:tcPr>
            <w:tcW w:w="1216" w:type="dxa"/>
          </w:tcPr>
          <w:p>
            <w:pPr>
              <w:pStyle w:val="15"/>
              <w:spacing w:before="211" w:line="273" w:lineRule="auto"/>
              <w:ind w:left="193" w:right="185" w:hanging="2"/>
              <w:rPr>
                <w:color w:val="auto"/>
              </w:rPr>
            </w:pPr>
            <w:r>
              <w:rPr>
                <w:b/>
                <w:bCs/>
                <w:color w:val="auto"/>
                <w:spacing w:val="6"/>
              </w:rPr>
              <w:t>修正后的</w:t>
            </w:r>
            <w:r>
              <w:rPr>
                <w:b/>
                <w:bCs/>
                <w:color w:val="auto"/>
                <w:spacing w:val="5"/>
              </w:rPr>
              <w:t>投标报价</w:t>
            </w:r>
          </w:p>
        </w:tc>
        <w:tc>
          <w:tcPr>
            <w:tcW w:w="1216" w:type="dxa"/>
          </w:tcPr>
          <w:p>
            <w:pPr>
              <w:pStyle w:val="15"/>
              <w:spacing w:before="213" w:line="273" w:lineRule="auto"/>
              <w:ind w:left="299" w:right="184" w:hanging="105"/>
              <w:rPr>
                <w:color w:val="auto"/>
              </w:rPr>
            </w:pPr>
            <w:r>
              <w:rPr>
                <w:b/>
                <w:bCs/>
                <w:color w:val="auto"/>
                <w:spacing w:val="6"/>
              </w:rPr>
              <w:t>算术错误</w:t>
            </w:r>
            <w:r>
              <w:rPr>
                <w:b/>
                <w:bCs/>
                <w:color w:val="auto"/>
                <w:spacing w:val="5"/>
              </w:rPr>
              <w:t>调整值</w:t>
            </w:r>
          </w:p>
        </w:tc>
        <w:tc>
          <w:tcPr>
            <w:tcW w:w="1216" w:type="dxa"/>
          </w:tcPr>
          <w:p>
            <w:pPr>
              <w:pStyle w:val="15"/>
              <w:spacing w:before="57" w:line="228" w:lineRule="auto"/>
              <w:ind w:left="197"/>
              <w:rPr>
                <w:color w:val="auto"/>
                <w:lang w:eastAsia="zh-CN"/>
              </w:rPr>
            </w:pPr>
            <w:r>
              <w:rPr>
                <w:b/>
                <w:bCs/>
                <w:color w:val="auto"/>
                <w:spacing w:val="5"/>
                <w:lang w:eastAsia="zh-CN"/>
              </w:rPr>
              <w:t>与投标总</w:t>
            </w:r>
          </w:p>
          <w:p>
            <w:pPr>
              <w:pStyle w:val="15"/>
              <w:spacing w:before="64" w:line="226" w:lineRule="auto"/>
              <w:ind w:left="193"/>
              <w:rPr>
                <w:color w:val="auto"/>
                <w:lang w:eastAsia="zh-CN"/>
              </w:rPr>
            </w:pPr>
            <w:r>
              <w:rPr>
                <w:b/>
                <w:bCs/>
                <w:color w:val="auto"/>
                <w:spacing w:val="6"/>
                <w:lang w:eastAsia="zh-CN"/>
              </w:rPr>
              <w:t>价的正负</w:t>
            </w:r>
          </w:p>
          <w:p>
            <w:pPr>
              <w:pStyle w:val="15"/>
              <w:spacing w:before="66" w:line="228" w:lineRule="auto"/>
              <w:ind w:left="298"/>
              <w:rPr>
                <w:color w:val="auto"/>
                <w:lang w:eastAsia="zh-CN"/>
              </w:rPr>
            </w:pPr>
            <w:r>
              <w:rPr>
                <w:b/>
                <w:bCs/>
                <w:color w:val="auto"/>
                <w:spacing w:val="5"/>
                <w:lang w:eastAsia="zh-CN"/>
              </w:rPr>
              <w:t>偏差率</w:t>
            </w:r>
          </w:p>
        </w:tc>
        <w:tc>
          <w:tcPr>
            <w:tcW w:w="1221" w:type="dxa"/>
          </w:tcPr>
          <w:p>
            <w:pPr>
              <w:pStyle w:val="15"/>
              <w:spacing w:before="212" w:line="275" w:lineRule="auto"/>
              <w:ind w:left="316" w:right="187" w:hanging="121"/>
              <w:rPr>
                <w:color w:val="auto"/>
              </w:rPr>
            </w:pPr>
            <w:r>
              <w:rPr>
                <w:b/>
                <w:bCs/>
                <w:color w:val="auto"/>
                <w:spacing w:val="6"/>
              </w:rPr>
              <w:t>算术错误</w:t>
            </w:r>
            <w:r>
              <w:rPr>
                <w:b/>
                <w:bCs/>
                <w:color w:val="auto"/>
                <w:spacing w:val="-1"/>
              </w:rPr>
              <w:t>的原因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587" w:type="dxa"/>
          </w:tcPr>
          <w:p>
            <w:pPr>
              <w:rPr>
                <w:color w:val="auto"/>
              </w:rPr>
            </w:pPr>
          </w:p>
        </w:tc>
        <w:tc>
          <w:tcPr>
            <w:tcW w:w="1275" w:type="dxa"/>
          </w:tcPr>
          <w:p>
            <w:pPr>
              <w:rPr>
                <w:color w:val="auto"/>
              </w:rPr>
            </w:pPr>
          </w:p>
        </w:tc>
        <w:tc>
          <w:tcPr>
            <w:tcW w:w="1093"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16" w:type="dxa"/>
          </w:tcPr>
          <w:p>
            <w:pPr>
              <w:rPr>
                <w:color w:val="auto"/>
              </w:rPr>
            </w:pPr>
          </w:p>
        </w:tc>
        <w:tc>
          <w:tcPr>
            <w:tcW w:w="1221" w:type="dxa"/>
          </w:tcPr>
          <w:p>
            <w:pPr>
              <w:rPr>
                <w:color w:val="auto"/>
              </w:rPr>
            </w:pPr>
          </w:p>
        </w:tc>
      </w:tr>
    </w:tbl>
    <w:p>
      <w:pPr>
        <w:pStyle w:val="3"/>
        <w:spacing w:line="319" w:lineRule="auto"/>
        <w:rPr>
          <w:color w:val="auto"/>
        </w:rPr>
      </w:pPr>
    </w:p>
    <w:p>
      <w:pPr>
        <w:pStyle w:val="3"/>
        <w:spacing w:line="319" w:lineRule="auto"/>
        <w:rPr>
          <w:color w:val="auto"/>
        </w:rPr>
      </w:pPr>
    </w:p>
    <w:p>
      <w:pPr>
        <w:spacing w:before="65" w:line="227" w:lineRule="auto"/>
        <w:ind w:left="1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5" w:type="default"/>
          <w:pgSz w:w="11906" w:h="16839"/>
          <w:pgMar w:top="1431" w:right="1402" w:bottom="1356" w:left="1458"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39"/>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附表7：施工组织设计得分表</w:t>
      </w:r>
    </w:p>
    <w:p>
      <w:pPr>
        <w:pStyle w:val="3"/>
        <w:spacing w:line="289"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spacing w:before="91" w:line="222" w:lineRule="auto"/>
        <w:ind w:left="3643"/>
        <w:rPr>
          <w:rFonts w:ascii="黑体" w:hAnsi="黑体" w:eastAsia="黑体" w:cs="黑体"/>
          <w:color w:val="auto"/>
          <w:sz w:val="28"/>
          <w:szCs w:val="28"/>
        </w:rPr>
      </w:pPr>
      <w:r>
        <w:rPr>
          <w:rFonts w:ascii="黑体" w:hAnsi="黑体" w:eastAsia="黑体" w:cs="黑体"/>
          <w:color w:val="auto"/>
          <w:spacing w:val="-3"/>
          <w:sz w:val="28"/>
          <w:szCs w:val="28"/>
        </w:rPr>
        <w:t>商务评审得分表</w:t>
      </w:r>
    </w:p>
    <w:p>
      <w:pPr>
        <w:pStyle w:val="3"/>
        <w:spacing w:line="280" w:lineRule="auto"/>
        <w:rPr>
          <w:color w:val="auto"/>
        </w:rPr>
      </w:pPr>
    </w:p>
    <w:p>
      <w:pPr>
        <w:pStyle w:val="3"/>
        <w:spacing w:line="280" w:lineRule="auto"/>
        <w:rPr>
          <w:color w:val="auto"/>
        </w:rPr>
      </w:pPr>
    </w:p>
    <w:p>
      <w:pPr>
        <w:pStyle w:val="3"/>
        <w:spacing w:line="280" w:lineRule="auto"/>
        <w:rPr>
          <w:color w:val="auto"/>
        </w:rPr>
      </w:pPr>
    </w:p>
    <w:p>
      <w:pPr>
        <w:tabs>
          <w:tab w:val="left" w:pos="1528"/>
        </w:tabs>
        <w:spacing w:before="78" w:line="220" w:lineRule="auto"/>
        <w:ind w:left="209"/>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219"/>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52"/>
        <w:gridCol w:w="2706"/>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9"/>
              <w:rPr>
                <w:color w:val="auto"/>
              </w:rPr>
            </w:pPr>
            <w:r>
              <w:rPr>
                <w:b/>
                <w:bCs/>
                <w:color w:val="auto"/>
                <w:spacing w:val="5"/>
              </w:rPr>
              <w:t>条款号</w:t>
            </w:r>
          </w:p>
        </w:tc>
        <w:tc>
          <w:tcPr>
            <w:tcW w:w="1252" w:type="dxa"/>
            <w:vMerge w:val="restart"/>
            <w:tcBorders>
              <w:bottom w:val="nil"/>
            </w:tcBorders>
          </w:tcPr>
          <w:p>
            <w:pPr>
              <w:spacing w:line="349" w:lineRule="auto"/>
              <w:rPr>
                <w:color w:val="auto"/>
              </w:rPr>
            </w:pPr>
          </w:p>
          <w:p>
            <w:pPr>
              <w:pStyle w:val="15"/>
              <w:spacing w:before="65" w:line="228" w:lineRule="auto"/>
              <w:ind w:left="111"/>
              <w:rPr>
                <w:color w:val="auto"/>
              </w:rPr>
            </w:pPr>
            <w:r>
              <w:rPr>
                <w:b/>
                <w:bCs/>
                <w:color w:val="auto"/>
                <w:spacing w:val="6"/>
              </w:rPr>
              <w:t>评审因素</w:t>
            </w:r>
          </w:p>
        </w:tc>
        <w:tc>
          <w:tcPr>
            <w:tcW w:w="2706" w:type="dxa"/>
            <w:vMerge w:val="restart"/>
            <w:tcBorders>
              <w:bottom w:val="nil"/>
            </w:tcBorders>
          </w:tcPr>
          <w:p>
            <w:pPr>
              <w:spacing w:line="349" w:lineRule="auto"/>
              <w:rPr>
                <w:color w:val="auto"/>
              </w:rPr>
            </w:pPr>
          </w:p>
          <w:p>
            <w:pPr>
              <w:pStyle w:val="15"/>
              <w:spacing w:before="65" w:line="228" w:lineRule="auto"/>
              <w:ind w:left="935"/>
              <w:rPr>
                <w:color w:val="auto"/>
              </w:rPr>
            </w:pPr>
            <w:r>
              <w:rPr>
                <w:b/>
                <w:bCs/>
                <w:color w:val="auto"/>
                <w:spacing w:val="6"/>
              </w:rPr>
              <w:t>评审标准</w:t>
            </w:r>
          </w:p>
        </w:tc>
        <w:tc>
          <w:tcPr>
            <w:tcW w:w="3421" w:type="dxa"/>
            <w:gridSpan w:val="3"/>
          </w:tcPr>
          <w:p>
            <w:pPr>
              <w:pStyle w:val="15"/>
              <w:spacing w:before="56" w:line="228" w:lineRule="auto"/>
              <w:ind w:left="663"/>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52" w:type="dxa"/>
            <w:vMerge w:val="continue"/>
            <w:tcBorders>
              <w:top w:val="nil"/>
              <w:bottom w:val="nil"/>
            </w:tcBorders>
          </w:tcPr>
          <w:p>
            <w:pPr>
              <w:rPr>
                <w:color w:val="auto"/>
                <w:lang w:eastAsia="zh-CN"/>
              </w:rPr>
            </w:pPr>
          </w:p>
        </w:tc>
        <w:tc>
          <w:tcPr>
            <w:tcW w:w="2706" w:type="dxa"/>
            <w:vMerge w:val="continue"/>
            <w:tcBorders>
              <w:top w:val="nil"/>
              <w:bottom w:val="nil"/>
            </w:tcBorders>
          </w:tcPr>
          <w:p>
            <w:pPr>
              <w:rPr>
                <w:color w:val="auto"/>
                <w:lang w:eastAsia="zh-CN"/>
              </w:rPr>
            </w:pPr>
          </w:p>
        </w:tc>
        <w:tc>
          <w:tcPr>
            <w:tcW w:w="1138" w:type="dxa"/>
          </w:tcPr>
          <w:p>
            <w:pPr>
              <w:pStyle w:val="15"/>
              <w:spacing w:before="83" w:line="189" w:lineRule="auto"/>
              <w:ind w:left="537"/>
              <w:rPr>
                <w:color w:val="auto"/>
              </w:rPr>
            </w:pPr>
            <w:r>
              <w:rPr>
                <w:b/>
                <w:bCs/>
                <w:color w:val="auto"/>
                <w:spacing w:val="-3"/>
              </w:rPr>
              <w:t>1</w:t>
            </w:r>
          </w:p>
        </w:tc>
        <w:tc>
          <w:tcPr>
            <w:tcW w:w="1139" w:type="dxa"/>
          </w:tcPr>
          <w:p>
            <w:pPr>
              <w:pStyle w:val="15"/>
              <w:spacing w:before="83" w:line="189" w:lineRule="auto"/>
              <w:ind w:left="526"/>
              <w:rPr>
                <w:color w:val="auto"/>
              </w:rPr>
            </w:pPr>
            <w:r>
              <w:rPr>
                <w:b/>
                <w:bCs/>
                <w:color w:val="auto"/>
                <w:spacing w:val="-3"/>
              </w:rPr>
              <w:t>2</w:t>
            </w:r>
          </w:p>
        </w:tc>
        <w:tc>
          <w:tcPr>
            <w:tcW w:w="1144" w:type="dxa"/>
          </w:tcPr>
          <w:p>
            <w:pPr>
              <w:pStyle w:val="15"/>
              <w:spacing w:before="51" w:line="236" w:lineRule="auto"/>
              <w:ind w:left="379"/>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52" w:type="dxa"/>
            <w:vMerge w:val="continue"/>
            <w:tcBorders>
              <w:top w:val="nil"/>
            </w:tcBorders>
          </w:tcPr>
          <w:p>
            <w:pPr>
              <w:rPr>
                <w:color w:val="auto"/>
              </w:rPr>
            </w:pPr>
          </w:p>
        </w:tc>
        <w:tc>
          <w:tcPr>
            <w:tcW w:w="2706"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79"/>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41" w:type="dxa"/>
          </w:tcPr>
          <w:p>
            <w:pPr>
              <w:pStyle w:val="15"/>
              <w:spacing w:before="288" w:line="184" w:lineRule="auto"/>
              <w:ind w:left="342"/>
              <w:rPr>
                <w:color w:val="auto"/>
                <w:sz w:val="18"/>
                <w:szCs w:val="18"/>
              </w:rPr>
            </w:pPr>
            <w:r>
              <w:rPr>
                <w:color w:val="auto"/>
                <w:sz w:val="18"/>
                <w:szCs w:val="18"/>
              </w:rPr>
              <w:t>1</w:t>
            </w:r>
          </w:p>
        </w:tc>
        <w:tc>
          <w:tcPr>
            <w:tcW w:w="1078" w:type="dxa"/>
          </w:tcPr>
          <w:p>
            <w:pPr>
              <w:pStyle w:val="15"/>
              <w:spacing w:before="261" w:line="283" w:lineRule="exact"/>
              <w:ind w:left="372"/>
              <w:rPr>
                <w:color w:val="auto"/>
                <w:sz w:val="18"/>
                <w:szCs w:val="18"/>
              </w:rPr>
            </w:pPr>
            <w:r>
              <w:rPr>
                <w:color w:val="auto"/>
                <w:spacing w:val="-10"/>
                <w:position w:val="2"/>
                <w:sz w:val="18"/>
                <w:szCs w:val="18"/>
              </w:rPr>
              <w:t>……</w:t>
            </w:r>
          </w:p>
        </w:tc>
        <w:tc>
          <w:tcPr>
            <w:tcW w:w="1252" w:type="dxa"/>
          </w:tcPr>
          <w:p>
            <w:pPr>
              <w:pStyle w:val="15"/>
              <w:spacing w:before="261" w:line="283" w:lineRule="exact"/>
              <w:ind w:left="460"/>
              <w:rPr>
                <w:color w:val="auto"/>
                <w:sz w:val="18"/>
                <w:szCs w:val="18"/>
              </w:rPr>
            </w:pPr>
            <w:r>
              <w:rPr>
                <w:color w:val="auto"/>
                <w:spacing w:val="-10"/>
                <w:position w:val="2"/>
                <w:sz w:val="18"/>
                <w:szCs w:val="18"/>
              </w:rPr>
              <w:t>……</w:t>
            </w:r>
          </w:p>
        </w:tc>
        <w:tc>
          <w:tcPr>
            <w:tcW w:w="2706" w:type="dxa"/>
          </w:tcPr>
          <w:p>
            <w:pPr>
              <w:pStyle w:val="15"/>
              <w:spacing w:before="261"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1"/>
              <w:rPr>
                <w:color w:val="auto"/>
                <w:sz w:val="18"/>
                <w:szCs w:val="18"/>
              </w:rPr>
            </w:pPr>
            <w:r>
              <w:rPr>
                <w:color w:val="auto"/>
                <w:sz w:val="18"/>
                <w:szCs w:val="18"/>
              </w:rPr>
              <w:t>2</w:t>
            </w:r>
          </w:p>
        </w:tc>
        <w:tc>
          <w:tcPr>
            <w:tcW w:w="1078" w:type="dxa"/>
          </w:tcPr>
          <w:p>
            <w:pPr>
              <w:pStyle w:val="15"/>
              <w:spacing w:before="263" w:line="283" w:lineRule="exact"/>
              <w:ind w:left="372"/>
              <w:rPr>
                <w:color w:val="auto"/>
                <w:sz w:val="18"/>
                <w:szCs w:val="18"/>
              </w:rPr>
            </w:pPr>
            <w:r>
              <w:rPr>
                <w:color w:val="auto"/>
                <w:spacing w:val="-10"/>
                <w:position w:val="2"/>
                <w:sz w:val="18"/>
                <w:szCs w:val="18"/>
              </w:rPr>
              <w:t>……</w:t>
            </w:r>
          </w:p>
        </w:tc>
        <w:tc>
          <w:tcPr>
            <w:tcW w:w="1252" w:type="dxa"/>
          </w:tcPr>
          <w:p>
            <w:pPr>
              <w:pStyle w:val="15"/>
              <w:spacing w:before="263" w:line="283" w:lineRule="exact"/>
              <w:ind w:left="460"/>
              <w:rPr>
                <w:color w:val="auto"/>
                <w:sz w:val="18"/>
                <w:szCs w:val="18"/>
              </w:rPr>
            </w:pPr>
            <w:r>
              <w:rPr>
                <w:color w:val="auto"/>
                <w:spacing w:val="-10"/>
                <w:position w:val="2"/>
                <w:sz w:val="18"/>
                <w:szCs w:val="18"/>
              </w:rPr>
              <w:t>……</w:t>
            </w:r>
          </w:p>
        </w:tc>
        <w:tc>
          <w:tcPr>
            <w:tcW w:w="2706" w:type="dxa"/>
          </w:tcPr>
          <w:p>
            <w:pPr>
              <w:pStyle w:val="15"/>
              <w:spacing w:before="263"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2"/>
              <w:rPr>
                <w:color w:val="auto"/>
                <w:sz w:val="18"/>
                <w:szCs w:val="18"/>
              </w:rPr>
            </w:pPr>
            <w:r>
              <w:rPr>
                <w:color w:val="auto"/>
                <w:sz w:val="18"/>
                <w:szCs w:val="18"/>
              </w:rPr>
              <w:t>3</w:t>
            </w:r>
          </w:p>
        </w:tc>
        <w:tc>
          <w:tcPr>
            <w:tcW w:w="1078" w:type="dxa"/>
          </w:tcPr>
          <w:p>
            <w:pPr>
              <w:pStyle w:val="15"/>
              <w:spacing w:before="262" w:line="284" w:lineRule="exact"/>
              <w:ind w:left="372"/>
              <w:rPr>
                <w:color w:val="auto"/>
                <w:sz w:val="18"/>
                <w:szCs w:val="18"/>
              </w:rPr>
            </w:pPr>
            <w:r>
              <w:rPr>
                <w:color w:val="auto"/>
                <w:spacing w:val="-10"/>
                <w:position w:val="2"/>
                <w:sz w:val="18"/>
                <w:szCs w:val="18"/>
              </w:rPr>
              <w:t>……</w:t>
            </w:r>
          </w:p>
        </w:tc>
        <w:tc>
          <w:tcPr>
            <w:tcW w:w="1252" w:type="dxa"/>
          </w:tcPr>
          <w:p>
            <w:pPr>
              <w:pStyle w:val="15"/>
              <w:spacing w:before="262" w:line="284" w:lineRule="exact"/>
              <w:ind w:left="460"/>
              <w:rPr>
                <w:color w:val="auto"/>
                <w:sz w:val="18"/>
                <w:szCs w:val="18"/>
              </w:rPr>
            </w:pPr>
            <w:r>
              <w:rPr>
                <w:color w:val="auto"/>
                <w:spacing w:val="-10"/>
                <w:position w:val="2"/>
                <w:sz w:val="18"/>
                <w:szCs w:val="18"/>
              </w:rPr>
              <w:t>……</w:t>
            </w:r>
          </w:p>
        </w:tc>
        <w:tc>
          <w:tcPr>
            <w:tcW w:w="2706" w:type="dxa"/>
          </w:tcPr>
          <w:p>
            <w:pPr>
              <w:pStyle w:val="15"/>
              <w:spacing w:before="262"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2" w:line="183" w:lineRule="auto"/>
              <w:ind w:left="328"/>
              <w:rPr>
                <w:color w:val="auto"/>
                <w:sz w:val="18"/>
                <w:szCs w:val="18"/>
              </w:rPr>
            </w:pPr>
            <w:r>
              <w:rPr>
                <w:color w:val="auto"/>
                <w:sz w:val="18"/>
                <w:szCs w:val="18"/>
              </w:rPr>
              <w:t>4</w:t>
            </w:r>
          </w:p>
        </w:tc>
        <w:tc>
          <w:tcPr>
            <w:tcW w:w="1078" w:type="dxa"/>
          </w:tcPr>
          <w:p>
            <w:pPr>
              <w:pStyle w:val="15"/>
              <w:spacing w:before="264" w:line="283" w:lineRule="exact"/>
              <w:ind w:left="372"/>
              <w:rPr>
                <w:color w:val="auto"/>
                <w:sz w:val="18"/>
                <w:szCs w:val="18"/>
              </w:rPr>
            </w:pPr>
            <w:r>
              <w:rPr>
                <w:color w:val="auto"/>
                <w:spacing w:val="-10"/>
                <w:position w:val="2"/>
                <w:sz w:val="18"/>
                <w:szCs w:val="18"/>
              </w:rPr>
              <w:t>……</w:t>
            </w:r>
          </w:p>
        </w:tc>
        <w:tc>
          <w:tcPr>
            <w:tcW w:w="1252" w:type="dxa"/>
          </w:tcPr>
          <w:p>
            <w:pPr>
              <w:pStyle w:val="15"/>
              <w:spacing w:before="264" w:line="283" w:lineRule="exact"/>
              <w:ind w:left="460"/>
              <w:rPr>
                <w:color w:val="auto"/>
                <w:sz w:val="18"/>
                <w:szCs w:val="18"/>
              </w:rPr>
            </w:pPr>
            <w:r>
              <w:rPr>
                <w:color w:val="auto"/>
                <w:spacing w:val="-10"/>
                <w:position w:val="2"/>
                <w:sz w:val="18"/>
                <w:szCs w:val="18"/>
              </w:rPr>
              <w:t>……</w:t>
            </w:r>
          </w:p>
        </w:tc>
        <w:tc>
          <w:tcPr>
            <w:tcW w:w="2706" w:type="dxa"/>
          </w:tcPr>
          <w:p>
            <w:pPr>
              <w:pStyle w:val="15"/>
              <w:spacing w:before="264"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2" w:lineRule="auto"/>
              <w:ind w:left="332"/>
              <w:rPr>
                <w:color w:val="auto"/>
                <w:sz w:val="18"/>
                <w:szCs w:val="18"/>
              </w:rPr>
            </w:pPr>
            <w:r>
              <w:rPr>
                <w:color w:val="auto"/>
                <w:sz w:val="18"/>
                <w:szCs w:val="18"/>
              </w:rPr>
              <w:t>5</w:t>
            </w:r>
          </w:p>
        </w:tc>
        <w:tc>
          <w:tcPr>
            <w:tcW w:w="1078" w:type="dxa"/>
          </w:tcPr>
          <w:p>
            <w:pPr>
              <w:pStyle w:val="15"/>
              <w:spacing w:before="266" w:line="283" w:lineRule="exact"/>
              <w:ind w:left="372"/>
              <w:rPr>
                <w:color w:val="auto"/>
                <w:sz w:val="18"/>
                <w:szCs w:val="18"/>
              </w:rPr>
            </w:pPr>
            <w:r>
              <w:rPr>
                <w:color w:val="auto"/>
                <w:spacing w:val="-10"/>
                <w:position w:val="2"/>
                <w:sz w:val="18"/>
                <w:szCs w:val="18"/>
              </w:rPr>
              <w:t>……</w:t>
            </w:r>
          </w:p>
        </w:tc>
        <w:tc>
          <w:tcPr>
            <w:tcW w:w="1252" w:type="dxa"/>
          </w:tcPr>
          <w:p>
            <w:pPr>
              <w:pStyle w:val="15"/>
              <w:spacing w:before="266" w:line="283" w:lineRule="exact"/>
              <w:ind w:left="460"/>
              <w:rPr>
                <w:color w:val="auto"/>
                <w:sz w:val="18"/>
                <w:szCs w:val="18"/>
              </w:rPr>
            </w:pPr>
            <w:r>
              <w:rPr>
                <w:color w:val="auto"/>
                <w:spacing w:val="-10"/>
                <w:position w:val="2"/>
                <w:sz w:val="18"/>
                <w:szCs w:val="18"/>
              </w:rPr>
              <w:t>……</w:t>
            </w:r>
          </w:p>
        </w:tc>
        <w:tc>
          <w:tcPr>
            <w:tcW w:w="2706" w:type="dxa"/>
          </w:tcPr>
          <w:p>
            <w:pPr>
              <w:pStyle w:val="15"/>
              <w:spacing w:before="266"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0"/>
              <w:rPr>
                <w:color w:val="auto"/>
                <w:sz w:val="18"/>
                <w:szCs w:val="18"/>
              </w:rPr>
            </w:pPr>
            <w:r>
              <w:rPr>
                <w:color w:val="auto"/>
                <w:sz w:val="18"/>
                <w:szCs w:val="18"/>
              </w:rPr>
              <w:t>6</w:t>
            </w:r>
          </w:p>
        </w:tc>
        <w:tc>
          <w:tcPr>
            <w:tcW w:w="1078" w:type="dxa"/>
          </w:tcPr>
          <w:p>
            <w:pPr>
              <w:pStyle w:val="15"/>
              <w:spacing w:before="264" w:line="284" w:lineRule="exact"/>
              <w:ind w:left="372"/>
              <w:rPr>
                <w:color w:val="auto"/>
                <w:sz w:val="18"/>
                <w:szCs w:val="18"/>
              </w:rPr>
            </w:pPr>
            <w:r>
              <w:rPr>
                <w:color w:val="auto"/>
                <w:spacing w:val="-10"/>
                <w:position w:val="2"/>
                <w:sz w:val="18"/>
                <w:szCs w:val="18"/>
              </w:rPr>
              <w:t>……</w:t>
            </w:r>
          </w:p>
        </w:tc>
        <w:tc>
          <w:tcPr>
            <w:tcW w:w="1252" w:type="dxa"/>
          </w:tcPr>
          <w:p>
            <w:pPr>
              <w:pStyle w:val="15"/>
              <w:spacing w:before="264" w:line="284" w:lineRule="exact"/>
              <w:ind w:left="460"/>
              <w:rPr>
                <w:color w:val="auto"/>
                <w:sz w:val="18"/>
                <w:szCs w:val="18"/>
              </w:rPr>
            </w:pPr>
            <w:r>
              <w:rPr>
                <w:color w:val="auto"/>
                <w:spacing w:val="-10"/>
                <w:position w:val="2"/>
                <w:sz w:val="18"/>
                <w:szCs w:val="18"/>
              </w:rPr>
              <w:t>……</w:t>
            </w:r>
          </w:p>
        </w:tc>
        <w:tc>
          <w:tcPr>
            <w:tcW w:w="2706" w:type="dxa"/>
          </w:tcPr>
          <w:p>
            <w:pPr>
              <w:pStyle w:val="15"/>
              <w:spacing w:before="264" w:line="284"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3"/>
              <w:rPr>
                <w:color w:val="auto"/>
                <w:sz w:val="18"/>
                <w:szCs w:val="18"/>
              </w:rPr>
            </w:pPr>
            <w:r>
              <w:rPr>
                <w:color w:val="auto"/>
                <w:sz w:val="18"/>
                <w:szCs w:val="18"/>
              </w:rPr>
              <w:t>7</w:t>
            </w:r>
          </w:p>
        </w:tc>
        <w:tc>
          <w:tcPr>
            <w:tcW w:w="1078" w:type="dxa"/>
          </w:tcPr>
          <w:p>
            <w:pPr>
              <w:pStyle w:val="15"/>
              <w:spacing w:before="265" w:line="283" w:lineRule="exact"/>
              <w:ind w:left="372"/>
              <w:rPr>
                <w:color w:val="auto"/>
                <w:sz w:val="18"/>
                <w:szCs w:val="18"/>
              </w:rPr>
            </w:pPr>
            <w:r>
              <w:rPr>
                <w:color w:val="auto"/>
                <w:spacing w:val="-10"/>
                <w:position w:val="2"/>
                <w:sz w:val="18"/>
                <w:szCs w:val="18"/>
              </w:rPr>
              <w:t>……</w:t>
            </w:r>
          </w:p>
        </w:tc>
        <w:tc>
          <w:tcPr>
            <w:tcW w:w="1252" w:type="dxa"/>
          </w:tcPr>
          <w:p>
            <w:pPr>
              <w:pStyle w:val="15"/>
              <w:spacing w:before="265" w:line="283" w:lineRule="exact"/>
              <w:ind w:left="460"/>
              <w:rPr>
                <w:color w:val="auto"/>
                <w:sz w:val="18"/>
                <w:szCs w:val="18"/>
              </w:rPr>
            </w:pPr>
            <w:r>
              <w:rPr>
                <w:color w:val="auto"/>
                <w:spacing w:val="-10"/>
                <w:position w:val="2"/>
                <w:sz w:val="18"/>
                <w:szCs w:val="18"/>
              </w:rPr>
              <w:t>……</w:t>
            </w:r>
          </w:p>
        </w:tc>
        <w:tc>
          <w:tcPr>
            <w:tcW w:w="2706" w:type="dxa"/>
          </w:tcPr>
          <w:p>
            <w:pPr>
              <w:pStyle w:val="15"/>
              <w:spacing w:before="265"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5" w:line="183" w:lineRule="auto"/>
              <w:ind w:left="329"/>
              <w:rPr>
                <w:color w:val="auto"/>
                <w:sz w:val="18"/>
                <w:szCs w:val="18"/>
              </w:rPr>
            </w:pPr>
            <w:r>
              <w:rPr>
                <w:color w:val="auto"/>
                <w:sz w:val="18"/>
                <w:szCs w:val="18"/>
              </w:rPr>
              <w:t>8</w:t>
            </w:r>
          </w:p>
        </w:tc>
        <w:tc>
          <w:tcPr>
            <w:tcW w:w="1078" w:type="dxa"/>
          </w:tcPr>
          <w:p>
            <w:pPr>
              <w:pStyle w:val="15"/>
              <w:spacing w:before="267" w:line="283" w:lineRule="exact"/>
              <w:ind w:left="372"/>
              <w:rPr>
                <w:color w:val="auto"/>
                <w:sz w:val="18"/>
                <w:szCs w:val="18"/>
              </w:rPr>
            </w:pPr>
            <w:r>
              <w:rPr>
                <w:color w:val="auto"/>
                <w:spacing w:val="-10"/>
                <w:position w:val="2"/>
                <w:sz w:val="18"/>
                <w:szCs w:val="18"/>
              </w:rPr>
              <w:t>……</w:t>
            </w:r>
          </w:p>
        </w:tc>
        <w:tc>
          <w:tcPr>
            <w:tcW w:w="1252" w:type="dxa"/>
          </w:tcPr>
          <w:p>
            <w:pPr>
              <w:pStyle w:val="15"/>
              <w:spacing w:before="267" w:line="283" w:lineRule="exact"/>
              <w:ind w:left="460"/>
              <w:rPr>
                <w:color w:val="auto"/>
                <w:sz w:val="18"/>
                <w:szCs w:val="18"/>
              </w:rPr>
            </w:pPr>
            <w:r>
              <w:rPr>
                <w:color w:val="auto"/>
                <w:spacing w:val="-10"/>
                <w:position w:val="2"/>
                <w:sz w:val="18"/>
                <w:szCs w:val="18"/>
              </w:rPr>
              <w:t>……</w:t>
            </w:r>
          </w:p>
        </w:tc>
        <w:tc>
          <w:tcPr>
            <w:tcW w:w="2706" w:type="dxa"/>
          </w:tcPr>
          <w:p>
            <w:pPr>
              <w:pStyle w:val="15"/>
              <w:spacing w:before="267" w:line="283" w:lineRule="exact"/>
              <w:ind w:left="123"/>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5036" w:type="dxa"/>
            <w:gridSpan w:val="3"/>
          </w:tcPr>
          <w:p>
            <w:pPr>
              <w:pStyle w:val="15"/>
              <w:spacing w:before="249" w:line="228" w:lineRule="auto"/>
              <w:ind w:left="1362"/>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2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备注：本表由评标专家独立打分。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2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6" w:type="default"/>
          <w:pgSz w:w="11906" w:h="16839"/>
          <w:pgMar w:top="1431" w:right="1323" w:bottom="1355" w:left="1379"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47"/>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附表8：项目管理机构得分表</w:t>
      </w:r>
    </w:p>
    <w:p>
      <w:pPr>
        <w:pStyle w:val="3"/>
        <w:spacing w:line="264" w:lineRule="auto"/>
        <w:rPr>
          <w:color w:val="auto"/>
          <w:lang w:eastAsia="zh-CN"/>
        </w:rPr>
      </w:pPr>
    </w:p>
    <w:p>
      <w:pPr>
        <w:pStyle w:val="3"/>
        <w:spacing w:line="265" w:lineRule="auto"/>
        <w:rPr>
          <w:color w:val="auto"/>
          <w:lang w:eastAsia="zh-CN"/>
        </w:rPr>
      </w:pPr>
    </w:p>
    <w:p>
      <w:pPr>
        <w:pStyle w:val="3"/>
        <w:spacing w:line="265" w:lineRule="auto"/>
        <w:rPr>
          <w:color w:val="auto"/>
          <w:lang w:eastAsia="zh-CN"/>
        </w:rPr>
      </w:pPr>
    </w:p>
    <w:p>
      <w:pPr>
        <w:spacing w:before="91" w:line="222" w:lineRule="auto"/>
        <w:ind w:left="3541"/>
        <w:rPr>
          <w:rFonts w:ascii="黑体" w:hAnsi="黑体" w:eastAsia="黑体" w:cs="黑体"/>
          <w:color w:val="auto"/>
          <w:sz w:val="28"/>
          <w:szCs w:val="28"/>
        </w:rPr>
      </w:pPr>
      <w:r>
        <w:rPr>
          <w:rFonts w:ascii="黑体" w:hAnsi="黑体" w:eastAsia="黑体" w:cs="黑体"/>
          <w:color w:val="auto"/>
          <w:spacing w:val="-2"/>
          <w:sz w:val="28"/>
          <w:szCs w:val="28"/>
        </w:rPr>
        <w:t>技术评审得分表</w:t>
      </w:r>
    </w:p>
    <w:p>
      <w:pPr>
        <w:pStyle w:val="3"/>
        <w:spacing w:line="342" w:lineRule="auto"/>
        <w:rPr>
          <w:color w:val="auto"/>
        </w:rPr>
      </w:pPr>
    </w:p>
    <w:p>
      <w:pPr>
        <w:pStyle w:val="3"/>
        <w:spacing w:line="342" w:lineRule="auto"/>
        <w:rPr>
          <w:color w:val="auto"/>
        </w:rPr>
      </w:pPr>
    </w:p>
    <w:p>
      <w:pPr>
        <w:tabs>
          <w:tab w:val="left" w:pos="1436"/>
        </w:tabs>
        <w:spacing w:before="78" w:line="220" w:lineRule="auto"/>
        <w:ind w:left="117"/>
        <w:rPr>
          <w:rFonts w:ascii="宋体" w:hAnsi="宋体" w:eastAsia="宋体" w:cs="宋体"/>
          <w:color w:val="auto"/>
          <w:sz w:val="24"/>
          <w:szCs w:val="24"/>
          <w:lang w:eastAsia="zh-CN"/>
        </w:rPr>
      </w:pPr>
      <w:r>
        <w:rPr>
          <w:rFonts w:ascii="宋体" w:hAnsi="宋体" w:eastAsia="宋体" w:cs="宋体"/>
          <w:color w:val="auto"/>
          <w:sz w:val="24"/>
          <w:szCs w:val="24"/>
          <w:u w:val="single"/>
        </w:rPr>
        <w:tab/>
      </w:r>
      <w:r>
        <w:rPr>
          <w:rFonts w:ascii="宋体" w:hAnsi="宋体" w:eastAsia="宋体" w:cs="宋体"/>
          <w:color w:val="auto"/>
          <w:sz w:val="24"/>
          <w:szCs w:val="24"/>
          <w:lang w:eastAsia="zh-CN"/>
        </w:rPr>
        <w:t>（项目名称)（标段）施工招标</w:t>
      </w:r>
    </w:p>
    <w:p>
      <w:pPr>
        <w:spacing w:before="114" w:line="219" w:lineRule="auto"/>
        <w:ind w:left="127"/>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078"/>
        <w:gridCol w:w="1223"/>
        <w:gridCol w:w="2551"/>
        <w:gridCol w:w="1138"/>
        <w:gridCol w:w="1139"/>
        <w:gridCol w:w="11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2" w:hRule="atLeast"/>
        </w:trPr>
        <w:tc>
          <w:tcPr>
            <w:tcW w:w="741" w:type="dxa"/>
            <w:vMerge w:val="restart"/>
            <w:tcBorders>
              <w:bottom w:val="nil"/>
            </w:tcBorders>
          </w:tcPr>
          <w:p>
            <w:pPr>
              <w:spacing w:line="349" w:lineRule="auto"/>
              <w:rPr>
                <w:color w:val="auto"/>
              </w:rPr>
            </w:pPr>
          </w:p>
          <w:p>
            <w:pPr>
              <w:pStyle w:val="15"/>
              <w:spacing w:before="65" w:line="229" w:lineRule="auto"/>
              <w:ind w:left="163"/>
              <w:rPr>
                <w:color w:val="auto"/>
              </w:rPr>
            </w:pPr>
            <w:r>
              <w:rPr>
                <w:b/>
                <w:bCs/>
                <w:color w:val="auto"/>
                <w:spacing w:val="4"/>
              </w:rPr>
              <w:t>序号</w:t>
            </w:r>
          </w:p>
        </w:tc>
        <w:tc>
          <w:tcPr>
            <w:tcW w:w="1078" w:type="dxa"/>
            <w:vMerge w:val="restart"/>
            <w:tcBorders>
              <w:bottom w:val="nil"/>
            </w:tcBorders>
          </w:tcPr>
          <w:p>
            <w:pPr>
              <w:spacing w:line="349" w:lineRule="auto"/>
              <w:rPr>
                <w:color w:val="auto"/>
              </w:rPr>
            </w:pPr>
          </w:p>
          <w:p>
            <w:pPr>
              <w:pStyle w:val="15"/>
              <w:spacing w:before="65" w:line="228" w:lineRule="auto"/>
              <w:ind w:left="228"/>
              <w:rPr>
                <w:color w:val="auto"/>
              </w:rPr>
            </w:pPr>
            <w:r>
              <w:rPr>
                <w:b/>
                <w:bCs/>
                <w:color w:val="auto"/>
                <w:spacing w:val="5"/>
              </w:rPr>
              <w:t>条款号</w:t>
            </w:r>
          </w:p>
        </w:tc>
        <w:tc>
          <w:tcPr>
            <w:tcW w:w="1223" w:type="dxa"/>
            <w:vMerge w:val="restart"/>
            <w:tcBorders>
              <w:bottom w:val="nil"/>
            </w:tcBorders>
          </w:tcPr>
          <w:p>
            <w:pPr>
              <w:spacing w:line="349" w:lineRule="auto"/>
              <w:rPr>
                <w:color w:val="auto"/>
              </w:rPr>
            </w:pPr>
          </w:p>
          <w:p>
            <w:pPr>
              <w:pStyle w:val="15"/>
              <w:spacing w:before="65" w:line="228" w:lineRule="auto"/>
              <w:ind w:left="110"/>
              <w:rPr>
                <w:color w:val="auto"/>
              </w:rPr>
            </w:pPr>
            <w:r>
              <w:rPr>
                <w:b/>
                <w:bCs/>
                <w:color w:val="auto"/>
                <w:spacing w:val="6"/>
              </w:rPr>
              <w:t>评审因素</w:t>
            </w:r>
          </w:p>
        </w:tc>
        <w:tc>
          <w:tcPr>
            <w:tcW w:w="2551" w:type="dxa"/>
            <w:vMerge w:val="restart"/>
            <w:tcBorders>
              <w:bottom w:val="nil"/>
            </w:tcBorders>
          </w:tcPr>
          <w:p>
            <w:pPr>
              <w:spacing w:line="349" w:lineRule="auto"/>
              <w:rPr>
                <w:color w:val="auto"/>
              </w:rPr>
            </w:pPr>
          </w:p>
          <w:p>
            <w:pPr>
              <w:pStyle w:val="15"/>
              <w:spacing w:before="65" w:line="228" w:lineRule="auto"/>
              <w:ind w:left="857"/>
              <w:rPr>
                <w:color w:val="auto"/>
              </w:rPr>
            </w:pPr>
            <w:r>
              <w:rPr>
                <w:b/>
                <w:bCs/>
                <w:color w:val="auto"/>
                <w:spacing w:val="6"/>
              </w:rPr>
              <w:t>评审标准</w:t>
            </w:r>
          </w:p>
        </w:tc>
        <w:tc>
          <w:tcPr>
            <w:tcW w:w="3421" w:type="dxa"/>
            <w:gridSpan w:val="3"/>
          </w:tcPr>
          <w:p>
            <w:pPr>
              <w:pStyle w:val="15"/>
              <w:spacing w:before="56" w:line="228" w:lineRule="auto"/>
              <w:ind w:left="662"/>
              <w:rPr>
                <w:color w:val="auto"/>
                <w:lang w:eastAsia="zh-CN"/>
              </w:rPr>
            </w:pPr>
            <w:r>
              <w:rPr>
                <w:b/>
                <w:bCs/>
                <w:color w:val="auto"/>
                <w:spacing w:val="7"/>
                <w:lang w:eastAsia="zh-CN"/>
              </w:rPr>
              <w:t>投标人名称及评审得分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1" w:type="dxa"/>
            <w:vMerge w:val="continue"/>
            <w:tcBorders>
              <w:top w:val="nil"/>
              <w:bottom w:val="nil"/>
            </w:tcBorders>
          </w:tcPr>
          <w:p>
            <w:pPr>
              <w:rPr>
                <w:color w:val="auto"/>
                <w:lang w:eastAsia="zh-CN"/>
              </w:rPr>
            </w:pPr>
          </w:p>
        </w:tc>
        <w:tc>
          <w:tcPr>
            <w:tcW w:w="1078" w:type="dxa"/>
            <w:vMerge w:val="continue"/>
            <w:tcBorders>
              <w:top w:val="nil"/>
              <w:bottom w:val="nil"/>
            </w:tcBorders>
          </w:tcPr>
          <w:p>
            <w:pPr>
              <w:rPr>
                <w:color w:val="auto"/>
                <w:lang w:eastAsia="zh-CN"/>
              </w:rPr>
            </w:pPr>
          </w:p>
        </w:tc>
        <w:tc>
          <w:tcPr>
            <w:tcW w:w="1223" w:type="dxa"/>
            <w:vMerge w:val="continue"/>
            <w:tcBorders>
              <w:top w:val="nil"/>
              <w:bottom w:val="nil"/>
            </w:tcBorders>
          </w:tcPr>
          <w:p>
            <w:pPr>
              <w:rPr>
                <w:color w:val="auto"/>
                <w:lang w:eastAsia="zh-CN"/>
              </w:rPr>
            </w:pPr>
          </w:p>
        </w:tc>
        <w:tc>
          <w:tcPr>
            <w:tcW w:w="2551" w:type="dxa"/>
            <w:vMerge w:val="continue"/>
            <w:tcBorders>
              <w:top w:val="nil"/>
              <w:bottom w:val="nil"/>
            </w:tcBorders>
          </w:tcPr>
          <w:p>
            <w:pPr>
              <w:rPr>
                <w:color w:val="auto"/>
                <w:lang w:eastAsia="zh-CN"/>
              </w:rPr>
            </w:pPr>
          </w:p>
        </w:tc>
        <w:tc>
          <w:tcPr>
            <w:tcW w:w="1138" w:type="dxa"/>
          </w:tcPr>
          <w:p>
            <w:pPr>
              <w:pStyle w:val="15"/>
              <w:spacing w:before="83" w:line="189" w:lineRule="auto"/>
              <w:ind w:left="538"/>
              <w:rPr>
                <w:color w:val="auto"/>
              </w:rPr>
            </w:pPr>
            <w:r>
              <w:rPr>
                <w:b/>
                <w:bCs/>
                <w:color w:val="auto"/>
                <w:spacing w:val="-3"/>
              </w:rPr>
              <w:t>1</w:t>
            </w:r>
          </w:p>
        </w:tc>
        <w:tc>
          <w:tcPr>
            <w:tcW w:w="1139" w:type="dxa"/>
          </w:tcPr>
          <w:p>
            <w:pPr>
              <w:pStyle w:val="15"/>
              <w:spacing w:before="83" w:line="189" w:lineRule="auto"/>
              <w:ind w:left="527"/>
              <w:rPr>
                <w:color w:val="auto"/>
              </w:rPr>
            </w:pPr>
            <w:r>
              <w:rPr>
                <w:b/>
                <w:bCs/>
                <w:color w:val="auto"/>
                <w:spacing w:val="-3"/>
              </w:rPr>
              <w:t>2</w:t>
            </w:r>
          </w:p>
        </w:tc>
        <w:tc>
          <w:tcPr>
            <w:tcW w:w="1144" w:type="dxa"/>
          </w:tcPr>
          <w:p>
            <w:pPr>
              <w:pStyle w:val="15"/>
              <w:spacing w:before="51" w:line="236" w:lineRule="auto"/>
              <w:ind w:left="380"/>
              <w:rPr>
                <w:color w:val="auto"/>
              </w:rPr>
            </w:pPr>
            <w:r>
              <w:rPr>
                <w:b/>
                <w:bCs/>
                <w:color w:val="auto"/>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trPr>
        <w:tc>
          <w:tcPr>
            <w:tcW w:w="741" w:type="dxa"/>
            <w:vMerge w:val="continue"/>
            <w:tcBorders>
              <w:top w:val="nil"/>
            </w:tcBorders>
          </w:tcPr>
          <w:p>
            <w:pPr>
              <w:rPr>
                <w:color w:val="auto"/>
              </w:rPr>
            </w:pPr>
          </w:p>
        </w:tc>
        <w:tc>
          <w:tcPr>
            <w:tcW w:w="1078" w:type="dxa"/>
            <w:vMerge w:val="continue"/>
            <w:tcBorders>
              <w:top w:val="nil"/>
            </w:tcBorders>
          </w:tcPr>
          <w:p>
            <w:pPr>
              <w:rPr>
                <w:color w:val="auto"/>
              </w:rPr>
            </w:pPr>
          </w:p>
        </w:tc>
        <w:tc>
          <w:tcPr>
            <w:tcW w:w="1223" w:type="dxa"/>
            <w:vMerge w:val="continue"/>
            <w:tcBorders>
              <w:top w:val="nil"/>
            </w:tcBorders>
          </w:tcPr>
          <w:p>
            <w:pPr>
              <w:rPr>
                <w:color w:val="auto"/>
              </w:rPr>
            </w:pPr>
          </w:p>
        </w:tc>
        <w:tc>
          <w:tcPr>
            <w:tcW w:w="2551" w:type="dxa"/>
            <w:vMerge w:val="continue"/>
            <w:tcBorders>
              <w:top w:val="nil"/>
            </w:tcBorders>
          </w:tcPr>
          <w:p>
            <w:pPr>
              <w:rPr>
                <w:color w:val="auto"/>
              </w:rPr>
            </w:pPr>
          </w:p>
        </w:tc>
        <w:tc>
          <w:tcPr>
            <w:tcW w:w="1138" w:type="dxa"/>
          </w:tcPr>
          <w:p>
            <w:pPr>
              <w:rPr>
                <w:color w:val="auto"/>
              </w:rPr>
            </w:pPr>
          </w:p>
        </w:tc>
        <w:tc>
          <w:tcPr>
            <w:tcW w:w="1139" w:type="dxa"/>
          </w:tcPr>
          <w:p>
            <w:pPr>
              <w:rPr>
                <w:color w:val="auto"/>
              </w:rPr>
            </w:pPr>
          </w:p>
        </w:tc>
        <w:tc>
          <w:tcPr>
            <w:tcW w:w="1144" w:type="dxa"/>
          </w:tcPr>
          <w:p>
            <w:pPr>
              <w:pStyle w:val="15"/>
              <w:spacing w:before="89" w:line="296" w:lineRule="exact"/>
              <w:ind w:left="380"/>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741" w:type="dxa"/>
          </w:tcPr>
          <w:p>
            <w:pPr>
              <w:pStyle w:val="15"/>
              <w:spacing w:before="288" w:line="184" w:lineRule="auto"/>
              <w:ind w:left="344"/>
              <w:rPr>
                <w:color w:val="auto"/>
                <w:sz w:val="18"/>
                <w:szCs w:val="18"/>
              </w:rPr>
            </w:pPr>
            <w:r>
              <w:rPr>
                <w:color w:val="auto"/>
                <w:sz w:val="18"/>
                <w:szCs w:val="18"/>
              </w:rPr>
              <w:t>1</w:t>
            </w:r>
          </w:p>
        </w:tc>
        <w:tc>
          <w:tcPr>
            <w:tcW w:w="1078" w:type="dxa"/>
          </w:tcPr>
          <w:p>
            <w:pPr>
              <w:pStyle w:val="15"/>
              <w:spacing w:before="261" w:line="283" w:lineRule="exact"/>
              <w:ind w:left="373"/>
              <w:rPr>
                <w:color w:val="auto"/>
                <w:sz w:val="18"/>
                <w:szCs w:val="18"/>
              </w:rPr>
            </w:pPr>
            <w:r>
              <w:rPr>
                <w:color w:val="auto"/>
                <w:spacing w:val="-10"/>
                <w:position w:val="2"/>
                <w:sz w:val="18"/>
                <w:szCs w:val="18"/>
              </w:rPr>
              <w:t>……</w:t>
            </w:r>
          </w:p>
        </w:tc>
        <w:tc>
          <w:tcPr>
            <w:tcW w:w="1223" w:type="dxa"/>
          </w:tcPr>
          <w:p>
            <w:pPr>
              <w:pStyle w:val="15"/>
              <w:spacing w:before="261" w:line="283" w:lineRule="exact"/>
              <w:ind w:left="445"/>
              <w:rPr>
                <w:color w:val="auto"/>
                <w:sz w:val="18"/>
                <w:szCs w:val="18"/>
              </w:rPr>
            </w:pPr>
            <w:r>
              <w:rPr>
                <w:color w:val="auto"/>
                <w:spacing w:val="-10"/>
                <w:position w:val="2"/>
                <w:sz w:val="18"/>
                <w:szCs w:val="18"/>
              </w:rPr>
              <w:t>……</w:t>
            </w:r>
          </w:p>
        </w:tc>
        <w:tc>
          <w:tcPr>
            <w:tcW w:w="2551" w:type="dxa"/>
          </w:tcPr>
          <w:p>
            <w:pPr>
              <w:pStyle w:val="15"/>
              <w:spacing w:before="261"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2"/>
              <w:rPr>
                <w:color w:val="auto"/>
                <w:sz w:val="18"/>
                <w:szCs w:val="18"/>
              </w:rPr>
            </w:pPr>
            <w:r>
              <w:rPr>
                <w:color w:val="auto"/>
                <w:sz w:val="18"/>
                <w:szCs w:val="18"/>
              </w:rPr>
              <w:t>2</w:t>
            </w:r>
          </w:p>
        </w:tc>
        <w:tc>
          <w:tcPr>
            <w:tcW w:w="1078" w:type="dxa"/>
          </w:tcPr>
          <w:p>
            <w:pPr>
              <w:pStyle w:val="15"/>
              <w:spacing w:before="262" w:line="283" w:lineRule="exact"/>
              <w:ind w:left="373"/>
              <w:rPr>
                <w:color w:val="auto"/>
                <w:sz w:val="18"/>
                <w:szCs w:val="18"/>
              </w:rPr>
            </w:pPr>
            <w:r>
              <w:rPr>
                <w:color w:val="auto"/>
                <w:spacing w:val="-10"/>
                <w:position w:val="2"/>
                <w:sz w:val="18"/>
                <w:szCs w:val="18"/>
              </w:rPr>
              <w:t>……</w:t>
            </w:r>
          </w:p>
        </w:tc>
        <w:tc>
          <w:tcPr>
            <w:tcW w:w="1223" w:type="dxa"/>
          </w:tcPr>
          <w:p>
            <w:pPr>
              <w:pStyle w:val="15"/>
              <w:spacing w:before="262" w:line="283" w:lineRule="exact"/>
              <w:ind w:left="445"/>
              <w:rPr>
                <w:color w:val="auto"/>
                <w:sz w:val="18"/>
                <w:szCs w:val="18"/>
              </w:rPr>
            </w:pPr>
            <w:r>
              <w:rPr>
                <w:color w:val="auto"/>
                <w:spacing w:val="-10"/>
                <w:position w:val="2"/>
                <w:sz w:val="18"/>
                <w:szCs w:val="18"/>
              </w:rPr>
              <w:t>……</w:t>
            </w:r>
          </w:p>
        </w:tc>
        <w:tc>
          <w:tcPr>
            <w:tcW w:w="2551" w:type="dxa"/>
          </w:tcPr>
          <w:p>
            <w:pPr>
              <w:pStyle w:val="15"/>
              <w:spacing w:before="262"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0" w:line="183" w:lineRule="auto"/>
              <w:ind w:left="334"/>
              <w:rPr>
                <w:color w:val="auto"/>
                <w:sz w:val="18"/>
                <w:szCs w:val="18"/>
              </w:rPr>
            </w:pPr>
            <w:r>
              <w:rPr>
                <w:color w:val="auto"/>
                <w:sz w:val="18"/>
                <w:szCs w:val="18"/>
              </w:rPr>
              <w:t>3</w:t>
            </w:r>
          </w:p>
        </w:tc>
        <w:tc>
          <w:tcPr>
            <w:tcW w:w="1078" w:type="dxa"/>
          </w:tcPr>
          <w:p>
            <w:pPr>
              <w:pStyle w:val="15"/>
              <w:spacing w:before="261" w:line="284" w:lineRule="exact"/>
              <w:ind w:left="373"/>
              <w:rPr>
                <w:color w:val="auto"/>
                <w:sz w:val="18"/>
                <w:szCs w:val="18"/>
              </w:rPr>
            </w:pPr>
            <w:r>
              <w:rPr>
                <w:color w:val="auto"/>
                <w:spacing w:val="-10"/>
                <w:position w:val="2"/>
                <w:sz w:val="18"/>
                <w:szCs w:val="18"/>
              </w:rPr>
              <w:t>……</w:t>
            </w:r>
          </w:p>
        </w:tc>
        <w:tc>
          <w:tcPr>
            <w:tcW w:w="1223" w:type="dxa"/>
          </w:tcPr>
          <w:p>
            <w:pPr>
              <w:pStyle w:val="15"/>
              <w:spacing w:before="261" w:line="284" w:lineRule="exact"/>
              <w:ind w:left="445"/>
              <w:rPr>
                <w:color w:val="auto"/>
                <w:sz w:val="18"/>
                <w:szCs w:val="18"/>
              </w:rPr>
            </w:pPr>
            <w:r>
              <w:rPr>
                <w:color w:val="auto"/>
                <w:spacing w:val="-10"/>
                <w:position w:val="2"/>
                <w:sz w:val="18"/>
                <w:szCs w:val="18"/>
              </w:rPr>
              <w:t>……</w:t>
            </w:r>
          </w:p>
        </w:tc>
        <w:tc>
          <w:tcPr>
            <w:tcW w:w="2551" w:type="dxa"/>
          </w:tcPr>
          <w:p>
            <w:pPr>
              <w:pStyle w:val="15"/>
              <w:spacing w:before="261"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1" w:line="183" w:lineRule="auto"/>
              <w:ind w:left="330"/>
              <w:rPr>
                <w:color w:val="auto"/>
                <w:sz w:val="18"/>
                <w:szCs w:val="18"/>
              </w:rPr>
            </w:pPr>
            <w:r>
              <w:rPr>
                <w:color w:val="auto"/>
                <w:sz w:val="18"/>
                <w:szCs w:val="18"/>
              </w:rPr>
              <w:t>4</w:t>
            </w:r>
          </w:p>
        </w:tc>
        <w:tc>
          <w:tcPr>
            <w:tcW w:w="1078" w:type="dxa"/>
          </w:tcPr>
          <w:p>
            <w:pPr>
              <w:pStyle w:val="15"/>
              <w:spacing w:before="263" w:line="283" w:lineRule="exact"/>
              <w:ind w:left="373"/>
              <w:rPr>
                <w:color w:val="auto"/>
                <w:sz w:val="18"/>
                <w:szCs w:val="18"/>
              </w:rPr>
            </w:pPr>
            <w:r>
              <w:rPr>
                <w:color w:val="auto"/>
                <w:spacing w:val="-10"/>
                <w:position w:val="2"/>
                <w:sz w:val="18"/>
                <w:szCs w:val="18"/>
              </w:rPr>
              <w:t>……</w:t>
            </w:r>
          </w:p>
        </w:tc>
        <w:tc>
          <w:tcPr>
            <w:tcW w:w="1223" w:type="dxa"/>
          </w:tcPr>
          <w:p>
            <w:pPr>
              <w:pStyle w:val="15"/>
              <w:spacing w:before="263" w:line="283" w:lineRule="exact"/>
              <w:ind w:left="445"/>
              <w:rPr>
                <w:color w:val="auto"/>
                <w:sz w:val="18"/>
                <w:szCs w:val="18"/>
              </w:rPr>
            </w:pPr>
            <w:r>
              <w:rPr>
                <w:color w:val="auto"/>
                <w:spacing w:val="-10"/>
                <w:position w:val="2"/>
                <w:sz w:val="18"/>
                <w:szCs w:val="18"/>
              </w:rPr>
              <w:t>……</w:t>
            </w:r>
          </w:p>
        </w:tc>
        <w:tc>
          <w:tcPr>
            <w:tcW w:w="2551" w:type="dxa"/>
          </w:tcPr>
          <w:p>
            <w:pPr>
              <w:pStyle w:val="15"/>
              <w:spacing w:before="263"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2" w:lineRule="auto"/>
              <w:ind w:left="334"/>
              <w:rPr>
                <w:color w:val="auto"/>
                <w:sz w:val="18"/>
                <w:szCs w:val="18"/>
              </w:rPr>
            </w:pPr>
            <w:r>
              <w:rPr>
                <w:color w:val="auto"/>
                <w:sz w:val="18"/>
                <w:szCs w:val="18"/>
              </w:rPr>
              <w:t>5</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3" w:line="183" w:lineRule="auto"/>
              <w:ind w:left="332"/>
              <w:rPr>
                <w:color w:val="auto"/>
                <w:sz w:val="18"/>
                <w:szCs w:val="18"/>
              </w:rPr>
            </w:pPr>
            <w:r>
              <w:rPr>
                <w:color w:val="auto"/>
                <w:sz w:val="18"/>
                <w:szCs w:val="18"/>
              </w:rPr>
              <w:t>6</w:t>
            </w:r>
          </w:p>
        </w:tc>
        <w:tc>
          <w:tcPr>
            <w:tcW w:w="1078" w:type="dxa"/>
          </w:tcPr>
          <w:p>
            <w:pPr>
              <w:pStyle w:val="15"/>
              <w:spacing w:before="264" w:line="284" w:lineRule="exact"/>
              <w:ind w:left="373"/>
              <w:rPr>
                <w:color w:val="auto"/>
                <w:sz w:val="18"/>
                <w:szCs w:val="18"/>
              </w:rPr>
            </w:pPr>
            <w:r>
              <w:rPr>
                <w:color w:val="auto"/>
                <w:spacing w:val="-10"/>
                <w:position w:val="2"/>
                <w:sz w:val="18"/>
                <w:szCs w:val="18"/>
              </w:rPr>
              <w:t>……</w:t>
            </w:r>
          </w:p>
        </w:tc>
        <w:tc>
          <w:tcPr>
            <w:tcW w:w="1223" w:type="dxa"/>
          </w:tcPr>
          <w:p>
            <w:pPr>
              <w:pStyle w:val="15"/>
              <w:spacing w:before="264" w:line="284" w:lineRule="exact"/>
              <w:ind w:left="445"/>
              <w:rPr>
                <w:color w:val="auto"/>
                <w:sz w:val="18"/>
                <w:szCs w:val="18"/>
              </w:rPr>
            </w:pPr>
            <w:r>
              <w:rPr>
                <w:color w:val="auto"/>
                <w:spacing w:val="-10"/>
                <w:position w:val="2"/>
                <w:sz w:val="18"/>
                <w:szCs w:val="18"/>
              </w:rPr>
              <w:t>……</w:t>
            </w:r>
          </w:p>
        </w:tc>
        <w:tc>
          <w:tcPr>
            <w:tcW w:w="2551" w:type="dxa"/>
          </w:tcPr>
          <w:p>
            <w:pPr>
              <w:pStyle w:val="15"/>
              <w:spacing w:before="264" w:line="284"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7" w:hRule="atLeast"/>
        </w:trPr>
        <w:tc>
          <w:tcPr>
            <w:tcW w:w="741" w:type="dxa"/>
          </w:tcPr>
          <w:p>
            <w:pPr>
              <w:pStyle w:val="15"/>
              <w:spacing w:before="294" w:line="182" w:lineRule="auto"/>
              <w:ind w:left="335"/>
              <w:rPr>
                <w:color w:val="auto"/>
                <w:sz w:val="18"/>
                <w:szCs w:val="18"/>
              </w:rPr>
            </w:pPr>
            <w:r>
              <w:rPr>
                <w:color w:val="auto"/>
                <w:sz w:val="18"/>
                <w:szCs w:val="18"/>
              </w:rPr>
              <w:t>7</w:t>
            </w:r>
          </w:p>
        </w:tc>
        <w:tc>
          <w:tcPr>
            <w:tcW w:w="1078" w:type="dxa"/>
          </w:tcPr>
          <w:p>
            <w:pPr>
              <w:pStyle w:val="15"/>
              <w:spacing w:before="265" w:line="283" w:lineRule="exact"/>
              <w:ind w:left="373"/>
              <w:rPr>
                <w:color w:val="auto"/>
                <w:sz w:val="18"/>
                <w:szCs w:val="18"/>
              </w:rPr>
            </w:pPr>
            <w:r>
              <w:rPr>
                <w:color w:val="auto"/>
                <w:spacing w:val="-10"/>
                <w:position w:val="2"/>
                <w:sz w:val="18"/>
                <w:szCs w:val="18"/>
              </w:rPr>
              <w:t>……</w:t>
            </w:r>
          </w:p>
        </w:tc>
        <w:tc>
          <w:tcPr>
            <w:tcW w:w="1223" w:type="dxa"/>
          </w:tcPr>
          <w:p>
            <w:pPr>
              <w:pStyle w:val="15"/>
              <w:spacing w:before="265" w:line="283" w:lineRule="exact"/>
              <w:ind w:left="445"/>
              <w:rPr>
                <w:color w:val="auto"/>
                <w:sz w:val="18"/>
                <w:szCs w:val="18"/>
              </w:rPr>
            </w:pPr>
            <w:r>
              <w:rPr>
                <w:color w:val="auto"/>
                <w:spacing w:val="-10"/>
                <w:position w:val="2"/>
                <w:sz w:val="18"/>
                <w:szCs w:val="18"/>
              </w:rPr>
              <w:t>……</w:t>
            </w:r>
          </w:p>
        </w:tc>
        <w:tc>
          <w:tcPr>
            <w:tcW w:w="2551" w:type="dxa"/>
          </w:tcPr>
          <w:p>
            <w:pPr>
              <w:pStyle w:val="15"/>
              <w:spacing w:before="265"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6" w:hRule="atLeast"/>
        </w:trPr>
        <w:tc>
          <w:tcPr>
            <w:tcW w:w="741" w:type="dxa"/>
          </w:tcPr>
          <w:p>
            <w:pPr>
              <w:pStyle w:val="15"/>
              <w:spacing w:before="294" w:line="183" w:lineRule="auto"/>
              <w:ind w:left="331"/>
              <w:rPr>
                <w:color w:val="auto"/>
                <w:sz w:val="18"/>
                <w:szCs w:val="18"/>
              </w:rPr>
            </w:pPr>
            <w:r>
              <w:rPr>
                <w:color w:val="auto"/>
                <w:sz w:val="18"/>
                <w:szCs w:val="18"/>
              </w:rPr>
              <w:t>8</w:t>
            </w:r>
          </w:p>
        </w:tc>
        <w:tc>
          <w:tcPr>
            <w:tcW w:w="1078" w:type="dxa"/>
          </w:tcPr>
          <w:p>
            <w:pPr>
              <w:pStyle w:val="15"/>
              <w:spacing w:before="266" w:line="283" w:lineRule="exact"/>
              <w:ind w:left="373"/>
              <w:rPr>
                <w:color w:val="auto"/>
                <w:sz w:val="18"/>
                <w:szCs w:val="18"/>
              </w:rPr>
            </w:pPr>
            <w:r>
              <w:rPr>
                <w:color w:val="auto"/>
                <w:spacing w:val="-10"/>
                <w:position w:val="2"/>
                <w:sz w:val="18"/>
                <w:szCs w:val="18"/>
              </w:rPr>
              <w:t>……</w:t>
            </w:r>
          </w:p>
        </w:tc>
        <w:tc>
          <w:tcPr>
            <w:tcW w:w="1223" w:type="dxa"/>
          </w:tcPr>
          <w:p>
            <w:pPr>
              <w:pStyle w:val="15"/>
              <w:spacing w:before="266" w:line="283" w:lineRule="exact"/>
              <w:ind w:left="445"/>
              <w:rPr>
                <w:color w:val="auto"/>
                <w:sz w:val="18"/>
                <w:szCs w:val="18"/>
              </w:rPr>
            </w:pPr>
            <w:r>
              <w:rPr>
                <w:color w:val="auto"/>
                <w:spacing w:val="-10"/>
                <w:position w:val="2"/>
                <w:sz w:val="18"/>
                <w:szCs w:val="18"/>
              </w:rPr>
              <w:t>……</w:t>
            </w:r>
          </w:p>
        </w:tc>
        <w:tc>
          <w:tcPr>
            <w:tcW w:w="2551" w:type="dxa"/>
          </w:tcPr>
          <w:p>
            <w:pPr>
              <w:pStyle w:val="15"/>
              <w:spacing w:before="266" w:line="283" w:lineRule="exact"/>
              <w:ind w:left="122"/>
              <w:rPr>
                <w:color w:val="auto"/>
                <w:sz w:val="18"/>
                <w:szCs w:val="18"/>
              </w:rPr>
            </w:pPr>
            <w:r>
              <w:rPr>
                <w:color w:val="auto"/>
                <w:spacing w:val="-10"/>
                <w:position w:val="2"/>
                <w:sz w:val="18"/>
                <w:szCs w:val="18"/>
              </w:rPr>
              <w:t>……</w:t>
            </w:r>
          </w:p>
        </w:tc>
        <w:tc>
          <w:tcPr>
            <w:tcW w:w="1138" w:type="dxa"/>
          </w:tcPr>
          <w:p>
            <w:pPr>
              <w:rPr>
                <w:color w:val="auto"/>
              </w:rPr>
            </w:pPr>
          </w:p>
        </w:tc>
        <w:tc>
          <w:tcPr>
            <w:tcW w:w="1139" w:type="dxa"/>
          </w:tcPr>
          <w:p>
            <w:pPr>
              <w:rPr>
                <w:color w:val="auto"/>
              </w:rPr>
            </w:pPr>
          </w:p>
        </w:tc>
        <w:tc>
          <w:tcPr>
            <w:tcW w:w="114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1" w:hRule="atLeast"/>
        </w:trPr>
        <w:tc>
          <w:tcPr>
            <w:tcW w:w="741" w:type="dxa"/>
          </w:tcPr>
          <w:p>
            <w:pPr>
              <w:rPr>
                <w:color w:val="auto"/>
              </w:rPr>
            </w:pPr>
          </w:p>
        </w:tc>
        <w:tc>
          <w:tcPr>
            <w:tcW w:w="4852" w:type="dxa"/>
            <w:gridSpan w:val="3"/>
          </w:tcPr>
          <w:p>
            <w:pPr>
              <w:pStyle w:val="15"/>
              <w:spacing w:before="249" w:line="228" w:lineRule="auto"/>
              <w:ind w:left="1270"/>
              <w:rPr>
                <w:color w:val="auto"/>
              </w:rPr>
            </w:pPr>
            <w:r>
              <w:rPr>
                <w:b/>
                <w:bCs/>
                <w:color w:val="auto"/>
                <w:spacing w:val="2"/>
              </w:rPr>
              <w:t>评审得分（满分100分）</w:t>
            </w:r>
          </w:p>
        </w:tc>
        <w:tc>
          <w:tcPr>
            <w:tcW w:w="1138" w:type="dxa"/>
          </w:tcPr>
          <w:p>
            <w:pPr>
              <w:rPr>
                <w:color w:val="auto"/>
              </w:rPr>
            </w:pPr>
          </w:p>
        </w:tc>
        <w:tc>
          <w:tcPr>
            <w:tcW w:w="1139" w:type="dxa"/>
          </w:tcPr>
          <w:p>
            <w:pPr>
              <w:rPr>
                <w:color w:val="auto"/>
              </w:rPr>
            </w:pPr>
          </w:p>
        </w:tc>
        <w:tc>
          <w:tcPr>
            <w:tcW w:w="1144" w:type="dxa"/>
          </w:tcPr>
          <w:p>
            <w:pPr>
              <w:rPr>
                <w:color w:val="auto"/>
              </w:rPr>
            </w:pPr>
          </w:p>
        </w:tc>
      </w:tr>
    </w:tbl>
    <w:p>
      <w:pPr>
        <w:spacing w:before="140" w:line="227" w:lineRule="auto"/>
        <w:ind w:left="128"/>
        <w:rPr>
          <w:rFonts w:ascii="宋体" w:hAnsi="宋体" w:eastAsia="宋体" w:cs="宋体"/>
          <w:color w:val="auto"/>
          <w:sz w:val="20"/>
          <w:szCs w:val="20"/>
          <w:lang w:eastAsia="zh-CN"/>
        </w:rPr>
      </w:pPr>
      <w:r>
        <w:rPr>
          <w:rFonts w:ascii="宋体" w:hAnsi="宋体" w:eastAsia="宋体" w:cs="宋体"/>
          <w:b/>
          <w:bCs/>
          <w:color w:val="auto"/>
          <w:spacing w:val="8"/>
          <w:sz w:val="20"/>
          <w:szCs w:val="20"/>
          <w:lang w:eastAsia="zh-CN"/>
        </w:rPr>
        <w:t>备注：</w:t>
      </w:r>
      <w:r>
        <w:rPr>
          <w:rFonts w:ascii="宋体" w:hAnsi="宋体" w:eastAsia="宋体" w:cs="宋体"/>
          <w:color w:val="auto"/>
          <w:spacing w:val="8"/>
          <w:sz w:val="20"/>
          <w:szCs w:val="20"/>
          <w:lang w:eastAsia="zh-CN"/>
        </w:rPr>
        <w:t>本表由评标专家独立打分。</w:t>
      </w:r>
    </w:p>
    <w:p>
      <w:pPr>
        <w:pStyle w:val="3"/>
        <w:spacing w:line="326" w:lineRule="auto"/>
        <w:rPr>
          <w:color w:val="auto"/>
          <w:lang w:eastAsia="zh-CN"/>
        </w:rPr>
      </w:pPr>
    </w:p>
    <w:p>
      <w:pPr>
        <w:pStyle w:val="3"/>
        <w:spacing w:line="326" w:lineRule="auto"/>
        <w:rPr>
          <w:color w:val="auto"/>
          <w:lang w:eastAsia="zh-CN"/>
        </w:rPr>
      </w:pPr>
    </w:p>
    <w:p>
      <w:pPr>
        <w:spacing w:before="65" w:line="227" w:lineRule="auto"/>
        <w:ind w:left="1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37" w:type="default"/>
          <w:pgSz w:w="11906" w:h="16839"/>
          <w:pgMar w:top="1431" w:right="1415" w:bottom="1356" w:left="1471" w:header="0" w:footer="1191"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ind w:left="181"/>
        <w:rPr>
          <w:rFonts w:ascii="黑体" w:hAnsi="黑体" w:eastAsia="黑体" w:cs="黑体"/>
          <w:color w:val="auto"/>
          <w:sz w:val="31"/>
          <w:szCs w:val="31"/>
          <w:lang w:eastAsia="zh-CN"/>
        </w:rPr>
      </w:pPr>
      <w:r>
        <w:rPr>
          <w:rFonts w:ascii="黑体" w:hAnsi="黑体" w:eastAsia="黑体" w:cs="黑体"/>
          <w:color w:val="auto"/>
          <w:spacing w:val="7"/>
          <w:sz w:val="31"/>
          <w:szCs w:val="31"/>
          <w:lang w:eastAsia="zh-CN"/>
        </w:rPr>
        <w:t>附表9：详细评审-投标报价评分表</w:t>
      </w:r>
    </w:p>
    <w:p>
      <w:pPr>
        <w:pStyle w:val="3"/>
        <w:spacing w:line="278" w:lineRule="auto"/>
        <w:rPr>
          <w:color w:val="auto"/>
          <w:lang w:eastAsia="zh-CN"/>
        </w:rPr>
      </w:pPr>
    </w:p>
    <w:p>
      <w:pPr>
        <w:pStyle w:val="3"/>
        <w:spacing w:line="278" w:lineRule="auto"/>
        <w:rPr>
          <w:color w:val="auto"/>
          <w:lang w:eastAsia="zh-CN"/>
        </w:rPr>
      </w:pPr>
    </w:p>
    <w:p>
      <w:pPr>
        <w:pStyle w:val="3"/>
        <w:spacing w:line="278" w:lineRule="auto"/>
        <w:rPr>
          <w:color w:val="auto"/>
          <w:lang w:eastAsia="zh-CN"/>
        </w:rPr>
      </w:pPr>
    </w:p>
    <w:p>
      <w:pPr>
        <w:spacing w:before="91" w:line="222" w:lineRule="auto"/>
        <w:ind w:left="3308"/>
        <w:rPr>
          <w:rFonts w:ascii="黑体" w:hAnsi="黑体" w:eastAsia="黑体" w:cs="黑体"/>
          <w:color w:val="auto"/>
          <w:sz w:val="28"/>
          <w:szCs w:val="28"/>
        </w:rPr>
      </w:pPr>
      <w:r>
        <w:rPr>
          <w:rFonts w:ascii="黑体" w:hAnsi="黑体" w:eastAsia="黑体" w:cs="黑体"/>
          <w:color w:val="auto"/>
          <w:spacing w:val="-3"/>
          <w:sz w:val="28"/>
          <w:szCs w:val="28"/>
        </w:rPr>
        <w:t>1.投标报价评分标准</w:t>
      </w:r>
    </w:p>
    <w:p>
      <w:pPr>
        <w:spacing w:before="70"/>
        <w:rPr>
          <w:color w:val="auto"/>
        </w:rPr>
      </w:pPr>
    </w:p>
    <w:p>
      <w:pPr>
        <w:spacing w:before="69"/>
        <w:rPr>
          <w:color w:val="auto"/>
        </w:rPr>
      </w:pPr>
    </w:p>
    <w:tbl>
      <w:tblPr>
        <w:tblStyle w:val="14"/>
        <w:tblW w:w="90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1498"/>
        <w:gridCol w:w="1417"/>
        <w:gridCol w:w="53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6" w:hRule="atLeast"/>
        </w:trPr>
        <w:tc>
          <w:tcPr>
            <w:tcW w:w="854" w:type="dxa"/>
            <w:vMerge w:val="restart"/>
            <w:tcBorders>
              <w:bottom w:val="nil"/>
            </w:tcBorders>
          </w:tcPr>
          <w:p>
            <w:pPr>
              <w:spacing w:line="243" w:lineRule="auto"/>
              <w:rPr>
                <w:color w:val="auto"/>
              </w:rPr>
            </w:pPr>
          </w:p>
          <w:p>
            <w:pPr>
              <w:spacing w:line="243" w:lineRule="auto"/>
              <w:rPr>
                <w:color w:val="auto"/>
              </w:rPr>
            </w:pPr>
          </w:p>
          <w:p>
            <w:pPr>
              <w:spacing w:line="244" w:lineRule="auto"/>
              <w:rPr>
                <w:color w:val="auto"/>
              </w:rPr>
            </w:pPr>
          </w:p>
          <w:p>
            <w:pPr>
              <w:spacing w:line="244" w:lineRule="auto"/>
              <w:rPr>
                <w:color w:val="auto"/>
              </w:rPr>
            </w:pPr>
          </w:p>
          <w:p>
            <w:pPr>
              <w:pStyle w:val="15"/>
              <w:spacing w:before="65" w:line="298" w:lineRule="auto"/>
              <w:ind w:left="125" w:right="216" w:hanging="7"/>
              <w:rPr>
                <w:color w:val="auto"/>
              </w:rPr>
            </w:pPr>
            <w:r>
              <w:rPr>
                <w:color w:val="auto"/>
                <w:spacing w:val="2"/>
              </w:rPr>
              <w:t xml:space="preserve">2.2.4 </w:t>
            </w:r>
            <w:r>
              <w:rPr>
                <w:color w:val="auto"/>
                <w:spacing w:val="-2"/>
              </w:rPr>
              <w:t>（3）</w:t>
            </w:r>
          </w:p>
        </w:tc>
        <w:tc>
          <w:tcPr>
            <w:tcW w:w="1498" w:type="dxa"/>
            <w:vMerge w:val="restart"/>
            <w:tcBorders>
              <w:bottom w:val="nil"/>
            </w:tcBorders>
          </w:tcPr>
          <w:p>
            <w:pPr>
              <w:spacing w:line="262" w:lineRule="auto"/>
              <w:rPr>
                <w:color w:val="auto"/>
                <w:lang w:eastAsia="zh-CN"/>
              </w:rPr>
            </w:pPr>
          </w:p>
          <w:p>
            <w:pPr>
              <w:spacing w:line="263" w:lineRule="auto"/>
              <w:rPr>
                <w:color w:val="auto"/>
                <w:lang w:eastAsia="zh-CN"/>
              </w:rPr>
            </w:pPr>
          </w:p>
          <w:p>
            <w:pPr>
              <w:spacing w:line="263" w:lineRule="auto"/>
              <w:rPr>
                <w:color w:val="auto"/>
                <w:lang w:eastAsia="zh-CN"/>
              </w:rPr>
            </w:pPr>
          </w:p>
          <w:p>
            <w:pPr>
              <w:pStyle w:val="15"/>
              <w:spacing w:before="65" w:line="278" w:lineRule="auto"/>
              <w:ind w:left="290" w:right="296" w:firstLine="45"/>
              <w:jc w:val="both"/>
              <w:rPr>
                <w:color w:val="auto"/>
                <w:lang w:eastAsia="zh-CN"/>
              </w:rPr>
            </w:pPr>
            <w:r>
              <w:rPr>
                <w:color w:val="auto"/>
                <w:spacing w:val="6"/>
                <w:lang w:eastAsia="zh-CN"/>
              </w:rPr>
              <w:t>投标报价</w:t>
            </w:r>
            <w:r>
              <w:rPr>
                <w:color w:val="auto"/>
                <w:spacing w:val="18"/>
                <w:lang w:eastAsia="zh-CN"/>
              </w:rPr>
              <w:t>评分标准</w:t>
            </w:r>
            <w:r>
              <w:rPr>
                <w:color w:val="auto"/>
                <w:spacing w:val="1"/>
                <w:lang w:eastAsia="zh-CN"/>
              </w:rPr>
              <w:t>（100分）</w:t>
            </w:r>
          </w:p>
        </w:tc>
        <w:tc>
          <w:tcPr>
            <w:tcW w:w="1417" w:type="dxa"/>
          </w:tcPr>
          <w:p>
            <w:pPr>
              <w:spacing w:line="316" w:lineRule="auto"/>
              <w:rPr>
                <w:color w:val="auto"/>
                <w:lang w:eastAsia="zh-CN"/>
              </w:rPr>
            </w:pPr>
          </w:p>
          <w:p>
            <w:pPr>
              <w:pStyle w:val="15"/>
              <w:spacing w:before="65" w:line="228" w:lineRule="auto"/>
              <w:ind w:left="135"/>
              <w:rPr>
                <w:color w:val="auto"/>
              </w:rPr>
            </w:pPr>
            <w:r>
              <w:rPr>
                <w:color w:val="auto"/>
                <w:spacing w:val="6"/>
              </w:rPr>
              <w:t>偏差率（X）</w:t>
            </w:r>
          </w:p>
        </w:tc>
        <w:tc>
          <w:tcPr>
            <w:tcW w:w="5314" w:type="dxa"/>
          </w:tcPr>
          <w:p>
            <w:pPr>
              <w:spacing w:line="317" w:lineRule="auto"/>
              <w:rPr>
                <w:color w:val="auto"/>
                <w:lang w:eastAsia="zh-CN"/>
              </w:rPr>
            </w:pPr>
          </w:p>
          <w:p>
            <w:pPr>
              <w:pStyle w:val="15"/>
              <w:spacing w:before="65" w:line="226" w:lineRule="auto"/>
              <w:ind w:left="244"/>
              <w:rPr>
                <w:color w:val="auto"/>
                <w:lang w:eastAsia="zh-CN"/>
              </w:rPr>
            </w:pPr>
            <w:r>
              <w:rPr>
                <w:color w:val="auto"/>
                <w:spacing w:val="10"/>
                <w:lang w:eastAsia="zh-CN"/>
              </w:rPr>
              <w:t>X=（投标人报价-评标基准价）÷评标基准</w:t>
            </w:r>
            <w:r>
              <w:rPr>
                <w:color w:val="auto"/>
                <w:spacing w:val="9"/>
                <w:lang w:eastAsia="zh-CN"/>
              </w:rPr>
              <w:t>价×100%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854" w:type="dxa"/>
            <w:vMerge w:val="continue"/>
            <w:tcBorders>
              <w:top w:val="nil"/>
            </w:tcBorders>
          </w:tcPr>
          <w:p>
            <w:pPr>
              <w:rPr>
                <w:color w:val="auto"/>
                <w:lang w:eastAsia="zh-CN"/>
              </w:rPr>
            </w:pPr>
          </w:p>
        </w:tc>
        <w:tc>
          <w:tcPr>
            <w:tcW w:w="1498" w:type="dxa"/>
            <w:vMerge w:val="continue"/>
            <w:tcBorders>
              <w:top w:val="nil"/>
            </w:tcBorders>
          </w:tcPr>
          <w:p>
            <w:pPr>
              <w:rPr>
                <w:color w:val="auto"/>
                <w:lang w:eastAsia="zh-CN"/>
              </w:rPr>
            </w:pPr>
          </w:p>
        </w:tc>
        <w:tc>
          <w:tcPr>
            <w:tcW w:w="1417" w:type="dxa"/>
          </w:tcPr>
          <w:p>
            <w:pPr>
              <w:spacing w:line="299" w:lineRule="auto"/>
              <w:rPr>
                <w:color w:val="auto"/>
                <w:lang w:eastAsia="zh-CN"/>
              </w:rPr>
            </w:pPr>
          </w:p>
          <w:p>
            <w:pPr>
              <w:pStyle w:val="15"/>
              <w:spacing w:before="65" w:line="278" w:lineRule="auto"/>
              <w:ind w:left="189" w:right="182" w:firstLine="1"/>
              <w:jc w:val="both"/>
              <w:rPr>
                <w:color w:val="auto"/>
                <w:lang w:eastAsia="zh-CN"/>
              </w:rPr>
            </w:pPr>
            <w:r>
              <w:rPr>
                <w:color w:val="auto"/>
                <w:spacing w:val="7"/>
                <w:lang w:eastAsia="zh-CN"/>
              </w:rPr>
              <w:t>投标报价总价评分标准</w:t>
            </w:r>
            <w:r>
              <w:rPr>
                <w:color w:val="auto"/>
                <w:spacing w:val="13"/>
                <w:lang w:eastAsia="zh-CN"/>
              </w:rPr>
              <w:t>（100分）</w:t>
            </w:r>
          </w:p>
        </w:tc>
        <w:tc>
          <w:tcPr>
            <w:tcW w:w="5314" w:type="dxa"/>
          </w:tcPr>
          <w:p>
            <w:pPr>
              <w:spacing w:line="298" w:lineRule="auto"/>
              <w:rPr>
                <w:color w:val="auto"/>
                <w:lang w:eastAsia="zh-CN"/>
              </w:rPr>
            </w:pPr>
          </w:p>
          <w:p>
            <w:pPr>
              <w:pStyle w:val="15"/>
              <w:spacing w:before="65" w:line="228" w:lineRule="auto"/>
              <w:ind w:left="112"/>
              <w:rPr>
                <w:color w:val="auto"/>
                <w:lang w:eastAsia="zh-CN"/>
              </w:rPr>
            </w:pPr>
            <w:r>
              <w:rPr>
                <w:color w:val="auto"/>
                <w:spacing w:val="5"/>
                <w:lang w:eastAsia="zh-CN"/>
              </w:rPr>
              <w:t>偏差率大于0：偏差率从0开始每递升1％减</w:t>
            </w:r>
            <w:r>
              <w:rPr>
                <w:color w:val="auto"/>
                <w:spacing w:val="4"/>
                <w:lang w:eastAsia="zh-CN"/>
              </w:rPr>
              <w:t>0.5分。</w:t>
            </w:r>
          </w:p>
          <w:p>
            <w:pPr>
              <w:pStyle w:val="15"/>
              <w:spacing w:before="65" w:line="226" w:lineRule="auto"/>
              <w:ind w:left="112"/>
              <w:rPr>
                <w:color w:val="auto"/>
                <w:lang w:eastAsia="zh-CN"/>
              </w:rPr>
            </w:pPr>
            <w:r>
              <w:rPr>
                <w:color w:val="auto"/>
                <w:spacing w:val="5"/>
                <w:lang w:eastAsia="zh-CN"/>
              </w:rPr>
              <w:t>偏差率等于0：报价分为100 分</w:t>
            </w:r>
          </w:p>
          <w:p>
            <w:pPr>
              <w:pStyle w:val="15"/>
              <w:spacing w:before="66" w:line="228" w:lineRule="auto"/>
              <w:ind w:left="133"/>
              <w:rPr>
                <w:color w:val="auto"/>
                <w:lang w:eastAsia="zh-CN"/>
              </w:rPr>
            </w:pPr>
            <w:r>
              <w:rPr>
                <w:color w:val="auto"/>
                <w:spacing w:val="5"/>
                <w:lang w:eastAsia="zh-CN"/>
              </w:rPr>
              <w:t>。（偏差率不足1%的，按内插法取值）</w:t>
            </w:r>
          </w:p>
        </w:tc>
      </w:tr>
    </w:tbl>
    <w:p>
      <w:pPr>
        <w:pStyle w:val="3"/>
        <w:rPr>
          <w:color w:val="auto"/>
          <w:lang w:eastAsia="zh-CN"/>
        </w:rPr>
      </w:pPr>
    </w:p>
    <w:p>
      <w:pPr>
        <w:rPr>
          <w:color w:val="auto"/>
          <w:lang w:eastAsia="zh-CN"/>
        </w:rPr>
        <w:sectPr>
          <w:footerReference r:id="rId38" w:type="default"/>
          <w:pgSz w:w="11906" w:h="16839"/>
          <w:pgMar w:top="1431" w:right="1380" w:bottom="1356" w:left="1437" w:header="0" w:footer="1191" w:gutter="0"/>
          <w:cols w:space="720" w:num="1"/>
          <w:docGrid w:linePitch="0" w:charSpace="0"/>
        </w:sectPr>
      </w:pPr>
    </w:p>
    <w:p>
      <w:pPr>
        <w:pStyle w:val="3"/>
        <w:spacing w:line="455" w:lineRule="auto"/>
        <w:rPr>
          <w:color w:val="auto"/>
          <w:lang w:eastAsia="zh-CN"/>
        </w:rPr>
      </w:pPr>
    </w:p>
    <w:p>
      <w:pPr>
        <w:spacing w:before="101" w:line="227" w:lineRule="auto"/>
        <w:rPr>
          <w:rFonts w:ascii="黑体" w:hAnsi="黑体" w:eastAsia="黑体" w:cs="黑体"/>
          <w:color w:val="auto"/>
          <w:sz w:val="31"/>
          <w:szCs w:val="31"/>
          <w:lang w:eastAsia="zh-CN"/>
        </w:rPr>
      </w:pPr>
      <w:r>
        <w:rPr>
          <w:rFonts w:ascii="黑体" w:hAnsi="黑体" w:eastAsia="黑体" w:cs="黑体"/>
          <w:color w:val="auto"/>
          <w:spacing w:val="4"/>
          <w:sz w:val="31"/>
          <w:szCs w:val="31"/>
          <w:lang w:eastAsia="zh-CN"/>
        </w:rPr>
        <w:t>附表10：成本评审结论记录表</w:t>
      </w:r>
    </w:p>
    <w:p>
      <w:pPr>
        <w:pStyle w:val="3"/>
        <w:spacing w:line="268" w:lineRule="auto"/>
        <w:rPr>
          <w:color w:val="auto"/>
          <w:lang w:eastAsia="zh-CN"/>
        </w:rPr>
      </w:pPr>
    </w:p>
    <w:p>
      <w:pPr>
        <w:pStyle w:val="3"/>
        <w:spacing w:line="268" w:lineRule="auto"/>
        <w:rPr>
          <w:color w:val="auto"/>
          <w:lang w:eastAsia="zh-CN"/>
        </w:rPr>
      </w:pPr>
    </w:p>
    <w:p>
      <w:pPr>
        <w:spacing w:before="91" w:line="222" w:lineRule="auto"/>
        <w:ind w:left="3110"/>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成本评审结论记录表</w:t>
      </w:r>
    </w:p>
    <w:p>
      <w:pPr>
        <w:pStyle w:val="3"/>
        <w:spacing w:line="263" w:lineRule="auto"/>
        <w:rPr>
          <w:color w:val="auto"/>
          <w:lang w:eastAsia="zh-CN"/>
        </w:rPr>
      </w:pPr>
    </w:p>
    <w:p>
      <w:pPr>
        <w:pStyle w:val="3"/>
        <w:spacing w:line="263" w:lineRule="auto"/>
        <w:rPr>
          <w:color w:val="auto"/>
          <w:lang w:eastAsia="zh-CN"/>
        </w:rPr>
      </w:pPr>
    </w:p>
    <w:p>
      <w:pPr>
        <w:tabs>
          <w:tab w:val="left" w:pos="1530"/>
        </w:tabs>
        <w:spacing w:before="78" w:line="220" w:lineRule="auto"/>
        <w:ind w:left="210"/>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1" w:line="264" w:lineRule="auto"/>
        <w:ind w:left="221" w:right="5363" w:hanging="1"/>
        <w:rPr>
          <w:rFonts w:ascii="宋体" w:hAnsi="宋体" w:eastAsia="宋体" w:cs="宋体"/>
          <w:color w:val="auto"/>
          <w:sz w:val="24"/>
          <w:szCs w:val="24"/>
          <w:lang w:eastAsia="zh-CN"/>
        </w:rPr>
      </w:pPr>
      <w:r>
        <w:rPr>
          <w:rFonts w:ascii="宋体" w:hAnsi="宋体" w:eastAsia="宋体" w:cs="宋体"/>
          <w:color w:val="auto"/>
          <w:spacing w:val="-1"/>
          <w:sz w:val="24"/>
          <w:szCs w:val="24"/>
          <w:lang w:eastAsia="zh-CN"/>
        </w:rPr>
        <w:t>招标编号：</w:t>
      </w:r>
      <w:r>
        <w:rPr>
          <w:rFonts w:ascii="宋体" w:hAnsi="宋体" w:eastAsia="宋体" w:cs="宋体"/>
          <w:color w:val="auto"/>
          <w:spacing w:val="-3"/>
          <w:sz w:val="24"/>
          <w:szCs w:val="24"/>
          <w:lang w:eastAsia="zh-CN"/>
        </w:rPr>
        <w:t>投标人名称：</w:t>
      </w:r>
    </w:p>
    <w:tbl>
      <w:tblPr>
        <w:tblStyle w:val="14"/>
        <w:tblW w:w="8656"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1561"/>
        <w:gridCol w:w="1417"/>
        <w:gridCol w:w="1417"/>
        <w:gridCol w:w="1417"/>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1422" w:type="dxa"/>
          </w:tcPr>
          <w:p>
            <w:pPr>
              <w:pStyle w:val="15"/>
              <w:spacing w:before="211" w:line="229" w:lineRule="auto"/>
              <w:ind w:left="504"/>
              <w:rPr>
                <w:color w:val="auto"/>
              </w:rPr>
            </w:pPr>
            <w:r>
              <w:rPr>
                <w:b/>
                <w:bCs/>
                <w:color w:val="auto"/>
                <w:spacing w:val="4"/>
              </w:rPr>
              <w:t>序号</w:t>
            </w:r>
          </w:p>
        </w:tc>
        <w:tc>
          <w:tcPr>
            <w:tcW w:w="1561" w:type="dxa"/>
          </w:tcPr>
          <w:p>
            <w:pPr>
              <w:pStyle w:val="15"/>
              <w:spacing w:before="212" w:line="226" w:lineRule="auto"/>
              <w:ind w:left="154"/>
              <w:rPr>
                <w:color w:val="auto"/>
              </w:rPr>
            </w:pPr>
            <w:r>
              <w:rPr>
                <w:b/>
                <w:bCs/>
                <w:color w:val="auto"/>
                <w:spacing w:val="6"/>
              </w:rPr>
              <w:t>最高投标限价</w:t>
            </w:r>
          </w:p>
        </w:tc>
        <w:tc>
          <w:tcPr>
            <w:tcW w:w="1417" w:type="dxa"/>
          </w:tcPr>
          <w:p>
            <w:pPr>
              <w:pStyle w:val="15"/>
              <w:spacing w:before="55" w:line="262" w:lineRule="auto"/>
              <w:ind w:left="188" w:right="182" w:firstLine="106"/>
              <w:rPr>
                <w:color w:val="auto"/>
              </w:rPr>
            </w:pPr>
            <w:r>
              <w:rPr>
                <w:b/>
                <w:bCs/>
                <w:color w:val="auto"/>
                <w:spacing w:val="5"/>
              </w:rPr>
              <w:t>投标报价</w:t>
            </w:r>
            <w:r>
              <w:rPr>
                <w:b/>
                <w:bCs/>
                <w:color w:val="auto"/>
                <w:spacing w:val="6"/>
              </w:rPr>
              <w:t>算术平均值</w:t>
            </w:r>
          </w:p>
        </w:tc>
        <w:tc>
          <w:tcPr>
            <w:tcW w:w="1417" w:type="dxa"/>
          </w:tcPr>
          <w:p>
            <w:pPr>
              <w:pStyle w:val="15"/>
              <w:spacing w:before="212" w:line="226" w:lineRule="auto"/>
              <w:ind w:left="296"/>
              <w:rPr>
                <w:color w:val="auto"/>
              </w:rPr>
            </w:pPr>
            <w:r>
              <w:rPr>
                <w:b/>
                <w:bCs/>
                <w:color w:val="auto"/>
                <w:spacing w:val="5"/>
              </w:rPr>
              <w:t>投标报价</w:t>
            </w:r>
          </w:p>
        </w:tc>
        <w:tc>
          <w:tcPr>
            <w:tcW w:w="1417" w:type="dxa"/>
          </w:tcPr>
          <w:p>
            <w:pPr>
              <w:pStyle w:val="15"/>
              <w:spacing w:before="55" w:line="262" w:lineRule="auto"/>
              <w:ind w:left="188" w:right="179" w:firstLine="1"/>
              <w:rPr>
                <w:color w:val="auto"/>
                <w:lang w:eastAsia="zh-CN"/>
              </w:rPr>
            </w:pPr>
            <w:r>
              <w:rPr>
                <w:b/>
                <w:bCs/>
                <w:color w:val="auto"/>
                <w:spacing w:val="6"/>
                <w:lang w:eastAsia="zh-CN"/>
              </w:rPr>
              <w:t>本项目成本评审警戒线</w:t>
            </w:r>
          </w:p>
        </w:tc>
        <w:tc>
          <w:tcPr>
            <w:tcW w:w="1422" w:type="dxa"/>
          </w:tcPr>
          <w:p>
            <w:pPr>
              <w:pStyle w:val="15"/>
              <w:spacing w:before="212" w:line="228" w:lineRule="auto"/>
              <w:ind w:left="316"/>
              <w:rPr>
                <w:color w:val="auto"/>
              </w:rPr>
            </w:pPr>
            <w:r>
              <w:rPr>
                <w:b/>
                <w:bCs/>
                <w:color w:val="auto"/>
              </w:rPr>
              <w:t>比较结果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22" w:type="dxa"/>
          </w:tcPr>
          <w:p>
            <w:pPr>
              <w:rPr>
                <w:color w:val="auto"/>
              </w:rPr>
            </w:pPr>
          </w:p>
        </w:tc>
        <w:tc>
          <w:tcPr>
            <w:tcW w:w="1561" w:type="dxa"/>
          </w:tcPr>
          <w:p>
            <w:pPr>
              <w:rPr>
                <w:color w:val="auto"/>
              </w:rPr>
            </w:pPr>
          </w:p>
        </w:tc>
        <w:tc>
          <w:tcPr>
            <w:tcW w:w="1417" w:type="dxa"/>
          </w:tcPr>
          <w:p>
            <w:pPr>
              <w:rPr>
                <w:color w:val="auto"/>
              </w:rPr>
            </w:pPr>
          </w:p>
        </w:tc>
        <w:tc>
          <w:tcPr>
            <w:tcW w:w="1417" w:type="dxa"/>
          </w:tcPr>
          <w:p>
            <w:pPr>
              <w:rPr>
                <w:color w:val="auto"/>
              </w:rPr>
            </w:pPr>
          </w:p>
        </w:tc>
        <w:tc>
          <w:tcPr>
            <w:tcW w:w="1417" w:type="dxa"/>
          </w:tcPr>
          <w:p>
            <w:pPr>
              <w:rPr>
                <w:color w:val="auto"/>
              </w:rPr>
            </w:pPr>
          </w:p>
        </w:tc>
        <w:tc>
          <w:tcPr>
            <w:tcW w:w="142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5" w:hRule="atLeast"/>
        </w:trPr>
        <w:tc>
          <w:tcPr>
            <w:tcW w:w="8656" w:type="dxa"/>
            <w:gridSpan w:val="6"/>
          </w:tcPr>
          <w:p>
            <w:pPr>
              <w:pStyle w:val="15"/>
              <w:spacing w:before="145" w:line="228" w:lineRule="auto"/>
              <w:ind w:left="139"/>
              <w:rPr>
                <w:color w:val="auto"/>
                <w:lang w:eastAsia="zh-CN"/>
              </w:rPr>
            </w:pPr>
            <w:r>
              <w:rPr>
                <w:color w:val="auto"/>
                <w:spacing w:val="7"/>
                <w:lang w:eastAsia="zh-CN"/>
              </w:rPr>
              <w:t>比较后需投标人澄清和说明的主要事项概要：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8656" w:type="dxa"/>
            <w:gridSpan w:val="6"/>
          </w:tcPr>
          <w:p>
            <w:pPr>
              <w:pStyle w:val="15"/>
              <w:spacing w:before="146" w:line="227" w:lineRule="auto"/>
              <w:ind w:left="119"/>
              <w:rPr>
                <w:color w:val="auto"/>
                <w:lang w:eastAsia="zh-CN"/>
              </w:rPr>
            </w:pPr>
            <w:r>
              <w:rPr>
                <w:color w:val="auto"/>
                <w:spacing w:val="9"/>
                <w:lang w:eastAsia="zh-CN"/>
              </w:rPr>
              <w:t>投标人澄清、说明、补正和提供进一步证明的情况说明：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69" w:hRule="atLeast"/>
        </w:trPr>
        <w:tc>
          <w:tcPr>
            <w:tcW w:w="1422" w:type="dxa"/>
          </w:tcPr>
          <w:p>
            <w:pPr>
              <w:pStyle w:val="15"/>
              <w:spacing w:before="279" w:line="228" w:lineRule="auto"/>
              <w:ind w:left="296"/>
              <w:rPr>
                <w:color w:val="auto"/>
              </w:rPr>
            </w:pPr>
            <w:r>
              <w:rPr>
                <w:color w:val="auto"/>
                <w:spacing w:val="7"/>
              </w:rPr>
              <w:t>评审结论</w:t>
            </w:r>
          </w:p>
        </w:tc>
        <w:tc>
          <w:tcPr>
            <w:tcW w:w="7234" w:type="dxa"/>
            <w:gridSpan w:val="5"/>
          </w:tcPr>
          <w:p>
            <w:pPr>
              <w:pStyle w:val="15"/>
              <w:spacing w:before="279" w:line="227" w:lineRule="auto"/>
              <w:ind w:left="449"/>
              <w:rPr>
                <w:color w:val="auto"/>
              </w:rPr>
            </w:pPr>
            <w:r>
              <w:rPr>
                <w:color w:val="auto"/>
                <w:spacing w:val="4"/>
              </w:rPr>
              <w:t>□低于成本□不低于成本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05" w:hRule="atLeast"/>
        </w:trPr>
        <w:tc>
          <w:tcPr>
            <w:tcW w:w="1422" w:type="dxa"/>
          </w:tcPr>
          <w:p>
            <w:pPr>
              <w:spacing w:line="262" w:lineRule="auto"/>
              <w:rPr>
                <w:color w:val="auto"/>
                <w:lang w:eastAsia="zh-CN"/>
              </w:rPr>
            </w:pPr>
          </w:p>
          <w:p>
            <w:pPr>
              <w:spacing w:line="263" w:lineRule="auto"/>
              <w:rPr>
                <w:color w:val="auto"/>
                <w:lang w:eastAsia="zh-CN"/>
              </w:rPr>
            </w:pPr>
          </w:p>
          <w:p>
            <w:pPr>
              <w:pStyle w:val="15"/>
              <w:spacing w:before="65" w:line="273" w:lineRule="auto"/>
              <w:ind w:left="116" w:right="68" w:firstLine="179"/>
              <w:rPr>
                <w:color w:val="auto"/>
                <w:lang w:eastAsia="zh-CN"/>
              </w:rPr>
            </w:pPr>
            <w:r>
              <w:rPr>
                <w:color w:val="auto"/>
                <w:spacing w:val="7"/>
                <w:lang w:eastAsia="zh-CN"/>
              </w:rPr>
              <w:t>评审意见</w:t>
            </w:r>
            <w:r>
              <w:rPr>
                <w:color w:val="auto"/>
                <w:spacing w:val="5"/>
                <w:lang w:eastAsia="zh-CN"/>
              </w:rPr>
              <w:t>概要（必填）</w:t>
            </w:r>
          </w:p>
        </w:tc>
        <w:tc>
          <w:tcPr>
            <w:tcW w:w="7234" w:type="dxa"/>
            <w:gridSpan w:val="5"/>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5" w:hRule="atLeast"/>
        </w:trPr>
        <w:tc>
          <w:tcPr>
            <w:tcW w:w="1422" w:type="dxa"/>
          </w:tcPr>
          <w:p>
            <w:pPr>
              <w:spacing w:line="296" w:lineRule="auto"/>
              <w:rPr>
                <w:color w:val="auto"/>
                <w:lang w:eastAsia="zh-CN"/>
              </w:rPr>
            </w:pPr>
          </w:p>
          <w:p>
            <w:pPr>
              <w:spacing w:line="297" w:lineRule="auto"/>
              <w:rPr>
                <w:color w:val="auto"/>
                <w:lang w:eastAsia="zh-CN"/>
              </w:rPr>
            </w:pPr>
          </w:p>
          <w:p>
            <w:pPr>
              <w:spacing w:line="297" w:lineRule="auto"/>
              <w:rPr>
                <w:color w:val="auto"/>
                <w:lang w:eastAsia="zh-CN"/>
              </w:rPr>
            </w:pPr>
          </w:p>
          <w:p>
            <w:pPr>
              <w:pStyle w:val="15"/>
              <w:spacing w:before="65" w:line="227" w:lineRule="auto"/>
              <w:ind w:left="190"/>
              <w:rPr>
                <w:color w:val="auto"/>
                <w:lang w:eastAsia="zh-CN"/>
              </w:rPr>
            </w:pPr>
            <w:r>
              <w:rPr>
                <w:color w:val="auto"/>
                <w:spacing w:val="8"/>
                <w:lang w:eastAsia="zh-CN"/>
              </w:rPr>
              <w:t>评标委员会</w:t>
            </w:r>
          </w:p>
          <w:p>
            <w:pPr>
              <w:pStyle w:val="15"/>
              <w:spacing w:before="66" w:line="229" w:lineRule="auto"/>
              <w:ind w:left="296"/>
              <w:rPr>
                <w:color w:val="auto"/>
                <w:lang w:eastAsia="zh-CN"/>
              </w:rPr>
            </w:pPr>
            <w:r>
              <w:rPr>
                <w:color w:val="auto"/>
                <w:spacing w:val="7"/>
                <w:lang w:eastAsia="zh-CN"/>
              </w:rPr>
              <w:t>全体成员</w:t>
            </w:r>
          </w:p>
          <w:p>
            <w:pPr>
              <w:pStyle w:val="15"/>
              <w:spacing w:before="64" w:line="231" w:lineRule="auto"/>
              <w:ind w:left="505"/>
              <w:rPr>
                <w:color w:val="auto"/>
                <w:lang w:eastAsia="zh-CN"/>
              </w:rPr>
            </w:pPr>
            <w:r>
              <w:rPr>
                <w:color w:val="auto"/>
                <w:spacing w:val="4"/>
                <w:lang w:eastAsia="zh-CN"/>
              </w:rPr>
              <w:t>签名</w:t>
            </w:r>
          </w:p>
        </w:tc>
        <w:tc>
          <w:tcPr>
            <w:tcW w:w="7234" w:type="dxa"/>
            <w:gridSpan w:val="5"/>
          </w:tcPr>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0"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spacing w:line="251" w:lineRule="auto"/>
              <w:rPr>
                <w:color w:val="auto"/>
                <w:lang w:eastAsia="zh-CN"/>
              </w:rPr>
            </w:pPr>
          </w:p>
          <w:p>
            <w:pPr>
              <w:pStyle w:val="15"/>
              <w:tabs>
                <w:tab w:val="left" w:pos="4810"/>
              </w:tabs>
              <w:spacing w:before="65" w:line="228" w:lineRule="auto"/>
              <w:ind w:left="3970"/>
              <w:rPr>
                <w:color w:val="auto"/>
              </w:rPr>
            </w:pPr>
            <w:r>
              <w:rPr>
                <w:color w:val="auto"/>
                <w:u w:val="single"/>
                <w:lang w:eastAsia="zh-CN"/>
              </w:rPr>
              <w:tab/>
            </w:r>
            <w:r>
              <w:rPr>
                <w:color w:val="auto"/>
                <w:spacing w:val="-2"/>
              </w:rPr>
              <w:t>年月日</w:t>
            </w:r>
          </w:p>
        </w:tc>
      </w:tr>
    </w:tbl>
    <w:p>
      <w:pPr>
        <w:pStyle w:val="3"/>
        <w:rPr>
          <w:color w:val="auto"/>
        </w:rPr>
      </w:pPr>
    </w:p>
    <w:p>
      <w:pPr>
        <w:rPr>
          <w:color w:val="auto"/>
        </w:rPr>
        <w:sectPr>
          <w:footerReference r:id="rId39" w:type="default"/>
          <w:pgSz w:w="11906" w:h="16839"/>
          <w:pgMar w:top="1431" w:right="1594" w:bottom="1356" w:left="1618" w:header="0" w:footer="1191" w:gutter="0"/>
          <w:cols w:space="720" w:num="1"/>
          <w:docGrid w:linePitch="0" w:charSpace="0"/>
        </w:sectPr>
      </w:pPr>
    </w:p>
    <w:p>
      <w:pPr>
        <w:pStyle w:val="3"/>
        <w:spacing w:line="272" w:lineRule="auto"/>
        <w:rPr>
          <w:color w:val="auto"/>
        </w:rPr>
      </w:pPr>
    </w:p>
    <w:p>
      <w:pPr>
        <w:pStyle w:val="3"/>
        <w:spacing w:line="272" w:lineRule="auto"/>
        <w:rPr>
          <w:color w:val="auto"/>
        </w:rPr>
      </w:pPr>
    </w:p>
    <w:p>
      <w:pPr>
        <w:spacing w:before="100" w:line="226" w:lineRule="auto"/>
        <w:ind w:left="141"/>
        <w:rPr>
          <w:rFonts w:ascii="黑体" w:hAnsi="黑体" w:eastAsia="黑体" w:cs="黑体"/>
          <w:color w:val="auto"/>
          <w:sz w:val="31"/>
          <w:szCs w:val="31"/>
        </w:rPr>
      </w:pPr>
      <w:r>
        <w:rPr>
          <w:rFonts w:ascii="黑体" w:hAnsi="黑体" w:eastAsia="黑体" w:cs="黑体"/>
          <w:color w:val="auto"/>
          <w:spacing w:val="2"/>
          <w:sz w:val="31"/>
          <w:szCs w:val="31"/>
        </w:rPr>
        <w:t>附表11：权数取值表</w:t>
      </w:r>
    </w:p>
    <w:p>
      <w:pPr>
        <w:pStyle w:val="3"/>
        <w:spacing w:line="252" w:lineRule="auto"/>
        <w:rPr>
          <w:color w:val="auto"/>
        </w:rPr>
      </w:pPr>
    </w:p>
    <w:p>
      <w:pPr>
        <w:pStyle w:val="3"/>
        <w:spacing w:line="252" w:lineRule="auto"/>
        <w:rPr>
          <w:color w:val="auto"/>
        </w:rPr>
      </w:pPr>
    </w:p>
    <w:p>
      <w:pPr>
        <w:pStyle w:val="3"/>
        <w:spacing w:line="252" w:lineRule="auto"/>
        <w:rPr>
          <w:color w:val="auto"/>
        </w:rPr>
      </w:pPr>
    </w:p>
    <w:p>
      <w:pPr>
        <w:spacing w:before="91" w:line="222" w:lineRule="auto"/>
        <w:ind w:left="3811"/>
        <w:rPr>
          <w:rFonts w:ascii="黑体" w:hAnsi="黑体" w:eastAsia="黑体" w:cs="黑体"/>
          <w:color w:val="auto"/>
          <w:sz w:val="28"/>
          <w:szCs w:val="28"/>
        </w:rPr>
      </w:pPr>
      <w:r>
        <w:rPr>
          <w:rFonts w:ascii="黑体" w:hAnsi="黑体" w:eastAsia="黑体" w:cs="黑体"/>
          <w:color w:val="auto"/>
          <w:spacing w:val="-2"/>
          <w:sz w:val="28"/>
          <w:szCs w:val="28"/>
        </w:rPr>
        <w:t>权数取值表</w:t>
      </w:r>
    </w:p>
    <w:p>
      <w:pPr>
        <w:spacing w:before="93"/>
        <w:rPr>
          <w:color w:val="auto"/>
        </w:rPr>
      </w:pPr>
    </w:p>
    <w:tbl>
      <w:tblPr>
        <w:tblStyle w:val="14"/>
        <w:tblW w:w="90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8"/>
        <w:gridCol w:w="2321"/>
        <w:gridCol w:w="1743"/>
        <w:gridCol w:w="4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vMerge w:val="restart"/>
            <w:tcBorders>
              <w:bottom w:val="nil"/>
            </w:tcBorders>
          </w:tcPr>
          <w:p>
            <w:pPr>
              <w:spacing w:line="343" w:lineRule="auto"/>
              <w:rPr>
                <w:color w:val="auto"/>
              </w:rPr>
            </w:pPr>
          </w:p>
          <w:p>
            <w:pPr>
              <w:pStyle w:val="15"/>
              <w:spacing w:before="65" w:line="229" w:lineRule="auto"/>
              <w:ind w:left="233"/>
              <w:rPr>
                <w:color w:val="auto"/>
              </w:rPr>
            </w:pPr>
            <w:r>
              <w:rPr>
                <w:color w:val="auto"/>
                <w:spacing w:val="5"/>
              </w:rPr>
              <w:t>序号</w:t>
            </w:r>
          </w:p>
        </w:tc>
        <w:tc>
          <w:tcPr>
            <w:tcW w:w="2321" w:type="dxa"/>
            <w:vMerge w:val="restart"/>
            <w:tcBorders>
              <w:bottom w:val="nil"/>
            </w:tcBorders>
          </w:tcPr>
          <w:p>
            <w:pPr>
              <w:spacing w:line="343" w:lineRule="auto"/>
              <w:rPr>
                <w:color w:val="auto"/>
              </w:rPr>
            </w:pPr>
          </w:p>
          <w:p>
            <w:pPr>
              <w:pStyle w:val="15"/>
              <w:spacing w:before="65" w:line="228" w:lineRule="auto"/>
              <w:ind w:left="958"/>
              <w:rPr>
                <w:color w:val="auto"/>
              </w:rPr>
            </w:pPr>
            <w:r>
              <w:rPr>
                <w:color w:val="auto"/>
                <w:spacing w:val="3"/>
              </w:rPr>
              <w:t>项目</w:t>
            </w:r>
          </w:p>
        </w:tc>
        <w:tc>
          <w:tcPr>
            <w:tcW w:w="1743" w:type="dxa"/>
          </w:tcPr>
          <w:p>
            <w:pPr>
              <w:pStyle w:val="15"/>
              <w:spacing w:before="150" w:line="228" w:lineRule="auto"/>
              <w:ind w:left="665"/>
              <w:rPr>
                <w:color w:val="auto"/>
              </w:rPr>
            </w:pPr>
            <w:r>
              <w:rPr>
                <w:color w:val="auto"/>
                <w:spacing w:val="5"/>
              </w:rPr>
              <w:t>权数</w:t>
            </w:r>
          </w:p>
        </w:tc>
        <w:tc>
          <w:tcPr>
            <w:tcW w:w="4060" w:type="dxa"/>
            <w:vMerge w:val="restart"/>
            <w:tcBorders>
              <w:bottom w:val="nil"/>
            </w:tcBorders>
          </w:tcPr>
          <w:p>
            <w:pPr>
              <w:spacing w:line="342" w:lineRule="auto"/>
              <w:rPr>
                <w:color w:val="auto"/>
                <w:lang w:eastAsia="zh-CN"/>
              </w:rPr>
            </w:pPr>
          </w:p>
          <w:p>
            <w:pPr>
              <w:pStyle w:val="15"/>
              <w:spacing w:before="65" w:line="228" w:lineRule="auto"/>
              <w:ind w:left="674"/>
              <w:rPr>
                <w:color w:val="auto"/>
                <w:lang w:eastAsia="zh-CN"/>
              </w:rPr>
            </w:pPr>
            <w:r>
              <w:rPr>
                <w:color w:val="auto"/>
                <w:spacing w:val="8"/>
                <w:lang w:eastAsia="zh-CN"/>
              </w:rPr>
              <w:t>具体权数取值（招标人填写）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vMerge w:val="continue"/>
            <w:tcBorders>
              <w:top w:val="nil"/>
            </w:tcBorders>
          </w:tcPr>
          <w:p>
            <w:pPr>
              <w:rPr>
                <w:color w:val="auto"/>
                <w:lang w:eastAsia="zh-CN"/>
              </w:rPr>
            </w:pPr>
          </w:p>
        </w:tc>
        <w:tc>
          <w:tcPr>
            <w:tcW w:w="2321" w:type="dxa"/>
            <w:vMerge w:val="continue"/>
            <w:tcBorders>
              <w:top w:val="nil"/>
            </w:tcBorders>
          </w:tcPr>
          <w:p>
            <w:pPr>
              <w:rPr>
                <w:color w:val="auto"/>
                <w:lang w:eastAsia="zh-CN"/>
              </w:rPr>
            </w:pPr>
          </w:p>
        </w:tc>
        <w:tc>
          <w:tcPr>
            <w:tcW w:w="1743" w:type="dxa"/>
          </w:tcPr>
          <w:p>
            <w:pPr>
              <w:pStyle w:val="15"/>
              <w:spacing w:before="151" w:line="226" w:lineRule="auto"/>
              <w:ind w:left="354"/>
              <w:rPr>
                <w:color w:val="auto"/>
              </w:rPr>
            </w:pPr>
            <w:r>
              <w:rPr>
                <w:color w:val="auto"/>
                <w:spacing w:val="7"/>
              </w:rPr>
              <w:t>综合评估法</w:t>
            </w:r>
          </w:p>
        </w:tc>
        <w:tc>
          <w:tcPr>
            <w:tcW w:w="4060"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405"/>
              <w:rPr>
                <w:color w:val="auto"/>
              </w:rPr>
            </w:pPr>
            <w:r>
              <w:rPr>
                <w:color w:val="auto"/>
              </w:rPr>
              <w:t>1</w:t>
            </w:r>
          </w:p>
        </w:tc>
        <w:tc>
          <w:tcPr>
            <w:tcW w:w="2321" w:type="dxa"/>
          </w:tcPr>
          <w:p>
            <w:pPr>
              <w:pStyle w:val="15"/>
              <w:spacing w:before="151" w:line="228" w:lineRule="auto"/>
              <w:ind w:left="433"/>
              <w:rPr>
                <w:color w:val="auto"/>
              </w:rPr>
            </w:pPr>
            <w:r>
              <w:rPr>
                <w:color w:val="auto"/>
                <w:spacing w:val="6"/>
              </w:rPr>
              <w:t>商务部分（K1）</w:t>
            </w:r>
          </w:p>
        </w:tc>
        <w:tc>
          <w:tcPr>
            <w:tcW w:w="1743" w:type="dxa"/>
          </w:tcPr>
          <w:p>
            <w:pPr>
              <w:pStyle w:val="15"/>
              <w:spacing w:before="151" w:line="268" w:lineRule="exact"/>
              <w:ind w:left="353"/>
              <w:rPr>
                <w:color w:val="auto"/>
              </w:rPr>
            </w:pPr>
            <w:r>
              <w:rPr>
                <w:color w:val="auto"/>
                <w:spacing w:val="4"/>
                <w:position w:val="1"/>
              </w:rPr>
              <w:t>0.20～0.30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878" w:type="dxa"/>
          </w:tcPr>
          <w:p>
            <w:pPr>
              <w:pStyle w:val="15"/>
              <w:spacing w:before="184" w:line="189" w:lineRule="auto"/>
              <w:ind w:left="392"/>
              <w:rPr>
                <w:color w:val="auto"/>
              </w:rPr>
            </w:pPr>
            <w:r>
              <w:rPr>
                <w:color w:val="auto"/>
              </w:rPr>
              <w:t>2</w:t>
            </w:r>
          </w:p>
        </w:tc>
        <w:tc>
          <w:tcPr>
            <w:tcW w:w="2321" w:type="dxa"/>
          </w:tcPr>
          <w:p>
            <w:pPr>
              <w:pStyle w:val="15"/>
              <w:spacing w:before="151" w:line="228" w:lineRule="auto"/>
              <w:ind w:left="429"/>
              <w:rPr>
                <w:color w:val="auto"/>
              </w:rPr>
            </w:pPr>
            <w:r>
              <w:rPr>
                <w:color w:val="auto"/>
                <w:spacing w:val="6"/>
              </w:rPr>
              <w:t>技术部分（K2）</w:t>
            </w:r>
          </w:p>
        </w:tc>
        <w:tc>
          <w:tcPr>
            <w:tcW w:w="1743" w:type="dxa"/>
          </w:tcPr>
          <w:p>
            <w:pPr>
              <w:pStyle w:val="15"/>
              <w:spacing w:before="151" w:line="268" w:lineRule="exact"/>
              <w:ind w:left="353"/>
              <w:rPr>
                <w:color w:val="auto"/>
              </w:rPr>
            </w:pPr>
            <w:r>
              <w:rPr>
                <w:color w:val="auto"/>
                <w:spacing w:val="4"/>
                <w:position w:val="1"/>
              </w:rPr>
              <w:t>0.30～0.40</w:t>
            </w:r>
          </w:p>
        </w:tc>
        <w:tc>
          <w:tcPr>
            <w:tcW w:w="4060" w:type="dxa"/>
          </w:tcPr>
          <w:p>
            <w:pPr>
              <w:pStyle w:val="15"/>
              <w:spacing w:before="184" w:line="189" w:lineRule="auto"/>
              <w:ind w:left="1879"/>
              <w:rPr>
                <w:color w:val="auto"/>
              </w:rPr>
            </w:pPr>
            <w:r>
              <w:rPr>
                <w:color w:val="auto"/>
                <w:spacing w:val="1"/>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878" w:type="dxa"/>
          </w:tcPr>
          <w:p>
            <w:pPr>
              <w:pStyle w:val="15"/>
              <w:spacing w:before="186" w:line="189" w:lineRule="auto"/>
              <w:ind w:left="394"/>
              <w:rPr>
                <w:color w:val="auto"/>
              </w:rPr>
            </w:pPr>
            <w:r>
              <w:rPr>
                <w:color w:val="auto"/>
              </w:rPr>
              <w:t>3</w:t>
            </w:r>
          </w:p>
        </w:tc>
        <w:tc>
          <w:tcPr>
            <w:tcW w:w="2321" w:type="dxa"/>
          </w:tcPr>
          <w:p>
            <w:pPr>
              <w:pStyle w:val="15"/>
              <w:spacing w:before="154" w:line="226" w:lineRule="auto"/>
              <w:ind w:left="431"/>
              <w:rPr>
                <w:color w:val="auto"/>
              </w:rPr>
            </w:pPr>
            <w:r>
              <w:rPr>
                <w:color w:val="auto"/>
                <w:spacing w:val="6"/>
              </w:rPr>
              <w:t>投标报价（K3）</w:t>
            </w:r>
          </w:p>
        </w:tc>
        <w:tc>
          <w:tcPr>
            <w:tcW w:w="1743" w:type="dxa"/>
          </w:tcPr>
          <w:p>
            <w:pPr>
              <w:pStyle w:val="15"/>
              <w:spacing w:before="153" w:line="268" w:lineRule="exact"/>
              <w:ind w:left="353"/>
              <w:rPr>
                <w:color w:val="auto"/>
              </w:rPr>
            </w:pPr>
            <w:r>
              <w:rPr>
                <w:color w:val="auto"/>
                <w:spacing w:val="4"/>
                <w:position w:val="1"/>
              </w:rPr>
              <w:t>0.40～0.50</w:t>
            </w:r>
          </w:p>
        </w:tc>
        <w:tc>
          <w:tcPr>
            <w:tcW w:w="4060" w:type="dxa"/>
          </w:tcPr>
          <w:p>
            <w:pPr>
              <w:pStyle w:val="15"/>
              <w:spacing w:before="186" w:line="189" w:lineRule="auto"/>
              <w:ind w:left="1879"/>
              <w:rPr>
                <w:color w:val="auto"/>
              </w:rPr>
            </w:pPr>
            <w:r>
              <w:rPr>
                <w:color w:val="auto"/>
                <w:spacing w:val="1"/>
              </w:rPr>
              <w:t>0.4</w:t>
            </w:r>
          </w:p>
        </w:tc>
      </w:tr>
    </w:tbl>
    <w:p>
      <w:pPr>
        <w:pStyle w:val="3"/>
        <w:rPr>
          <w:color w:val="auto"/>
        </w:rPr>
      </w:pPr>
    </w:p>
    <w:p>
      <w:pPr>
        <w:rPr>
          <w:color w:val="auto"/>
        </w:rPr>
        <w:sectPr>
          <w:footerReference r:id="rId40" w:type="default"/>
          <w:pgSz w:w="11906" w:h="16839"/>
          <w:pgMar w:top="1431" w:right="1420" w:bottom="1355" w:left="1477" w:header="0" w:footer="1191" w:gutter="0"/>
          <w:cols w:space="720" w:num="1"/>
          <w:docGrid w:linePitch="0" w:charSpace="0"/>
        </w:sectPr>
      </w:pPr>
    </w:p>
    <w:p>
      <w:pPr>
        <w:pStyle w:val="3"/>
        <w:spacing w:line="271" w:lineRule="auto"/>
        <w:rPr>
          <w:color w:val="auto"/>
        </w:rPr>
      </w:pPr>
    </w:p>
    <w:p>
      <w:pPr>
        <w:pStyle w:val="3"/>
        <w:spacing w:line="272" w:lineRule="auto"/>
        <w:rPr>
          <w:color w:val="auto"/>
        </w:rPr>
      </w:pPr>
    </w:p>
    <w:p>
      <w:pPr>
        <w:spacing w:before="101" w:line="227" w:lineRule="auto"/>
        <w:ind w:left="185"/>
        <w:rPr>
          <w:rFonts w:ascii="黑体" w:hAnsi="黑体" w:eastAsia="黑体" w:cs="黑体"/>
          <w:color w:val="auto"/>
          <w:sz w:val="31"/>
          <w:szCs w:val="31"/>
        </w:rPr>
      </w:pPr>
      <w:r>
        <w:rPr>
          <w:rFonts w:ascii="黑体" w:hAnsi="黑体" w:eastAsia="黑体" w:cs="黑体"/>
          <w:color w:val="auto"/>
          <w:spacing w:val="3"/>
          <w:sz w:val="31"/>
          <w:szCs w:val="31"/>
        </w:rPr>
        <w:t>附表12：综合得分计算表</w:t>
      </w:r>
    </w:p>
    <w:p>
      <w:pPr>
        <w:pStyle w:val="3"/>
        <w:spacing w:line="342" w:lineRule="auto"/>
        <w:rPr>
          <w:color w:val="auto"/>
        </w:rPr>
      </w:pPr>
    </w:p>
    <w:p>
      <w:pPr>
        <w:pStyle w:val="3"/>
        <w:spacing w:line="342" w:lineRule="auto"/>
        <w:rPr>
          <w:color w:val="auto"/>
        </w:rPr>
      </w:pPr>
    </w:p>
    <w:p>
      <w:pPr>
        <w:spacing w:before="91" w:line="222" w:lineRule="auto"/>
        <w:ind w:left="3577"/>
        <w:rPr>
          <w:rFonts w:ascii="黑体" w:hAnsi="黑体" w:eastAsia="黑体" w:cs="黑体"/>
          <w:color w:val="auto"/>
          <w:sz w:val="28"/>
          <w:szCs w:val="28"/>
        </w:rPr>
      </w:pPr>
      <w:r>
        <w:rPr>
          <w:rFonts w:ascii="黑体" w:hAnsi="黑体" w:eastAsia="黑体" w:cs="黑体"/>
          <w:color w:val="auto"/>
          <w:spacing w:val="-2"/>
          <w:sz w:val="28"/>
          <w:szCs w:val="28"/>
        </w:rPr>
        <w:t>综合得分计算表</w:t>
      </w:r>
    </w:p>
    <w:p>
      <w:pPr>
        <w:pStyle w:val="3"/>
        <w:spacing w:line="303" w:lineRule="auto"/>
        <w:rPr>
          <w:color w:val="auto"/>
        </w:rPr>
      </w:pPr>
    </w:p>
    <w:p>
      <w:pPr>
        <w:pStyle w:val="3"/>
        <w:spacing w:line="304" w:lineRule="auto"/>
        <w:rPr>
          <w:color w:val="auto"/>
        </w:rPr>
      </w:pPr>
    </w:p>
    <w:p>
      <w:pPr>
        <w:tabs>
          <w:tab w:val="left" w:pos="1475"/>
        </w:tabs>
        <w:spacing w:before="78" w:line="220" w:lineRule="auto"/>
        <w:ind w:left="1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14" w:line="219" w:lineRule="auto"/>
        <w:ind w:left="165"/>
        <w:rPr>
          <w:rFonts w:ascii="宋体" w:hAnsi="宋体" w:eastAsia="宋体" w:cs="宋体"/>
          <w:color w:val="auto"/>
          <w:sz w:val="24"/>
          <w:szCs w:val="24"/>
        </w:rPr>
      </w:pPr>
      <w:r>
        <w:rPr>
          <w:rFonts w:ascii="宋体" w:hAnsi="宋体" w:eastAsia="宋体" w:cs="宋体"/>
          <w:color w:val="auto"/>
          <w:spacing w:val="-3"/>
          <w:sz w:val="24"/>
          <w:szCs w:val="24"/>
        </w:rPr>
        <w:t>招标编号：</w:t>
      </w:r>
    </w:p>
    <w:tbl>
      <w:tblPr>
        <w:tblStyle w:val="14"/>
        <w:tblW w:w="90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6"/>
        <w:gridCol w:w="3116"/>
        <w:gridCol w:w="1275"/>
        <w:gridCol w:w="1133"/>
        <w:gridCol w:w="14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vMerge w:val="restart"/>
            <w:tcBorders>
              <w:bottom w:val="nil"/>
              <w:tl2br w:val="single" w:color="000000" w:sz="6" w:space="0"/>
            </w:tcBorders>
          </w:tcPr>
          <w:p>
            <w:pPr>
              <w:spacing w:line="283" w:lineRule="auto"/>
              <w:rPr>
                <w:color w:val="auto"/>
              </w:rPr>
            </w:pPr>
          </w:p>
          <w:p>
            <w:pPr>
              <w:pStyle w:val="15"/>
              <w:spacing w:before="65" w:line="228" w:lineRule="auto"/>
              <w:ind w:left="3478"/>
              <w:rPr>
                <w:color w:val="auto"/>
              </w:rPr>
            </w:pPr>
            <w:r>
              <w:rPr>
                <w:b/>
                <w:bCs/>
                <w:color w:val="auto"/>
                <w:spacing w:val="5"/>
              </w:rPr>
              <w:t>投标单位</w:t>
            </w:r>
          </w:p>
          <w:p>
            <w:pPr>
              <w:pStyle w:val="15"/>
              <w:spacing w:before="64" w:line="228" w:lineRule="auto"/>
              <w:ind w:left="958"/>
              <w:rPr>
                <w:color w:val="auto"/>
              </w:rPr>
            </w:pPr>
            <w:r>
              <w:rPr>
                <w:b/>
                <w:bCs/>
                <w:color w:val="auto"/>
                <w:spacing w:val="-4"/>
              </w:rPr>
              <w:t>项目</w:t>
            </w:r>
          </w:p>
        </w:tc>
        <w:tc>
          <w:tcPr>
            <w:tcW w:w="3829" w:type="dxa"/>
            <w:gridSpan w:val="3"/>
          </w:tcPr>
          <w:p>
            <w:pPr>
              <w:pStyle w:val="15"/>
              <w:spacing w:before="97" w:line="228" w:lineRule="auto"/>
              <w:ind w:left="868"/>
              <w:rPr>
                <w:color w:val="auto"/>
                <w:lang w:eastAsia="zh-CN"/>
              </w:rPr>
            </w:pPr>
            <w:r>
              <w:rPr>
                <w:b/>
                <w:bCs/>
                <w:color w:val="auto"/>
                <w:spacing w:val="7"/>
                <w:lang w:eastAsia="zh-CN"/>
              </w:rPr>
              <w:t>投标人名称及评审计分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bottom w:val="nil"/>
              <w:tl2br w:val="single" w:color="000000" w:sz="6" w:space="0"/>
            </w:tcBorders>
          </w:tcPr>
          <w:p>
            <w:pPr>
              <w:rPr>
                <w:color w:val="auto"/>
                <w:lang w:eastAsia="zh-CN"/>
              </w:rPr>
            </w:pPr>
          </w:p>
        </w:tc>
        <w:tc>
          <w:tcPr>
            <w:tcW w:w="1275" w:type="dxa"/>
          </w:tcPr>
          <w:p>
            <w:pPr>
              <w:pStyle w:val="15"/>
              <w:spacing w:before="127" w:line="189" w:lineRule="auto"/>
              <w:ind w:left="607"/>
              <w:rPr>
                <w:color w:val="auto"/>
              </w:rPr>
            </w:pPr>
            <w:r>
              <w:rPr>
                <w:b/>
                <w:bCs/>
                <w:color w:val="auto"/>
                <w:spacing w:val="-3"/>
              </w:rPr>
              <w:t>1</w:t>
            </w:r>
          </w:p>
        </w:tc>
        <w:tc>
          <w:tcPr>
            <w:tcW w:w="1133" w:type="dxa"/>
          </w:tcPr>
          <w:p>
            <w:pPr>
              <w:pStyle w:val="15"/>
              <w:spacing w:before="127" w:line="189" w:lineRule="auto"/>
              <w:ind w:left="524"/>
              <w:rPr>
                <w:color w:val="auto"/>
              </w:rPr>
            </w:pPr>
            <w:r>
              <w:rPr>
                <w:b/>
                <w:bCs/>
                <w:color w:val="auto"/>
                <w:spacing w:val="-3"/>
              </w:rPr>
              <w:t>2</w:t>
            </w:r>
          </w:p>
        </w:tc>
        <w:tc>
          <w:tcPr>
            <w:tcW w:w="1421" w:type="dxa"/>
          </w:tcPr>
          <w:p>
            <w:pPr>
              <w:pStyle w:val="15"/>
              <w:spacing w:before="94" w:line="296"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5262" w:type="dxa"/>
            <w:gridSpan w:val="2"/>
            <w:vMerge w:val="continue"/>
            <w:tcBorders>
              <w:top w:val="nil"/>
              <w:tl2br w:val="single" w:color="000000" w:sz="6" w:space="0"/>
            </w:tcBorders>
          </w:tcPr>
          <w:p>
            <w:pPr>
              <w:rPr>
                <w:color w:val="auto"/>
              </w:rPr>
            </w:pPr>
          </w:p>
        </w:tc>
        <w:tc>
          <w:tcPr>
            <w:tcW w:w="1275" w:type="dxa"/>
          </w:tcPr>
          <w:p>
            <w:pPr>
              <w:rPr>
                <w:color w:val="auto"/>
              </w:rPr>
            </w:pPr>
          </w:p>
        </w:tc>
        <w:tc>
          <w:tcPr>
            <w:tcW w:w="1133" w:type="dxa"/>
          </w:tcPr>
          <w:p>
            <w:pPr>
              <w:rPr>
                <w:color w:val="auto"/>
              </w:rPr>
            </w:pPr>
          </w:p>
        </w:tc>
        <w:tc>
          <w:tcPr>
            <w:tcW w:w="1421" w:type="dxa"/>
          </w:tcPr>
          <w:p>
            <w:pPr>
              <w:pStyle w:val="15"/>
              <w:spacing w:before="96" w:line="294" w:lineRule="exact"/>
              <w:ind w:left="517"/>
              <w:rPr>
                <w:color w:val="auto"/>
              </w:rPr>
            </w:pPr>
            <w:r>
              <w:rPr>
                <w:b/>
                <w:bCs/>
                <w:color w:val="auto"/>
                <w:spacing w:val="-3"/>
                <w:position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46" w:type="dxa"/>
            <w:vMerge w:val="restart"/>
            <w:tcBorders>
              <w:bottom w:val="nil"/>
            </w:tcBorders>
          </w:tcPr>
          <w:p>
            <w:pPr>
              <w:pStyle w:val="15"/>
              <w:spacing w:before="143" w:line="228" w:lineRule="auto"/>
              <w:ind w:left="570"/>
              <w:rPr>
                <w:color w:val="auto"/>
                <w:lang w:eastAsia="zh-CN"/>
              </w:rPr>
            </w:pPr>
            <w:r>
              <w:rPr>
                <w:color w:val="auto"/>
                <w:spacing w:val="3"/>
                <w:lang w:eastAsia="zh-CN"/>
              </w:rPr>
              <w:t>1.商务部分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得分（A）</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4" w:line="224" w:lineRule="auto"/>
              <w:ind w:left="695"/>
              <w:rPr>
                <w:color w:val="auto"/>
              </w:rPr>
            </w:pPr>
            <w:r>
              <w:rPr>
                <w:color w:val="auto"/>
                <w:spacing w:val="6"/>
              </w:rPr>
              <w:t>加权得分（A╳K</w:t>
            </w:r>
            <w:r>
              <w:rPr>
                <w:color w:val="auto"/>
                <w:spacing w:val="6"/>
                <w:position w:val="-2"/>
                <w:sz w:val="10"/>
                <w:szCs w:val="10"/>
              </w:rPr>
              <w:t>1</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3" w:line="228" w:lineRule="auto"/>
              <w:ind w:left="557"/>
              <w:rPr>
                <w:color w:val="auto"/>
                <w:lang w:eastAsia="zh-CN"/>
              </w:rPr>
            </w:pPr>
            <w:r>
              <w:rPr>
                <w:color w:val="auto"/>
                <w:spacing w:val="5"/>
                <w:lang w:eastAsia="zh-CN"/>
              </w:rPr>
              <w:t>2.技术部分</w:t>
            </w:r>
          </w:p>
          <w:p>
            <w:pPr>
              <w:pStyle w:val="15"/>
              <w:spacing w:before="65" w:line="227" w:lineRule="auto"/>
              <w:ind w:left="248"/>
              <w:rPr>
                <w:color w:val="auto"/>
                <w:lang w:eastAsia="zh-CN"/>
              </w:rPr>
            </w:pPr>
            <w:r>
              <w:rPr>
                <w:color w:val="auto"/>
                <w:spacing w:val="1"/>
                <w:lang w:eastAsia="zh-CN"/>
              </w:rPr>
              <w:t>（基本分100分）</w:t>
            </w:r>
          </w:p>
        </w:tc>
        <w:tc>
          <w:tcPr>
            <w:tcW w:w="3116" w:type="dxa"/>
          </w:tcPr>
          <w:p>
            <w:pPr>
              <w:pStyle w:val="15"/>
              <w:spacing w:before="95" w:line="228" w:lineRule="auto"/>
              <w:ind w:left="1090"/>
              <w:rPr>
                <w:color w:val="auto"/>
              </w:rPr>
            </w:pPr>
            <w:r>
              <w:rPr>
                <w:color w:val="auto"/>
                <w:spacing w:val="5"/>
              </w:rPr>
              <w:t>得分（B）</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5" w:line="224" w:lineRule="auto"/>
              <w:ind w:left="695"/>
              <w:rPr>
                <w:color w:val="auto"/>
              </w:rPr>
            </w:pPr>
            <w:r>
              <w:rPr>
                <w:color w:val="auto"/>
                <w:spacing w:val="6"/>
              </w:rPr>
              <w:t>加权得分（B╳K</w:t>
            </w:r>
            <w:r>
              <w:rPr>
                <w:color w:val="auto"/>
                <w:spacing w:val="6"/>
                <w:position w:val="-2"/>
                <w:sz w:val="10"/>
                <w:szCs w:val="10"/>
              </w:rPr>
              <w:t>2</w:t>
            </w:r>
            <w:r>
              <w:rPr>
                <w:color w:val="auto"/>
                <w:spacing w:val="6"/>
              </w:rPr>
              <w:t>）</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1" w:hRule="atLeast"/>
        </w:trPr>
        <w:tc>
          <w:tcPr>
            <w:tcW w:w="2146" w:type="dxa"/>
            <w:vMerge w:val="restart"/>
            <w:tcBorders>
              <w:bottom w:val="nil"/>
            </w:tcBorders>
          </w:tcPr>
          <w:p>
            <w:pPr>
              <w:pStyle w:val="15"/>
              <w:spacing w:before="144" w:line="273" w:lineRule="auto"/>
              <w:ind w:left="125" w:right="374" w:firstLine="433"/>
              <w:rPr>
                <w:color w:val="auto"/>
                <w:lang w:eastAsia="zh-CN"/>
              </w:rPr>
            </w:pPr>
            <w:r>
              <w:rPr>
                <w:color w:val="auto"/>
                <w:spacing w:val="5"/>
                <w:lang w:eastAsia="zh-CN"/>
              </w:rPr>
              <w:t>3.投标报价</w:t>
            </w:r>
            <w:r>
              <w:rPr>
                <w:color w:val="auto"/>
                <w:lang w:eastAsia="zh-CN"/>
              </w:rPr>
              <w:t>（基本分100分）</w:t>
            </w:r>
          </w:p>
        </w:tc>
        <w:tc>
          <w:tcPr>
            <w:tcW w:w="3116" w:type="dxa"/>
          </w:tcPr>
          <w:p>
            <w:pPr>
              <w:pStyle w:val="15"/>
              <w:spacing w:before="96" w:line="226" w:lineRule="auto"/>
              <w:ind w:left="886"/>
              <w:rPr>
                <w:color w:val="auto"/>
              </w:rPr>
            </w:pPr>
            <w:r>
              <w:rPr>
                <w:color w:val="auto"/>
                <w:spacing w:val="5"/>
              </w:rPr>
              <w:t>总价得分（C）</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 w:hRule="atLeast"/>
        </w:trPr>
        <w:tc>
          <w:tcPr>
            <w:tcW w:w="2146" w:type="dxa"/>
            <w:vMerge w:val="continue"/>
            <w:tcBorders>
              <w:top w:val="nil"/>
            </w:tcBorders>
          </w:tcPr>
          <w:p>
            <w:pPr>
              <w:rPr>
                <w:color w:val="auto"/>
              </w:rPr>
            </w:pPr>
          </w:p>
        </w:tc>
        <w:tc>
          <w:tcPr>
            <w:tcW w:w="3116" w:type="dxa"/>
          </w:tcPr>
          <w:p>
            <w:pPr>
              <w:pStyle w:val="15"/>
              <w:spacing w:before="96" w:line="222" w:lineRule="auto"/>
              <w:ind w:left="880"/>
              <w:rPr>
                <w:color w:val="auto"/>
                <w:sz w:val="10"/>
                <w:szCs w:val="10"/>
              </w:rPr>
            </w:pPr>
            <w:r>
              <w:rPr>
                <w:color w:val="auto"/>
                <w:spacing w:val="5"/>
              </w:rPr>
              <w:t>加权得分C╳K</w:t>
            </w:r>
            <w:r>
              <w:rPr>
                <w:color w:val="auto"/>
                <w:spacing w:val="5"/>
                <w:position w:val="-3"/>
                <w:sz w:val="10"/>
                <w:szCs w:val="10"/>
              </w:rPr>
              <w:t>3</w:t>
            </w:r>
          </w:p>
        </w:tc>
        <w:tc>
          <w:tcPr>
            <w:tcW w:w="1275" w:type="dxa"/>
          </w:tcPr>
          <w:p>
            <w:pPr>
              <w:rPr>
                <w:color w:val="auto"/>
              </w:rPr>
            </w:pPr>
          </w:p>
        </w:tc>
        <w:tc>
          <w:tcPr>
            <w:tcW w:w="1133" w:type="dxa"/>
          </w:tcPr>
          <w:p>
            <w:pPr>
              <w:rPr>
                <w:color w:val="auto"/>
              </w:rPr>
            </w:pPr>
          </w:p>
        </w:tc>
        <w:tc>
          <w:tcPr>
            <w:tcW w:w="1421"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6" w:hRule="atLeast"/>
        </w:trPr>
        <w:tc>
          <w:tcPr>
            <w:tcW w:w="5262" w:type="dxa"/>
            <w:gridSpan w:val="2"/>
          </w:tcPr>
          <w:p>
            <w:pPr>
              <w:pStyle w:val="15"/>
              <w:spacing w:before="98" w:line="228" w:lineRule="auto"/>
              <w:ind w:left="2220"/>
              <w:rPr>
                <w:color w:val="auto"/>
              </w:rPr>
            </w:pPr>
            <w:r>
              <w:rPr>
                <w:color w:val="auto"/>
                <w:spacing w:val="6"/>
              </w:rPr>
              <w:t>最终得分</w:t>
            </w:r>
          </w:p>
        </w:tc>
        <w:tc>
          <w:tcPr>
            <w:tcW w:w="1275" w:type="dxa"/>
          </w:tcPr>
          <w:p>
            <w:pPr>
              <w:rPr>
                <w:color w:val="auto"/>
              </w:rPr>
            </w:pPr>
          </w:p>
        </w:tc>
        <w:tc>
          <w:tcPr>
            <w:tcW w:w="1133" w:type="dxa"/>
          </w:tcPr>
          <w:p>
            <w:pPr>
              <w:rPr>
                <w:color w:val="auto"/>
              </w:rPr>
            </w:pPr>
          </w:p>
        </w:tc>
        <w:tc>
          <w:tcPr>
            <w:tcW w:w="1421" w:type="dxa"/>
          </w:tcPr>
          <w:p>
            <w:pPr>
              <w:rPr>
                <w:color w:val="auto"/>
              </w:rPr>
            </w:pPr>
          </w:p>
        </w:tc>
      </w:tr>
    </w:tbl>
    <w:p>
      <w:pPr>
        <w:spacing w:before="140" w:line="228" w:lineRule="auto"/>
        <w:ind w:left="16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备注：综合得分计算保留2位小数（百分比亦取2位小数</w:t>
      </w:r>
      <w:r>
        <w:rPr>
          <w:rFonts w:ascii="宋体" w:hAnsi="宋体" w:eastAsia="宋体" w:cs="宋体"/>
          <w:color w:val="auto"/>
          <w:spacing w:val="22"/>
          <w:sz w:val="20"/>
          <w:szCs w:val="20"/>
          <w:lang w:eastAsia="zh-CN"/>
        </w:rPr>
        <w:t>），</w:t>
      </w:r>
      <w:r>
        <w:rPr>
          <w:rFonts w:ascii="宋体" w:hAnsi="宋体" w:eastAsia="宋体" w:cs="宋体"/>
          <w:color w:val="auto"/>
          <w:spacing w:val="5"/>
          <w:sz w:val="20"/>
          <w:szCs w:val="20"/>
          <w:lang w:eastAsia="zh-CN"/>
        </w:rPr>
        <w:t>第3位小数4舍5入。</w:t>
      </w:r>
    </w:p>
    <w:p>
      <w:pPr>
        <w:pStyle w:val="3"/>
        <w:spacing w:line="459" w:lineRule="auto"/>
        <w:rPr>
          <w:color w:val="auto"/>
          <w:lang w:eastAsia="zh-CN"/>
        </w:rPr>
      </w:pPr>
    </w:p>
    <w:p>
      <w:pPr>
        <w:spacing w:before="92" w:line="219" w:lineRule="auto"/>
        <w:ind w:left="165"/>
        <w:rPr>
          <w:rFonts w:ascii="宋体" w:hAnsi="宋体" w:eastAsia="宋体" w:cs="宋体"/>
          <w:color w:val="auto"/>
          <w:sz w:val="28"/>
          <w:szCs w:val="28"/>
          <w:lang w:eastAsia="zh-CN"/>
        </w:rPr>
      </w:pPr>
      <w:r>
        <w:rPr>
          <w:rFonts w:ascii="宋体" w:hAnsi="宋体" w:eastAsia="宋体" w:cs="宋体"/>
          <w:color w:val="auto"/>
          <w:spacing w:val="-1"/>
          <w:sz w:val="28"/>
          <w:szCs w:val="28"/>
          <w:lang w:eastAsia="zh-CN"/>
        </w:rPr>
        <w:t>评标委员会全体成员签字/日期：</w:t>
      </w:r>
    </w:p>
    <w:p>
      <w:pPr>
        <w:spacing w:line="219" w:lineRule="auto"/>
        <w:rPr>
          <w:rFonts w:ascii="宋体" w:hAnsi="宋体" w:eastAsia="宋体" w:cs="宋体"/>
          <w:color w:val="auto"/>
          <w:sz w:val="28"/>
          <w:szCs w:val="28"/>
          <w:lang w:eastAsia="zh-CN"/>
        </w:rPr>
        <w:sectPr>
          <w:footerReference r:id="rId41" w:type="default"/>
          <w:pgSz w:w="11906" w:h="16839"/>
          <w:pgMar w:top="1431" w:right="1376" w:bottom="1356" w:left="1433" w:header="0" w:footer="1191" w:gutter="0"/>
          <w:cols w:space="720" w:num="1"/>
          <w:docGrid w:linePitch="0" w:charSpace="0"/>
        </w:sectPr>
      </w:pPr>
    </w:p>
    <w:p>
      <w:pPr>
        <w:pStyle w:val="3"/>
        <w:spacing w:line="271" w:lineRule="auto"/>
        <w:rPr>
          <w:color w:val="auto"/>
          <w:lang w:eastAsia="zh-CN"/>
        </w:rPr>
      </w:pPr>
    </w:p>
    <w:p>
      <w:pPr>
        <w:pStyle w:val="3"/>
        <w:spacing w:line="272" w:lineRule="auto"/>
        <w:rPr>
          <w:color w:val="auto"/>
          <w:lang w:eastAsia="zh-CN"/>
        </w:rPr>
      </w:pPr>
    </w:p>
    <w:p>
      <w:pPr>
        <w:spacing w:before="101" w:line="227" w:lineRule="auto"/>
        <w:ind w:left="285"/>
        <w:rPr>
          <w:rFonts w:ascii="黑体" w:hAnsi="黑体" w:eastAsia="黑体" w:cs="黑体"/>
          <w:color w:val="auto"/>
          <w:sz w:val="31"/>
          <w:szCs w:val="31"/>
          <w:lang w:eastAsia="zh-CN"/>
        </w:rPr>
      </w:pPr>
      <w:r>
        <w:rPr>
          <w:rFonts w:ascii="黑体" w:hAnsi="黑体" w:eastAsia="黑体" w:cs="黑体"/>
          <w:color w:val="auto"/>
          <w:spacing w:val="5"/>
          <w:sz w:val="31"/>
          <w:szCs w:val="31"/>
          <w:lang w:eastAsia="zh-CN"/>
        </w:rPr>
        <w:t>附表13：经评审的投标人排序表</w:t>
      </w:r>
    </w:p>
    <w:p>
      <w:pPr>
        <w:pStyle w:val="3"/>
        <w:spacing w:line="252" w:lineRule="auto"/>
        <w:rPr>
          <w:color w:val="auto"/>
          <w:lang w:eastAsia="zh-CN"/>
        </w:rPr>
      </w:pPr>
    </w:p>
    <w:p>
      <w:pPr>
        <w:pStyle w:val="3"/>
        <w:spacing w:line="252" w:lineRule="auto"/>
        <w:rPr>
          <w:color w:val="auto"/>
          <w:lang w:eastAsia="zh-CN"/>
        </w:rPr>
      </w:pPr>
    </w:p>
    <w:p>
      <w:pPr>
        <w:pStyle w:val="3"/>
        <w:spacing w:line="252" w:lineRule="auto"/>
        <w:rPr>
          <w:color w:val="auto"/>
          <w:lang w:eastAsia="zh-CN"/>
        </w:rPr>
      </w:pPr>
    </w:p>
    <w:p>
      <w:pPr>
        <w:spacing w:before="91" w:line="222" w:lineRule="auto"/>
        <w:ind w:left="3262"/>
        <w:rPr>
          <w:rFonts w:ascii="黑体" w:hAnsi="黑体" w:eastAsia="黑体" w:cs="黑体"/>
          <w:color w:val="auto"/>
          <w:sz w:val="28"/>
          <w:szCs w:val="28"/>
          <w:lang w:eastAsia="zh-CN"/>
        </w:rPr>
      </w:pPr>
      <w:r>
        <w:rPr>
          <w:rFonts w:ascii="黑体" w:hAnsi="黑体" w:eastAsia="黑体" w:cs="黑体"/>
          <w:color w:val="auto"/>
          <w:spacing w:val="-2"/>
          <w:sz w:val="28"/>
          <w:szCs w:val="28"/>
          <w:lang w:eastAsia="zh-CN"/>
        </w:rPr>
        <w:t>经评审的投标人排序表</w:t>
      </w:r>
    </w:p>
    <w:p>
      <w:pPr>
        <w:pStyle w:val="3"/>
        <w:spacing w:line="327" w:lineRule="auto"/>
        <w:rPr>
          <w:color w:val="auto"/>
          <w:lang w:eastAsia="zh-CN"/>
        </w:rPr>
      </w:pPr>
    </w:p>
    <w:p>
      <w:pPr>
        <w:pStyle w:val="3"/>
        <w:spacing w:line="328" w:lineRule="auto"/>
        <w:rPr>
          <w:color w:val="auto"/>
          <w:lang w:eastAsia="zh-CN"/>
        </w:rPr>
      </w:pPr>
    </w:p>
    <w:p>
      <w:pPr>
        <w:tabs>
          <w:tab w:val="left" w:pos="1575"/>
        </w:tabs>
        <w:spacing w:before="78" w:line="220" w:lineRule="auto"/>
        <w:ind w:left="255"/>
        <w:rPr>
          <w:rFonts w:ascii="宋体" w:hAnsi="宋体" w:eastAsia="宋体" w:cs="宋体"/>
          <w:color w:val="auto"/>
          <w:sz w:val="24"/>
          <w:szCs w:val="24"/>
          <w:lang w:eastAsia="zh-CN"/>
        </w:rPr>
      </w:pPr>
      <w:r>
        <w:rPr>
          <w:rFonts w:ascii="宋体" w:hAnsi="宋体" w:eastAsia="宋体" w:cs="宋体"/>
          <w:color w:val="auto"/>
          <w:sz w:val="24"/>
          <w:szCs w:val="24"/>
          <w:u w:val="single"/>
          <w:lang w:eastAsia="zh-CN"/>
        </w:rPr>
        <w:tab/>
      </w:r>
      <w:r>
        <w:rPr>
          <w:rFonts w:ascii="宋体" w:hAnsi="宋体" w:eastAsia="宋体" w:cs="宋体"/>
          <w:color w:val="auto"/>
          <w:sz w:val="24"/>
          <w:szCs w:val="24"/>
          <w:lang w:eastAsia="zh-CN"/>
        </w:rPr>
        <w:t>（项目名称)（标段）施工招标</w:t>
      </w:r>
    </w:p>
    <w:p>
      <w:pPr>
        <w:spacing w:before="186" w:line="228" w:lineRule="auto"/>
        <w:ind w:left="264"/>
        <w:rPr>
          <w:rFonts w:ascii="宋体" w:hAnsi="宋体" w:eastAsia="宋体" w:cs="宋体"/>
          <w:color w:val="auto"/>
          <w:sz w:val="20"/>
          <w:szCs w:val="20"/>
        </w:rPr>
      </w:pPr>
      <w:r>
        <w:rPr>
          <w:rFonts w:ascii="宋体" w:hAnsi="宋体" w:eastAsia="宋体" w:cs="宋体"/>
          <w:color w:val="auto"/>
          <w:spacing w:val="7"/>
          <w:sz w:val="20"/>
          <w:szCs w:val="20"/>
        </w:rPr>
        <w:t>招标编号：</w:t>
      </w:r>
    </w:p>
    <w:p>
      <w:pPr>
        <w:spacing w:line="25" w:lineRule="exact"/>
        <w:rPr>
          <w:color w:val="auto"/>
        </w:rPr>
      </w:pP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4868"/>
        <w:gridCol w:w="30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7" w:hRule="atLeast"/>
        </w:trPr>
        <w:tc>
          <w:tcPr>
            <w:tcW w:w="1410" w:type="dxa"/>
          </w:tcPr>
          <w:p>
            <w:pPr>
              <w:pStyle w:val="15"/>
              <w:spacing w:before="138" w:line="229" w:lineRule="auto"/>
              <w:ind w:left="395"/>
              <w:rPr>
                <w:color w:val="auto"/>
              </w:rPr>
            </w:pPr>
            <w:r>
              <w:rPr>
                <w:b/>
                <w:bCs/>
                <w:color w:val="auto"/>
                <w:spacing w:val="-1"/>
              </w:rPr>
              <w:t>排序</w:t>
            </w:r>
          </w:p>
        </w:tc>
        <w:tc>
          <w:tcPr>
            <w:tcW w:w="4868" w:type="dxa"/>
          </w:tcPr>
          <w:p>
            <w:pPr>
              <w:pStyle w:val="15"/>
              <w:spacing w:before="138" w:line="228" w:lineRule="auto"/>
              <w:ind w:left="1913"/>
              <w:rPr>
                <w:color w:val="auto"/>
              </w:rPr>
            </w:pPr>
            <w:r>
              <w:rPr>
                <w:b/>
                <w:bCs/>
                <w:color w:val="auto"/>
                <w:spacing w:val="6"/>
              </w:rPr>
              <w:t>投标人名称</w:t>
            </w:r>
          </w:p>
        </w:tc>
        <w:tc>
          <w:tcPr>
            <w:tcW w:w="3012" w:type="dxa"/>
          </w:tcPr>
          <w:p>
            <w:pPr>
              <w:pStyle w:val="15"/>
              <w:spacing w:before="138" w:line="226" w:lineRule="auto"/>
              <w:ind w:left="775"/>
              <w:rPr>
                <w:color w:val="auto"/>
              </w:rPr>
            </w:pPr>
            <w:r>
              <w:rPr>
                <w:b/>
                <w:bCs/>
                <w:color w:val="auto"/>
                <w:spacing w:val="5"/>
              </w:rPr>
              <w:t>投标报价（元）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410" w:type="dxa"/>
          </w:tcPr>
          <w:p>
            <w:pPr>
              <w:pStyle w:val="15"/>
              <w:spacing w:before="156" w:line="189" w:lineRule="auto"/>
              <w:ind w:left="672"/>
              <w:rPr>
                <w:color w:val="auto"/>
              </w:rPr>
            </w:pPr>
            <w:r>
              <w:rPr>
                <w:color w:val="auto"/>
              </w:rPr>
              <w:t>1</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410" w:type="dxa"/>
          </w:tcPr>
          <w:p>
            <w:pPr>
              <w:pStyle w:val="15"/>
              <w:spacing w:before="159" w:line="189" w:lineRule="auto"/>
              <w:ind w:left="659"/>
              <w:rPr>
                <w:color w:val="auto"/>
              </w:rPr>
            </w:pPr>
            <w:r>
              <w:rPr>
                <w:color w:val="auto"/>
              </w:rPr>
              <w:t>2</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2" w:line="189" w:lineRule="auto"/>
              <w:ind w:left="661"/>
              <w:rPr>
                <w:color w:val="auto"/>
              </w:rPr>
            </w:pPr>
            <w:r>
              <w:rPr>
                <w:color w:val="auto"/>
              </w:rPr>
              <w:t>3</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410" w:type="dxa"/>
          </w:tcPr>
          <w:p>
            <w:pPr>
              <w:pStyle w:val="15"/>
              <w:spacing w:before="163" w:line="189" w:lineRule="auto"/>
              <w:ind w:left="656"/>
              <w:rPr>
                <w:color w:val="auto"/>
              </w:rPr>
            </w:pPr>
            <w:r>
              <w:rPr>
                <w:color w:val="auto"/>
              </w:rPr>
              <w:t>4</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5" w:line="187" w:lineRule="auto"/>
              <w:ind w:left="661"/>
              <w:rPr>
                <w:color w:val="auto"/>
              </w:rPr>
            </w:pPr>
            <w:r>
              <w:rPr>
                <w:color w:val="auto"/>
              </w:rPr>
              <w:t>5</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 w:hRule="atLeast"/>
        </w:trPr>
        <w:tc>
          <w:tcPr>
            <w:tcW w:w="1410" w:type="dxa"/>
          </w:tcPr>
          <w:p>
            <w:pPr>
              <w:pStyle w:val="15"/>
              <w:spacing w:before="164" w:line="189" w:lineRule="auto"/>
              <w:ind w:left="658"/>
              <w:rPr>
                <w:color w:val="auto"/>
              </w:rPr>
            </w:pPr>
            <w:r>
              <w:rPr>
                <w:color w:val="auto"/>
              </w:rPr>
              <w:t>6</w:t>
            </w:r>
          </w:p>
        </w:tc>
        <w:tc>
          <w:tcPr>
            <w:tcW w:w="4868" w:type="dxa"/>
          </w:tcPr>
          <w:p>
            <w:pPr>
              <w:rPr>
                <w:color w:val="auto"/>
              </w:rPr>
            </w:pPr>
          </w:p>
        </w:tc>
        <w:tc>
          <w:tcPr>
            <w:tcW w:w="3012"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410" w:type="dxa"/>
          </w:tcPr>
          <w:p>
            <w:pPr>
              <w:pStyle w:val="15"/>
              <w:spacing w:before="133" w:line="324" w:lineRule="exact"/>
              <w:ind w:left="514"/>
              <w:rPr>
                <w:color w:val="auto"/>
              </w:rPr>
            </w:pPr>
            <w:r>
              <w:rPr>
                <w:color w:val="auto"/>
                <w:spacing w:val="-2"/>
                <w:position w:val="2"/>
              </w:rPr>
              <w:t>……</w:t>
            </w:r>
          </w:p>
        </w:tc>
        <w:tc>
          <w:tcPr>
            <w:tcW w:w="4868" w:type="dxa"/>
          </w:tcPr>
          <w:p>
            <w:pPr>
              <w:pStyle w:val="15"/>
              <w:spacing w:before="133" w:line="324" w:lineRule="exact"/>
              <w:ind w:left="2241"/>
              <w:rPr>
                <w:color w:val="auto"/>
              </w:rPr>
            </w:pPr>
            <w:r>
              <w:rPr>
                <w:color w:val="auto"/>
                <w:spacing w:val="-2"/>
                <w:position w:val="2"/>
              </w:rPr>
              <w:t>……</w:t>
            </w:r>
          </w:p>
        </w:tc>
        <w:tc>
          <w:tcPr>
            <w:tcW w:w="3012" w:type="dxa"/>
          </w:tcPr>
          <w:p>
            <w:pPr>
              <w:pStyle w:val="15"/>
              <w:spacing w:before="133" w:line="324" w:lineRule="exact"/>
              <w:ind w:left="1313"/>
              <w:rPr>
                <w:color w:val="auto"/>
              </w:rPr>
            </w:pPr>
            <w:r>
              <w:rPr>
                <w:color w:val="auto"/>
                <w:spacing w:val="-2"/>
                <w:position w:val="2"/>
              </w:rPr>
              <w:t>……</w:t>
            </w:r>
          </w:p>
        </w:tc>
      </w:tr>
    </w:tbl>
    <w:p>
      <w:pPr>
        <w:pStyle w:val="3"/>
        <w:spacing w:line="297" w:lineRule="auto"/>
        <w:rPr>
          <w:color w:val="auto"/>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评标委员会全体成员签字/日期：</w:t>
      </w:r>
    </w:p>
    <w:p>
      <w:pPr>
        <w:spacing w:line="227" w:lineRule="auto"/>
        <w:rPr>
          <w:rFonts w:ascii="宋体" w:hAnsi="宋体" w:eastAsia="宋体" w:cs="宋体"/>
          <w:color w:val="auto"/>
          <w:sz w:val="20"/>
          <w:szCs w:val="20"/>
          <w:lang w:eastAsia="zh-CN"/>
        </w:rPr>
        <w:sectPr>
          <w:footerReference r:id="rId42" w:type="default"/>
          <w:pgSz w:w="11906" w:h="16839"/>
          <w:pgMar w:top="1431" w:right="1277" w:bottom="1356" w:left="1333" w:header="0" w:footer="1191" w:gutter="0"/>
          <w:cols w:space="720" w:num="1"/>
          <w:docGrid w:linePitch="0" w:charSpace="0"/>
        </w:sectPr>
      </w:pPr>
    </w:p>
    <w:p>
      <w:pPr>
        <w:pStyle w:val="3"/>
        <w:spacing w:line="272" w:lineRule="auto"/>
        <w:rPr>
          <w:color w:val="auto"/>
          <w:lang w:eastAsia="zh-CN"/>
        </w:rPr>
      </w:pPr>
    </w:p>
    <w:p>
      <w:pPr>
        <w:pStyle w:val="3"/>
        <w:spacing w:line="272" w:lineRule="auto"/>
        <w:rPr>
          <w:color w:val="auto"/>
          <w:lang w:eastAsia="zh-CN"/>
        </w:rPr>
      </w:pPr>
    </w:p>
    <w:p>
      <w:pPr>
        <w:spacing w:before="101" w:line="228" w:lineRule="auto"/>
        <w:ind w:left="285"/>
        <w:rPr>
          <w:rFonts w:ascii="黑体" w:hAnsi="黑体" w:eastAsia="黑体" w:cs="黑体"/>
          <w:color w:val="auto"/>
          <w:sz w:val="31"/>
          <w:szCs w:val="31"/>
          <w:lang w:eastAsia="zh-CN"/>
        </w:rPr>
      </w:pPr>
      <w:r>
        <w:rPr>
          <w:rFonts w:ascii="黑体" w:hAnsi="黑体" w:eastAsia="黑体" w:cs="黑体"/>
          <w:color w:val="auto"/>
          <w:spacing w:val="3"/>
          <w:sz w:val="31"/>
          <w:szCs w:val="31"/>
          <w:lang w:eastAsia="zh-CN"/>
        </w:rPr>
        <w:t>附表14：中标候选人表</w:t>
      </w:r>
    </w:p>
    <w:p>
      <w:pPr>
        <w:pStyle w:val="3"/>
        <w:spacing w:line="250" w:lineRule="auto"/>
        <w:rPr>
          <w:color w:val="auto"/>
          <w:lang w:eastAsia="zh-CN"/>
        </w:rPr>
      </w:pPr>
    </w:p>
    <w:p>
      <w:pPr>
        <w:pStyle w:val="3"/>
        <w:spacing w:line="251" w:lineRule="auto"/>
        <w:rPr>
          <w:color w:val="auto"/>
          <w:lang w:eastAsia="zh-CN"/>
        </w:rPr>
      </w:pPr>
    </w:p>
    <w:p>
      <w:pPr>
        <w:pStyle w:val="3"/>
        <w:spacing w:line="251" w:lineRule="auto"/>
        <w:rPr>
          <w:color w:val="auto"/>
          <w:lang w:eastAsia="zh-CN"/>
        </w:rPr>
      </w:pPr>
    </w:p>
    <w:p>
      <w:pPr>
        <w:spacing w:before="91" w:line="224" w:lineRule="auto"/>
        <w:ind w:left="3840"/>
        <w:rPr>
          <w:rFonts w:ascii="黑体" w:hAnsi="黑体" w:eastAsia="黑体" w:cs="黑体"/>
          <w:color w:val="auto"/>
          <w:sz w:val="28"/>
          <w:szCs w:val="28"/>
          <w:lang w:eastAsia="zh-CN"/>
        </w:rPr>
      </w:pPr>
      <w:r>
        <w:rPr>
          <w:rFonts w:ascii="黑体" w:hAnsi="黑体" w:eastAsia="黑体" w:cs="黑体"/>
          <w:color w:val="auto"/>
          <w:spacing w:val="-6"/>
          <w:sz w:val="28"/>
          <w:szCs w:val="28"/>
          <w:lang w:eastAsia="zh-CN"/>
        </w:rPr>
        <w:t>中标候选人表</w:t>
      </w:r>
    </w:p>
    <w:p>
      <w:pPr>
        <w:pStyle w:val="3"/>
        <w:spacing w:line="326" w:lineRule="auto"/>
        <w:rPr>
          <w:color w:val="auto"/>
          <w:lang w:eastAsia="zh-CN"/>
        </w:rPr>
      </w:pPr>
    </w:p>
    <w:p>
      <w:pPr>
        <w:pStyle w:val="3"/>
        <w:spacing w:line="327" w:lineRule="auto"/>
        <w:rPr>
          <w:color w:val="auto"/>
          <w:lang w:eastAsia="zh-CN"/>
        </w:rPr>
      </w:pPr>
    </w:p>
    <w:p>
      <w:pPr>
        <w:spacing w:before="78" w:line="219" w:lineRule="auto"/>
        <w:ind w:left="267"/>
        <w:rPr>
          <w:rFonts w:ascii="宋体" w:hAnsi="宋体" w:eastAsia="宋体" w:cs="宋体"/>
          <w:color w:val="auto"/>
          <w:sz w:val="24"/>
          <w:szCs w:val="24"/>
        </w:rPr>
      </w:pPr>
      <w:r>
        <w:rPr>
          <w:rFonts w:ascii="宋体" w:hAnsi="宋体" w:eastAsia="宋体" w:cs="宋体"/>
          <w:color w:val="auto"/>
          <w:spacing w:val="-3"/>
          <w:sz w:val="24"/>
          <w:szCs w:val="24"/>
        </w:rPr>
        <w:t>工程名称：</w:t>
      </w:r>
    </w:p>
    <w:tbl>
      <w:tblPr>
        <w:tblStyle w:val="14"/>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4"/>
        <w:gridCol w:w="4657"/>
        <w:gridCol w:w="3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6" w:hRule="atLeast"/>
        </w:trPr>
        <w:tc>
          <w:tcPr>
            <w:tcW w:w="1164" w:type="dxa"/>
          </w:tcPr>
          <w:p>
            <w:pPr>
              <w:pStyle w:val="15"/>
              <w:spacing w:before="139" w:line="229" w:lineRule="auto"/>
              <w:ind w:left="270"/>
              <w:rPr>
                <w:color w:val="auto"/>
              </w:rPr>
            </w:pPr>
            <w:r>
              <w:rPr>
                <w:b/>
                <w:bCs/>
                <w:color w:val="auto"/>
                <w:spacing w:val="-1"/>
              </w:rPr>
              <w:t>排序</w:t>
            </w:r>
          </w:p>
        </w:tc>
        <w:tc>
          <w:tcPr>
            <w:tcW w:w="4657" w:type="dxa"/>
          </w:tcPr>
          <w:p>
            <w:pPr>
              <w:pStyle w:val="15"/>
              <w:spacing w:before="139" w:line="228" w:lineRule="auto"/>
              <w:ind w:left="1826"/>
              <w:rPr>
                <w:color w:val="auto"/>
              </w:rPr>
            </w:pPr>
            <w:r>
              <w:rPr>
                <w:b/>
                <w:bCs/>
                <w:color w:val="auto"/>
                <w:spacing w:val="2"/>
              </w:rPr>
              <w:t>中标候选人</w:t>
            </w:r>
          </w:p>
        </w:tc>
        <w:tc>
          <w:tcPr>
            <w:tcW w:w="3469" w:type="dxa"/>
          </w:tcPr>
          <w:p>
            <w:pPr>
              <w:pStyle w:val="15"/>
              <w:spacing w:before="140" w:line="226" w:lineRule="auto"/>
              <w:ind w:left="898"/>
              <w:rPr>
                <w:color w:val="auto"/>
              </w:rPr>
            </w:pPr>
            <w:r>
              <w:rPr>
                <w:b/>
                <w:bCs/>
                <w:color w:val="auto"/>
                <w:spacing w:val="5"/>
              </w:rPr>
              <w:t>投标报价（万元）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164" w:type="dxa"/>
          </w:tcPr>
          <w:p>
            <w:pPr>
              <w:pStyle w:val="15"/>
              <w:spacing w:before="123" w:line="228" w:lineRule="auto"/>
              <w:ind w:left="273"/>
              <w:rPr>
                <w:color w:val="auto"/>
              </w:rPr>
            </w:pPr>
            <w:r>
              <w:rPr>
                <w:color w:val="auto"/>
                <w:spacing w:val="6"/>
              </w:rPr>
              <w:t>第一名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164" w:type="dxa"/>
          </w:tcPr>
          <w:p>
            <w:pPr>
              <w:pStyle w:val="15"/>
              <w:spacing w:before="127" w:line="228" w:lineRule="auto"/>
              <w:ind w:left="273"/>
              <w:rPr>
                <w:color w:val="auto"/>
              </w:rPr>
            </w:pPr>
            <w:r>
              <w:rPr>
                <w:color w:val="auto"/>
                <w:spacing w:val="6"/>
              </w:rPr>
              <w:t>第二名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164" w:type="dxa"/>
          </w:tcPr>
          <w:p>
            <w:pPr>
              <w:pStyle w:val="15"/>
              <w:spacing w:before="131" w:line="228" w:lineRule="auto"/>
              <w:ind w:left="273"/>
              <w:rPr>
                <w:color w:val="auto"/>
              </w:rPr>
            </w:pPr>
            <w:r>
              <w:rPr>
                <w:color w:val="auto"/>
                <w:spacing w:val="6"/>
              </w:rPr>
              <w:t>第三名</w:t>
            </w:r>
          </w:p>
        </w:tc>
        <w:tc>
          <w:tcPr>
            <w:tcW w:w="4657" w:type="dxa"/>
          </w:tcPr>
          <w:p>
            <w:pPr>
              <w:rPr>
                <w:color w:val="auto"/>
              </w:rPr>
            </w:pPr>
          </w:p>
        </w:tc>
        <w:tc>
          <w:tcPr>
            <w:tcW w:w="3469"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64" w:type="dxa"/>
          </w:tcPr>
          <w:p>
            <w:pPr>
              <w:pStyle w:val="15"/>
              <w:spacing w:before="133" w:line="324" w:lineRule="exact"/>
              <w:ind w:left="391"/>
              <w:rPr>
                <w:color w:val="auto"/>
              </w:rPr>
            </w:pPr>
            <w:r>
              <w:rPr>
                <w:color w:val="auto"/>
                <w:spacing w:val="-2"/>
                <w:position w:val="2"/>
              </w:rPr>
              <w:t>……</w:t>
            </w:r>
          </w:p>
        </w:tc>
        <w:tc>
          <w:tcPr>
            <w:tcW w:w="4657" w:type="dxa"/>
          </w:tcPr>
          <w:p>
            <w:pPr>
              <w:rPr>
                <w:color w:val="auto"/>
              </w:rPr>
            </w:pPr>
          </w:p>
        </w:tc>
        <w:tc>
          <w:tcPr>
            <w:tcW w:w="3469" w:type="dxa"/>
          </w:tcPr>
          <w:p>
            <w:pPr>
              <w:rPr>
                <w:color w:val="auto"/>
              </w:rPr>
            </w:pPr>
          </w:p>
        </w:tc>
      </w:tr>
    </w:tbl>
    <w:p>
      <w:pPr>
        <w:spacing w:before="300" w:line="228" w:lineRule="auto"/>
        <w:ind w:left="2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签订合同前要处理的事宜：</w:t>
      </w:r>
    </w:p>
    <w:p>
      <w:pPr>
        <w:pStyle w:val="3"/>
        <w:spacing w:line="294" w:lineRule="auto"/>
        <w:rPr>
          <w:color w:val="auto"/>
          <w:lang w:eastAsia="zh-CN"/>
        </w:rPr>
      </w:pPr>
    </w:p>
    <w:p>
      <w:pPr>
        <w:pStyle w:val="3"/>
        <w:spacing w:line="294" w:lineRule="auto"/>
        <w:rPr>
          <w:color w:val="auto"/>
          <w:lang w:eastAsia="zh-CN"/>
        </w:rPr>
      </w:pPr>
    </w:p>
    <w:p>
      <w:pPr>
        <w:pStyle w:val="3"/>
        <w:spacing w:line="294" w:lineRule="auto"/>
        <w:rPr>
          <w:color w:val="auto"/>
          <w:lang w:eastAsia="zh-CN"/>
        </w:rPr>
      </w:pPr>
    </w:p>
    <w:p>
      <w:pPr>
        <w:spacing w:before="65" w:line="227" w:lineRule="auto"/>
        <w:ind w:left="26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评标委员会全体成员签字：</w:t>
      </w:r>
    </w:p>
    <w:p>
      <w:pPr>
        <w:pStyle w:val="3"/>
        <w:spacing w:line="248"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pStyle w:val="3"/>
        <w:spacing w:line="249" w:lineRule="auto"/>
        <w:rPr>
          <w:color w:val="auto"/>
          <w:lang w:eastAsia="zh-CN"/>
        </w:rPr>
      </w:pPr>
    </w:p>
    <w:p>
      <w:pPr>
        <w:spacing w:before="91" w:line="220" w:lineRule="auto"/>
        <w:ind w:left="4990"/>
        <w:rPr>
          <w:rFonts w:ascii="宋体" w:hAnsi="宋体" w:eastAsia="宋体" w:cs="宋体"/>
          <w:color w:val="auto"/>
          <w:sz w:val="28"/>
          <w:szCs w:val="28"/>
          <w:lang w:eastAsia="zh-CN"/>
        </w:rPr>
      </w:pPr>
      <w:r>
        <w:rPr>
          <w:rFonts w:ascii="宋体" w:hAnsi="宋体" w:eastAsia="宋体" w:cs="宋体"/>
          <w:color w:val="auto"/>
          <w:spacing w:val="-30"/>
          <w:sz w:val="28"/>
          <w:szCs w:val="28"/>
          <w:lang w:eastAsia="zh-CN"/>
        </w:rPr>
        <w:t>日期：年月日</w:t>
      </w:r>
    </w:p>
    <w:p>
      <w:pPr>
        <w:spacing w:line="220" w:lineRule="auto"/>
        <w:rPr>
          <w:rFonts w:ascii="宋体" w:hAnsi="宋体" w:eastAsia="宋体" w:cs="宋体"/>
          <w:color w:val="auto"/>
          <w:sz w:val="28"/>
          <w:szCs w:val="28"/>
          <w:lang w:eastAsia="zh-CN"/>
        </w:rPr>
        <w:sectPr>
          <w:footerReference r:id="rId43" w:type="default"/>
          <w:pgSz w:w="11906" w:h="16839"/>
          <w:pgMar w:top="1431" w:right="1277" w:bottom="1355" w:left="1333" w:header="0" w:footer="1191" w:gutter="0"/>
          <w:cols w:space="720" w:num="1"/>
          <w:docGrid w:linePitch="0" w:charSpace="0"/>
        </w:sectPr>
      </w:pPr>
    </w:p>
    <w:p>
      <w:pPr>
        <w:pStyle w:val="3"/>
        <w:spacing w:line="249"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pStyle w:val="3"/>
        <w:spacing w:line="250" w:lineRule="auto"/>
        <w:rPr>
          <w:color w:val="auto"/>
          <w:lang w:eastAsia="zh-CN"/>
        </w:rPr>
      </w:pPr>
    </w:p>
    <w:p>
      <w:pPr>
        <w:spacing w:before="159" w:line="196" w:lineRule="auto"/>
        <w:ind w:left="2199"/>
        <w:outlineLvl w:val="0"/>
        <w:rPr>
          <w:rFonts w:ascii="华文中宋" w:hAnsi="华文中宋" w:eastAsia="华文中宋" w:cs="华文中宋"/>
          <w:color w:val="auto"/>
          <w:sz w:val="43"/>
          <w:szCs w:val="43"/>
          <w:lang w:eastAsia="zh-CN"/>
        </w:rPr>
      </w:pPr>
      <w:bookmarkStart w:id="171" w:name="bookmark174"/>
      <w:bookmarkEnd w:id="171"/>
      <w:bookmarkStart w:id="172" w:name="bookmark173"/>
      <w:bookmarkEnd w:id="172"/>
      <w:bookmarkStart w:id="173" w:name="bookmark176"/>
      <w:bookmarkEnd w:id="173"/>
      <w:r>
        <w:rPr>
          <w:rFonts w:ascii="华文中宋" w:hAnsi="华文中宋" w:eastAsia="华文中宋" w:cs="华文中宋"/>
          <w:color w:val="auto"/>
          <w:spacing w:val="8"/>
          <w:sz w:val="43"/>
          <w:szCs w:val="43"/>
          <w:lang w:eastAsia="zh-CN"/>
        </w:rPr>
        <w:t>第四章合同条款及格式</w:t>
      </w:r>
    </w:p>
    <w:p>
      <w:pPr>
        <w:spacing w:before="176" w:line="227" w:lineRule="auto"/>
        <w:ind w:left="2876"/>
        <w:outlineLvl w:val="1"/>
        <w:rPr>
          <w:rFonts w:ascii="黑体" w:hAnsi="黑体" w:eastAsia="黑体" w:cs="黑体"/>
          <w:color w:val="auto"/>
          <w:sz w:val="31"/>
          <w:szCs w:val="31"/>
          <w:lang w:eastAsia="zh-CN"/>
        </w:rPr>
      </w:pPr>
      <w:bookmarkStart w:id="174" w:name="bookmark175"/>
      <w:bookmarkEnd w:id="174"/>
      <w:r>
        <w:rPr>
          <w:rFonts w:ascii="黑体" w:hAnsi="黑体" w:eastAsia="黑体" w:cs="黑体"/>
          <w:color w:val="auto"/>
          <w:spacing w:val="8"/>
          <w:sz w:val="31"/>
          <w:szCs w:val="31"/>
          <w:lang w:eastAsia="zh-CN"/>
        </w:rPr>
        <w:t>第一节 通用合同条款</w:t>
      </w:r>
    </w:p>
    <w:p>
      <w:pPr>
        <w:spacing w:before="124" w:line="228" w:lineRule="auto"/>
        <w:ind w:left="3432"/>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通用合同条款</w:t>
      </w:r>
    </w:p>
    <w:p>
      <w:pPr>
        <w:pStyle w:val="3"/>
        <w:spacing w:line="343" w:lineRule="auto"/>
        <w:rPr>
          <w:color w:val="auto"/>
          <w:lang w:eastAsia="zh-CN"/>
        </w:rPr>
      </w:pPr>
    </w:p>
    <w:p>
      <w:pPr>
        <w:spacing w:before="100" w:line="226" w:lineRule="auto"/>
        <w:ind w:left="19"/>
        <w:outlineLvl w:val="1"/>
        <w:rPr>
          <w:rFonts w:ascii="黑体" w:hAnsi="黑体" w:eastAsia="黑体" w:cs="黑体"/>
          <w:color w:val="auto"/>
          <w:sz w:val="31"/>
          <w:szCs w:val="31"/>
          <w:lang w:eastAsia="zh-CN"/>
        </w:rPr>
      </w:pPr>
      <w:bookmarkStart w:id="175" w:name="bookmark180"/>
      <w:bookmarkEnd w:id="175"/>
      <w:bookmarkStart w:id="176" w:name="bookmark178"/>
      <w:bookmarkEnd w:id="176"/>
      <w:bookmarkStart w:id="177" w:name="bookmark177"/>
      <w:bookmarkEnd w:id="177"/>
      <w:r>
        <w:rPr>
          <w:rFonts w:ascii="黑体" w:hAnsi="黑体" w:eastAsia="黑体" w:cs="黑体"/>
          <w:b/>
          <w:bCs/>
          <w:color w:val="auto"/>
          <w:spacing w:val="-2"/>
          <w:sz w:val="31"/>
          <w:szCs w:val="31"/>
          <w:lang w:eastAsia="zh-CN"/>
        </w:rPr>
        <w:t>1.一般约定</w:t>
      </w:r>
    </w:p>
    <w:p>
      <w:pPr>
        <w:pStyle w:val="3"/>
        <w:spacing w:line="272" w:lineRule="auto"/>
        <w:rPr>
          <w:color w:val="auto"/>
          <w:lang w:eastAsia="zh-CN"/>
        </w:rPr>
      </w:pPr>
    </w:p>
    <w:p>
      <w:pPr>
        <w:spacing w:before="91" w:line="223" w:lineRule="auto"/>
        <w:ind w:left="16"/>
        <w:outlineLvl w:val="2"/>
        <w:rPr>
          <w:rFonts w:ascii="黑体" w:hAnsi="黑体" w:eastAsia="黑体" w:cs="黑体"/>
          <w:color w:val="auto"/>
          <w:sz w:val="28"/>
          <w:szCs w:val="28"/>
          <w:lang w:eastAsia="zh-CN"/>
        </w:rPr>
      </w:pPr>
      <w:bookmarkStart w:id="178" w:name="bookmark179"/>
      <w:bookmarkEnd w:id="178"/>
      <w:r>
        <w:rPr>
          <w:rFonts w:ascii="黑体" w:hAnsi="黑体" w:eastAsia="黑体" w:cs="黑体"/>
          <w:color w:val="auto"/>
          <w:spacing w:val="-6"/>
          <w:sz w:val="28"/>
          <w:szCs w:val="28"/>
          <w:lang w:eastAsia="zh-CN"/>
        </w:rPr>
        <w:t>1.1词语定义</w:t>
      </w:r>
    </w:p>
    <w:p>
      <w:pPr>
        <w:spacing w:before="279" w:line="227"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通用合同条款、专用合同条款中的下列词语应具有本款所赋予的含义。</w:t>
      </w:r>
    </w:p>
    <w:p>
      <w:pPr>
        <w:spacing w:before="154" w:line="230" w:lineRule="auto"/>
        <w:ind w:left="434"/>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1.1.1合同</w:t>
      </w:r>
    </w:p>
    <w:p>
      <w:pPr>
        <w:spacing w:before="150" w:line="298"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"1.1.1.1" </w:instrText>
      </w:r>
      <w:r>
        <w:rPr>
          <w:color w:val="auto"/>
        </w:rPr>
        <w:fldChar w:fldCharType="separate"/>
      </w:r>
      <w:r>
        <w:rPr>
          <w:rFonts w:ascii="宋体" w:hAnsi="宋体" w:eastAsia="宋体" w:cs="宋体"/>
          <w:color w:val="auto"/>
          <w:spacing w:val="8"/>
          <w:sz w:val="20"/>
          <w:szCs w:val="20"/>
          <w:lang w:eastAsia="zh-CN"/>
        </w:rPr>
        <w:t>1.1.1.1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合同文件（或称合同</w:t>
      </w:r>
      <w:r>
        <w:rPr>
          <w:rFonts w:ascii="宋体" w:hAnsi="宋体" w:eastAsia="宋体" w:cs="宋体"/>
          <w:color w:val="auto"/>
          <w:spacing w:val="10"/>
          <w:sz w:val="20"/>
          <w:szCs w:val="20"/>
          <w:lang w:eastAsia="zh-CN"/>
        </w:rPr>
        <w:t>）：</w:t>
      </w:r>
      <w:r>
        <w:rPr>
          <w:rFonts w:ascii="宋体" w:hAnsi="宋体" w:eastAsia="宋体" w:cs="宋体"/>
          <w:color w:val="auto"/>
          <w:spacing w:val="8"/>
          <w:sz w:val="20"/>
          <w:szCs w:val="20"/>
          <w:lang w:eastAsia="zh-CN"/>
        </w:rPr>
        <w:t>指合同协议书、</w:t>
      </w:r>
      <w:r>
        <w:rPr>
          <w:rFonts w:ascii="宋体" w:hAnsi="宋体" w:eastAsia="宋体" w:cs="宋体"/>
          <w:color w:val="auto"/>
          <w:spacing w:val="7"/>
          <w:sz w:val="20"/>
          <w:szCs w:val="20"/>
          <w:lang w:eastAsia="zh-CN"/>
        </w:rPr>
        <w:t>中标通知书、投标函及投标函附录、专用</w:t>
      </w:r>
      <w:r>
        <w:rPr>
          <w:rFonts w:ascii="宋体" w:hAnsi="宋体" w:eastAsia="宋体" w:cs="宋体"/>
          <w:color w:val="auto"/>
          <w:spacing w:val="8"/>
          <w:sz w:val="20"/>
          <w:szCs w:val="20"/>
          <w:lang w:eastAsia="zh-CN"/>
        </w:rPr>
        <w:t>合同条款、通用合同条款、技术标准和要求、图纸、已标价工程量清单，以及其他合同文件。</w:t>
      </w:r>
    </w:p>
    <w:p>
      <w:pPr>
        <w:spacing w:before="156"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"1.1.1.2" </w:instrText>
      </w:r>
      <w:r>
        <w:rPr>
          <w:color w:val="auto"/>
        </w:rPr>
        <w:fldChar w:fldCharType="separate"/>
      </w:r>
      <w:r>
        <w:rPr>
          <w:rFonts w:ascii="宋体" w:hAnsi="宋体" w:eastAsia="宋体" w:cs="宋体"/>
          <w:color w:val="auto"/>
          <w:spacing w:val="6"/>
          <w:sz w:val="20"/>
          <w:szCs w:val="20"/>
          <w:lang w:eastAsia="zh-CN"/>
        </w:rPr>
        <w:t>1.1.1.2</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合同协议书：指第1.5款</w:t>
      </w:r>
      <w:r>
        <w:rPr>
          <w:rFonts w:ascii="宋体" w:hAnsi="宋体" w:eastAsia="宋体" w:cs="宋体"/>
          <w:color w:val="auto"/>
          <w:spacing w:val="5"/>
          <w:sz w:val="20"/>
          <w:szCs w:val="20"/>
          <w:lang w:eastAsia="zh-CN"/>
        </w:rPr>
        <w:t>所指的合同协议书。</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"1.1.1.3" </w:instrText>
      </w:r>
      <w:r>
        <w:rPr>
          <w:color w:val="auto"/>
        </w:rPr>
        <w:fldChar w:fldCharType="separate"/>
      </w:r>
      <w:r>
        <w:rPr>
          <w:rFonts w:ascii="宋体" w:hAnsi="宋体" w:eastAsia="宋体" w:cs="宋体"/>
          <w:color w:val="auto"/>
          <w:spacing w:val="6"/>
          <w:sz w:val="20"/>
          <w:szCs w:val="20"/>
          <w:lang w:eastAsia="zh-CN"/>
        </w:rPr>
        <w:t>1.1.1.3</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中标通知书：指发包人通知承包人中标的函件。</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"1.1.1.4" </w:instrText>
      </w:r>
      <w:r>
        <w:rPr>
          <w:color w:val="auto"/>
        </w:rPr>
        <w:fldChar w:fldCharType="separate"/>
      </w:r>
      <w:r>
        <w:rPr>
          <w:rFonts w:ascii="宋体" w:hAnsi="宋体" w:eastAsia="宋体" w:cs="宋体"/>
          <w:color w:val="auto"/>
          <w:spacing w:val="8"/>
          <w:sz w:val="20"/>
          <w:szCs w:val="20"/>
          <w:lang w:eastAsia="zh-CN"/>
        </w:rPr>
        <w:t>1.1.1.4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投标函：指构成合同文件组成部分的由承包人填写并签署的投标函。</w:t>
      </w:r>
    </w:p>
    <w:p>
      <w:pPr>
        <w:spacing w:before="154"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"1.1.1.5" </w:instrText>
      </w:r>
      <w:r>
        <w:rPr>
          <w:color w:val="auto"/>
        </w:rPr>
        <w:fldChar w:fldCharType="separate"/>
      </w:r>
      <w:r>
        <w:rPr>
          <w:rFonts w:ascii="宋体" w:hAnsi="宋体" w:eastAsia="宋体" w:cs="宋体"/>
          <w:color w:val="auto"/>
          <w:spacing w:val="8"/>
          <w:sz w:val="20"/>
          <w:szCs w:val="20"/>
          <w:lang w:eastAsia="zh-CN"/>
        </w:rPr>
        <w:t>1.1.1.5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投标函附录：指附在投标函后构成合同文</w:t>
      </w:r>
      <w:r>
        <w:rPr>
          <w:rFonts w:ascii="宋体" w:hAnsi="宋体" w:eastAsia="宋体" w:cs="宋体"/>
          <w:color w:val="auto"/>
          <w:spacing w:val="7"/>
          <w:sz w:val="20"/>
          <w:szCs w:val="20"/>
          <w:lang w:eastAsia="zh-CN"/>
        </w:rPr>
        <w:t>件的投标函附录。</w:t>
      </w:r>
    </w:p>
    <w:p>
      <w:pPr>
        <w:spacing w:before="152" w:line="299" w:lineRule="auto"/>
        <w:ind w:left="19" w:firstLine="414"/>
        <w:rPr>
          <w:rFonts w:ascii="宋体" w:hAnsi="宋体" w:eastAsia="宋体" w:cs="宋体"/>
          <w:color w:val="auto"/>
          <w:sz w:val="20"/>
          <w:szCs w:val="20"/>
          <w:lang w:eastAsia="zh-CN"/>
        </w:rPr>
      </w:pPr>
      <w:r>
        <w:rPr>
          <w:color w:val="auto"/>
        </w:rPr>
        <w:fldChar w:fldCharType="begin"/>
      </w:r>
      <w:r>
        <w:rPr>
          <w:color w:val="auto"/>
        </w:rPr>
        <w:instrText xml:space="preserve"> HYPERLINK "1.1.1.6" </w:instrText>
      </w:r>
      <w:r>
        <w:rPr>
          <w:color w:val="auto"/>
        </w:rPr>
        <w:fldChar w:fldCharType="separate"/>
      </w:r>
      <w:r>
        <w:rPr>
          <w:rFonts w:ascii="宋体" w:hAnsi="宋体" w:eastAsia="宋体" w:cs="宋体"/>
          <w:color w:val="auto"/>
          <w:spacing w:val="8"/>
          <w:sz w:val="20"/>
          <w:szCs w:val="20"/>
          <w:lang w:eastAsia="zh-CN"/>
        </w:rPr>
        <w:t>1.1.1.6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技术标准和要求：指构成合同文件组成部分的名为技</w:t>
      </w:r>
      <w:r>
        <w:rPr>
          <w:rFonts w:ascii="宋体" w:hAnsi="宋体" w:eastAsia="宋体" w:cs="宋体"/>
          <w:color w:val="auto"/>
          <w:spacing w:val="7"/>
          <w:sz w:val="20"/>
          <w:szCs w:val="20"/>
          <w:lang w:eastAsia="zh-CN"/>
        </w:rPr>
        <w:t>术标准和要求的文件，包括合同双方当事人约定对其所作的修改或补充。</w:t>
      </w:r>
    </w:p>
    <w:p>
      <w:pPr>
        <w:spacing w:before="153" w:line="298" w:lineRule="auto"/>
        <w:ind w:left="6" w:firstLine="428"/>
        <w:rPr>
          <w:rFonts w:ascii="宋体" w:hAnsi="宋体" w:eastAsia="宋体" w:cs="宋体"/>
          <w:color w:val="auto"/>
          <w:sz w:val="20"/>
          <w:szCs w:val="20"/>
          <w:lang w:eastAsia="zh-CN"/>
        </w:rPr>
      </w:pPr>
      <w:r>
        <w:rPr>
          <w:color w:val="auto"/>
        </w:rPr>
        <w:fldChar w:fldCharType="begin"/>
      </w:r>
      <w:r>
        <w:rPr>
          <w:color w:val="auto"/>
        </w:rPr>
        <w:instrText xml:space="preserve"> HYPERLINK "1.1.1.7" </w:instrText>
      </w:r>
      <w:r>
        <w:rPr>
          <w:color w:val="auto"/>
        </w:rPr>
        <w:fldChar w:fldCharType="separate"/>
      </w:r>
      <w:r>
        <w:rPr>
          <w:rFonts w:ascii="宋体" w:hAnsi="宋体" w:eastAsia="宋体" w:cs="宋体"/>
          <w:color w:val="auto"/>
          <w:spacing w:val="7"/>
          <w:sz w:val="20"/>
          <w:szCs w:val="20"/>
          <w:lang w:eastAsia="zh-CN"/>
        </w:rPr>
        <w:t>1.1.1.7</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图纸：指包含在合同中的工程图纸，以及由发包人按合同约定提供的任何补充和修改的图纸，包括配套的说明。</w:t>
      </w:r>
    </w:p>
    <w:p>
      <w:pPr>
        <w:spacing w:before="155" w:line="298" w:lineRule="auto"/>
        <w:ind w:left="4" w:firstLine="429"/>
        <w:rPr>
          <w:rFonts w:ascii="宋体" w:hAnsi="宋体" w:eastAsia="宋体" w:cs="宋体"/>
          <w:color w:val="auto"/>
          <w:sz w:val="20"/>
          <w:szCs w:val="20"/>
          <w:lang w:eastAsia="zh-CN"/>
        </w:rPr>
      </w:pPr>
      <w:r>
        <w:rPr>
          <w:color w:val="auto"/>
        </w:rPr>
        <w:fldChar w:fldCharType="begin"/>
      </w:r>
      <w:r>
        <w:rPr>
          <w:color w:val="auto"/>
        </w:rPr>
        <w:instrText xml:space="preserve"> HYPERLINK "1.1.1.8" </w:instrText>
      </w:r>
      <w:r>
        <w:rPr>
          <w:color w:val="auto"/>
        </w:rPr>
        <w:fldChar w:fldCharType="separate"/>
      </w:r>
      <w:r>
        <w:rPr>
          <w:rFonts w:ascii="宋体" w:hAnsi="宋体" w:eastAsia="宋体" w:cs="宋体"/>
          <w:color w:val="auto"/>
          <w:spacing w:val="7"/>
          <w:sz w:val="20"/>
          <w:szCs w:val="20"/>
          <w:lang w:eastAsia="zh-CN"/>
        </w:rPr>
        <w:t>1.1.1.8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已标价工程量清单：指构成合同文件组成部分的由承包人按照规定的格式和要求填写并标明价格的工程量清单。</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"1.1.1.9" </w:instrText>
      </w:r>
      <w:r>
        <w:rPr>
          <w:color w:val="auto"/>
        </w:rPr>
        <w:fldChar w:fldCharType="separate"/>
      </w:r>
      <w:r>
        <w:rPr>
          <w:rFonts w:ascii="宋体" w:hAnsi="宋体" w:eastAsia="宋体" w:cs="宋体"/>
          <w:color w:val="auto"/>
          <w:spacing w:val="8"/>
          <w:sz w:val="20"/>
          <w:szCs w:val="20"/>
          <w:lang w:eastAsia="zh-CN"/>
        </w:rPr>
        <w:t>1.1.1.9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其他合同文件：指经合同双方当事人确认构成合同文件的其他文件。</w:t>
      </w:r>
    </w:p>
    <w:p>
      <w:pPr>
        <w:spacing w:before="154"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1.1.2 合同当事人和人员</w:t>
      </w:r>
    </w:p>
    <w:p>
      <w:pPr>
        <w:spacing w:before="153"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"1.1.2.1" </w:instrText>
      </w:r>
      <w:r>
        <w:rPr>
          <w:color w:val="auto"/>
        </w:rPr>
        <w:fldChar w:fldCharType="separate"/>
      </w:r>
      <w:r>
        <w:rPr>
          <w:rFonts w:ascii="宋体" w:hAnsi="宋体" w:eastAsia="宋体" w:cs="宋体"/>
          <w:color w:val="auto"/>
          <w:spacing w:val="7"/>
          <w:sz w:val="20"/>
          <w:szCs w:val="20"/>
          <w:lang w:eastAsia="zh-CN"/>
        </w:rPr>
        <w:t>1.1.2.1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合同当事人:指发包人和（或）</w:t>
      </w:r>
      <w:r>
        <w:rPr>
          <w:rFonts w:ascii="宋体" w:hAnsi="宋体" w:eastAsia="宋体" w:cs="宋体"/>
          <w:color w:val="auto"/>
          <w:spacing w:val="6"/>
          <w:sz w:val="20"/>
          <w:szCs w:val="20"/>
          <w:lang w:eastAsia="zh-CN"/>
        </w:rPr>
        <w:t>承包人。</w:t>
      </w:r>
    </w:p>
    <w:p>
      <w:pPr>
        <w:spacing w:before="152"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"1.1.2.2" </w:instrText>
      </w:r>
      <w:r>
        <w:rPr>
          <w:color w:val="auto"/>
        </w:rPr>
        <w:fldChar w:fldCharType="separate"/>
      </w:r>
      <w:r>
        <w:rPr>
          <w:rFonts w:ascii="宋体" w:hAnsi="宋体" w:eastAsia="宋体" w:cs="宋体"/>
          <w:color w:val="auto"/>
          <w:spacing w:val="8"/>
          <w:sz w:val="20"/>
          <w:szCs w:val="20"/>
          <w:lang w:eastAsia="zh-CN"/>
        </w:rPr>
        <w:t>1.1.2.2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发包人：指专用合同条款中指明并与承包人在合同协议书中签字的当事人。</w:t>
      </w:r>
    </w:p>
    <w:p>
      <w:pPr>
        <w:spacing w:before="155" w:line="227"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"1.1.2.3" </w:instrText>
      </w:r>
      <w:r>
        <w:rPr>
          <w:color w:val="auto"/>
        </w:rPr>
        <w:fldChar w:fldCharType="separate"/>
      </w:r>
      <w:r>
        <w:rPr>
          <w:rFonts w:ascii="宋体" w:hAnsi="宋体" w:eastAsia="宋体" w:cs="宋体"/>
          <w:color w:val="auto"/>
          <w:spacing w:val="7"/>
          <w:sz w:val="20"/>
          <w:szCs w:val="20"/>
          <w:lang w:eastAsia="zh-CN"/>
        </w:rPr>
        <w:t>1.1.2.3</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承包人：指与发包人签订合同协议书的当事人。</w:t>
      </w:r>
    </w:p>
    <w:p>
      <w:pPr>
        <w:spacing w:before="155" w:line="228" w:lineRule="auto"/>
        <w:ind w:left="434"/>
        <w:rPr>
          <w:rFonts w:ascii="宋体" w:hAnsi="宋体" w:eastAsia="宋体" w:cs="宋体"/>
          <w:color w:val="auto"/>
          <w:sz w:val="20"/>
          <w:szCs w:val="20"/>
          <w:lang w:eastAsia="zh-CN"/>
        </w:rPr>
      </w:pPr>
      <w:r>
        <w:rPr>
          <w:color w:val="auto"/>
        </w:rPr>
        <w:fldChar w:fldCharType="begin"/>
      </w:r>
      <w:r>
        <w:rPr>
          <w:color w:val="auto"/>
        </w:rPr>
        <w:instrText xml:space="preserve"> HYPERLINK "1.1.2.4" </w:instrText>
      </w:r>
      <w:r>
        <w:rPr>
          <w:color w:val="auto"/>
        </w:rPr>
        <w:fldChar w:fldCharType="separate"/>
      </w:r>
      <w:r>
        <w:rPr>
          <w:rFonts w:ascii="宋体" w:hAnsi="宋体" w:eastAsia="宋体" w:cs="宋体"/>
          <w:color w:val="auto"/>
          <w:spacing w:val="8"/>
          <w:sz w:val="20"/>
          <w:szCs w:val="20"/>
          <w:lang w:eastAsia="zh-CN"/>
        </w:rPr>
        <w:t>1.1.2.4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承包人项目经理：指承包人派驻</w:t>
      </w:r>
      <w:r>
        <w:rPr>
          <w:rFonts w:ascii="宋体" w:hAnsi="宋体" w:eastAsia="宋体" w:cs="宋体"/>
          <w:color w:val="auto"/>
          <w:spacing w:val="7"/>
          <w:sz w:val="20"/>
          <w:szCs w:val="20"/>
          <w:lang w:eastAsia="zh-CN"/>
        </w:rPr>
        <w:t>施工场地的全权负责人。</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"1.1.2.5" </w:instrText>
      </w:r>
      <w:r>
        <w:rPr>
          <w:color w:val="auto"/>
        </w:rPr>
        <w:fldChar w:fldCharType="separate"/>
      </w:r>
      <w:r>
        <w:rPr>
          <w:rFonts w:ascii="宋体" w:hAnsi="宋体" w:eastAsia="宋体" w:cs="宋体"/>
          <w:color w:val="auto"/>
          <w:spacing w:val="8"/>
          <w:sz w:val="20"/>
          <w:szCs w:val="20"/>
          <w:lang w:eastAsia="zh-CN"/>
        </w:rPr>
        <w:t>1.1.2.5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分包人：指从承包人处分包合同中某一部分工程，</w:t>
      </w:r>
      <w:r>
        <w:rPr>
          <w:rFonts w:ascii="宋体" w:hAnsi="宋体" w:eastAsia="宋体" w:cs="宋体"/>
          <w:color w:val="auto"/>
          <w:spacing w:val="7"/>
          <w:sz w:val="20"/>
          <w:szCs w:val="20"/>
          <w:lang w:eastAsia="zh-CN"/>
        </w:rPr>
        <w:t>并与其签订分包合同的分包人。</w:t>
      </w:r>
    </w:p>
    <w:p>
      <w:pPr>
        <w:spacing w:before="154" w:line="299" w:lineRule="auto"/>
        <w:ind w:firstLine="434"/>
        <w:rPr>
          <w:rFonts w:ascii="宋体" w:hAnsi="宋体" w:eastAsia="宋体" w:cs="宋体"/>
          <w:color w:val="auto"/>
          <w:sz w:val="20"/>
          <w:szCs w:val="20"/>
          <w:lang w:eastAsia="zh-CN"/>
        </w:rPr>
      </w:pPr>
      <w:r>
        <w:rPr>
          <w:color w:val="auto"/>
        </w:rPr>
        <w:fldChar w:fldCharType="begin"/>
      </w:r>
      <w:r>
        <w:rPr>
          <w:color w:val="auto"/>
        </w:rPr>
        <w:instrText xml:space="preserve"> HYPERLINK "1.1.2.6" </w:instrText>
      </w:r>
      <w:r>
        <w:rPr>
          <w:color w:val="auto"/>
        </w:rPr>
        <w:fldChar w:fldCharType="separate"/>
      </w:r>
      <w:r>
        <w:rPr>
          <w:rFonts w:ascii="宋体" w:hAnsi="宋体" w:eastAsia="宋体" w:cs="宋体"/>
          <w:color w:val="auto"/>
          <w:spacing w:val="8"/>
          <w:sz w:val="20"/>
          <w:szCs w:val="20"/>
          <w:lang w:eastAsia="zh-CN"/>
        </w:rPr>
        <w:t>1.1.2.6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监理人：指在专用合同条款中指明的，受发包人委托</w:t>
      </w:r>
      <w:r>
        <w:rPr>
          <w:rFonts w:ascii="宋体" w:hAnsi="宋体" w:eastAsia="宋体" w:cs="宋体"/>
          <w:color w:val="auto"/>
          <w:spacing w:val="7"/>
          <w:sz w:val="20"/>
          <w:szCs w:val="20"/>
          <w:lang w:eastAsia="zh-CN"/>
        </w:rPr>
        <w:t>对合同履行实施管理的法人或</w:t>
      </w:r>
      <w:r>
        <w:rPr>
          <w:rFonts w:ascii="宋体" w:hAnsi="宋体" w:eastAsia="宋体" w:cs="宋体"/>
          <w:color w:val="auto"/>
          <w:spacing w:val="5"/>
          <w:sz w:val="20"/>
          <w:szCs w:val="20"/>
          <w:lang w:eastAsia="zh-CN"/>
        </w:rPr>
        <w:t>其他组织。</w:t>
      </w:r>
    </w:p>
    <w:p>
      <w:pPr>
        <w:spacing w:line="299" w:lineRule="auto"/>
        <w:rPr>
          <w:rFonts w:ascii="宋体" w:hAnsi="宋体" w:eastAsia="宋体" w:cs="宋体"/>
          <w:color w:val="auto"/>
          <w:sz w:val="20"/>
          <w:szCs w:val="20"/>
          <w:lang w:eastAsia="zh-CN"/>
        </w:rPr>
        <w:sectPr>
          <w:footerReference r:id="rId44" w:type="default"/>
          <w:pgSz w:w="11906" w:h="16839"/>
          <w:pgMar w:top="1431" w:right="1533" w:bottom="1354" w:left="1597" w:header="0" w:footer="1191"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9" w:firstLine="427"/>
        <w:rPr>
          <w:rFonts w:ascii="宋体" w:hAnsi="宋体" w:eastAsia="宋体" w:cs="宋体"/>
          <w:color w:val="auto"/>
          <w:sz w:val="20"/>
          <w:szCs w:val="20"/>
          <w:lang w:eastAsia="zh-CN"/>
        </w:rPr>
      </w:pPr>
      <w:r>
        <w:rPr>
          <w:color w:val="auto"/>
        </w:rPr>
        <w:fldChar w:fldCharType="begin"/>
      </w:r>
      <w:r>
        <w:rPr>
          <w:color w:val="auto"/>
        </w:rPr>
        <w:instrText xml:space="preserve"> HYPERLINK "1.1.2.7" </w:instrText>
      </w:r>
      <w:r>
        <w:rPr>
          <w:color w:val="auto"/>
        </w:rPr>
        <w:fldChar w:fldCharType="separate"/>
      </w:r>
      <w:r>
        <w:rPr>
          <w:rFonts w:ascii="宋体" w:hAnsi="宋体" w:eastAsia="宋体" w:cs="宋体"/>
          <w:color w:val="auto"/>
          <w:spacing w:val="8"/>
          <w:sz w:val="20"/>
          <w:szCs w:val="20"/>
          <w:lang w:eastAsia="zh-CN"/>
        </w:rPr>
        <w:t>1.1.2.7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总监理工程师（总监</w:t>
      </w:r>
      <w:r>
        <w:rPr>
          <w:rFonts w:ascii="宋体" w:hAnsi="宋体" w:eastAsia="宋体" w:cs="宋体"/>
          <w:color w:val="auto"/>
          <w:spacing w:val="4"/>
          <w:sz w:val="20"/>
          <w:szCs w:val="20"/>
          <w:lang w:eastAsia="zh-CN"/>
        </w:rPr>
        <w:t>）：</w:t>
      </w:r>
      <w:r>
        <w:rPr>
          <w:rFonts w:ascii="宋体" w:hAnsi="宋体" w:eastAsia="宋体" w:cs="宋体"/>
          <w:color w:val="auto"/>
          <w:spacing w:val="8"/>
          <w:sz w:val="20"/>
          <w:szCs w:val="20"/>
          <w:lang w:eastAsia="zh-CN"/>
        </w:rPr>
        <w:t>指由监理人委派常驻施工场地对合同履行实</w:t>
      </w:r>
      <w:r>
        <w:rPr>
          <w:rFonts w:ascii="宋体" w:hAnsi="宋体" w:eastAsia="宋体" w:cs="宋体"/>
          <w:color w:val="auto"/>
          <w:spacing w:val="7"/>
          <w:sz w:val="20"/>
          <w:szCs w:val="20"/>
          <w:lang w:eastAsia="zh-CN"/>
        </w:rPr>
        <w:t>施管理的全权</w:t>
      </w:r>
      <w:r>
        <w:rPr>
          <w:rFonts w:ascii="宋体" w:hAnsi="宋体" w:eastAsia="宋体" w:cs="宋体"/>
          <w:color w:val="auto"/>
          <w:spacing w:val="3"/>
          <w:sz w:val="20"/>
          <w:szCs w:val="20"/>
          <w:lang w:eastAsia="zh-CN"/>
        </w:rPr>
        <w:t>负责人。</w:t>
      </w:r>
    </w:p>
    <w:p>
      <w:pPr>
        <w:spacing w:before="154"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1.1.3 工程和设备</w:t>
      </w:r>
    </w:p>
    <w:p>
      <w:pPr>
        <w:spacing w:before="150"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 </w:instrText>
      </w:r>
      <w:r>
        <w:rPr>
          <w:color w:val="auto"/>
        </w:rPr>
        <w:fldChar w:fldCharType="separate"/>
      </w:r>
      <w:r>
        <w:rPr>
          <w:rFonts w:ascii="宋体" w:hAnsi="宋体" w:eastAsia="宋体" w:cs="宋体"/>
          <w:color w:val="auto"/>
          <w:spacing w:val="7"/>
          <w:sz w:val="20"/>
          <w:szCs w:val="20"/>
          <w:lang w:eastAsia="zh-CN"/>
        </w:rPr>
        <w:t>1.1.3.1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工程：指永久工程和（或）临时工</w:t>
      </w:r>
      <w:r>
        <w:rPr>
          <w:rFonts w:ascii="宋体" w:hAnsi="宋体" w:eastAsia="宋体" w:cs="宋体"/>
          <w:color w:val="auto"/>
          <w:spacing w:val="6"/>
          <w:sz w:val="20"/>
          <w:szCs w:val="20"/>
          <w:lang w:eastAsia="zh-CN"/>
        </w:rPr>
        <w:t>程。</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"1.1.3.2" </w:instrText>
      </w:r>
      <w:r>
        <w:rPr>
          <w:color w:val="auto"/>
        </w:rPr>
        <w:fldChar w:fldCharType="separate"/>
      </w:r>
      <w:r>
        <w:rPr>
          <w:rFonts w:ascii="宋体" w:hAnsi="宋体" w:eastAsia="宋体" w:cs="宋体"/>
          <w:color w:val="auto"/>
          <w:spacing w:val="8"/>
          <w:sz w:val="20"/>
          <w:szCs w:val="20"/>
          <w:lang w:eastAsia="zh-CN"/>
        </w:rPr>
        <w:t>1.1.3.2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永久工程：指按合同约定建造并移交给发包人的工程，包括工程设备。</w:t>
      </w:r>
    </w:p>
    <w:p>
      <w:pPr>
        <w:spacing w:before="155"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"1.1.3.3" </w:instrText>
      </w:r>
      <w:r>
        <w:rPr>
          <w:color w:val="auto"/>
        </w:rPr>
        <w:fldChar w:fldCharType="separate"/>
      </w:r>
      <w:r>
        <w:rPr>
          <w:rFonts w:ascii="宋体" w:hAnsi="宋体" w:eastAsia="宋体" w:cs="宋体"/>
          <w:color w:val="auto"/>
          <w:spacing w:val="8"/>
          <w:sz w:val="20"/>
          <w:szCs w:val="20"/>
          <w:lang w:eastAsia="zh-CN"/>
        </w:rPr>
        <w:t>1.1.3.3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临时工程：指为完成合同约定的永久工程所修建的各</w:t>
      </w:r>
      <w:r>
        <w:rPr>
          <w:rFonts w:ascii="宋体" w:hAnsi="宋体" w:eastAsia="宋体" w:cs="宋体"/>
          <w:color w:val="auto"/>
          <w:spacing w:val="7"/>
          <w:sz w:val="20"/>
          <w:szCs w:val="20"/>
          <w:lang w:eastAsia="zh-CN"/>
        </w:rPr>
        <w:t>类临时性工程，不包括施工设</w:t>
      </w:r>
      <w:r>
        <w:rPr>
          <w:rFonts w:ascii="宋体" w:hAnsi="宋体" w:eastAsia="宋体" w:cs="宋体"/>
          <w:color w:val="auto"/>
          <w:spacing w:val="-1"/>
          <w:sz w:val="20"/>
          <w:szCs w:val="20"/>
          <w:lang w:eastAsia="zh-CN"/>
        </w:rPr>
        <w:t>备。</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"1.1.3.4" </w:instrText>
      </w:r>
      <w:r>
        <w:rPr>
          <w:color w:val="auto"/>
        </w:rPr>
        <w:fldChar w:fldCharType="separate"/>
      </w:r>
      <w:r>
        <w:rPr>
          <w:rFonts w:ascii="宋体" w:hAnsi="宋体" w:eastAsia="宋体" w:cs="宋体"/>
          <w:color w:val="auto"/>
          <w:spacing w:val="8"/>
          <w:sz w:val="20"/>
          <w:szCs w:val="20"/>
          <w:lang w:eastAsia="zh-CN"/>
        </w:rPr>
        <w:t>1.1.3.4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单位工程：指专用合同条款中指</w:t>
      </w:r>
      <w:r>
        <w:rPr>
          <w:rFonts w:ascii="宋体" w:hAnsi="宋体" w:eastAsia="宋体" w:cs="宋体"/>
          <w:color w:val="auto"/>
          <w:spacing w:val="7"/>
          <w:sz w:val="20"/>
          <w:szCs w:val="20"/>
          <w:lang w:eastAsia="zh-CN"/>
        </w:rPr>
        <w:t>明特定范围的永久工程。</w:t>
      </w:r>
    </w:p>
    <w:p>
      <w:pPr>
        <w:spacing w:before="154" w:line="298" w:lineRule="auto"/>
        <w:ind w:firstLine="437"/>
        <w:rPr>
          <w:rFonts w:ascii="宋体" w:hAnsi="宋体" w:eastAsia="宋体" w:cs="宋体"/>
          <w:color w:val="auto"/>
          <w:sz w:val="20"/>
          <w:szCs w:val="20"/>
          <w:lang w:eastAsia="zh-CN"/>
        </w:rPr>
      </w:pPr>
      <w:r>
        <w:rPr>
          <w:color w:val="auto"/>
        </w:rPr>
        <w:fldChar w:fldCharType="begin"/>
      </w:r>
      <w:r>
        <w:rPr>
          <w:color w:val="auto"/>
        </w:rPr>
        <w:instrText xml:space="preserve"> HYPERLINK "1.1.3.5" </w:instrText>
      </w:r>
      <w:r>
        <w:rPr>
          <w:color w:val="auto"/>
        </w:rPr>
        <w:fldChar w:fldCharType="separate"/>
      </w:r>
      <w:r>
        <w:rPr>
          <w:rFonts w:ascii="宋体" w:hAnsi="宋体" w:eastAsia="宋体" w:cs="宋体"/>
          <w:color w:val="auto"/>
          <w:spacing w:val="8"/>
          <w:sz w:val="20"/>
          <w:szCs w:val="20"/>
          <w:lang w:eastAsia="zh-CN"/>
        </w:rPr>
        <w:t>1.1.3.5</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工程设备：指构成或计划构成永久工程一部分的机电</w:t>
      </w:r>
      <w:r>
        <w:rPr>
          <w:rFonts w:ascii="宋体" w:hAnsi="宋体" w:eastAsia="宋体" w:cs="宋体"/>
          <w:color w:val="auto"/>
          <w:spacing w:val="7"/>
          <w:sz w:val="20"/>
          <w:szCs w:val="20"/>
          <w:lang w:eastAsia="zh-CN"/>
        </w:rPr>
        <w:t>设备、金属结构设备、仪器装</w:t>
      </w:r>
      <w:r>
        <w:rPr>
          <w:rFonts w:ascii="宋体" w:hAnsi="宋体" w:eastAsia="宋体" w:cs="宋体"/>
          <w:color w:val="auto"/>
          <w:spacing w:val="8"/>
          <w:sz w:val="20"/>
          <w:szCs w:val="20"/>
          <w:lang w:eastAsia="zh-CN"/>
        </w:rPr>
        <w:t>置及其他类似的设备和装置。</w:t>
      </w:r>
    </w:p>
    <w:p>
      <w:pPr>
        <w:spacing w:before="155" w:line="298" w:lineRule="auto"/>
        <w:ind w:left="11" w:firstLine="425"/>
        <w:rPr>
          <w:rFonts w:ascii="宋体" w:hAnsi="宋体" w:eastAsia="宋体" w:cs="宋体"/>
          <w:color w:val="auto"/>
          <w:sz w:val="20"/>
          <w:szCs w:val="20"/>
          <w:lang w:eastAsia="zh-CN"/>
        </w:rPr>
      </w:pPr>
      <w:r>
        <w:rPr>
          <w:color w:val="auto"/>
        </w:rPr>
        <w:fldChar w:fldCharType="begin"/>
      </w:r>
      <w:r>
        <w:rPr>
          <w:color w:val="auto"/>
        </w:rPr>
        <w:instrText xml:space="preserve"> HYPERLINK "1.1.3.6" </w:instrText>
      </w:r>
      <w:r>
        <w:rPr>
          <w:color w:val="auto"/>
        </w:rPr>
        <w:fldChar w:fldCharType="separate"/>
      </w:r>
      <w:r>
        <w:rPr>
          <w:rFonts w:ascii="宋体" w:hAnsi="宋体" w:eastAsia="宋体" w:cs="宋体"/>
          <w:color w:val="auto"/>
          <w:spacing w:val="8"/>
          <w:sz w:val="20"/>
          <w:szCs w:val="20"/>
          <w:lang w:eastAsia="zh-CN"/>
        </w:rPr>
        <w:t>1.1.3.6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施工设备：指为完成合同约定的各项工作所需的设备</w:t>
      </w:r>
      <w:r>
        <w:rPr>
          <w:rFonts w:ascii="宋体" w:hAnsi="宋体" w:eastAsia="宋体" w:cs="宋体"/>
          <w:color w:val="auto"/>
          <w:spacing w:val="7"/>
          <w:sz w:val="20"/>
          <w:szCs w:val="20"/>
          <w:lang w:eastAsia="zh-CN"/>
        </w:rPr>
        <w:t>、器具和其他物品，不包括临</w:t>
      </w:r>
      <w:r>
        <w:rPr>
          <w:rFonts w:ascii="宋体" w:hAnsi="宋体" w:eastAsia="宋体" w:cs="宋体"/>
          <w:color w:val="auto"/>
          <w:spacing w:val="5"/>
          <w:sz w:val="20"/>
          <w:szCs w:val="20"/>
          <w:lang w:eastAsia="zh-CN"/>
        </w:rPr>
        <w:t>时工程和材料。</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"1.1.3.7" </w:instrText>
      </w:r>
      <w:r>
        <w:rPr>
          <w:color w:val="auto"/>
        </w:rPr>
        <w:fldChar w:fldCharType="separate"/>
      </w:r>
      <w:r>
        <w:rPr>
          <w:rFonts w:ascii="宋体" w:hAnsi="宋体" w:eastAsia="宋体" w:cs="宋体"/>
          <w:color w:val="auto"/>
          <w:spacing w:val="8"/>
          <w:sz w:val="20"/>
          <w:szCs w:val="20"/>
          <w:lang w:eastAsia="zh-CN"/>
        </w:rPr>
        <w:t>1.1.3.7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临时设施：指为完成合同约定的各项工作所服务的临时性生产和生活设施。</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"1.1.3.8" </w:instrText>
      </w:r>
      <w:r>
        <w:rPr>
          <w:color w:val="auto"/>
        </w:rPr>
        <w:fldChar w:fldCharType="separate"/>
      </w:r>
      <w:r>
        <w:rPr>
          <w:rFonts w:ascii="宋体" w:hAnsi="宋体" w:eastAsia="宋体" w:cs="宋体"/>
          <w:color w:val="auto"/>
          <w:spacing w:val="7"/>
          <w:sz w:val="20"/>
          <w:szCs w:val="20"/>
          <w:lang w:eastAsia="zh-CN"/>
        </w:rPr>
        <w:t>1.1.3.8</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承包人设备：指承包人自带的施工设备。</w:t>
      </w:r>
    </w:p>
    <w:p>
      <w:pPr>
        <w:spacing w:before="153" w:line="298" w:lineRule="auto"/>
        <w:ind w:left="4" w:firstLine="432"/>
        <w:rPr>
          <w:rFonts w:ascii="宋体" w:hAnsi="宋体" w:eastAsia="宋体" w:cs="宋体"/>
          <w:color w:val="auto"/>
          <w:sz w:val="20"/>
          <w:szCs w:val="20"/>
          <w:lang w:eastAsia="zh-CN"/>
        </w:rPr>
      </w:pPr>
      <w:r>
        <w:rPr>
          <w:color w:val="auto"/>
        </w:rPr>
        <w:fldChar w:fldCharType="begin"/>
      </w:r>
      <w:r>
        <w:rPr>
          <w:color w:val="auto"/>
        </w:rPr>
        <w:instrText xml:space="preserve"> HYPERLINK "1.1.3.9" </w:instrText>
      </w:r>
      <w:r>
        <w:rPr>
          <w:color w:val="auto"/>
        </w:rPr>
        <w:fldChar w:fldCharType="separate"/>
      </w:r>
      <w:r>
        <w:rPr>
          <w:rFonts w:ascii="宋体" w:hAnsi="宋体" w:eastAsia="宋体" w:cs="宋体"/>
          <w:color w:val="auto"/>
          <w:spacing w:val="8"/>
          <w:sz w:val="20"/>
          <w:szCs w:val="20"/>
          <w:lang w:eastAsia="zh-CN"/>
        </w:rPr>
        <w:t>1.1.3.9</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施工场地（或称工地、现场</w:t>
      </w:r>
      <w:r>
        <w:rPr>
          <w:rFonts w:ascii="宋体" w:hAnsi="宋体" w:eastAsia="宋体" w:cs="宋体"/>
          <w:color w:val="auto"/>
          <w:spacing w:val="9"/>
          <w:sz w:val="20"/>
          <w:szCs w:val="20"/>
          <w:lang w:eastAsia="zh-CN"/>
        </w:rPr>
        <w:t>）：</w:t>
      </w:r>
      <w:r>
        <w:rPr>
          <w:rFonts w:ascii="宋体" w:hAnsi="宋体" w:eastAsia="宋体" w:cs="宋体"/>
          <w:color w:val="auto"/>
          <w:spacing w:val="8"/>
          <w:sz w:val="20"/>
          <w:szCs w:val="20"/>
          <w:lang w:eastAsia="zh-CN"/>
        </w:rPr>
        <w:t>指用于合同工程</w:t>
      </w:r>
      <w:r>
        <w:rPr>
          <w:rFonts w:ascii="宋体" w:hAnsi="宋体" w:eastAsia="宋体" w:cs="宋体"/>
          <w:color w:val="auto"/>
          <w:spacing w:val="7"/>
          <w:sz w:val="20"/>
          <w:szCs w:val="20"/>
          <w:lang w:eastAsia="zh-CN"/>
        </w:rPr>
        <w:t>施工的场所，以及在合同中指定作</w:t>
      </w:r>
      <w:r>
        <w:rPr>
          <w:rFonts w:ascii="宋体" w:hAnsi="宋体" w:eastAsia="宋体" w:cs="宋体"/>
          <w:color w:val="auto"/>
          <w:spacing w:val="9"/>
          <w:sz w:val="20"/>
          <w:szCs w:val="20"/>
          <w:lang w:eastAsia="zh-CN"/>
        </w:rPr>
        <w:t>为施工场地组成部分的其他场所，包括永久占地和临时占地。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"1.1.3.10" </w:instrText>
      </w:r>
      <w:r>
        <w:rPr>
          <w:color w:val="auto"/>
        </w:rPr>
        <w:fldChar w:fldCharType="separate"/>
      </w:r>
      <w:r>
        <w:rPr>
          <w:rFonts w:ascii="宋体" w:hAnsi="宋体" w:eastAsia="宋体" w:cs="宋体"/>
          <w:color w:val="auto"/>
          <w:spacing w:val="8"/>
          <w:sz w:val="20"/>
          <w:szCs w:val="20"/>
          <w:lang w:eastAsia="zh-CN"/>
        </w:rPr>
        <w:t>1.1.3.10</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永久占地：指专用合同条款中指明为实施合同工程需永久占用</w:t>
      </w:r>
      <w:r>
        <w:rPr>
          <w:rFonts w:ascii="宋体" w:hAnsi="宋体" w:eastAsia="宋体" w:cs="宋体"/>
          <w:color w:val="auto"/>
          <w:spacing w:val="7"/>
          <w:sz w:val="20"/>
          <w:szCs w:val="20"/>
          <w:lang w:eastAsia="zh-CN"/>
        </w:rPr>
        <w:t>的土地。</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"1.1.3.11" </w:instrText>
      </w:r>
      <w:r>
        <w:rPr>
          <w:color w:val="auto"/>
        </w:rPr>
        <w:fldChar w:fldCharType="separate"/>
      </w:r>
      <w:r>
        <w:rPr>
          <w:rFonts w:ascii="宋体" w:hAnsi="宋体" w:eastAsia="宋体" w:cs="宋体"/>
          <w:color w:val="auto"/>
          <w:spacing w:val="8"/>
          <w:sz w:val="20"/>
          <w:szCs w:val="20"/>
          <w:lang w:eastAsia="zh-CN"/>
        </w:rPr>
        <w:t>1.1.3.11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临时占地：指专用合同条款中指明为实施合同工程需临时占用</w:t>
      </w:r>
      <w:r>
        <w:rPr>
          <w:rFonts w:ascii="宋体" w:hAnsi="宋体" w:eastAsia="宋体" w:cs="宋体"/>
          <w:color w:val="auto"/>
          <w:spacing w:val="7"/>
          <w:sz w:val="20"/>
          <w:szCs w:val="20"/>
          <w:lang w:eastAsia="zh-CN"/>
        </w:rPr>
        <w:t>的土地。</w:t>
      </w:r>
    </w:p>
    <w:p>
      <w:pPr>
        <w:spacing w:before="152" w:line="228" w:lineRule="auto"/>
        <w:ind w:left="43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1.1.4日期</w:t>
      </w:r>
    </w:p>
    <w:p>
      <w:pPr>
        <w:spacing w:before="153"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"1.1.4.1" </w:instrText>
      </w:r>
      <w:r>
        <w:rPr>
          <w:color w:val="auto"/>
        </w:rPr>
        <w:fldChar w:fldCharType="separate"/>
      </w:r>
      <w:r>
        <w:rPr>
          <w:rFonts w:ascii="宋体" w:hAnsi="宋体" w:eastAsia="宋体" w:cs="宋体"/>
          <w:color w:val="auto"/>
          <w:spacing w:val="6"/>
          <w:sz w:val="20"/>
          <w:szCs w:val="20"/>
          <w:lang w:eastAsia="zh-CN"/>
        </w:rPr>
        <w:t>1.1.4.1</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开工通知：指监理人按第11.1款通知承包人开工的函件。</w:t>
      </w:r>
    </w:p>
    <w:p>
      <w:pPr>
        <w:spacing w:before="154"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"1.1.4.2" </w:instrText>
      </w:r>
      <w:r>
        <w:rPr>
          <w:color w:val="auto"/>
        </w:rPr>
        <w:fldChar w:fldCharType="separate"/>
      </w:r>
      <w:r>
        <w:rPr>
          <w:rFonts w:ascii="宋体" w:hAnsi="宋体" w:eastAsia="宋体" w:cs="宋体"/>
          <w:color w:val="auto"/>
          <w:spacing w:val="7"/>
          <w:sz w:val="20"/>
          <w:szCs w:val="20"/>
          <w:lang w:eastAsia="zh-CN"/>
        </w:rPr>
        <w:t>1.1.4.2</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开工日期：指监理人按第11.1款发出的开工通</w:t>
      </w:r>
      <w:r>
        <w:rPr>
          <w:rFonts w:ascii="宋体" w:hAnsi="宋体" w:eastAsia="宋体" w:cs="宋体"/>
          <w:color w:val="auto"/>
          <w:spacing w:val="6"/>
          <w:sz w:val="20"/>
          <w:szCs w:val="20"/>
          <w:lang w:eastAsia="zh-CN"/>
        </w:rPr>
        <w:t>知中写明的开工日期。</w:t>
      </w:r>
    </w:p>
    <w:p>
      <w:pPr>
        <w:spacing w:before="151" w:line="228" w:lineRule="auto"/>
        <w:jc w:val="right"/>
        <w:rPr>
          <w:rFonts w:ascii="宋体" w:hAnsi="宋体" w:eastAsia="宋体" w:cs="宋体"/>
          <w:color w:val="auto"/>
          <w:sz w:val="20"/>
          <w:szCs w:val="20"/>
          <w:lang w:eastAsia="zh-CN"/>
        </w:rPr>
      </w:pPr>
      <w:r>
        <w:rPr>
          <w:color w:val="auto"/>
        </w:rPr>
        <w:fldChar w:fldCharType="begin"/>
      </w:r>
      <w:r>
        <w:rPr>
          <w:color w:val="auto"/>
        </w:rPr>
        <w:instrText xml:space="preserve"> HYPERLINK "1.1.4.3" </w:instrText>
      </w:r>
      <w:r>
        <w:rPr>
          <w:color w:val="auto"/>
        </w:rPr>
        <w:fldChar w:fldCharType="separate"/>
      </w:r>
      <w:r>
        <w:rPr>
          <w:rFonts w:ascii="宋体" w:hAnsi="宋体" w:eastAsia="宋体" w:cs="宋体"/>
          <w:color w:val="auto"/>
          <w:spacing w:val="5"/>
          <w:sz w:val="20"/>
          <w:szCs w:val="20"/>
          <w:lang w:eastAsia="zh-CN"/>
        </w:rPr>
        <w:t>1.1.4.3</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工期：指承包人在投标函中承诺的完成合同工程所需的期限，包括按第11.3款、第</w:t>
      </w:r>
    </w:p>
    <w:p>
      <w:pPr>
        <w:spacing w:before="154" w:line="228" w:lineRule="auto"/>
        <w:ind w:left="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11.4款和第11.6款约定所作的变更。</w:t>
      </w:r>
    </w:p>
    <w:p>
      <w:pPr>
        <w:spacing w:before="154" w:line="298" w:lineRule="auto"/>
        <w:ind w:left="21" w:firstLine="415"/>
        <w:rPr>
          <w:rFonts w:ascii="宋体" w:hAnsi="宋体" w:eastAsia="宋体" w:cs="宋体"/>
          <w:color w:val="auto"/>
          <w:sz w:val="20"/>
          <w:szCs w:val="20"/>
          <w:lang w:eastAsia="zh-CN"/>
        </w:rPr>
      </w:pPr>
      <w:r>
        <w:rPr>
          <w:color w:val="auto"/>
        </w:rPr>
        <w:fldChar w:fldCharType="begin"/>
      </w:r>
      <w:r>
        <w:rPr>
          <w:color w:val="auto"/>
        </w:rPr>
        <w:instrText xml:space="preserve"> HYPERLINK "1.1.4.4" </w:instrText>
      </w:r>
      <w:r>
        <w:rPr>
          <w:color w:val="auto"/>
        </w:rPr>
        <w:fldChar w:fldCharType="separate"/>
      </w:r>
      <w:r>
        <w:rPr>
          <w:rFonts w:ascii="宋体" w:hAnsi="宋体" w:eastAsia="宋体" w:cs="宋体"/>
          <w:color w:val="auto"/>
          <w:spacing w:val="6"/>
          <w:sz w:val="20"/>
          <w:szCs w:val="20"/>
          <w:lang w:eastAsia="zh-CN"/>
        </w:rPr>
        <w:t>1.1.4.4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竣工日期：指第1.1.4</w:t>
      </w:r>
      <w:r>
        <w:rPr>
          <w:rFonts w:ascii="宋体" w:hAnsi="宋体" w:eastAsia="宋体" w:cs="宋体"/>
          <w:color w:val="auto"/>
          <w:spacing w:val="5"/>
          <w:sz w:val="20"/>
          <w:szCs w:val="20"/>
          <w:lang w:eastAsia="zh-CN"/>
        </w:rPr>
        <w:t>.3 目约定工期届满时的日期。实际竣工日期以工程接收证书中写明的日期为准。</w:t>
      </w:r>
    </w:p>
    <w:p>
      <w:pPr>
        <w:spacing w:before="154" w:line="299" w:lineRule="auto"/>
        <w:ind w:left="6" w:firstLine="430"/>
        <w:rPr>
          <w:rFonts w:ascii="宋体" w:hAnsi="宋体" w:eastAsia="宋体" w:cs="宋体"/>
          <w:color w:val="auto"/>
          <w:sz w:val="20"/>
          <w:szCs w:val="20"/>
          <w:lang w:eastAsia="zh-CN"/>
        </w:rPr>
      </w:pPr>
      <w:r>
        <w:rPr>
          <w:color w:val="auto"/>
        </w:rPr>
        <w:fldChar w:fldCharType="begin"/>
      </w:r>
      <w:r>
        <w:rPr>
          <w:color w:val="auto"/>
        </w:rPr>
        <w:instrText xml:space="preserve"> HYPERLINK "1.1.4.5" </w:instrText>
      </w:r>
      <w:r>
        <w:rPr>
          <w:color w:val="auto"/>
        </w:rPr>
        <w:fldChar w:fldCharType="separate"/>
      </w:r>
      <w:r>
        <w:rPr>
          <w:rFonts w:ascii="宋体" w:hAnsi="宋体" w:eastAsia="宋体" w:cs="宋体"/>
          <w:color w:val="auto"/>
          <w:spacing w:val="9"/>
          <w:sz w:val="20"/>
          <w:szCs w:val="20"/>
          <w:lang w:eastAsia="zh-CN"/>
        </w:rPr>
        <w:t>1.1.4.5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 xml:space="preserve"> 缺陷责任期：指履行第19.2款约定的缺陷责任的期限，具</w:t>
      </w:r>
      <w:r>
        <w:rPr>
          <w:rFonts w:ascii="宋体" w:hAnsi="宋体" w:eastAsia="宋体" w:cs="宋体"/>
          <w:color w:val="auto"/>
          <w:spacing w:val="8"/>
          <w:sz w:val="20"/>
          <w:szCs w:val="20"/>
          <w:lang w:eastAsia="zh-CN"/>
        </w:rPr>
        <w:t>体期限由专用合同条款</w:t>
      </w:r>
      <w:r>
        <w:rPr>
          <w:rFonts w:ascii="宋体" w:hAnsi="宋体" w:eastAsia="宋体" w:cs="宋体"/>
          <w:color w:val="auto"/>
          <w:spacing w:val="6"/>
          <w:sz w:val="20"/>
          <w:szCs w:val="20"/>
          <w:lang w:eastAsia="zh-CN"/>
        </w:rPr>
        <w:t>约定，包括根据第19.3款约定所作的延长。</w:t>
      </w:r>
    </w:p>
    <w:p>
      <w:pPr>
        <w:spacing w:before="152" w:line="228" w:lineRule="auto"/>
        <w:ind w:left="437"/>
        <w:rPr>
          <w:rFonts w:ascii="宋体" w:hAnsi="宋体" w:eastAsia="宋体" w:cs="宋体"/>
          <w:color w:val="auto"/>
          <w:sz w:val="20"/>
          <w:szCs w:val="20"/>
          <w:lang w:eastAsia="zh-CN"/>
        </w:rPr>
      </w:pPr>
      <w:r>
        <w:rPr>
          <w:color w:val="auto"/>
        </w:rPr>
        <w:fldChar w:fldCharType="begin"/>
      </w:r>
      <w:r>
        <w:rPr>
          <w:color w:val="auto"/>
        </w:rPr>
        <w:instrText xml:space="preserve"> HYPERLINK "1.1.4.6" </w:instrText>
      </w:r>
      <w:r>
        <w:rPr>
          <w:color w:val="auto"/>
        </w:rPr>
        <w:fldChar w:fldCharType="separate"/>
      </w:r>
      <w:r>
        <w:rPr>
          <w:rFonts w:ascii="宋体" w:hAnsi="宋体" w:eastAsia="宋体" w:cs="宋体"/>
          <w:color w:val="auto"/>
          <w:spacing w:val="6"/>
          <w:sz w:val="20"/>
          <w:szCs w:val="20"/>
          <w:lang w:eastAsia="zh-CN"/>
        </w:rPr>
        <w:t>1.1.4.6</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基准日期：指投标截止时间前28天的日期。</w:t>
      </w:r>
    </w:p>
    <w:p>
      <w:pPr>
        <w:spacing w:before="153" w:line="299" w:lineRule="auto"/>
        <w:ind w:left="2" w:firstLine="434"/>
        <w:rPr>
          <w:rFonts w:ascii="宋体" w:hAnsi="宋体" w:eastAsia="宋体" w:cs="宋体"/>
          <w:color w:val="auto"/>
          <w:sz w:val="20"/>
          <w:szCs w:val="20"/>
          <w:lang w:eastAsia="zh-CN"/>
        </w:rPr>
      </w:pPr>
      <w:r>
        <w:rPr>
          <w:color w:val="auto"/>
        </w:rPr>
        <w:fldChar w:fldCharType="begin"/>
      </w:r>
      <w:r>
        <w:rPr>
          <w:color w:val="auto"/>
        </w:rPr>
        <w:instrText xml:space="preserve"> HYPERLINK "1.1.4.7" </w:instrText>
      </w:r>
      <w:r>
        <w:rPr>
          <w:color w:val="auto"/>
        </w:rPr>
        <w:fldChar w:fldCharType="separate"/>
      </w:r>
      <w:r>
        <w:rPr>
          <w:rFonts w:ascii="宋体" w:hAnsi="宋体" w:eastAsia="宋体" w:cs="宋体"/>
          <w:color w:val="auto"/>
          <w:spacing w:val="8"/>
          <w:sz w:val="20"/>
          <w:szCs w:val="20"/>
          <w:lang w:eastAsia="zh-CN"/>
        </w:rPr>
        <w:t>1.1.4.7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天：除特别指明外，指日历天。合同中按天计算时间</w:t>
      </w:r>
      <w:r>
        <w:rPr>
          <w:rFonts w:ascii="宋体" w:hAnsi="宋体" w:eastAsia="宋体" w:cs="宋体"/>
          <w:color w:val="auto"/>
          <w:spacing w:val="7"/>
          <w:sz w:val="20"/>
          <w:szCs w:val="20"/>
          <w:lang w:eastAsia="zh-CN"/>
        </w:rPr>
        <w:t>的，开始当天不计入，从次日开始计算。期限最后一天的截止时间为当天24:00。</w:t>
      </w:r>
    </w:p>
    <w:p>
      <w:pPr>
        <w:spacing w:before="152" w:line="226" w:lineRule="auto"/>
        <w:ind w:left="437"/>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1.1.5 合同价格和费用</w:t>
      </w:r>
    </w:p>
    <w:p>
      <w:pPr>
        <w:spacing w:before="155" w:line="299" w:lineRule="auto"/>
        <w:ind w:left="7" w:firstLine="429"/>
        <w:rPr>
          <w:rFonts w:ascii="宋体" w:hAnsi="宋体" w:eastAsia="宋体" w:cs="宋体"/>
          <w:color w:val="auto"/>
          <w:sz w:val="20"/>
          <w:szCs w:val="20"/>
          <w:lang w:eastAsia="zh-CN"/>
        </w:rPr>
      </w:pPr>
      <w:r>
        <w:rPr>
          <w:color w:val="auto"/>
        </w:rPr>
        <w:fldChar w:fldCharType="begin"/>
      </w:r>
      <w:r>
        <w:rPr>
          <w:color w:val="auto"/>
        </w:rPr>
        <w:instrText xml:space="preserve"> HYPERLINK "1.1.5.1" </w:instrText>
      </w:r>
      <w:r>
        <w:rPr>
          <w:color w:val="auto"/>
        </w:rPr>
        <w:fldChar w:fldCharType="separate"/>
      </w:r>
      <w:r>
        <w:rPr>
          <w:rFonts w:ascii="宋体" w:hAnsi="宋体" w:eastAsia="宋体" w:cs="宋体"/>
          <w:color w:val="auto"/>
          <w:spacing w:val="8"/>
          <w:sz w:val="20"/>
          <w:szCs w:val="20"/>
          <w:lang w:eastAsia="zh-CN"/>
        </w:rPr>
        <w:t>1.1.5.1</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签约合同价：指签</w:t>
      </w:r>
      <w:r>
        <w:rPr>
          <w:rFonts w:hint="eastAsia" w:ascii="宋体" w:hAnsi="宋体" w:eastAsia="宋体" w:cs="宋体"/>
          <w:color w:val="auto"/>
          <w:spacing w:val="8"/>
          <w:sz w:val="20"/>
          <w:szCs w:val="20"/>
          <w:lang w:eastAsia="zh-CN"/>
        </w:rPr>
        <w:t>订</w:t>
      </w:r>
      <w:r>
        <w:rPr>
          <w:rFonts w:ascii="宋体" w:hAnsi="宋体" w:eastAsia="宋体" w:cs="宋体"/>
          <w:color w:val="auto"/>
          <w:spacing w:val="8"/>
          <w:sz w:val="20"/>
          <w:szCs w:val="20"/>
          <w:lang w:eastAsia="zh-CN"/>
        </w:rPr>
        <w:t>合同时合同协议书中写明的，包</w:t>
      </w:r>
      <w:r>
        <w:rPr>
          <w:rFonts w:ascii="宋体" w:hAnsi="宋体" w:eastAsia="宋体" w:cs="宋体"/>
          <w:color w:val="auto"/>
          <w:spacing w:val="7"/>
          <w:sz w:val="20"/>
          <w:szCs w:val="20"/>
          <w:lang w:eastAsia="zh-CN"/>
        </w:rPr>
        <w:t>括了暂列金额、暂估价的合同</w:t>
      </w:r>
      <w:r>
        <w:rPr>
          <w:rFonts w:ascii="宋体" w:hAnsi="宋体" w:eastAsia="宋体" w:cs="宋体"/>
          <w:color w:val="auto"/>
          <w:spacing w:val="3"/>
          <w:sz w:val="20"/>
          <w:szCs w:val="20"/>
          <w:lang w:eastAsia="zh-CN"/>
        </w:rPr>
        <w:t>总金额。</w:t>
      </w:r>
    </w:p>
    <w:p>
      <w:pPr>
        <w:spacing w:line="299" w:lineRule="auto"/>
        <w:rPr>
          <w:rFonts w:ascii="宋体" w:hAnsi="宋体" w:eastAsia="宋体" w:cs="宋体"/>
          <w:color w:val="auto"/>
          <w:sz w:val="20"/>
          <w:szCs w:val="20"/>
          <w:lang w:eastAsia="zh-CN"/>
        </w:rPr>
        <w:sectPr>
          <w:footerReference r:id="rId45" w:type="default"/>
          <w:pgSz w:w="11906" w:h="16839"/>
          <w:pgMar w:top="1431" w:right="1532" w:bottom="1468" w:left="1595"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2" w:right="70" w:firstLine="433"/>
        <w:rPr>
          <w:rFonts w:ascii="宋体" w:hAnsi="宋体" w:eastAsia="宋体" w:cs="宋体"/>
          <w:color w:val="auto"/>
          <w:sz w:val="20"/>
          <w:szCs w:val="20"/>
          <w:lang w:eastAsia="zh-CN"/>
        </w:rPr>
      </w:pPr>
      <w:r>
        <w:rPr>
          <w:color w:val="auto"/>
        </w:rPr>
        <w:fldChar w:fldCharType="begin"/>
      </w:r>
      <w:r>
        <w:rPr>
          <w:color w:val="auto"/>
        </w:rPr>
        <w:instrText xml:space="preserve"> HYPERLINK "1.1.5.2" </w:instrText>
      </w:r>
      <w:r>
        <w:rPr>
          <w:color w:val="auto"/>
        </w:rPr>
        <w:fldChar w:fldCharType="separate"/>
      </w:r>
      <w:r>
        <w:rPr>
          <w:rFonts w:ascii="宋体" w:hAnsi="宋体" w:eastAsia="宋体" w:cs="宋体"/>
          <w:color w:val="auto"/>
          <w:spacing w:val="8"/>
          <w:sz w:val="20"/>
          <w:szCs w:val="20"/>
          <w:lang w:eastAsia="zh-CN"/>
        </w:rPr>
        <w:t>1.1.5.2</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合同价格：指承包人按合同约定完成了包括缺陷责任</w:t>
      </w:r>
      <w:r>
        <w:rPr>
          <w:rFonts w:ascii="宋体" w:hAnsi="宋体" w:eastAsia="宋体" w:cs="宋体"/>
          <w:color w:val="auto"/>
          <w:spacing w:val="7"/>
          <w:sz w:val="20"/>
          <w:szCs w:val="20"/>
          <w:lang w:eastAsia="zh-CN"/>
        </w:rPr>
        <w:t>期内的全部承包工作后，发包</w:t>
      </w:r>
      <w:r>
        <w:rPr>
          <w:rFonts w:ascii="宋体" w:hAnsi="宋体" w:eastAsia="宋体" w:cs="宋体"/>
          <w:color w:val="auto"/>
          <w:spacing w:val="9"/>
          <w:sz w:val="20"/>
          <w:szCs w:val="20"/>
          <w:lang w:eastAsia="zh-CN"/>
        </w:rPr>
        <w:t>人应付给承包人的金额，包括在履行合同过程中按合同约定进行的变更和调整。</w:t>
      </w:r>
    </w:p>
    <w:p>
      <w:pPr>
        <w:spacing w:before="154" w:line="298" w:lineRule="auto"/>
        <w:ind w:left="1" w:right="70" w:firstLine="434"/>
        <w:rPr>
          <w:rFonts w:ascii="宋体" w:hAnsi="宋体" w:eastAsia="宋体" w:cs="宋体"/>
          <w:color w:val="auto"/>
          <w:sz w:val="20"/>
          <w:szCs w:val="20"/>
          <w:lang w:eastAsia="zh-CN"/>
        </w:rPr>
      </w:pPr>
      <w:r>
        <w:rPr>
          <w:color w:val="auto"/>
        </w:rPr>
        <w:fldChar w:fldCharType="begin"/>
      </w:r>
      <w:r>
        <w:rPr>
          <w:color w:val="auto"/>
        </w:rPr>
        <w:instrText xml:space="preserve"> HYPERLINK "1.1.5.3" </w:instrText>
      </w:r>
      <w:r>
        <w:rPr>
          <w:color w:val="auto"/>
        </w:rPr>
        <w:fldChar w:fldCharType="separate"/>
      </w:r>
      <w:r>
        <w:rPr>
          <w:rFonts w:ascii="宋体" w:hAnsi="宋体" w:eastAsia="宋体" w:cs="宋体"/>
          <w:color w:val="auto"/>
          <w:spacing w:val="8"/>
          <w:sz w:val="20"/>
          <w:szCs w:val="20"/>
          <w:lang w:eastAsia="zh-CN"/>
        </w:rPr>
        <w:t>1.1.5.3</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费用：指为履行合同所发生的或将要发生的所有合理</w:t>
      </w:r>
      <w:r>
        <w:rPr>
          <w:rFonts w:ascii="宋体" w:hAnsi="宋体" w:eastAsia="宋体" w:cs="宋体"/>
          <w:color w:val="auto"/>
          <w:spacing w:val="7"/>
          <w:sz w:val="20"/>
          <w:szCs w:val="20"/>
          <w:lang w:eastAsia="zh-CN"/>
        </w:rPr>
        <w:t>开支，包括管理费和应分摊的</w:t>
      </w:r>
      <w:r>
        <w:rPr>
          <w:rFonts w:ascii="宋体" w:hAnsi="宋体" w:eastAsia="宋体" w:cs="宋体"/>
          <w:color w:val="auto"/>
          <w:spacing w:val="8"/>
          <w:sz w:val="20"/>
          <w:szCs w:val="20"/>
          <w:lang w:eastAsia="zh-CN"/>
        </w:rPr>
        <w:t>其他费用，但不包括利润。</w:t>
      </w:r>
    </w:p>
    <w:p>
      <w:pPr>
        <w:spacing w:before="154" w:line="298" w:lineRule="auto"/>
        <w:ind w:left="3" w:firstLine="432"/>
        <w:rPr>
          <w:rFonts w:ascii="宋体" w:hAnsi="宋体" w:eastAsia="宋体" w:cs="宋体"/>
          <w:color w:val="auto"/>
          <w:sz w:val="20"/>
          <w:szCs w:val="20"/>
          <w:lang w:eastAsia="zh-CN"/>
        </w:rPr>
      </w:pPr>
      <w:r>
        <w:rPr>
          <w:color w:val="auto"/>
        </w:rPr>
        <w:fldChar w:fldCharType="begin"/>
      </w:r>
      <w:r>
        <w:rPr>
          <w:color w:val="auto"/>
        </w:rPr>
        <w:instrText xml:space="preserve"> HYPERLINK "1.1.5.4" </w:instrText>
      </w:r>
      <w:r>
        <w:rPr>
          <w:color w:val="auto"/>
        </w:rPr>
        <w:fldChar w:fldCharType="separate"/>
      </w:r>
      <w:r>
        <w:rPr>
          <w:rFonts w:ascii="宋体" w:hAnsi="宋体" w:eastAsia="宋体" w:cs="宋体"/>
          <w:color w:val="auto"/>
          <w:spacing w:val="8"/>
          <w:sz w:val="20"/>
          <w:szCs w:val="20"/>
          <w:lang w:eastAsia="zh-CN"/>
        </w:rPr>
        <w:t>1.1.5.4</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暂列金额：指已标价工程量清单中所列的暂列金额，</w:t>
      </w:r>
      <w:r>
        <w:rPr>
          <w:rFonts w:ascii="宋体" w:hAnsi="宋体" w:eastAsia="宋体" w:cs="宋体"/>
          <w:color w:val="auto"/>
          <w:spacing w:val="7"/>
          <w:sz w:val="20"/>
          <w:szCs w:val="20"/>
          <w:lang w:eastAsia="zh-CN"/>
        </w:rPr>
        <w:t>用于在签订协议书时尚未确定</w:t>
      </w:r>
      <w:r>
        <w:rPr>
          <w:rFonts w:ascii="宋体" w:hAnsi="宋体" w:eastAsia="宋体" w:cs="宋体"/>
          <w:color w:val="auto"/>
          <w:spacing w:val="6"/>
          <w:sz w:val="20"/>
          <w:szCs w:val="20"/>
          <w:lang w:eastAsia="zh-CN"/>
        </w:rPr>
        <w:t>或不可预见变更的施工及其所需材料、工程设备、服务等的金额</w:t>
      </w:r>
      <w:r>
        <w:rPr>
          <w:rFonts w:ascii="宋体" w:hAnsi="宋体" w:eastAsia="宋体" w:cs="宋体"/>
          <w:color w:val="auto"/>
          <w:spacing w:val="5"/>
          <w:sz w:val="20"/>
          <w:szCs w:val="20"/>
          <w:lang w:eastAsia="zh-CN"/>
        </w:rPr>
        <w:t>，包括以计日工方式支付的金额。</w:t>
      </w:r>
    </w:p>
    <w:p>
      <w:pPr>
        <w:spacing w:before="153" w:line="298" w:lineRule="auto"/>
        <w:ind w:right="71" w:firstLine="435"/>
        <w:rPr>
          <w:rFonts w:ascii="宋体" w:hAnsi="宋体" w:eastAsia="宋体" w:cs="宋体"/>
          <w:color w:val="auto"/>
          <w:sz w:val="20"/>
          <w:szCs w:val="20"/>
          <w:lang w:eastAsia="zh-CN"/>
        </w:rPr>
      </w:pPr>
      <w:r>
        <w:rPr>
          <w:color w:val="auto"/>
        </w:rPr>
        <w:fldChar w:fldCharType="begin"/>
      </w:r>
      <w:r>
        <w:rPr>
          <w:color w:val="auto"/>
        </w:rPr>
        <w:instrText xml:space="preserve"> HYPERLINK "1.1.5.5" </w:instrText>
      </w:r>
      <w:r>
        <w:rPr>
          <w:color w:val="auto"/>
        </w:rPr>
        <w:fldChar w:fldCharType="separate"/>
      </w:r>
      <w:r>
        <w:rPr>
          <w:rFonts w:ascii="宋体" w:hAnsi="宋体" w:eastAsia="宋体" w:cs="宋体"/>
          <w:color w:val="auto"/>
          <w:spacing w:val="9"/>
          <w:sz w:val="20"/>
          <w:szCs w:val="20"/>
          <w:lang w:eastAsia="zh-CN"/>
        </w:rPr>
        <w:t>1.1.5.5</w:t>
      </w:r>
      <w:r>
        <w:rPr>
          <w:rFonts w:ascii="宋体" w:hAnsi="宋体" w:eastAsia="宋体" w:cs="宋体"/>
          <w:color w:val="auto"/>
          <w:spacing w:val="9"/>
          <w:sz w:val="20"/>
          <w:szCs w:val="20"/>
          <w:lang w:eastAsia="zh-CN"/>
        </w:rPr>
        <w:fldChar w:fldCharType="end"/>
      </w:r>
      <w:r>
        <w:rPr>
          <w:rFonts w:ascii="宋体" w:hAnsi="宋体" w:eastAsia="宋体" w:cs="宋体"/>
          <w:color w:val="auto"/>
          <w:spacing w:val="9"/>
          <w:sz w:val="20"/>
          <w:szCs w:val="20"/>
          <w:lang w:eastAsia="zh-CN"/>
        </w:rPr>
        <w:t>暂估价：指发包人在工程量清单中给定的用于支付</w:t>
      </w:r>
      <w:r>
        <w:rPr>
          <w:rFonts w:ascii="宋体" w:hAnsi="宋体" w:eastAsia="宋体" w:cs="宋体"/>
          <w:color w:val="auto"/>
          <w:spacing w:val="8"/>
          <w:sz w:val="20"/>
          <w:szCs w:val="20"/>
          <w:lang w:eastAsia="zh-CN"/>
        </w:rPr>
        <w:t>必然发生但暂时不能确定价格的材料、设备以及专业工程的金额。</w:t>
      </w:r>
    </w:p>
    <w:p>
      <w:pPr>
        <w:spacing w:before="154" w:line="298"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"1.1.5.6" </w:instrText>
      </w:r>
      <w:r>
        <w:rPr>
          <w:color w:val="auto"/>
        </w:rPr>
        <w:fldChar w:fldCharType="separate"/>
      </w:r>
      <w:r>
        <w:rPr>
          <w:rFonts w:ascii="宋体" w:hAnsi="宋体" w:eastAsia="宋体" w:cs="宋体"/>
          <w:color w:val="auto"/>
          <w:spacing w:val="8"/>
          <w:sz w:val="20"/>
          <w:szCs w:val="20"/>
          <w:lang w:eastAsia="zh-CN"/>
        </w:rPr>
        <w:t>1.1.5.6</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计日工：指对零星工作采取的一种计价方式，按合同</w:t>
      </w:r>
      <w:r>
        <w:rPr>
          <w:rFonts w:ascii="宋体" w:hAnsi="宋体" w:eastAsia="宋体" w:cs="宋体"/>
          <w:color w:val="auto"/>
          <w:spacing w:val="7"/>
          <w:sz w:val="20"/>
          <w:szCs w:val="20"/>
          <w:lang w:eastAsia="zh-CN"/>
        </w:rPr>
        <w:t>中的计日工子目及其单价计价</w:t>
      </w:r>
      <w:r>
        <w:rPr>
          <w:rFonts w:ascii="宋体" w:hAnsi="宋体" w:eastAsia="宋体" w:cs="宋体"/>
          <w:color w:val="auto"/>
          <w:spacing w:val="3"/>
          <w:sz w:val="20"/>
          <w:szCs w:val="20"/>
          <w:lang w:eastAsia="zh-CN"/>
        </w:rPr>
        <w:t>付款。</w:t>
      </w:r>
    </w:p>
    <w:p>
      <w:pPr>
        <w:spacing w:before="153" w:line="299" w:lineRule="auto"/>
        <w:ind w:right="70" w:firstLine="435"/>
        <w:rPr>
          <w:rFonts w:ascii="宋体" w:hAnsi="宋体" w:eastAsia="宋体" w:cs="宋体"/>
          <w:color w:val="auto"/>
          <w:sz w:val="20"/>
          <w:szCs w:val="20"/>
          <w:lang w:eastAsia="zh-CN"/>
        </w:rPr>
      </w:pPr>
      <w:r>
        <w:rPr>
          <w:color w:val="auto"/>
        </w:rPr>
        <w:fldChar w:fldCharType="begin"/>
      </w:r>
      <w:r>
        <w:rPr>
          <w:color w:val="auto"/>
        </w:rPr>
        <w:instrText xml:space="preserve"> HYPERLINK "1.1.5.7" </w:instrText>
      </w:r>
      <w:r>
        <w:rPr>
          <w:color w:val="auto"/>
        </w:rPr>
        <w:fldChar w:fldCharType="separate"/>
      </w:r>
      <w:r>
        <w:rPr>
          <w:rFonts w:ascii="宋体" w:hAnsi="宋体" w:eastAsia="宋体" w:cs="宋体"/>
          <w:color w:val="auto"/>
          <w:spacing w:val="8"/>
          <w:sz w:val="20"/>
          <w:szCs w:val="20"/>
          <w:lang w:eastAsia="zh-CN"/>
        </w:rPr>
        <w:t>1.1.5.7</w:t>
      </w:r>
      <w:r>
        <w:rPr>
          <w:rFonts w:ascii="宋体" w:hAnsi="宋体" w:eastAsia="宋体" w:cs="宋体"/>
          <w:color w:val="auto"/>
          <w:spacing w:val="8"/>
          <w:sz w:val="20"/>
          <w:szCs w:val="20"/>
          <w:lang w:eastAsia="zh-CN"/>
        </w:rPr>
        <w:fldChar w:fldCharType="end"/>
      </w:r>
      <w:r>
        <w:rPr>
          <w:rFonts w:ascii="宋体" w:hAnsi="宋体" w:eastAsia="宋体" w:cs="宋体"/>
          <w:color w:val="auto"/>
          <w:spacing w:val="8"/>
          <w:sz w:val="20"/>
          <w:szCs w:val="20"/>
          <w:lang w:eastAsia="zh-CN"/>
        </w:rPr>
        <w:t xml:space="preserve"> 质量保证金（或称保留金</w:t>
      </w:r>
      <w:r>
        <w:rPr>
          <w:rFonts w:ascii="宋体" w:hAnsi="宋体" w:eastAsia="宋体" w:cs="宋体"/>
          <w:color w:val="auto"/>
          <w:spacing w:val="-1"/>
          <w:sz w:val="20"/>
          <w:szCs w:val="20"/>
          <w:lang w:eastAsia="zh-CN"/>
        </w:rPr>
        <w:t>）：</w:t>
      </w:r>
      <w:r>
        <w:rPr>
          <w:rFonts w:ascii="宋体" w:hAnsi="宋体" w:eastAsia="宋体" w:cs="宋体"/>
          <w:color w:val="auto"/>
          <w:spacing w:val="8"/>
          <w:sz w:val="20"/>
          <w:szCs w:val="20"/>
          <w:lang w:eastAsia="zh-CN"/>
        </w:rPr>
        <w:t>指按第17.4.1项约定用于保证在缺陷责任期内履行缺陷修复义务的金额。</w:t>
      </w:r>
    </w:p>
    <w:p>
      <w:pPr>
        <w:spacing w:before="152" w:line="228" w:lineRule="auto"/>
        <w:ind w:left="436"/>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1.1.6其他</w:t>
      </w:r>
    </w:p>
    <w:p>
      <w:pPr>
        <w:spacing w:before="154" w:line="227"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"1.1.6.1" </w:instrText>
      </w:r>
      <w:r>
        <w:rPr>
          <w:color w:val="auto"/>
        </w:rPr>
        <w:fldChar w:fldCharType="separate"/>
      </w:r>
      <w:r>
        <w:rPr>
          <w:rFonts w:ascii="宋体" w:hAnsi="宋体" w:eastAsia="宋体" w:cs="宋体"/>
          <w:color w:val="auto"/>
          <w:spacing w:val="7"/>
          <w:sz w:val="20"/>
          <w:szCs w:val="20"/>
          <w:lang w:eastAsia="zh-CN"/>
        </w:rPr>
        <w:t>1.1.6.1</w:t>
      </w:r>
      <w:r>
        <w:rPr>
          <w:rFonts w:ascii="宋体" w:hAnsi="宋体" w:eastAsia="宋体" w:cs="宋体"/>
          <w:color w:val="auto"/>
          <w:spacing w:val="7"/>
          <w:sz w:val="20"/>
          <w:szCs w:val="20"/>
          <w:lang w:eastAsia="zh-CN"/>
        </w:rPr>
        <w:fldChar w:fldCharType="end"/>
      </w:r>
      <w:r>
        <w:rPr>
          <w:rFonts w:ascii="宋体" w:hAnsi="宋体" w:eastAsia="宋体" w:cs="宋体"/>
          <w:color w:val="auto"/>
          <w:spacing w:val="7"/>
          <w:sz w:val="20"/>
          <w:szCs w:val="20"/>
          <w:lang w:eastAsia="zh-CN"/>
        </w:rPr>
        <w:t xml:space="preserve"> 书面形式：指合同文件、信函、电报、传真等可以有形地表现所载内容的形式。</w:t>
      </w:r>
    </w:p>
    <w:p>
      <w:pPr>
        <w:spacing w:before="249" w:line="222" w:lineRule="auto"/>
        <w:ind w:left="17"/>
        <w:outlineLvl w:val="2"/>
        <w:rPr>
          <w:rFonts w:ascii="黑体" w:hAnsi="黑体" w:eastAsia="黑体" w:cs="黑体"/>
          <w:color w:val="auto"/>
          <w:sz w:val="28"/>
          <w:szCs w:val="28"/>
          <w:lang w:eastAsia="zh-CN"/>
        </w:rPr>
      </w:pPr>
      <w:bookmarkStart w:id="179" w:name="bookmark182"/>
      <w:bookmarkEnd w:id="179"/>
      <w:bookmarkStart w:id="180" w:name="bookmark181"/>
      <w:bookmarkEnd w:id="180"/>
      <w:r>
        <w:rPr>
          <w:rFonts w:ascii="黑体" w:hAnsi="黑体" w:eastAsia="黑体" w:cs="黑体"/>
          <w:color w:val="auto"/>
          <w:spacing w:val="-4"/>
          <w:sz w:val="28"/>
          <w:szCs w:val="28"/>
          <w:lang w:eastAsia="zh-CN"/>
        </w:rPr>
        <w:t>1.2 语言文字</w:t>
      </w:r>
    </w:p>
    <w:p>
      <w:pPr>
        <w:spacing w:before="279" w:line="227"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除专用术语外，合同使用的语言文字为中文。必要时专用术语应附有中文注释。</w:t>
      </w:r>
    </w:p>
    <w:p>
      <w:pPr>
        <w:spacing w:before="252" w:line="223" w:lineRule="auto"/>
        <w:ind w:left="17"/>
        <w:outlineLvl w:val="2"/>
        <w:rPr>
          <w:rFonts w:ascii="黑体" w:hAnsi="黑体" w:eastAsia="黑体" w:cs="黑体"/>
          <w:color w:val="auto"/>
          <w:sz w:val="28"/>
          <w:szCs w:val="28"/>
          <w:lang w:eastAsia="zh-CN"/>
        </w:rPr>
      </w:pPr>
      <w:bookmarkStart w:id="181" w:name="bookmark184"/>
      <w:bookmarkEnd w:id="181"/>
      <w:bookmarkStart w:id="182" w:name="bookmark183"/>
      <w:bookmarkEnd w:id="182"/>
      <w:r>
        <w:rPr>
          <w:rFonts w:ascii="黑体" w:hAnsi="黑体" w:eastAsia="黑体" w:cs="黑体"/>
          <w:color w:val="auto"/>
          <w:spacing w:val="-8"/>
          <w:sz w:val="28"/>
          <w:szCs w:val="28"/>
          <w:lang w:eastAsia="zh-CN"/>
        </w:rPr>
        <w:t>1.3法律</w:t>
      </w:r>
    </w:p>
    <w:p>
      <w:pPr>
        <w:spacing w:before="277" w:line="353" w:lineRule="auto"/>
        <w:ind w:left="1" w:right="70"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适用于合同的法律包括中华人民共和国法律、行政法规、部门规章，以及工程</w:t>
      </w:r>
      <w:r>
        <w:rPr>
          <w:rFonts w:ascii="宋体" w:hAnsi="宋体" w:eastAsia="宋体" w:cs="宋体"/>
          <w:color w:val="auto"/>
          <w:spacing w:val="8"/>
          <w:sz w:val="20"/>
          <w:szCs w:val="20"/>
          <w:lang w:eastAsia="zh-CN"/>
        </w:rPr>
        <w:t>所在地的地方</w:t>
      </w:r>
      <w:r>
        <w:rPr>
          <w:rFonts w:ascii="宋体" w:hAnsi="宋体" w:eastAsia="宋体" w:cs="宋体"/>
          <w:color w:val="auto"/>
          <w:spacing w:val="6"/>
          <w:sz w:val="20"/>
          <w:szCs w:val="20"/>
          <w:lang w:eastAsia="zh-CN"/>
        </w:rPr>
        <w:t>法规、自治条例、单行条例和地方政府规章。</w:t>
      </w:r>
    </w:p>
    <w:p>
      <w:pPr>
        <w:spacing w:before="131" w:line="222" w:lineRule="auto"/>
        <w:ind w:left="17"/>
        <w:outlineLvl w:val="2"/>
        <w:rPr>
          <w:rFonts w:ascii="黑体" w:hAnsi="黑体" w:eastAsia="黑体" w:cs="黑体"/>
          <w:color w:val="auto"/>
          <w:sz w:val="28"/>
          <w:szCs w:val="28"/>
          <w:lang w:eastAsia="zh-CN"/>
        </w:rPr>
      </w:pPr>
      <w:bookmarkStart w:id="183" w:name="bookmark185"/>
      <w:bookmarkEnd w:id="183"/>
      <w:bookmarkStart w:id="184" w:name="bookmark186"/>
      <w:bookmarkEnd w:id="184"/>
      <w:r>
        <w:rPr>
          <w:rFonts w:ascii="黑体" w:hAnsi="黑体" w:eastAsia="黑体" w:cs="黑体"/>
          <w:color w:val="auto"/>
          <w:spacing w:val="-2"/>
          <w:sz w:val="28"/>
          <w:szCs w:val="28"/>
          <w:lang w:eastAsia="zh-CN"/>
        </w:rPr>
        <w:t>1.4 合同文件的优先顺序</w:t>
      </w:r>
    </w:p>
    <w:p>
      <w:pPr>
        <w:spacing w:before="281" w:line="353" w:lineRule="auto"/>
        <w:ind w:right="70"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组成合同的各项文件应互相解释，互为说明。除专用合同条款另有约定外</w:t>
      </w:r>
      <w:r>
        <w:rPr>
          <w:rFonts w:ascii="宋体" w:hAnsi="宋体" w:eastAsia="宋体" w:cs="宋体"/>
          <w:color w:val="auto"/>
          <w:spacing w:val="8"/>
          <w:sz w:val="20"/>
          <w:szCs w:val="20"/>
          <w:lang w:eastAsia="zh-CN"/>
        </w:rPr>
        <w:t>，解释合同文件的</w:t>
      </w:r>
      <w:r>
        <w:rPr>
          <w:rFonts w:ascii="宋体" w:hAnsi="宋体" w:eastAsia="宋体" w:cs="宋体"/>
          <w:color w:val="auto"/>
          <w:spacing w:val="7"/>
          <w:sz w:val="20"/>
          <w:szCs w:val="20"/>
          <w:lang w:eastAsia="zh-CN"/>
        </w:rPr>
        <w:t>优先顺序如下：</w:t>
      </w:r>
    </w:p>
    <w:p>
      <w:pPr>
        <w:spacing w:before="34"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（1）合同协议书；</w:t>
      </w:r>
    </w:p>
    <w:p>
      <w:pPr>
        <w:spacing w:before="155" w:line="227" w:lineRule="auto"/>
        <w:ind w:left="36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（2）中标通知书；</w:t>
      </w:r>
    </w:p>
    <w:p>
      <w:pPr>
        <w:spacing w:before="152" w:line="227"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（3）投标函及投标函附录；</w:t>
      </w:r>
    </w:p>
    <w:p>
      <w:pPr>
        <w:spacing w:before="155"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（4）专用合同条款；</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（5）通用合同条款；</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（6）技术标准和要求；</w:t>
      </w:r>
    </w:p>
    <w:p>
      <w:pPr>
        <w:spacing w:before="154" w:line="229" w:lineRule="auto"/>
        <w:ind w:left="36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（7）图纸；</w:t>
      </w:r>
    </w:p>
    <w:p>
      <w:pPr>
        <w:spacing w:before="153" w:line="226" w:lineRule="auto"/>
        <w:ind w:left="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（8）已标价工程量清单；</w:t>
      </w:r>
    </w:p>
    <w:p>
      <w:pPr>
        <w:spacing w:before="153" w:line="228" w:lineRule="auto"/>
        <w:ind w:left="368"/>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（9）其他合同文件。</w:t>
      </w:r>
    </w:p>
    <w:p>
      <w:pPr>
        <w:spacing w:line="228" w:lineRule="auto"/>
        <w:rPr>
          <w:rFonts w:ascii="宋体" w:hAnsi="宋体" w:eastAsia="宋体" w:cs="宋体"/>
          <w:color w:val="auto"/>
          <w:sz w:val="20"/>
          <w:szCs w:val="20"/>
          <w:lang w:eastAsia="zh-CN"/>
        </w:rPr>
        <w:sectPr>
          <w:footerReference r:id="rId46"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85" w:name="bookmark188"/>
      <w:bookmarkEnd w:id="185"/>
      <w:bookmarkStart w:id="186" w:name="bookmark187"/>
      <w:bookmarkEnd w:id="186"/>
      <w:r>
        <w:rPr>
          <w:rFonts w:ascii="黑体" w:hAnsi="黑体" w:eastAsia="黑体" w:cs="黑体"/>
          <w:color w:val="auto"/>
          <w:spacing w:val="-3"/>
          <w:sz w:val="28"/>
          <w:szCs w:val="28"/>
          <w:lang w:eastAsia="zh-CN"/>
        </w:rPr>
        <w:t>1.5 合同协议书</w:t>
      </w:r>
    </w:p>
    <w:p>
      <w:pPr>
        <w:spacing w:before="279" w:line="355" w:lineRule="auto"/>
        <w:ind w:left="5" w:firstLine="41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承包人按中标通知书规定的时间与发包人签订合同协议书。除法律另有规定或</w:t>
      </w:r>
      <w:r>
        <w:rPr>
          <w:rFonts w:ascii="宋体" w:hAnsi="宋体" w:eastAsia="宋体" w:cs="宋体"/>
          <w:color w:val="auto"/>
          <w:spacing w:val="8"/>
          <w:sz w:val="20"/>
          <w:szCs w:val="20"/>
          <w:lang w:eastAsia="zh-CN"/>
        </w:rPr>
        <w:t>合同另有约定</w:t>
      </w:r>
      <w:r>
        <w:rPr>
          <w:rFonts w:ascii="宋体" w:hAnsi="宋体" w:eastAsia="宋体" w:cs="宋体"/>
          <w:color w:val="auto"/>
          <w:spacing w:val="9"/>
          <w:sz w:val="20"/>
          <w:szCs w:val="20"/>
          <w:lang w:eastAsia="zh-CN"/>
        </w:rPr>
        <w:t>外，发包人和承包人的法定代表人或其委托代理人在合同协议书上签字并盖章后，合同生效。</w:t>
      </w:r>
    </w:p>
    <w:p>
      <w:pPr>
        <w:spacing w:before="127" w:line="222" w:lineRule="auto"/>
        <w:ind w:left="17"/>
        <w:outlineLvl w:val="2"/>
        <w:rPr>
          <w:rFonts w:ascii="黑体" w:hAnsi="黑体" w:eastAsia="黑体" w:cs="黑体"/>
          <w:color w:val="auto"/>
          <w:sz w:val="28"/>
          <w:szCs w:val="28"/>
          <w:lang w:eastAsia="zh-CN"/>
        </w:rPr>
      </w:pPr>
      <w:bookmarkStart w:id="187" w:name="bookmark190"/>
      <w:bookmarkEnd w:id="187"/>
      <w:bookmarkStart w:id="188" w:name="bookmark189"/>
      <w:bookmarkEnd w:id="188"/>
      <w:r>
        <w:rPr>
          <w:rFonts w:ascii="黑体" w:hAnsi="黑体" w:eastAsia="黑体" w:cs="黑体"/>
          <w:color w:val="auto"/>
          <w:spacing w:val="-5"/>
          <w:sz w:val="28"/>
          <w:szCs w:val="28"/>
          <w:lang w:eastAsia="zh-CN"/>
        </w:rPr>
        <w:t>1.6图纸和承包人文件</w:t>
      </w:r>
    </w:p>
    <w:p>
      <w:pPr>
        <w:spacing w:before="279" w:line="227"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1.6.1图纸的提供</w:t>
      </w:r>
    </w:p>
    <w:p>
      <w:pPr>
        <w:spacing w:before="154" w:line="353" w:lineRule="auto"/>
        <w:ind w:left="4" w:firstLine="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除专用合同条款另有约定外，图纸应在合理的期限</w:t>
      </w:r>
      <w:r>
        <w:rPr>
          <w:rFonts w:ascii="宋体" w:hAnsi="宋体" w:eastAsia="宋体" w:cs="宋体"/>
          <w:color w:val="auto"/>
          <w:spacing w:val="8"/>
          <w:sz w:val="20"/>
          <w:szCs w:val="20"/>
          <w:lang w:eastAsia="zh-CN"/>
        </w:rPr>
        <w:t>内按照合同约定的数量提供给承包人。由</w:t>
      </w:r>
      <w:r>
        <w:rPr>
          <w:rFonts w:ascii="宋体" w:hAnsi="宋体" w:eastAsia="宋体" w:cs="宋体"/>
          <w:color w:val="auto"/>
          <w:spacing w:val="7"/>
          <w:sz w:val="20"/>
          <w:szCs w:val="20"/>
          <w:lang w:eastAsia="zh-CN"/>
        </w:rPr>
        <w:t>于发包人未按时提供图纸造成工期延误的，按第11.3款的约定办理。</w:t>
      </w:r>
    </w:p>
    <w:p>
      <w:pPr>
        <w:spacing w:before="34" w:line="227"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1.6.2 承包人提供的文件</w:t>
      </w:r>
    </w:p>
    <w:p>
      <w:pPr>
        <w:spacing w:before="155" w:line="353" w:lineRule="auto"/>
        <w:ind w:left="5"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按专用合同条款约定由承包人提供的文件，包括部分工程的大样图、加工图</w:t>
      </w:r>
      <w:r>
        <w:rPr>
          <w:rFonts w:ascii="宋体" w:hAnsi="宋体" w:eastAsia="宋体" w:cs="宋体"/>
          <w:color w:val="auto"/>
          <w:spacing w:val="8"/>
          <w:sz w:val="20"/>
          <w:szCs w:val="20"/>
          <w:lang w:eastAsia="zh-CN"/>
        </w:rPr>
        <w:t>等，承包人应按</w:t>
      </w:r>
      <w:r>
        <w:rPr>
          <w:rFonts w:ascii="宋体" w:hAnsi="宋体" w:eastAsia="宋体" w:cs="宋体"/>
          <w:color w:val="auto"/>
          <w:spacing w:val="9"/>
          <w:sz w:val="20"/>
          <w:szCs w:val="20"/>
          <w:lang w:eastAsia="zh-CN"/>
        </w:rPr>
        <w:t>约定的数量和期限报送监理人。监理人应在专用合同条款约定的期限内批复。</w:t>
      </w:r>
    </w:p>
    <w:p>
      <w:pPr>
        <w:spacing w:before="33"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1.6.3图纸的修改</w:t>
      </w:r>
    </w:p>
    <w:p>
      <w:pPr>
        <w:spacing w:before="153" w:line="360" w:lineRule="auto"/>
        <w:ind w:left="1" w:firstLine="43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图纸需要修改和补充的，应由监理人取得发包人同意后，在该工程或工程相应部位施工前的</w:t>
      </w:r>
      <w:r>
        <w:rPr>
          <w:rFonts w:ascii="宋体" w:hAnsi="宋体" w:eastAsia="宋体" w:cs="宋体"/>
          <w:color w:val="auto"/>
          <w:spacing w:val="9"/>
          <w:sz w:val="20"/>
          <w:szCs w:val="20"/>
          <w:lang w:eastAsia="zh-CN"/>
        </w:rPr>
        <w:t>合理期限内签发图纸修改图给承包人，具体签发期限在专用合同条款中约定。承包人应</w:t>
      </w:r>
      <w:r>
        <w:rPr>
          <w:rFonts w:ascii="宋体" w:hAnsi="宋体" w:eastAsia="宋体" w:cs="宋体"/>
          <w:color w:val="auto"/>
          <w:spacing w:val="8"/>
          <w:sz w:val="20"/>
          <w:szCs w:val="20"/>
          <w:lang w:eastAsia="zh-CN"/>
        </w:rPr>
        <w:t>按修改后</w:t>
      </w:r>
      <w:r>
        <w:rPr>
          <w:rFonts w:ascii="宋体" w:hAnsi="宋体" w:eastAsia="宋体" w:cs="宋体"/>
          <w:color w:val="auto"/>
          <w:spacing w:val="6"/>
          <w:sz w:val="20"/>
          <w:szCs w:val="20"/>
          <w:lang w:eastAsia="zh-CN"/>
        </w:rPr>
        <w:t>的图纸施工。</w:t>
      </w:r>
    </w:p>
    <w:p>
      <w:pPr>
        <w:spacing w:before="32" w:line="229"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1.6.4图纸的错误</w:t>
      </w:r>
    </w:p>
    <w:p>
      <w:pPr>
        <w:spacing w:before="150"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承包人发现发包人提供的图纸存在明显错误或疏忽，应及时通知监理人。</w:t>
      </w:r>
    </w:p>
    <w:p>
      <w:pPr>
        <w:spacing w:before="15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1.6.5图纸和承包人文件的保管</w:t>
      </w:r>
    </w:p>
    <w:p>
      <w:pPr>
        <w:spacing w:before="155" w:line="353" w:lineRule="auto"/>
        <w:ind w:left="4" w:right="18" w:firstLine="4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监理人和承包人均应在施工场地各保存一套完整的包含第1.6.1项、第1.6.2项、第1.6.3</w:t>
      </w:r>
      <w:r>
        <w:rPr>
          <w:rFonts w:ascii="宋体" w:hAnsi="宋体" w:eastAsia="宋体" w:cs="宋体"/>
          <w:color w:val="auto"/>
          <w:spacing w:val="8"/>
          <w:sz w:val="20"/>
          <w:szCs w:val="20"/>
          <w:lang w:eastAsia="zh-CN"/>
        </w:rPr>
        <w:t>项约定内容的图纸和承包人文件。</w:t>
      </w:r>
    </w:p>
    <w:p>
      <w:pPr>
        <w:spacing w:before="130" w:line="222" w:lineRule="auto"/>
        <w:ind w:left="17"/>
        <w:outlineLvl w:val="2"/>
        <w:rPr>
          <w:rFonts w:ascii="黑体" w:hAnsi="黑体" w:eastAsia="黑体" w:cs="黑体"/>
          <w:color w:val="auto"/>
          <w:sz w:val="28"/>
          <w:szCs w:val="28"/>
          <w:lang w:eastAsia="zh-CN"/>
        </w:rPr>
      </w:pPr>
      <w:bookmarkStart w:id="189" w:name="bookmark191"/>
      <w:bookmarkEnd w:id="189"/>
      <w:bookmarkStart w:id="190" w:name="bookmark192"/>
      <w:bookmarkEnd w:id="190"/>
      <w:r>
        <w:rPr>
          <w:rFonts w:ascii="黑体" w:hAnsi="黑体" w:eastAsia="黑体" w:cs="黑体"/>
          <w:color w:val="auto"/>
          <w:spacing w:val="-7"/>
          <w:sz w:val="28"/>
          <w:szCs w:val="28"/>
          <w:lang w:eastAsia="zh-CN"/>
        </w:rPr>
        <w:t>1.7联络</w:t>
      </w:r>
    </w:p>
    <w:p>
      <w:pPr>
        <w:spacing w:before="281" w:line="297" w:lineRule="auto"/>
        <w:ind w:left="5"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1.7.1 与合同有关的通知、批准、证明、证书、指示、要求、请求、同意、意见</w:t>
      </w:r>
      <w:r>
        <w:rPr>
          <w:rFonts w:ascii="宋体" w:hAnsi="宋体" w:eastAsia="宋体" w:cs="宋体"/>
          <w:color w:val="auto"/>
          <w:spacing w:val="7"/>
          <w:sz w:val="20"/>
          <w:szCs w:val="20"/>
          <w:lang w:eastAsia="zh-CN"/>
        </w:rPr>
        <w:t>、确定和决定等，均应采用书面形式。</w:t>
      </w:r>
    </w:p>
    <w:p>
      <w:pPr>
        <w:spacing w:before="154" w:line="299" w:lineRule="auto"/>
        <w:ind w:left="7"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1.7.2 第1.7.1项中的通知、批准、证明、证书、</w:t>
      </w:r>
      <w:r>
        <w:rPr>
          <w:rFonts w:ascii="宋体" w:hAnsi="宋体" w:eastAsia="宋体" w:cs="宋体"/>
          <w:color w:val="auto"/>
          <w:spacing w:val="6"/>
          <w:sz w:val="20"/>
          <w:szCs w:val="20"/>
          <w:lang w:eastAsia="zh-CN"/>
        </w:rPr>
        <w:t>指示、要求、请求、同意、意见、确定和</w:t>
      </w:r>
      <w:r>
        <w:rPr>
          <w:rFonts w:ascii="宋体" w:hAnsi="宋体" w:eastAsia="宋体" w:cs="宋体"/>
          <w:color w:val="auto"/>
          <w:spacing w:val="9"/>
          <w:sz w:val="20"/>
          <w:szCs w:val="20"/>
          <w:lang w:eastAsia="zh-CN"/>
        </w:rPr>
        <w:t>决定等来往函件，均应在合同约定的期限内送达指定地点和接收人，并办理签收手续。</w:t>
      </w:r>
    </w:p>
    <w:p>
      <w:pPr>
        <w:spacing w:before="249" w:line="222" w:lineRule="auto"/>
        <w:ind w:left="17"/>
        <w:outlineLvl w:val="2"/>
        <w:rPr>
          <w:rFonts w:ascii="黑体" w:hAnsi="黑体" w:eastAsia="黑体" w:cs="黑体"/>
          <w:color w:val="auto"/>
          <w:sz w:val="28"/>
          <w:szCs w:val="28"/>
          <w:lang w:eastAsia="zh-CN"/>
        </w:rPr>
      </w:pPr>
      <w:bookmarkStart w:id="191" w:name="bookmark194"/>
      <w:bookmarkEnd w:id="191"/>
      <w:bookmarkStart w:id="192" w:name="bookmark193"/>
      <w:bookmarkEnd w:id="192"/>
      <w:r>
        <w:rPr>
          <w:rFonts w:ascii="黑体" w:hAnsi="黑体" w:eastAsia="黑体" w:cs="黑体"/>
          <w:color w:val="auto"/>
          <w:spacing w:val="-7"/>
          <w:sz w:val="28"/>
          <w:szCs w:val="28"/>
          <w:lang w:eastAsia="zh-CN"/>
        </w:rPr>
        <w:t>1.8转让</w:t>
      </w:r>
    </w:p>
    <w:p>
      <w:pPr>
        <w:spacing w:before="280" w:line="355" w:lineRule="auto"/>
        <w:ind w:firstLine="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除合同另有约定外，未经对方当事人同意，一方当</w:t>
      </w:r>
      <w:r>
        <w:rPr>
          <w:rFonts w:ascii="宋体" w:hAnsi="宋体" w:eastAsia="宋体" w:cs="宋体"/>
          <w:color w:val="auto"/>
          <w:spacing w:val="8"/>
          <w:sz w:val="20"/>
          <w:szCs w:val="20"/>
          <w:lang w:eastAsia="zh-CN"/>
        </w:rPr>
        <w:t>事人不得将合同权利全部或部分转让给第三人，也不得全部或部分转移合同义务。</w:t>
      </w:r>
    </w:p>
    <w:p>
      <w:pPr>
        <w:spacing w:before="126" w:line="222" w:lineRule="auto"/>
        <w:ind w:left="17"/>
        <w:outlineLvl w:val="2"/>
        <w:rPr>
          <w:rFonts w:ascii="黑体" w:hAnsi="黑体" w:eastAsia="黑体" w:cs="黑体"/>
          <w:color w:val="auto"/>
          <w:sz w:val="28"/>
          <w:szCs w:val="28"/>
          <w:lang w:eastAsia="zh-CN"/>
        </w:rPr>
      </w:pPr>
      <w:bookmarkStart w:id="193" w:name="bookmark196"/>
      <w:bookmarkEnd w:id="193"/>
      <w:bookmarkStart w:id="194" w:name="bookmark195"/>
      <w:bookmarkEnd w:id="194"/>
      <w:r>
        <w:rPr>
          <w:rFonts w:ascii="黑体" w:hAnsi="黑体" w:eastAsia="黑体" w:cs="黑体"/>
          <w:color w:val="auto"/>
          <w:spacing w:val="-4"/>
          <w:sz w:val="28"/>
          <w:szCs w:val="28"/>
          <w:lang w:eastAsia="zh-CN"/>
        </w:rPr>
        <w:t>1.9 严禁贿赂</w:t>
      </w:r>
    </w:p>
    <w:p>
      <w:pPr>
        <w:spacing w:before="278" w:line="344" w:lineRule="auto"/>
        <w:ind w:firstLine="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合同双方当事人不得以贿赂或变相贿赂的方式，谋取不当利益或损害对方权益</w:t>
      </w:r>
      <w:r>
        <w:rPr>
          <w:rFonts w:ascii="宋体" w:hAnsi="宋体" w:eastAsia="宋体" w:cs="宋体"/>
          <w:color w:val="auto"/>
          <w:spacing w:val="8"/>
          <w:sz w:val="20"/>
          <w:szCs w:val="20"/>
          <w:lang w:eastAsia="zh-CN"/>
        </w:rPr>
        <w:t>。因贿赂造成</w:t>
      </w:r>
      <w:r>
        <w:rPr>
          <w:rFonts w:ascii="宋体" w:hAnsi="宋体" w:eastAsia="宋体" w:cs="宋体"/>
          <w:color w:val="auto"/>
          <w:spacing w:val="9"/>
          <w:sz w:val="20"/>
          <w:szCs w:val="20"/>
          <w:lang w:eastAsia="zh-CN"/>
        </w:rPr>
        <w:t>对方损失的，行为人应赔偿损失，并承担相应的法律责任。</w:t>
      </w:r>
    </w:p>
    <w:p>
      <w:pPr>
        <w:spacing w:line="344" w:lineRule="auto"/>
        <w:rPr>
          <w:rFonts w:ascii="宋体" w:hAnsi="宋体" w:eastAsia="宋体" w:cs="宋体"/>
          <w:color w:val="auto"/>
          <w:sz w:val="20"/>
          <w:szCs w:val="20"/>
          <w:lang w:eastAsia="zh-CN"/>
        </w:rPr>
        <w:sectPr>
          <w:footerReference r:id="rId47" w:type="default"/>
          <w:pgSz w:w="11906" w:h="16839"/>
          <w:pgMar w:top="1431" w:right="153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2"/>
        <w:rPr>
          <w:rFonts w:ascii="黑体" w:hAnsi="黑体" w:eastAsia="黑体" w:cs="黑体"/>
          <w:color w:val="auto"/>
          <w:sz w:val="28"/>
          <w:szCs w:val="28"/>
          <w:lang w:eastAsia="zh-CN"/>
        </w:rPr>
      </w:pPr>
      <w:bookmarkStart w:id="195" w:name="bookmark197"/>
      <w:bookmarkEnd w:id="195"/>
      <w:bookmarkStart w:id="196" w:name="bookmark198"/>
      <w:bookmarkEnd w:id="196"/>
      <w:r>
        <w:rPr>
          <w:rFonts w:ascii="黑体" w:hAnsi="黑体" w:eastAsia="黑体" w:cs="黑体"/>
          <w:color w:val="auto"/>
          <w:spacing w:val="-3"/>
          <w:sz w:val="28"/>
          <w:szCs w:val="28"/>
          <w:lang w:eastAsia="zh-CN"/>
        </w:rPr>
        <w:t>1.10 化石、文物</w:t>
      </w:r>
    </w:p>
    <w:p>
      <w:pPr>
        <w:spacing w:before="280" w:line="341" w:lineRule="auto"/>
        <w:ind w:firstLine="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1.10.1 在施工场地发掘的所有文物、古迹以及具有地质研究或考古价值的其他遗迹、化石、</w:t>
      </w:r>
      <w:r>
        <w:rPr>
          <w:rFonts w:ascii="宋体" w:hAnsi="宋体" w:eastAsia="宋体" w:cs="宋体"/>
          <w:color w:val="auto"/>
          <w:spacing w:val="9"/>
          <w:sz w:val="20"/>
          <w:szCs w:val="20"/>
          <w:lang w:eastAsia="zh-CN"/>
        </w:rPr>
        <w:t>钱币或物品属于国家所有。一旦发现上述文物，承包人应采取有效合理的保护措施，防止</w:t>
      </w:r>
      <w:r>
        <w:rPr>
          <w:rFonts w:ascii="宋体" w:hAnsi="宋体" w:eastAsia="宋体" w:cs="宋体"/>
          <w:color w:val="auto"/>
          <w:spacing w:val="8"/>
          <w:sz w:val="20"/>
          <w:szCs w:val="20"/>
          <w:lang w:eastAsia="zh-CN"/>
        </w:rPr>
        <w:t>任何人</w:t>
      </w:r>
      <w:r>
        <w:rPr>
          <w:rFonts w:ascii="宋体" w:hAnsi="宋体" w:eastAsia="宋体" w:cs="宋体"/>
          <w:color w:val="auto"/>
          <w:spacing w:val="9"/>
          <w:sz w:val="20"/>
          <w:szCs w:val="20"/>
          <w:lang w:eastAsia="zh-CN"/>
        </w:rPr>
        <w:t>员移动或损坏上述物品，并立即报告当地文物行政部门，同时通知监理人。发包人、监理</w:t>
      </w:r>
      <w:r>
        <w:rPr>
          <w:rFonts w:ascii="宋体" w:hAnsi="宋体" w:eastAsia="宋体" w:cs="宋体"/>
          <w:color w:val="auto"/>
          <w:spacing w:val="8"/>
          <w:sz w:val="20"/>
          <w:szCs w:val="20"/>
          <w:lang w:eastAsia="zh-CN"/>
        </w:rPr>
        <w:t>人和承</w:t>
      </w:r>
      <w:r>
        <w:rPr>
          <w:rFonts w:ascii="宋体" w:hAnsi="宋体" w:eastAsia="宋体" w:cs="宋体"/>
          <w:color w:val="auto"/>
          <w:spacing w:val="9"/>
          <w:sz w:val="20"/>
          <w:szCs w:val="20"/>
          <w:lang w:eastAsia="zh-CN"/>
        </w:rPr>
        <w:t>包人应按文物行政部门要求采取妥善保护措施，由此导致费用增加和（或）工期延误由发</w:t>
      </w:r>
      <w:r>
        <w:rPr>
          <w:rFonts w:ascii="宋体" w:hAnsi="宋体" w:eastAsia="宋体" w:cs="宋体"/>
          <w:color w:val="auto"/>
          <w:spacing w:val="8"/>
          <w:sz w:val="20"/>
          <w:szCs w:val="20"/>
          <w:lang w:eastAsia="zh-CN"/>
        </w:rPr>
        <w:t>包人承</w:t>
      </w:r>
      <w:r>
        <w:rPr>
          <w:rFonts w:ascii="宋体" w:hAnsi="宋体" w:eastAsia="宋体" w:cs="宋体"/>
          <w:color w:val="auto"/>
          <w:sz w:val="20"/>
          <w:szCs w:val="20"/>
          <w:lang w:eastAsia="zh-CN"/>
        </w:rPr>
        <w:t xml:space="preserve"> 担。</w:t>
      </w:r>
    </w:p>
    <w:p>
      <w:pPr>
        <w:spacing w:before="150" w:line="299" w:lineRule="auto"/>
        <w:ind w:left="5" w:right="119"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1.10.2 承包人发现文物后不及时报告或隐瞒不报，致使文物丢失或损坏的，应赔偿损失，</w:t>
      </w:r>
      <w:r>
        <w:rPr>
          <w:rFonts w:ascii="宋体" w:hAnsi="宋体" w:eastAsia="宋体" w:cs="宋体"/>
          <w:color w:val="auto"/>
          <w:spacing w:val="7"/>
          <w:sz w:val="20"/>
          <w:szCs w:val="20"/>
          <w:lang w:eastAsia="zh-CN"/>
        </w:rPr>
        <w:t>并承担相应的法律责任。</w:t>
      </w:r>
    </w:p>
    <w:p>
      <w:pPr>
        <w:spacing w:before="248" w:line="222" w:lineRule="auto"/>
        <w:ind w:left="17"/>
        <w:outlineLvl w:val="2"/>
        <w:rPr>
          <w:rFonts w:ascii="黑体" w:hAnsi="黑体" w:eastAsia="黑体" w:cs="黑体"/>
          <w:color w:val="auto"/>
          <w:sz w:val="28"/>
          <w:szCs w:val="28"/>
          <w:lang w:eastAsia="zh-CN"/>
        </w:rPr>
      </w:pPr>
      <w:bookmarkStart w:id="197" w:name="bookmark199"/>
      <w:bookmarkEnd w:id="197"/>
      <w:bookmarkStart w:id="198" w:name="bookmark200"/>
      <w:bookmarkEnd w:id="198"/>
      <w:r>
        <w:rPr>
          <w:rFonts w:ascii="黑体" w:hAnsi="黑体" w:eastAsia="黑体" w:cs="黑体"/>
          <w:color w:val="auto"/>
          <w:spacing w:val="-6"/>
          <w:sz w:val="28"/>
          <w:szCs w:val="28"/>
          <w:lang w:eastAsia="zh-CN"/>
        </w:rPr>
        <w:t>1.11专利技术</w:t>
      </w:r>
    </w:p>
    <w:p>
      <w:pPr>
        <w:spacing w:before="277" w:line="323"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1.11.1 承包人在使用任何材料、承包人设备、工程设备或采用施工工艺时，因侵犯专利权</w:t>
      </w:r>
      <w:r>
        <w:rPr>
          <w:rFonts w:ascii="宋体" w:hAnsi="宋体" w:eastAsia="宋体" w:cs="宋体"/>
          <w:color w:val="auto"/>
          <w:spacing w:val="9"/>
          <w:sz w:val="20"/>
          <w:szCs w:val="20"/>
          <w:lang w:eastAsia="zh-CN"/>
        </w:rPr>
        <w:t>或其他知识产权所引起的责任，由承包人承担，但由于遵照发包人提供的设计或技</w:t>
      </w:r>
      <w:r>
        <w:rPr>
          <w:rFonts w:ascii="宋体" w:hAnsi="宋体" w:eastAsia="宋体" w:cs="宋体"/>
          <w:color w:val="auto"/>
          <w:spacing w:val="8"/>
          <w:sz w:val="20"/>
          <w:szCs w:val="20"/>
          <w:lang w:eastAsia="zh-CN"/>
        </w:rPr>
        <w:t>术标准和要求</w:t>
      </w:r>
      <w:r>
        <w:rPr>
          <w:rFonts w:ascii="宋体" w:hAnsi="宋体" w:eastAsia="宋体" w:cs="宋体"/>
          <w:color w:val="auto"/>
          <w:spacing w:val="6"/>
          <w:sz w:val="20"/>
          <w:szCs w:val="20"/>
          <w:lang w:eastAsia="zh-CN"/>
        </w:rPr>
        <w:t>引起的除外。</w:t>
      </w:r>
    </w:p>
    <w:p>
      <w:pPr>
        <w:spacing w:before="152" w:line="226"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1.11.2 承包人在投标文件中采用专利技术的，专利技术的使用费包含在投标报价内。</w:t>
      </w:r>
    </w:p>
    <w:p>
      <w:pPr>
        <w:spacing w:before="156" w:line="299" w:lineRule="auto"/>
        <w:ind w:left="17" w:right="68"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1.11.3 承包人的技术秘密和声明需要保密的资料和信息，发包人和监理人不得为合同以外</w:t>
      </w:r>
      <w:r>
        <w:rPr>
          <w:rFonts w:ascii="宋体" w:hAnsi="宋体" w:eastAsia="宋体" w:cs="宋体"/>
          <w:color w:val="auto"/>
          <w:spacing w:val="5"/>
          <w:sz w:val="20"/>
          <w:szCs w:val="20"/>
          <w:lang w:eastAsia="zh-CN"/>
        </w:rPr>
        <w:t>的目的泄露给他人。</w:t>
      </w:r>
    </w:p>
    <w:p>
      <w:pPr>
        <w:spacing w:before="247" w:line="222" w:lineRule="auto"/>
        <w:ind w:left="17"/>
        <w:outlineLvl w:val="2"/>
        <w:rPr>
          <w:rFonts w:ascii="黑体" w:hAnsi="黑体" w:eastAsia="黑体" w:cs="黑体"/>
          <w:color w:val="auto"/>
          <w:sz w:val="28"/>
          <w:szCs w:val="28"/>
          <w:lang w:eastAsia="zh-CN"/>
        </w:rPr>
      </w:pPr>
      <w:bookmarkStart w:id="199" w:name="bookmark202"/>
      <w:bookmarkEnd w:id="199"/>
      <w:bookmarkStart w:id="200" w:name="bookmark201"/>
      <w:bookmarkEnd w:id="200"/>
      <w:r>
        <w:rPr>
          <w:rFonts w:ascii="黑体" w:hAnsi="黑体" w:eastAsia="黑体" w:cs="黑体"/>
          <w:color w:val="auto"/>
          <w:spacing w:val="-5"/>
          <w:sz w:val="28"/>
          <w:szCs w:val="28"/>
          <w:lang w:eastAsia="zh-CN"/>
        </w:rPr>
        <w:t>1.12图纸和文件的保密</w:t>
      </w:r>
    </w:p>
    <w:p>
      <w:pPr>
        <w:spacing w:before="281" w:line="29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1.12.1 发包人提供的图纸和文件，未经发包人同意，承包人不得为合同以外的目的泄露给</w:t>
      </w:r>
      <w:r>
        <w:rPr>
          <w:rFonts w:ascii="宋体" w:hAnsi="宋体" w:eastAsia="宋体" w:cs="宋体"/>
          <w:color w:val="auto"/>
          <w:spacing w:val="8"/>
          <w:sz w:val="20"/>
          <w:szCs w:val="20"/>
          <w:lang w:eastAsia="zh-CN"/>
        </w:rPr>
        <w:t>他人或公开发表与引用。</w:t>
      </w:r>
    </w:p>
    <w:p>
      <w:pPr>
        <w:spacing w:before="151" w:line="299" w:lineRule="auto"/>
        <w:ind w:left="1"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1.12.2 承包人提供的文件，未经承包人同意，发包人和监理人不得为合同以外的目的泄露</w:t>
      </w:r>
      <w:r>
        <w:rPr>
          <w:rFonts w:ascii="宋体" w:hAnsi="宋体" w:eastAsia="宋体" w:cs="宋体"/>
          <w:color w:val="auto"/>
          <w:spacing w:val="8"/>
          <w:sz w:val="20"/>
          <w:szCs w:val="20"/>
          <w:lang w:eastAsia="zh-CN"/>
        </w:rPr>
        <w:t>给他人或公开发表与引用。</w:t>
      </w:r>
    </w:p>
    <w:p>
      <w:pPr>
        <w:pStyle w:val="3"/>
        <w:spacing w:line="268"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201" w:name="bookmark203"/>
      <w:bookmarkEnd w:id="201"/>
      <w:bookmarkStart w:id="202" w:name="bookmark206"/>
      <w:bookmarkEnd w:id="202"/>
      <w:bookmarkStart w:id="203" w:name="bookmark208"/>
      <w:bookmarkEnd w:id="203"/>
      <w:bookmarkStart w:id="204" w:name="bookmark204"/>
      <w:bookmarkEnd w:id="204"/>
      <w:r>
        <w:rPr>
          <w:rFonts w:ascii="黑体" w:hAnsi="黑体" w:eastAsia="黑体" w:cs="黑体"/>
          <w:b/>
          <w:bCs/>
          <w:color w:val="auto"/>
          <w:spacing w:val="2"/>
          <w:sz w:val="31"/>
          <w:szCs w:val="31"/>
          <w:lang w:eastAsia="zh-CN"/>
        </w:rPr>
        <w:t>2.发包人义务</w:t>
      </w:r>
    </w:p>
    <w:p>
      <w:pPr>
        <w:pStyle w:val="3"/>
        <w:spacing w:line="273"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05" w:name="bookmark205"/>
      <w:bookmarkEnd w:id="205"/>
      <w:r>
        <w:rPr>
          <w:rFonts w:ascii="黑体" w:hAnsi="黑体" w:eastAsia="黑体" w:cs="黑体"/>
          <w:color w:val="auto"/>
          <w:spacing w:val="-2"/>
          <w:sz w:val="28"/>
          <w:szCs w:val="28"/>
          <w:lang w:eastAsia="zh-CN"/>
        </w:rPr>
        <w:t>2.1 遵守法律</w:t>
      </w:r>
    </w:p>
    <w:p>
      <w:pPr>
        <w:spacing w:before="261" w:line="338"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发包人在履行合同过程中应遵守法律，并保证承包人免于承担因发包人</w:t>
      </w:r>
      <w:r>
        <w:rPr>
          <w:rFonts w:ascii="宋体" w:hAnsi="宋体" w:eastAsia="宋体" w:cs="宋体"/>
          <w:color w:val="auto"/>
          <w:spacing w:val="8"/>
          <w:sz w:val="20"/>
          <w:szCs w:val="20"/>
          <w:lang w:eastAsia="zh-CN"/>
        </w:rPr>
        <w:t>违反法律而引起的任</w:t>
      </w:r>
      <w:r>
        <w:rPr>
          <w:rFonts w:ascii="宋体" w:hAnsi="宋体" w:eastAsia="宋体" w:cs="宋体"/>
          <w:color w:val="auto"/>
          <w:spacing w:val="4"/>
          <w:sz w:val="20"/>
          <w:szCs w:val="20"/>
          <w:lang w:eastAsia="zh-CN"/>
        </w:rPr>
        <w:t>何责任。</w:t>
      </w:r>
    </w:p>
    <w:p>
      <w:pPr>
        <w:spacing w:before="140" w:line="222" w:lineRule="auto"/>
        <w:ind w:left="1"/>
        <w:outlineLvl w:val="2"/>
        <w:rPr>
          <w:rFonts w:ascii="黑体" w:hAnsi="黑体" w:eastAsia="黑体" w:cs="黑体"/>
          <w:color w:val="auto"/>
          <w:sz w:val="28"/>
          <w:szCs w:val="28"/>
          <w:lang w:eastAsia="zh-CN"/>
        </w:rPr>
      </w:pPr>
      <w:bookmarkStart w:id="206" w:name="bookmark207"/>
      <w:bookmarkEnd w:id="206"/>
      <w:r>
        <w:rPr>
          <w:rFonts w:ascii="黑体" w:hAnsi="黑体" w:eastAsia="黑体" w:cs="黑体"/>
          <w:color w:val="auto"/>
          <w:spacing w:val="-1"/>
          <w:sz w:val="28"/>
          <w:szCs w:val="28"/>
          <w:lang w:eastAsia="zh-CN"/>
        </w:rPr>
        <w:t>2.2 发出开工通知</w:t>
      </w:r>
    </w:p>
    <w:p>
      <w:pPr>
        <w:spacing w:before="265" w:line="228" w:lineRule="auto"/>
        <w:ind w:left="42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发包人应委托监理人按第11.1款的约定向承包人发出开工通知。</w:t>
      </w:r>
    </w:p>
    <w:p>
      <w:pPr>
        <w:spacing w:before="244" w:line="223" w:lineRule="auto"/>
        <w:ind w:left="1"/>
        <w:outlineLvl w:val="2"/>
        <w:rPr>
          <w:rFonts w:ascii="黑体" w:hAnsi="黑体" w:eastAsia="黑体" w:cs="黑体"/>
          <w:color w:val="auto"/>
          <w:sz w:val="28"/>
          <w:szCs w:val="28"/>
          <w:lang w:eastAsia="zh-CN"/>
        </w:rPr>
      </w:pPr>
      <w:bookmarkStart w:id="207" w:name="bookmark209"/>
      <w:bookmarkEnd w:id="207"/>
      <w:bookmarkStart w:id="208" w:name="bookmark210"/>
      <w:bookmarkEnd w:id="208"/>
      <w:r>
        <w:rPr>
          <w:rFonts w:ascii="黑体" w:hAnsi="黑体" w:eastAsia="黑体" w:cs="黑体"/>
          <w:color w:val="auto"/>
          <w:spacing w:val="-1"/>
          <w:sz w:val="28"/>
          <w:szCs w:val="28"/>
          <w:lang w:eastAsia="zh-CN"/>
        </w:rPr>
        <w:t>2.3 提供施工场地</w:t>
      </w:r>
    </w:p>
    <w:p>
      <w:pPr>
        <w:spacing w:before="26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发包人应按专用合同条款约定向承包人提供施工场地，以及施工场地内</w:t>
      </w:r>
      <w:r>
        <w:rPr>
          <w:rFonts w:ascii="宋体" w:hAnsi="宋体" w:eastAsia="宋体" w:cs="宋体"/>
          <w:color w:val="auto"/>
          <w:spacing w:val="8"/>
          <w:sz w:val="20"/>
          <w:szCs w:val="20"/>
          <w:lang w:eastAsia="zh-CN"/>
        </w:rPr>
        <w:t>地下管线和地下设施</w:t>
      </w:r>
    </w:p>
    <w:p>
      <w:pPr>
        <w:spacing w:line="227" w:lineRule="auto"/>
        <w:rPr>
          <w:rFonts w:ascii="宋体" w:hAnsi="宋体" w:eastAsia="宋体" w:cs="宋体"/>
          <w:color w:val="auto"/>
          <w:sz w:val="20"/>
          <w:szCs w:val="20"/>
          <w:lang w:eastAsia="zh-CN"/>
        </w:rPr>
        <w:sectPr>
          <w:footerReference r:id="rId48" w:type="default"/>
          <w:pgSz w:w="11906" w:h="16839"/>
          <w:pgMar w:top="1431" w:right="1462" w:bottom="1468" w:left="1596" w:header="0" w:footer="1306" w:gutter="0"/>
          <w:cols w:space="720" w:num="1"/>
          <w:docGrid w:linePitch="0" w:charSpace="0"/>
        </w:sectPr>
      </w:pPr>
    </w:p>
    <w:p>
      <w:pPr>
        <w:pStyle w:val="3"/>
        <w:spacing w:line="248" w:lineRule="auto"/>
        <w:rPr>
          <w:color w:val="auto"/>
          <w:lang w:eastAsia="zh-CN"/>
        </w:rPr>
      </w:pPr>
    </w:p>
    <w:p>
      <w:pPr>
        <w:pStyle w:val="3"/>
        <w:spacing w:line="248" w:lineRule="auto"/>
        <w:rPr>
          <w:color w:val="auto"/>
          <w:lang w:eastAsia="zh-CN"/>
        </w:rPr>
      </w:pPr>
    </w:p>
    <w:p>
      <w:pPr>
        <w:spacing w:before="65" w:line="228" w:lineRule="auto"/>
        <w:ind w:left="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等有关资料，并保证资料的真实、准确、完整。</w:t>
      </w:r>
    </w:p>
    <w:p>
      <w:pPr>
        <w:spacing w:before="242" w:line="222" w:lineRule="auto"/>
        <w:outlineLvl w:val="2"/>
        <w:rPr>
          <w:rFonts w:ascii="黑体" w:hAnsi="黑体" w:eastAsia="黑体" w:cs="黑体"/>
          <w:color w:val="auto"/>
          <w:sz w:val="28"/>
          <w:szCs w:val="28"/>
          <w:lang w:eastAsia="zh-CN"/>
        </w:rPr>
      </w:pPr>
      <w:bookmarkStart w:id="209" w:name="bookmark212"/>
      <w:bookmarkEnd w:id="209"/>
      <w:bookmarkStart w:id="210" w:name="bookmark211"/>
      <w:bookmarkEnd w:id="210"/>
      <w:r>
        <w:rPr>
          <w:rFonts w:ascii="黑体" w:hAnsi="黑体" w:eastAsia="黑体" w:cs="黑体"/>
          <w:color w:val="auto"/>
          <w:spacing w:val="-1"/>
          <w:sz w:val="28"/>
          <w:szCs w:val="28"/>
          <w:lang w:eastAsia="zh-CN"/>
        </w:rPr>
        <w:t>2.4 协助承包人办理证件和批件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发包人应协助承包人办理法律规定的有关施工证件和批件。</w:t>
      </w:r>
    </w:p>
    <w:p>
      <w:pPr>
        <w:spacing w:before="243" w:line="222" w:lineRule="auto"/>
        <w:outlineLvl w:val="2"/>
        <w:rPr>
          <w:rFonts w:ascii="黑体" w:hAnsi="黑体" w:eastAsia="黑体" w:cs="黑体"/>
          <w:color w:val="auto"/>
          <w:sz w:val="28"/>
          <w:szCs w:val="28"/>
          <w:lang w:eastAsia="zh-CN"/>
        </w:rPr>
      </w:pPr>
      <w:bookmarkStart w:id="211" w:name="bookmark214"/>
      <w:bookmarkEnd w:id="211"/>
      <w:bookmarkStart w:id="212" w:name="bookmark213"/>
      <w:bookmarkEnd w:id="212"/>
      <w:r>
        <w:rPr>
          <w:rFonts w:ascii="黑体" w:hAnsi="黑体" w:eastAsia="黑体" w:cs="黑体"/>
          <w:color w:val="auto"/>
          <w:spacing w:val="-1"/>
          <w:sz w:val="28"/>
          <w:szCs w:val="28"/>
          <w:lang w:eastAsia="zh-CN"/>
        </w:rPr>
        <w:t>2.5 组织设计交底</w:t>
      </w:r>
    </w:p>
    <w:p>
      <w:pPr>
        <w:spacing w:before="264" w:line="228"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发包人应根据合同进度计划，组织设计单位向承包人进行设计交底。</w:t>
      </w:r>
    </w:p>
    <w:p>
      <w:pPr>
        <w:spacing w:before="244" w:line="222" w:lineRule="auto"/>
        <w:outlineLvl w:val="2"/>
        <w:rPr>
          <w:rFonts w:ascii="黑体" w:hAnsi="黑体" w:eastAsia="黑体" w:cs="黑体"/>
          <w:color w:val="auto"/>
          <w:sz w:val="28"/>
          <w:szCs w:val="28"/>
          <w:lang w:eastAsia="zh-CN"/>
        </w:rPr>
      </w:pPr>
      <w:bookmarkStart w:id="213" w:name="bookmark216"/>
      <w:bookmarkEnd w:id="213"/>
      <w:bookmarkStart w:id="214" w:name="bookmark215"/>
      <w:bookmarkEnd w:id="214"/>
      <w:r>
        <w:rPr>
          <w:rFonts w:ascii="黑体" w:hAnsi="黑体" w:eastAsia="黑体" w:cs="黑体"/>
          <w:color w:val="auto"/>
          <w:spacing w:val="-1"/>
          <w:sz w:val="28"/>
          <w:szCs w:val="28"/>
          <w:lang w:eastAsia="zh-CN"/>
        </w:rPr>
        <w:t>2.6 支付合同价款</w:t>
      </w:r>
    </w:p>
    <w:p>
      <w:pPr>
        <w:spacing w:before="265" w:line="226" w:lineRule="auto"/>
        <w:ind w:left="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发包人应按合同约定向承包人及时支付合同价</w:t>
      </w:r>
      <w:r>
        <w:rPr>
          <w:rFonts w:ascii="宋体" w:hAnsi="宋体" w:eastAsia="宋体" w:cs="宋体"/>
          <w:color w:val="auto"/>
          <w:spacing w:val="8"/>
          <w:sz w:val="20"/>
          <w:szCs w:val="20"/>
          <w:lang w:eastAsia="zh-CN"/>
        </w:rPr>
        <w:t>款。</w:t>
      </w:r>
    </w:p>
    <w:p>
      <w:pPr>
        <w:spacing w:before="245" w:line="222" w:lineRule="auto"/>
        <w:outlineLvl w:val="2"/>
        <w:rPr>
          <w:rFonts w:ascii="黑体" w:hAnsi="黑体" w:eastAsia="黑体" w:cs="黑体"/>
          <w:color w:val="auto"/>
          <w:sz w:val="28"/>
          <w:szCs w:val="28"/>
          <w:lang w:eastAsia="zh-CN"/>
        </w:rPr>
      </w:pPr>
      <w:bookmarkStart w:id="215" w:name="bookmark217"/>
      <w:bookmarkEnd w:id="215"/>
      <w:bookmarkStart w:id="216" w:name="bookmark218"/>
      <w:bookmarkEnd w:id="216"/>
      <w:r>
        <w:rPr>
          <w:rFonts w:ascii="黑体" w:hAnsi="黑体" w:eastAsia="黑体" w:cs="黑体"/>
          <w:color w:val="auto"/>
          <w:spacing w:val="-1"/>
          <w:sz w:val="28"/>
          <w:szCs w:val="28"/>
          <w:lang w:eastAsia="zh-CN"/>
        </w:rPr>
        <w:t>2.7 组织竣工验收</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发包人应按合同约定及时组织竣工验收。</w:t>
      </w:r>
    </w:p>
    <w:p>
      <w:pPr>
        <w:spacing w:before="243" w:line="222" w:lineRule="auto"/>
        <w:outlineLvl w:val="2"/>
        <w:rPr>
          <w:rFonts w:ascii="黑体" w:hAnsi="黑体" w:eastAsia="黑体" w:cs="黑体"/>
          <w:color w:val="auto"/>
          <w:sz w:val="28"/>
          <w:szCs w:val="28"/>
          <w:lang w:eastAsia="zh-CN"/>
        </w:rPr>
      </w:pPr>
      <w:bookmarkStart w:id="217" w:name="bookmark219"/>
      <w:bookmarkEnd w:id="217"/>
      <w:r>
        <w:rPr>
          <w:rFonts w:ascii="黑体" w:hAnsi="黑体" w:eastAsia="黑体" w:cs="黑体"/>
          <w:color w:val="auto"/>
          <w:spacing w:val="-2"/>
          <w:sz w:val="28"/>
          <w:szCs w:val="28"/>
          <w:lang w:eastAsia="zh-CN"/>
        </w:rPr>
        <w:t>2.8 其他义务</w:t>
      </w:r>
    </w:p>
    <w:p>
      <w:pPr>
        <w:spacing w:before="265"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发包人应履行合同约定的其他义务。</w:t>
      </w:r>
    </w:p>
    <w:p>
      <w:pPr>
        <w:pStyle w:val="3"/>
        <w:spacing w:line="264" w:lineRule="auto"/>
        <w:rPr>
          <w:color w:val="auto"/>
          <w:lang w:eastAsia="zh-CN"/>
        </w:rPr>
      </w:pPr>
    </w:p>
    <w:p>
      <w:pPr>
        <w:spacing w:before="101" w:line="230" w:lineRule="auto"/>
        <w:ind w:left="4"/>
        <w:outlineLvl w:val="1"/>
        <w:rPr>
          <w:rFonts w:ascii="黑体" w:hAnsi="黑体" w:eastAsia="黑体" w:cs="黑体"/>
          <w:color w:val="auto"/>
          <w:sz w:val="31"/>
          <w:szCs w:val="31"/>
          <w:lang w:eastAsia="zh-CN"/>
        </w:rPr>
      </w:pPr>
      <w:bookmarkStart w:id="218" w:name="bookmark220"/>
      <w:bookmarkEnd w:id="218"/>
      <w:bookmarkStart w:id="219" w:name="bookmark224"/>
      <w:bookmarkEnd w:id="219"/>
      <w:bookmarkStart w:id="220" w:name="bookmark222"/>
      <w:bookmarkEnd w:id="220"/>
      <w:bookmarkStart w:id="221" w:name="bookmark221"/>
      <w:bookmarkEnd w:id="221"/>
      <w:r>
        <w:rPr>
          <w:rFonts w:ascii="黑体" w:hAnsi="黑体" w:eastAsia="黑体" w:cs="黑体"/>
          <w:b/>
          <w:bCs/>
          <w:color w:val="auto"/>
          <w:sz w:val="31"/>
          <w:szCs w:val="31"/>
          <w:lang w:eastAsia="zh-CN"/>
        </w:rPr>
        <w:t>3.监理人</w:t>
      </w:r>
    </w:p>
    <w:p>
      <w:pPr>
        <w:pStyle w:val="3"/>
        <w:spacing w:line="26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22" w:name="bookmark223"/>
      <w:bookmarkEnd w:id="222"/>
      <w:r>
        <w:rPr>
          <w:rFonts w:ascii="黑体" w:hAnsi="黑体" w:eastAsia="黑体" w:cs="黑体"/>
          <w:color w:val="auto"/>
          <w:spacing w:val="-1"/>
          <w:sz w:val="28"/>
          <w:szCs w:val="28"/>
          <w:lang w:eastAsia="zh-CN"/>
        </w:rPr>
        <w:t>3.1 监理人的职责和权力</w:t>
      </w:r>
    </w:p>
    <w:p>
      <w:pPr>
        <w:spacing w:before="280" w:line="299" w:lineRule="auto"/>
        <w:ind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3.1.1 监理人受发包人委托，享有合同约定的权力。监理人在行使某项权力前需要经发包人</w:t>
      </w:r>
      <w:r>
        <w:rPr>
          <w:rFonts w:ascii="宋体" w:hAnsi="宋体" w:eastAsia="宋体" w:cs="宋体"/>
          <w:color w:val="auto"/>
          <w:spacing w:val="9"/>
          <w:sz w:val="20"/>
          <w:szCs w:val="20"/>
          <w:lang w:eastAsia="zh-CN"/>
        </w:rPr>
        <w:t>事先批准而通用合同条款没有指明的，应在专用合同条款中指明。</w:t>
      </w:r>
    </w:p>
    <w:p>
      <w:pPr>
        <w:spacing w:before="152" w:line="299" w:lineRule="auto"/>
        <w:ind w:left="5"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3.1.2 监理人发出的任何指示应视为已得到发包人的批准，但监理人无权免除或变更合同约定的发包人和承包人的权利、义务和责任。</w:t>
      </w:r>
    </w:p>
    <w:p>
      <w:pPr>
        <w:spacing w:before="155" w:line="297" w:lineRule="auto"/>
        <w:ind w:left="1" w:firstLine="422"/>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3.1.3 合同约定应由承包人承担的义务和责任，不因监理人对承包人提交文件的审查或批</w:t>
      </w:r>
      <w:r>
        <w:rPr>
          <w:rFonts w:ascii="宋体" w:hAnsi="宋体" w:eastAsia="宋体" w:cs="宋体"/>
          <w:color w:val="auto"/>
          <w:spacing w:val="8"/>
          <w:sz w:val="20"/>
          <w:szCs w:val="20"/>
          <w:lang w:eastAsia="zh-CN"/>
        </w:rPr>
        <w:t>准，对工程、材料和设备的检查和检验，以及为实施监理作出的指示等职务行为而减</w:t>
      </w:r>
      <w:r>
        <w:rPr>
          <w:rFonts w:ascii="宋体" w:hAnsi="宋体" w:eastAsia="宋体" w:cs="宋体"/>
          <w:color w:val="auto"/>
          <w:spacing w:val="7"/>
          <w:sz w:val="20"/>
          <w:szCs w:val="20"/>
          <w:lang w:eastAsia="zh-CN"/>
        </w:rPr>
        <w:t>轻或解除。</w:t>
      </w:r>
    </w:p>
    <w:p>
      <w:pPr>
        <w:spacing w:before="252" w:line="222" w:lineRule="auto"/>
        <w:ind w:left="2"/>
        <w:outlineLvl w:val="2"/>
        <w:rPr>
          <w:rFonts w:ascii="黑体" w:hAnsi="黑体" w:eastAsia="黑体" w:cs="黑体"/>
          <w:color w:val="auto"/>
          <w:sz w:val="28"/>
          <w:szCs w:val="28"/>
          <w:lang w:eastAsia="zh-CN"/>
        </w:rPr>
      </w:pPr>
      <w:bookmarkStart w:id="223" w:name="bookmark225"/>
      <w:bookmarkEnd w:id="223"/>
      <w:bookmarkStart w:id="224" w:name="bookmark226"/>
      <w:bookmarkEnd w:id="224"/>
      <w:r>
        <w:rPr>
          <w:rFonts w:ascii="黑体" w:hAnsi="黑体" w:eastAsia="黑体" w:cs="黑体"/>
          <w:color w:val="auto"/>
          <w:spacing w:val="-1"/>
          <w:sz w:val="28"/>
          <w:szCs w:val="28"/>
          <w:lang w:eastAsia="zh-CN"/>
        </w:rPr>
        <w:t>3.2 总监理工程师</w:t>
      </w:r>
    </w:p>
    <w:p>
      <w:pPr>
        <w:spacing w:before="279"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发包人应在发出开工通知前将总监理工程师的任命通知承包人。总监理</w:t>
      </w:r>
      <w:r>
        <w:rPr>
          <w:rFonts w:ascii="宋体" w:hAnsi="宋体" w:eastAsia="宋体" w:cs="宋体"/>
          <w:color w:val="auto"/>
          <w:spacing w:val="8"/>
          <w:sz w:val="20"/>
          <w:szCs w:val="20"/>
          <w:lang w:eastAsia="zh-CN"/>
        </w:rPr>
        <w:t>工程师更换时，应在</w:t>
      </w:r>
      <w:r>
        <w:rPr>
          <w:rFonts w:ascii="宋体" w:hAnsi="宋体" w:eastAsia="宋体" w:cs="宋体"/>
          <w:color w:val="auto"/>
          <w:spacing w:val="10"/>
          <w:sz w:val="20"/>
          <w:szCs w:val="20"/>
          <w:lang w:eastAsia="zh-CN"/>
        </w:rPr>
        <w:t>调离14天前通知承包人。总监理工程师短期离开施工场地的，应委派代表代行其职责，并通知</w:t>
      </w:r>
      <w:r>
        <w:rPr>
          <w:rFonts w:ascii="宋体" w:hAnsi="宋体" w:eastAsia="宋体" w:cs="宋体"/>
          <w:color w:val="auto"/>
          <w:spacing w:val="5"/>
          <w:sz w:val="20"/>
          <w:szCs w:val="20"/>
          <w:lang w:eastAsia="zh-CN"/>
        </w:rPr>
        <w:t>承包人。</w:t>
      </w:r>
    </w:p>
    <w:p>
      <w:pPr>
        <w:spacing w:before="126" w:line="222" w:lineRule="auto"/>
        <w:ind w:left="2"/>
        <w:outlineLvl w:val="2"/>
        <w:rPr>
          <w:rFonts w:ascii="黑体" w:hAnsi="黑体" w:eastAsia="黑体" w:cs="黑体"/>
          <w:color w:val="auto"/>
          <w:sz w:val="28"/>
          <w:szCs w:val="28"/>
          <w:lang w:eastAsia="zh-CN"/>
        </w:rPr>
      </w:pPr>
      <w:bookmarkStart w:id="225" w:name="bookmark228"/>
      <w:bookmarkEnd w:id="225"/>
      <w:bookmarkStart w:id="226" w:name="bookmark227"/>
      <w:bookmarkEnd w:id="226"/>
      <w:r>
        <w:rPr>
          <w:rFonts w:ascii="黑体" w:hAnsi="黑体" w:eastAsia="黑体" w:cs="黑体"/>
          <w:color w:val="auto"/>
          <w:spacing w:val="-2"/>
          <w:sz w:val="28"/>
          <w:szCs w:val="28"/>
          <w:lang w:eastAsia="zh-CN"/>
        </w:rPr>
        <w:t>3.3 监理人员</w:t>
      </w:r>
    </w:p>
    <w:p>
      <w:pPr>
        <w:spacing w:before="281" w:line="355" w:lineRule="auto"/>
        <w:ind w:left="2"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3.3.1 总监理工程师可以授权其他监理人员负责执行其指派的一项或多项监理工作。总监理</w:t>
      </w:r>
      <w:r>
        <w:rPr>
          <w:rFonts w:ascii="宋体" w:hAnsi="宋体" w:eastAsia="宋体" w:cs="宋体"/>
          <w:color w:val="auto"/>
          <w:spacing w:val="9"/>
          <w:sz w:val="20"/>
          <w:szCs w:val="20"/>
          <w:lang w:eastAsia="zh-CN"/>
        </w:rPr>
        <w:t>工程师应将被授权监理人员的姓名及其授权范围通知承包人。被授权的监理人员在</w:t>
      </w:r>
      <w:r>
        <w:rPr>
          <w:rFonts w:ascii="宋体" w:hAnsi="宋体" w:eastAsia="宋体" w:cs="宋体"/>
          <w:color w:val="auto"/>
          <w:spacing w:val="8"/>
          <w:sz w:val="20"/>
          <w:szCs w:val="20"/>
          <w:lang w:eastAsia="zh-CN"/>
        </w:rPr>
        <w:t>授权范围内发</w:t>
      </w:r>
    </w:p>
    <w:p>
      <w:pPr>
        <w:spacing w:line="355" w:lineRule="auto"/>
        <w:rPr>
          <w:rFonts w:ascii="宋体" w:hAnsi="宋体" w:eastAsia="宋体" w:cs="宋体"/>
          <w:color w:val="auto"/>
          <w:sz w:val="20"/>
          <w:szCs w:val="20"/>
          <w:lang w:eastAsia="zh-CN"/>
        </w:rPr>
        <w:sectPr>
          <w:footerReference r:id="rId49" w:type="default"/>
          <w:pgSz w:w="11906" w:h="16839"/>
          <w:pgMar w:top="1431" w:right="1533"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3" w:right="70" w:firstLine="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出的指示视为已得到总监理工程师的同意，与总</w:t>
      </w:r>
      <w:r>
        <w:rPr>
          <w:rFonts w:ascii="宋体" w:hAnsi="宋体" w:eastAsia="宋体" w:cs="宋体"/>
          <w:color w:val="auto"/>
          <w:spacing w:val="8"/>
          <w:sz w:val="20"/>
          <w:szCs w:val="20"/>
          <w:lang w:eastAsia="zh-CN"/>
        </w:rPr>
        <w:t>监理工程师发出的指示具有同等效力。总监理工</w:t>
      </w:r>
      <w:r>
        <w:rPr>
          <w:rFonts w:ascii="宋体" w:hAnsi="宋体" w:eastAsia="宋体" w:cs="宋体"/>
          <w:color w:val="auto"/>
          <w:spacing w:val="9"/>
          <w:sz w:val="20"/>
          <w:szCs w:val="20"/>
          <w:lang w:eastAsia="zh-CN"/>
        </w:rPr>
        <w:t>程师撤销某项授权时，应将撤销授权的决定及时通知承包人。</w:t>
      </w:r>
    </w:p>
    <w:p>
      <w:pPr>
        <w:spacing w:before="31" w:line="322" w:lineRule="auto"/>
        <w:ind w:left="3"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3.3.2 监理人员对承包人的任何工作、工程或其采用的材料和工程设备未在约定的或合理的</w:t>
      </w:r>
      <w:r>
        <w:rPr>
          <w:rFonts w:ascii="宋体" w:hAnsi="宋体" w:eastAsia="宋体" w:cs="宋体"/>
          <w:color w:val="auto"/>
          <w:spacing w:val="9"/>
          <w:sz w:val="20"/>
          <w:szCs w:val="20"/>
          <w:lang w:eastAsia="zh-CN"/>
        </w:rPr>
        <w:t>期限内提出否定意见的，视为已获批准，但不影响监理人在以后拒绝该项工作、工程、材</w:t>
      </w:r>
      <w:r>
        <w:rPr>
          <w:rFonts w:ascii="宋体" w:hAnsi="宋体" w:eastAsia="宋体" w:cs="宋体"/>
          <w:color w:val="auto"/>
          <w:spacing w:val="8"/>
          <w:sz w:val="20"/>
          <w:szCs w:val="20"/>
          <w:lang w:eastAsia="zh-CN"/>
        </w:rPr>
        <w:t>料或工</w:t>
      </w:r>
      <w:r>
        <w:rPr>
          <w:rFonts w:ascii="宋体" w:hAnsi="宋体" w:eastAsia="宋体" w:cs="宋体"/>
          <w:color w:val="auto"/>
          <w:spacing w:val="7"/>
          <w:sz w:val="20"/>
          <w:szCs w:val="20"/>
          <w:lang w:eastAsia="zh-CN"/>
        </w:rPr>
        <w:t>程设备的权利。</w:t>
      </w:r>
    </w:p>
    <w:p>
      <w:pPr>
        <w:spacing w:before="154" w:line="297" w:lineRule="auto"/>
        <w:ind w:left="8"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3.3.3 承包人对总监理工程师授权的监理人员发出的指示有疑问的，可向总监理工程师提出书面异议，总监理工程师应在48小时内对该指示予以确认、更改或撤销。</w:t>
      </w:r>
    </w:p>
    <w:p>
      <w:pPr>
        <w:spacing w:before="154" w:line="299" w:lineRule="auto"/>
        <w:ind w:left="22" w:right="70" w:firstLine="40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3.3.4 除专用合同条款另有约定外，总监理工程师不应将第3.5款约定应由总监理工程师作出确定的权力授权或委托给其他监理人员。</w:t>
      </w:r>
    </w:p>
    <w:p>
      <w:pPr>
        <w:spacing w:before="248" w:line="222" w:lineRule="auto"/>
        <w:ind w:left="7"/>
        <w:outlineLvl w:val="2"/>
        <w:rPr>
          <w:rFonts w:ascii="黑体" w:hAnsi="黑体" w:eastAsia="黑体" w:cs="黑体"/>
          <w:color w:val="auto"/>
          <w:sz w:val="28"/>
          <w:szCs w:val="28"/>
          <w:lang w:eastAsia="zh-CN"/>
        </w:rPr>
      </w:pPr>
      <w:bookmarkStart w:id="227" w:name="bookmark229"/>
      <w:bookmarkEnd w:id="227"/>
      <w:bookmarkStart w:id="228" w:name="bookmark230"/>
      <w:bookmarkEnd w:id="228"/>
      <w:r>
        <w:rPr>
          <w:rFonts w:ascii="黑体" w:hAnsi="黑体" w:eastAsia="黑体" w:cs="黑体"/>
          <w:color w:val="auto"/>
          <w:spacing w:val="-1"/>
          <w:sz w:val="28"/>
          <w:szCs w:val="28"/>
          <w:lang w:eastAsia="zh-CN"/>
        </w:rPr>
        <w:t>3.4 监理人的指示</w:t>
      </w:r>
    </w:p>
    <w:p>
      <w:pPr>
        <w:spacing w:before="280" w:line="298" w:lineRule="auto"/>
        <w:ind w:left="7" w:right="70" w:firstLine="421"/>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3.4.1 监理人应按第3.1款的约定向承包人发出指示，监理人的指示应盖有监理人授权的施</w:t>
      </w:r>
      <w:r>
        <w:rPr>
          <w:rFonts w:ascii="宋体" w:hAnsi="宋体" w:eastAsia="宋体" w:cs="宋体"/>
          <w:color w:val="auto"/>
          <w:spacing w:val="8"/>
          <w:sz w:val="20"/>
          <w:szCs w:val="20"/>
          <w:lang w:eastAsia="zh-CN"/>
        </w:rPr>
        <w:t>工场地机构章，并由总监理工程师或总监理工程师按第3.3.1项约定授权的监理人员签字。</w:t>
      </w:r>
    </w:p>
    <w:p>
      <w:pPr>
        <w:spacing w:before="153" w:line="228" w:lineRule="auto"/>
        <w:ind w:left="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3.4.2 承包人收到监理人按第3.4.1项作出的指示后应遵照执行。指示构成变更的，应按第</w:t>
      </w:r>
    </w:p>
    <w:p>
      <w:pPr>
        <w:spacing w:before="153" w:line="228" w:lineRule="auto"/>
        <w:ind w:left="20"/>
        <w:rPr>
          <w:rFonts w:ascii="宋体" w:hAnsi="宋体" w:eastAsia="宋体" w:cs="宋体"/>
          <w:color w:val="auto"/>
          <w:sz w:val="20"/>
          <w:szCs w:val="20"/>
          <w:lang w:eastAsia="zh-CN"/>
        </w:rPr>
      </w:pPr>
      <w:r>
        <w:rPr>
          <w:rFonts w:ascii="宋体" w:hAnsi="宋体" w:eastAsia="宋体" w:cs="宋体"/>
          <w:color w:val="auto"/>
          <w:sz w:val="20"/>
          <w:szCs w:val="20"/>
          <w:lang w:eastAsia="zh-CN"/>
        </w:rPr>
        <w:t>15条处理。</w:t>
      </w:r>
    </w:p>
    <w:p>
      <w:pPr>
        <w:spacing w:before="153" w:line="322" w:lineRule="auto"/>
        <w:ind w:left="6" w:right="70"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3.4.3 在紧急情况下，总监理工程师或被授权的监理人员可以当场签发临时书面指示，承包</w:t>
      </w:r>
      <w:r>
        <w:rPr>
          <w:rFonts w:ascii="宋体" w:hAnsi="宋体" w:eastAsia="宋体" w:cs="宋体"/>
          <w:color w:val="auto"/>
          <w:spacing w:val="11"/>
          <w:sz w:val="20"/>
          <w:szCs w:val="20"/>
          <w:lang w:eastAsia="zh-CN"/>
        </w:rPr>
        <w:t>人应遵照执行。承包人应在收到上述临时书</w:t>
      </w:r>
      <w:r>
        <w:rPr>
          <w:rFonts w:ascii="宋体" w:hAnsi="宋体" w:eastAsia="宋体" w:cs="宋体"/>
          <w:color w:val="auto"/>
          <w:spacing w:val="10"/>
          <w:sz w:val="20"/>
          <w:szCs w:val="20"/>
          <w:lang w:eastAsia="zh-CN"/>
        </w:rPr>
        <w:t>面指示后24小时内，向监理人发出书面确认函。监</w:t>
      </w:r>
      <w:r>
        <w:rPr>
          <w:rFonts w:ascii="宋体" w:hAnsi="宋体" w:eastAsia="宋体" w:cs="宋体"/>
          <w:color w:val="auto"/>
          <w:spacing w:val="9"/>
          <w:sz w:val="20"/>
          <w:szCs w:val="20"/>
          <w:lang w:eastAsia="zh-CN"/>
        </w:rPr>
        <w:t>理人在收到书面确认函后24小时内未予答复的，该书</w:t>
      </w:r>
      <w:r>
        <w:rPr>
          <w:rFonts w:ascii="宋体" w:hAnsi="宋体" w:eastAsia="宋体" w:cs="宋体"/>
          <w:color w:val="auto"/>
          <w:spacing w:val="8"/>
          <w:sz w:val="20"/>
          <w:szCs w:val="20"/>
          <w:lang w:eastAsia="zh-CN"/>
        </w:rPr>
        <w:t>面确认函应被视为监理人的正式指示。</w:t>
      </w:r>
    </w:p>
    <w:p>
      <w:pPr>
        <w:spacing w:before="154" w:line="298" w:lineRule="auto"/>
        <w:ind w:left="5" w:right="70"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3.4.4 除合同另有约定外，承包人只从总监理工程师或按第3.3.1项被授权的监理人员处取</w:t>
      </w:r>
      <w:r>
        <w:rPr>
          <w:rFonts w:ascii="宋体" w:hAnsi="宋体" w:eastAsia="宋体" w:cs="宋体"/>
          <w:color w:val="auto"/>
          <w:spacing w:val="4"/>
          <w:sz w:val="20"/>
          <w:szCs w:val="20"/>
          <w:lang w:eastAsia="zh-CN"/>
        </w:rPr>
        <w:t>得指示。</w:t>
      </w:r>
    </w:p>
    <w:p>
      <w:pPr>
        <w:spacing w:before="154" w:line="299" w:lineRule="auto"/>
        <w:ind w:left="14" w:right="70"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3.4.5由于监理人未能按合同约定发出指示、指示延误或指示错误而导致承包人费用增加和</w:t>
      </w:r>
      <w:r>
        <w:rPr>
          <w:rFonts w:ascii="宋体" w:hAnsi="宋体" w:eastAsia="宋体" w:cs="宋体"/>
          <w:color w:val="auto"/>
          <w:spacing w:val="8"/>
          <w:sz w:val="20"/>
          <w:szCs w:val="20"/>
          <w:lang w:eastAsia="zh-CN"/>
        </w:rPr>
        <w:t>（或）工期延误的，由发包人承担赔偿责任。</w:t>
      </w:r>
    </w:p>
    <w:p>
      <w:pPr>
        <w:spacing w:before="249" w:line="222" w:lineRule="auto"/>
        <w:ind w:left="7"/>
        <w:outlineLvl w:val="2"/>
        <w:rPr>
          <w:rFonts w:ascii="黑体" w:hAnsi="黑体" w:eastAsia="黑体" w:cs="黑体"/>
          <w:color w:val="auto"/>
          <w:sz w:val="28"/>
          <w:szCs w:val="28"/>
          <w:lang w:eastAsia="zh-CN"/>
        </w:rPr>
      </w:pPr>
      <w:bookmarkStart w:id="229" w:name="bookmark231"/>
      <w:bookmarkEnd w:id="229"/>
      <w:bookmarkStart w:id="230" w:name="bookmark232"/>
      <w:bookmarkEnd w:id="230"/>
      <w:r>
        <w:rPr>
          <w:rFonts w:ascii="黑体" w:hAnsi="黑体" w:eastAsia="黑体" w:cs="黑体"/>
          <w:color w:val="auto"/>
          <w:spacing w:val="-4"/>
          <w:sz w:val="28"/>
          <w:szCs w:val="28"/>
          <w:lang w:eastAsia="zh-CN"/>
        </w:rPr>
        <w:t>3.5商定或确定</w:t>
      </w:r>
    </w:p>
    <w:p>
      <w:pPr>
        <w:spacing w:before="280" w:line="298" w:lineRule="auto"/>
        <w:ind w:left="5" w:right="71"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3.5.1合同约定总监理工程师应按照本款对任何事项进行商定或确定时，总监理工程师应与合同当事人协商，尽量达成一致。不能达成一致的，总监理工程师应认真研究后审慎确定。</w:t>
      </w:r>
    </w:p>
    <w:p>
      <w:pPr>
        <w:spacing w:before="151" w:line="323" w:lineRule="auto"/>
        <w:ind w:left="3"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3.5.2 总监理工程师应将商定或确定的事项通知合同当事人，并附详细依据。对总监理工程</w:t>
      </w:r>
      <w:r>
        <w:rPr>
          <w:rFonts w:ascii="宋体" w:hAnsi="宋体" w:eastAsia="宋体" w:cs="宋体"/>
          <w:color w:val="auto"/>
          <w:spacing w:val="11"/>
          <w:sz w:val="20"/>
          <w:szCs w:val="20"/>
          <w:lang w:eastAsia="zh-CN"/>
        </w:rPr>
        <w:t>师的确定有异议的，构成争议，按照第24条的约定处理。</w:t>
      </w:r>
      <w:r>
        <w:rPr>
          <w:rFonts w:ascii="宋体" w:hAnsi="宋体" w:eastAsia="宋体" w:cs="宋体"/>
          <w:color w:val="auto"/>
          <w:spacing w:val="10"/>
          <w:sz w:val="20"/>
          <w:szCs w:val="20"/>
          <w:lang w:eastAsia="zh-CN"/>
        </w:rPr>
        <w:t>在争议解决前，双方应暂按总监理工</w:t>
      </w:r>
      <w:r>
        <w:rPr>
          <w:rFonts w:ascii="宋体" w:hAnsi="宋体" w:eastAsia="宋体" w:cs="宋体"/>
          <w:color w:val="auto"/>
          <w:spacing w:val="8"/>
          <w:sz w:val="20"/>
          <w:szCs w:val="20"/>
          <w:lang w:eastAsia="zh-CN"/>
        </w:rPr>
        <w:t>程师的确定执行，按照第24条的约定对总监理</w:t>
      </w:r>
      <w:r>
        <w:rPr>
          <w:rFonts w:ascii="宋体" w:hAnsi="宋体" w:eastAsia="宋体" w:cs="宋体"/>
          <w:color w:val="auto"/>
          <w:spacing w:val="7"/>
          <w:sz w:val="20"/>
          <w:szCs w:val="20"/>
          <w:lang w:eastAsia="zh-CN"/>
        </w:rPr>
        <w:t>工程师的确定作出修改的，按修改后的结果执行。</w:t>
      </w:r>
    </w:p>
    <w:p>
      <w:pPr>
        <w:pStyle w:val="3"/>
        <w:spacing w:line="268" w:lineRule="auto"/>
        <w:rPr>
          <w:color w:val="auto"/>
          <w:lang w:eastAsia="zh-CN"/>
        </w:rPr>
      </w:pPr>
    </w:p>
    <w:p>
      <w:pPr>
        <w:spacing w:before="102" w:line="228" w:lineRule="auto"/>
        <w:outlineLvl w:val="1"/>
        <w:rPr>
          <w:rFonts w:ascii="黑体" w:hAnsi="黑体" w:eastAsia="黑体" w:cs="黑体"/>
          <w:color w:val="auto"/>
          <w:sz w:val="31"/>
          <w:szCs w:val="31"/>
          <w:lang w:eastAsia="zh-CN"/>
        </w:rPr>
      </w:pPr>
      <w:bookmarkStart w:id="231" w:name="bookmark234"/>
      <w:bookmarkEnd w:id="231"/>
      <w:bookmarkStart w:id="232" w:name="bookmark236"/>
      <w:bookmarkEnd w:id="232"/>
      <w:bookmarkStart w:id="233" w:name="bookmark233"/>
      <w:bookmarkEnd w:id="233"/>
      <w:r>
        <w:rPr>
          <w:rFonts w:ascii="黑体" w:hAnsi="黑体" w:eastAsia="黑体" w:cs="黑体"/>
          <w:b/>
          <w:bCs/>
          <w:color w:val="auto"/>
          <w:spacing w:val="2"/>
          <w:sz w:val="31"/>
          <w:szCs w:val="31"/>
          <w:lang w:eastAsia="zh-CN"/>
        </w:rPr>
        <w:t>4.承包人</w:t>
      </w:r>
    </w:p>
    <w:p>
      <w:pPr>
        <w:pStyle w:val="3"/>
        <w:spacing w:line="269"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234" w:name="bookmark235"/>
      <w:bookmarkEnd w:id="234"/>
      <w:r>
        <w:rPr>
          <w:rFonts w:ascii="黑体" w:hAnsi="黑体" w:eastAsia="黑体" w:cs="黑体"/>
          <w:color w:val="auto"/>
          <w:spacing w:val="-1"/>
          <w:sz w:val="28"/>
          <w:szCs w:val="28"/>
          <w:lang w:eastAsia="zh-CN"/>
        </w:rPr>
        <w:t>4.1 承包人的一般义务</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 遵守法律</w:t>
      </w:r>
    </w:p>
    <w:p>
      <w:pPr>
        <w:spacing w:line="228" w:lineRule="auto"/>
        <w:rPr>
          <w:rFonts w:ascii="宋体" w:hAnsi="宋体" w:eastAsia="宋体" w:cs="宋体"/>
          <w:color w:val="auto"/>
          <w:sz w:val="20"/>
          <w:szCs w:val="20"/>
          <w:lang w:eastAsia="zh-CN"/>
        </w:rPr>
        <w:sectPr>
          <w:footerReference r:id="rId50"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right="70"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承包人在履行合同过程中应遵守法律，并保证发包人免于承担因承包人违反法</w:t>
      </w:r>
      <w:r>
        <w:rPr>
          <w:rFonts w:ascii="宋体" w:hAnsi="宋体" w:eastAsia="宋体" w:cs="宋体"/>
          <w:color w:val="auto"/>
          <w:spacing w:val="8"/>
          <w:sz w:val="20"/>
          <w:szCs w:val="20"/>
          <w:lang w:eastAsia="zh-CN"/>
        </w:rPr>
        <w:t>律而引起的任</w:t>
      </w:r>
      <w:r>
        <w:rPr>
          <w:rFonts w:ascii="宋体" w:hAnsi="宋体" w:eastAsia="宋体" w:cs="宋体"/>
          <w:color w:val="auto"/>
          <w:spacing w:val="4"/>
          <w:sz w:val="20"/>
          <w:szCs w:val="20"/>
          <w:lang w:eastAsia="zh-CN"/>
        </w:rPr>
        <w:t>何责任。</w:t>
      </w:r>
    </w:p>
    <w:p>
      <w:pPr>
        <w:spacing w:before="31" w:line="227"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4.1.2 依法纳税</w:t>
      </w:r>
    </w:p>
    <w:p>
      <w:pPr>
        <w:spacing w:before="152" w:line="226"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承包人应按有关法律规定纳税，应缴纳的税金包括在合同价格内。</w:t>
      </w:r>
    </w:p>
    <w:p>
      <w:pPr>
        <w:spacing w:before="155"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4.1.3 完成各项承包工作</w:t>
      </w:r>
    </w:p>
    <w:p>
      <w:pPr>
        <w:spacing w:before="154" w:line="362" w:lineRule="auto"/>
        <w:ind w:left="3"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承包人应按合同约定以及监理人根据第3.4款作出的指示，实施、完成全部工程，并修补工</w:t>
      </w:r>
      <w:r>
        <w:rPr>
          <w:rFonts w:ascii="宋体" w:hAnsi="宋体" w:eastAsia="宋体" w:cs="宋体"/>
          <w:color w:val="auto"/>
          <w:spacing w:val="6"/>
          <w:sz w:val="20"/>
          <w:szCs w:val="20"/>
          <w:lang w:eastAsia="zh-CN"/>
        </w:rPr>
        <w:t>程中的任何缺陷。除专用合同条款另有约定外，承包人应提供为完成合</w:t>
      </w:r>
      <w:r>
        <w:rPr>
          <w:rFonts w:ascii="宋体" w:hAnsi="宋体" w:eastAsia="宋体" w:cs="宋体"/>
          <w:color w:val="auto"/>
          <w:spacing w:val="5"/>
          <w:sz w:val="20"/>
          <w:szCs w:val="20"/>
          <w:lang w:eastAsia="zh-CN"/>
        </w:rPr>
        <w:t>同工作所需的劳务、材料、</w:t>
      </w:r>
      <w:r>
        <w:rPr>
          <w:rFonts w:ascii="宋体" w:hAnsi="宋体" w:eastAsia="宋体" w:cs="宋体"/>
          <w:color w:val="auto"/>
          <w:spacing w:val="9"/>
          <w:sz w:val="20"/>
          <w:szCs w:val="20"/>
          <w:lang w:eastAsia="zh-CN"/>
        </w:rPr>
        <w:t>施工设备、工程设备和其他物品，并按合同约定负责临时设施的设计、建造、运行、维护</w:t>
      </w:r>
      <w:r>
        <w:rPr>
          <w:rFonts w:ascii="宋体" w:hAnsi="宋体" w:eastAsia="宋体" w:cs="宋体"/>
          <w:color w:val="auto"/>
          <w:spacing w:val="8"/>
          <w:sz w:val="20"/>
          <w:szCs w:val="20"/>
          <w:lang w:eastAsia="zh-CN"/>
        </w:rPr>
        <w:t>、管理</w:t>
      </w:r>
      <w:r>
        <w:rPr>
          <w:rFonts w:ascii="宋体" w:hAnsi="宋体" w:eastAsia="宋体" w:cs="宋体"/>
          <w:color w:val="auto"/>
          <w:spacing w:val="5"/>
          <w:sz w:val="20"/>
          <w:szCs w:val="20"/>
          <w:lang w:eastAsia="zh-CN"/>
        </w:rPr>
        <w:t>和拆除。</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4.1.4 对施工作业和施工方法的完备性负责</w:t>
      </w:r>
    </w:p>
    <w:p>
      <w:pPr>
        <w:spacing w:before="155" w:line="355" w:lineRule="auto"/>
        <w:ind w:left="4"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承包人应按合同约定的工作内容和施工进度要求，编制施工组织设计和施工措施</w:t>
      </w:r>
      <w:r>
        <w:rPr>
          <w:rFonts w:ascii="宋体" w:hAnsi="宋体" w:eastAsia="宋体" w:cs="宋体"/>
          <w:color w:val="auto"/>
          <w:spacing w:val="8"/>
          <w:sz w:val="20"/>
          <w:szCs w:val="20"/>
          <w:lang w:eastAsia="zh-CN"/>
        </w:rPr>
        <w:t>计划，并对</w:t>
      </w:r>
      <w:r>
        <w:rPr>
          <w:rFonts w:ascii="宋体" w:hAnsi="宋体" w:eastAsia="宋体" w:cs="宋体"/>
          <w:color w:val="auto"/>
          <w:spacing w:val="9"/>
          <w:sz w:val="20"/>
          <w:szCs w:val="20"/>
          <w:lang w:eastAsia="zh-CN"/>
        </w:rPr>
        <w:t>所有施工作业和施工方法的完备性和安全可靠性负责。</w:t>
      </w:r>
    </w:p>
    <w:p>
      <w:pPr>
        <w:spacing w:before="30"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4.1.5 保证工程施工和人员的安全</w:t>
      </w:r>
    </w:p>
    <w:p>
      <w:pPr>
        <w:spacing w:before="154" w:line="355" w:lineRule="auto"/>
        <w:ind w:left="17" w:right="16" w:firstLine="40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承包人应按第9.2款约定采取施工安全措施，确保工程及其人员、材料、设备和设施的安全，</w:t>
      </w:r>
      <w:r>
        <w:rPr>
          <w:rFonts w:ascii="宋体" w:hAnsi="宋体" w:eastAsia="宋体" w:cs="宋体"/>
          <w:color w:val="auto"/>
          <w:spacing w:val="8"/>
          <w:sz w:val="20"/>
          <w:szCs w:val="20"/>
          <w:lang w:eastAsia="zh-CN"/>
        </w:rPr>
        <w:t>防止因工程施工造成的人身伤害和财产损失。</w:t>
      </w:r>
    </w:p>
    <w:p>
      <w:pPr>
        <w:spacing w:before="29"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4.1.6 负责施工场地及其周边环境与生态的保护工作</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承包人应按照第9.4款约定负责施工场地及其周边环境与生态的保护工作。</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4.1.7 避免施工对公众与他人的利益造成损害</w:t>
      </w:r>
    </w:p>
    <w:p>
      <w:pPr>
        <w:spacing w:before="152" w:line="360" w:lineRule="auto"/>
        <w:ind w:left="15" w:right="70" w:firstLine="40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承包人在进行合同约定的各项工作时，不得侵害发包人与他人使用公用道路、水</w:t>
      </w:r>
      <w:r>
        <w:rPr>
          <w:rFonts w:ascii="宋体" w:hAnsi="宋体" w:eastAsia="宋体" w:cs="宋体"/>
          <w:color w:val="auto"/>
          <w:spacing w:val="8"/>
          <w:sz w:val="20"/>
          <w:szCs w:val="20"/>
          <w:lang w:eastAsia="zh-CN"/>
        </w:rPr>
        <w:t>源、市政管</w:t>
      </w:r>
      <w:r>
        <w:rPr>
          <w:rFonts w:ascii="宋体" w:hAnsi="宋体" w:eastAsia="宋体" w:cs="宋体"/>
          <w:color w:val="auto"/>
          <w:spacing w:val="9"/>
          <w:sz w:val="20"/>
          <w:szCs w:val="20"/>
          <w:lang w:eastAsia="zh-CN"/>
        </w:rPr>
        <w:t>网等公共设施的权利，避免对邻近的公共设施产生干扰。承包人</w:t>
      </w:r>
      <w:r>
        <w:rPr>
          <w:rFonts w:ascii="宋体" w:hAnsi="宋体" w:eastAsia="宋体" w:cs="宋体"/>
          <w:color w:val="auto"/>
          <w:spacing w:val="8"/>
          <w:sz w:val="20"/>
          <w:szCs w:val="20"/>
          <w:lang w:eastAsia="zh-CN"/>
        </w:rPr>
        <w:t>占用或使用他人的施工场地，影响他人作业或生活的，应承担相应责任。</w:t>
      </w:r>
    </w:p>
    <w:p>
      <w:pPr>
        <w:spacing w:before="29" w:line="227"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4.1.8 为他人提供方便</w:t>
      </w:r>
    </w:p>
    <w:p>
      <w:pPr>
        <w:spacing w:before="156" w:line="359" w:lineRule="auto"/>
        <w:ind w:left="9" w:right="68" w:firstLine="414"/>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承包人应按监理人的指示为他人在施工场地或附近实施与工程有关的其他各项工作提供可</w:t>
      </w:r>
      <w:r>
        <w:rPr>
          <w:rFonts w:ascii="宋体" w:hAnsi="宋体" w:eastAsia="宋体" w:cs="宋体"/>
          <w:color w:val="auto"/>
          <w:spacing w:val="8"/>
          <w:sz w:val="20"/>
          <w:szCs w:val="20"/>
          <w:lang w:eastAsia="zh-CN"/>
        </w:rPr>
        <w:t>能的条件。除合同另有约定外，提供有关条件的内容和可能发生的费用，由监理人按第3.5</w:t>
      </w:r>
      <w:r>
        <w:rPr>
          <w:rFonts w:ascii="宋体" w:hAnsi="宋体" w:eastAsia="宋体" w:cs="宋体"/>
          <w:color w:val="auto"/>
          <w:spacing w:val="7"/>
          <w:sz w:val="20"/>
          <w:szCs w:val="20"/>
          <w:lang w:eastAsia="zh-CN"/>
        </w:rPr>
        <w:t>款商</w:t>
      </w:r>
      <w:r>
        <w:rPr>
          <w:rFonts w:ascii="宋体" w:hAnsi="宋体" w:eastAsia="宋体" w:cs="宋体"/>
          <w:color w:val="auto"/>
          <w:spacing w:val="4"/>
          <w:sz w:val="20"/>
          <w:szCs w:val="20"/>
          <w:lang w:eastAsia="zh-CN"/>
        </w:rPr>
        <w:t>定或确定。</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4.1.9 工程的维护和照管</w:t>
      </w:r>
    </w:p>
    <w:p>
      <w:pPr>
        <w:spacing w:before="155" w:line="353" w:lineRule="auto"/>
        <w:ind w:left="7" w:right="70"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工程接收证书颁发前，承包人应负责照管和维护工程。工程接收证书颁发</w:t>
      </w:r>
      <w:r>
        <w:rPr>
          <w:rFonts w:ascii="宋体" w:hAnsi="宋体" w:eastAsia="宋体" w:cs="宋体"/>
          <w:color w:val="auto"/>
          <w:spacing w:val="8"/>
          <w:sz w:val="20"/>
          <w:szCs w:val="20"/>
          <w:lang w:eastAsia="zh-CN"/>
        </w:rPr>
        <w:t>时尚有部分未竣工</w:t>
      </w:r>
      <w:r>
        <w:rPr>
          <w:rFonts w:ascii="宋体" w:hAnsi="宋体" w:eastAsia="宋体" w:cs="宋体"/>
          <w:color w:val="auto"/>
          <w:spacing w:val="9"/>
          <w:sz w:val="20"/>
          <w:szCs w:val="20"/>
          <w:lang w:eastAsia="zh-CN"/>
        </w:rPr>
        <w:t>工程的，承包人还应负责该未竣工工程的照管和维护工作，直至竣工后移交给发包人为止。</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4.1.10 其他义务</w:t>
      </w:r>
    </w:p>
    <w:p>
      <w:pPr>
        <w:spacing w:before="154"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承包人应履行合同约定的其他义务。</w:t>
      </w:r>
    </w:p>
    <w:p>
      <w:pPr>
        <w:spacing w:before="249" w:line="222" w:lineRule="auto"/>
        <w:outlineLvl w:val="2"/>
        <w:rPr>
          <w:rFonts w:ascii="黑体" w:hAnsi="黑体" w:eastAsia="黑体" w:cs="黑体"/>
          <w:color w:val="auto"/>
          <w:sz w:val="28"/>
          <w:szCs w:val="28"/>
          <w:lang w:eastAsia="zh-CN"/>
        </w:rPr>
      </w:pPr>
      <w:bookmarkStart w:id="235" w:name="bookmark238"/>
      <w:bookmarkEnd w:id="235"/>
      <w:bookmarkStart w:id="236" w:name="bookmark237"/>
      <w:bookmarkEnd w:id="236"/>
      <w:r>
        <w:rPr>
          <w:rFonts w:ascii="黑体" w:hAnsi="黑体" w:eastAsia="黑体" w:cs="黑体"/>
          <w:color w:val="auto"/>
          <w:spacing w:val="-1"/>
          <w:sz w:val="28"/>
          <w:szCs w:val="28"/>
          <w:lang w:eastAsia="zh-CN"/>
        </w:rPr>
        <w:t>4.2 履约担保</w:t>
      </w:r>
    </w:p>
    <w:p>
      <w:pPr>
        <w:spacing w:before="279"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承包人应保证其履约担保在发包人颁发工程接收证书前一直有效。发包人应在</w:t>
      </w:r>
      <w:r>
        <w:rPr>
          <w:rFonts w:ascii="宋体" w:hAnsi="宋体" w:eastAsia="宋体" w:cs="宋体"/>
          <w:color w:val="auto"/>
          <w:spacing w:val="8"/>
          <w:sz w:val="20"/>
          <w:szCs w:val="20"/>
          <w:lang w:eastAsia="zh-CN"/>
        </w:rPr>
        <w:t>工程接收证书</w:t>
      </w:r>
    </w:p>
    <w:p>
      <w:pPr>
        <w:spacing w:line="227" w:lineRule="auto"/>
        <w:rPr>
          <w:rFonts w:ascii="宋体" w:hAnsi="宋体" w:eastAsia="宋体" w:cs="宋体"/>
          <w:color w:val="auto"/>
          <w:sz w:val="20"/>
          <w:szCs w:val="20"/>
          <w:lang w:eastAsia="zh-CN"/>
        </w:rPr>
        <w:sectPr>
          <w:footerReference r:id="rId51"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颁发后28天内把履约担保退还给承包人。</w:t>
      </w:r>
    </w:p>
    <w:p>
      <w:pPr>
        <w:spacing w:before="137" w:line="239" w:lineRule="auto"/>
        <w:outlineLvl w:val="2"/>
        <w:rPr>
          <w:rFonts w:ascii="楷体" w:hAnsi="楷体" w:eastAsia="楷体" w:cs="楷体"/>
          <w:color w:val="auto"/>
          <w:sz w:val="20"/>
          <w:szCs w:val="20"/>
          <w:lang w:eastAsia="zh-CN"/>
        </w:rPr>
      </w:pPr>
      <w:bookmarkStart w:id="237" w:name="bookmark239"/>
      <w:bookmarkEnd w:id="237"/>
      <w:bookmarkStart w:id="238" w:name="bookmark240"/>
      <w:bookmarkEnd w:id="238"/>
      <w:r>
        <w:rPr>
          <w:rFonts w:ascii="楷体" w:hAnsi="楷体" w:eastAsia="楷体" w:cs="楷体"/>
          <w:b/>
          <w:bCs/>
          <w:color w:val="auto"/>
          <w:spacing w:val="2"/>
          <w:sz w:val="20"/>
          <w:szCs w:val="20"/>
          <w:lang w:eastAsia="zh-CN"/>
        </w:rPr>
        <w:t>4.3分包</w:t>
      </w:r>
    </w:p>
    <w:p>
      <w:pPr>
        <w:spacing w:before="136" w:line="299" w:lineRule="auto"/>
        <w:ind w:left="22" w:right="54" w:firstLine="40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4.3.1 承包人不得将其承包的全部工程转包给第三人，或将其承包的全部工程肢解后以分包</w:t>
      </w:r>
      <w:r>
        <w:rPr>
          <w:rFonts w:ascii="宋体" w:hAnsi="宋体" w:eastAsia="宋体" w:cs="宋体"/>
          <w:color w:val="auto"/>
          <w:spacing w:val="6"/>
          <w:sz w:val="20"/>
          <w:szCs w:val="20"/>
          <w:lang w:eastAsia="zh-CN"/>
        </w:rPr>
        <w:t>的名义转包给第三人。</w:t>
      </w:r>
    </w:p>
    <w:p>
      <w:pPr>
        <w:spacing w:before="153" w:line="298" w:lineRule="auto"/>
        <w:ind w:left="7" w:right="54"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4.3.2 承包人不得将工程主体、关键性工作分包给第三人。除专用合同条款另有约定外，未</w:t>
      </w:r>
      <w:r>
        <w:rPr>
          <w:rFonts w:ascii="宋体" w:hAnsi="宋体" w:eastAsia="宋体" w:cs="宋体"/>
          <w:color w:val="auto"/>
          <w:spacing w:val="9"/>
          <w:sz w:val="20"/>
          <w:szCs w:val="20"/>
          <w:lang w:eastAsia="zh-CN"/>
        </w:rPr>
        <w:t>经发包人同意，承包人不得将工程的其他部分或工作分包给第三人。</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4.3.3 分包人的资格能力应与其分包工程的标准和规模相适应。</w:t>
      </w:r>
    </w:p>
    <w:p>
      <w:pPr>
        <w:spacing w:before="154" w:line="227" w:lineRule="auto"/>
        <w:ind w:left="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4.3.4 按投标函附录约定分包工程的，承包人应向发包人和监</w:t>
      </w:r>
      <w:r>
        <w:rPr>
          <w:rFonts w:ascii="宋体" w:hAnsi="宋体" w:eastAsia="宋体" w:cs="宋体"/>
          <w:color w:val="auto"/>
          <w:spacing w:val="8"/>
          <w:sz w:val="20"/>
          <w:szCs w:val="20"/>
          <w:lang w:eastAsia="zh-CN"/>
        </w:rPr>
        <w:t>理人提交分包合同副本。</w:t>
      </w:r>
    </w:p>
    <w:p>
      <w:pPr>
        <w:spacing w:before="153" w:line="228" w:lineRule="auto"/>
        <w:ind w:left="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4.3.5 承包人应与分包人就分包工程向发包人承担连带责任。</w:t>
      </w:r>
    </w:p>
    <w:p>
      <w:pPr>
        <w:spacing w:before="251" w:line="222" w:lineRule="auto"/>
        <w:outlineLvl w:val="2"/>
        <w:rPr>
          <w:rFonts w:ascii="黑体" w:hAnsi="黑体" w:eastAsia="黑体" w:cs="黑体"/>
          <w:color w:val="auto"/>
          <w:sz w:val="28"/>
          <w:szCs w:val="28"/>
          <w:lang w:eastAsia="zh-CN"/>
        </w:rPr>
      </w:pPr>
      <w:bookmarkStart w:id="239" w:name="bookmark241"/>
      <w:bookmarkEnd w:id="239"/>
      <w:bookmarkStart w:id="240" w:name="bookmark242"/>
      <w:bookmarkEnd w:id="240"/>
      <w:r>
        <w:rPr>
          <w:rFonts w:ascii="黑体" w:hAnsi="黑体" w:eastAsia="黑体" w:cs="黑体"/>
          <w:color w:val="auto"/>
          <w:spacing w:val="-1"/>
          <w:sz w:val="28"/>
          <w:szCs w:val="28"/>
          <w:lang w:eastAsia="zh-CN"/>
        </w:rPr>
        <w:t>4.4 联合体</w:t>
      </w:r>
    </w:p>
    <w:p>
      <w:pPr>
        <w:spacing w:before="278"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4.4.1 联合体各方应共同与发包人签订合同协议书。联合体各方应为履行合同承担连带责</w:t>
      </w:r>
      <w:r>
        <w:rPr>
          <w:rFonts w:ascii="宋体" w:hAnsi="宋体" w:eastAsia="宋体" w:cs="宋体"/>
          <w:color w:val="auto"/>
          <w:sz w:val="20"/>
          <w:szCs w:val="20"/>
          <w:lang w:eastAsia="zh-CN"/>
        </w:rPr>
        <w:t>任。</w:t>
      </w:r>
    </w:p>
    <w:p>
      <w:pPr>
        <w:spacing w:before="154" w:line="299" w:lineRule="auto"/>
        <w:ind w:left="6" w:right="54"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4.4.2 联合体协议经发包人确认后作为合同附件。在履行合同过程中，未经发包人同意，不</w:t>
      </w:r>
      <w:r>
        <w:rPr>
          <w:rFonts w:ascii="宋体" w:hAnsi="宋体" w:eastAsia="宋体" w:cs="宋体"/>
          <w:color w:val="auto"/>
          <w:spacing w:val="7"/>
          <w:sz w:val="20"/>
          <w:szCs w:val="20"/>
          <w:lang w:eastAsia="zh-CN"/>
        </w:rPr>
        <w:t>得修改联合体协议。</w:t>
      </w:r>
    </w:p>
    <w:p>
      <w:pPr>
        <w:spacing w:before="152" w:line="299" w:lineRule="auto"/>
        <w:ind w:left="8" w:right="54"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4.4.3 联合体牵头人负责与发包人和监理人联系，并接受指示，负责组织联合体各成员全面</w:t>
      </w:r>
      <w:r>
        <w:rPr>
          <w:rFonts w:ascii="宋体" w:hAnsi="宋体" w:eastAsia="宋体" w:cs="宋体"/>
          <w:color w:val="auto"/>
          <w:spacing w:val="5"/>
          <w:sz w:val="20"/>
          <w:szCs w:val="20"/>
          <w:lang w:eastAsia="zh-CN"/>
        </w:rPr>
        <w:t>履行合同。</w:t>
      </w:r>
    </w:p>
    <w:p>
      <w:pPr>
        <w:spacing w:before="248" w:line="222" w:lineRule="auto"/>
        <w:outlineLvl w:val="2"/>
        <w:rPr>
          <w:rFonts w:ascii="黑体" w:hAnsi="黑体" w:eastAsia="黑体" w:cs="黑体"/>
          <w:color w:val="auto"/>
          <w:sz w:val="28"/>
          <w:szCs w:val="28"/>
          <w:lang w:eastAsia="zh-CN"/>
        </w:rPr>
      </w:pPr>
      <w:bookmarkStart w:id="241" w:name="bookmark243"/>
      <w:bookmarkEnd w:id="241"/>
      <w:bookmarkStart w:id="242" w:name="bookmark244"/>
      <w:bookmarkEnd w:id="242"/>
      <w:r>
        <w:rPr>
          <w:rFonts w:ascii="黑体" w:hAnsi="黑体" w:eastAsia="黑体" w:cs="黑体"/>
          <w:color w:val="auto"/>
          <w:spacing w:val="-1"/>
          <w:sz w:val="28"/>
          <w:szCs w:val="28"/>
          <w:lang w:eastAsia="zh-CN"/>
        </w:rPr>
        <w:t>4.5 承包人项目经理</w:t>
      </w:r>
    </w:p>
    <w:p>
      <w:pPr>
        <w:spacing w:before="278" w:line="323"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4.5.1承包人应按合同约定指派项目经理，并在约定的期限内到职。承包人更换项目经理应</w:t>
      </w:r>
      <w:r>
        <w:rPr>
          <w:rFonts w:ascii="宋体" w:hAnsi="宋体" w:eastAsia="宋体" w:cs="宋体"/>
          <w:color w:val="auto"/>
          <w:spacing w:val="10"/>
          <w:sz w:val="20"/>
          <w:szCs w:val="20"/>
          <w:lang w:eastAsia="zh-CN"/>
        </w:rPr>
        <w:t>事先征得发包人同意，并应在更换14天前通知发包人和监理人。承包人项目经理短期离开施工</w:t>
      </w:r>
      <w:r>
        <w:rPr>
          <w:rFonts w:ascii="宋体" w:hAnsi="宋体" w:eastAsia="宋体" w:cs="宋体"/>
          <w:color w:val="auto"/>
          <w:spacing w:val="9"/>
          <w:sz w:val="20"/>
          <w:szCs w:val="20"/>
          <w:lang w:eastAsia="zh-CN"/>
        </w:rPr>
        <w:t>场地，应事先征得监理人同意，并委派代表代行其职责。</w:t>
      </w:r>
    </w:p>
    <w:p>
      <w:pPr>
        <w:spacing w:before="152" w:line="322"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4.5.2 承包人项目经理应按合同约定</w:t>
      </w:r>
      <w:r>
        <w:rPr>
          <w:rFonts w:ascii="宋体" w:hAnsi="宋体" w:eastAsia="宋体" w:cs="宋体"/>
          <w:color w:val="auto"/>
          <w:spacing w:val="7"/>
          <w:sz w:val="20"/>
          <w:szCs w:val="20"/>
          <w:lang w:eastAsia="zh-CN"/>
        </w:rPr>
        <w:t>以及监理人按第3.4款作出的指示，负责组织合同工程</w:t>
      </w:r>
      <w:r>
        <w:rPr>
          <w:rFonts w:ascii="宋体" w:hAnsi="宋体" w:eastAsia="宋体" w:cs="宋体"/>
          <w:color w:val="auto"/>
          <w:spacing w:val="9"/>
          <w:sz w:val="20"/>
          <w:szCs w:val="20"/>
          <w:lang w:eastAsia="zh-CN"/>
        </w:rPr>
        <w:t>的实施。在情况紧急且无法与监理人取得联系时，可采取保证工程和人员生命财产安全的</w:t>
      </w:r>
      <w:r>
        <w:rPr>
          <w:rFonts w:ascii="宋体" w:hAnsi="宋体" w:eastAsia="宋体" w:cs="宋体"/>
          <w:color w:val="auto"/>
          <w:spacing w:val="8"/>
          <w:sz w:val="20"/>
          <w:szCs w:val="20"/>
          <w:lang w:eastAsia="zh-CN"/>
        </w:rPr>
        <w:t>紧急措施，并在采取措施后24小时内向监理人提交</w:t>
      </w:r>
      <w:r>
        <w:rPr>
          <w:rFonts w:ascii="宋体" w:hAnsi="宋体" w:eastAsia="宋体" w:cs="宋体"/>
          <w:color w:val="auto"/>
          <w:spacing w:val="7"/>
          <w:sz w:val="20"/>
          <w:szCs w:val="20"/>
          <w:lang w:eastAsia="zh-CN"/>
        </w:rPr>
        <w:t>书面报告。</w:t>
      </w:r>
    </w:p>
    <w:p>
      <w:pPr>
        <w:spacing w:before="153" w:line="299" w:lineRule="auto"/>
        <w:ind w:left="5"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4.5.3承包人为履行合同发出的一切函件均应盖有承包人授权的施工场地管理机构章，并由</w:t>
      </w:r>
      <w:r>
        <w:rPr>
          <w:rFonts w:ascii="宋体" w:hAnsi="宋体" w:eastAsia="宋体" w:cs="宋体"/>
          <w:color w:val="auto"/>
          <w:spacing w:val="8"/>
          <w:sz w:val="20"/>
          <w:szCs w:val="20"/>
          <w:lang w:eastAsia="zh-CN"/>
        </w:rPr>
        <w:t>承包人项目经理或其授权代表签字。</w:t>
      </w:r>
    </w:p>
    <w:p>
      <w:pPr>
        <w:spacing w:before="153" w:line="298" w:lineRule="auto"/>
        <w:ind w:left="4"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4.5.4 承包人项目经理可以授权其下属人员履行其某项职责，但事先应将这些人员的姓名和授权范围通知监理人。</w:t>
      </w:r>
    </w:p>
    <w:p>
      <w:pPr>
        <w:spacing w:before="250" w:line="222" w:lineRule="auto"/>
        <w:outlineLvl w:val="2"/>
        <w:rPr>
          <w:rFonts w:ascii="黑体" w:hAnsi="黑体" w:eastAsia="黑体" w:cs="黑体"/>
          <w:color w:val="auto"/>
          <w:sz w:val="28"/>
          <w:szCs w:val="28"/>
          <w:lang w:eastAsia="zh-CN"/>
        </w:rPr>
      </w:pPr>
      <w:bookmarkStart w:id="243" w:name="bookmark246"/>
      <w:bookmarkEnd w:id="243"/>
      <w:bookmarkStart w:id="244" w:name="bookmark245"/>
      <w:bookmarkEnd w:id="244"/>
      <w:r>
        <w:rPr>
          <w:rFonts w:ascii="黑体" w:hAnsi="黑体" w:eastAsia="黑体" w:cs="黑体"/>
          <w:color w:val="auto"/>
          <w:spacing w:val="-1"/>
          <w:sz w:val="28"/>
          <w:szCs w:val="28"/>
          <w:lang w:eastAsia="zh-CN"/>
        </w:rPr>
        <w:t>4.6 承包人人员的管理</w:t>
      </w:r>
    </w:p>
    <w:p>
      <w:pPr>
        <w:spacing w:before="279" w:line="359"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4.6.1 承包人应在接到开工通知后28天内，向监理人提交承包人在施工场</w:t>
      </w:r>
      <w:r>
        <w:rPr>
          <w:rFonts w:ascii="宋体" w:hAnsi="宋体" w:eastAsia="宋体" w:cs="宋体"/>
          <w:color w:val="auto"/>
          <w:spacing w:val="9"/>
          <w:sz w:val="20"/>
          <w:szCs w:val="20"/>
          <w:lang w:eastAsia="zh-CN"/>
        </w:rPr>
        <w:t>地的管理机构以</w:t>
      </w:r>
      <w:r>
        <w:rPr>
          <w:rFonts w:ascii="宋体" w:hAnsi="宋体" w:eastAsia="宋体" w:cs="宋体"/>
          <w:color w:val="auto"/>
          <w:spacing w:val="5"/>
          <w:sz w:val="20"/>
          <w:szCs w:val="20"/>
          <w:lang w:eastAsia="zh-CN"/>
        </w:rPr>
        <w:t>及人员安排的报告，其内容应包括管理机构的设置、各主要岗位的技术和管理人员名单及其资格，</w:t>
      </w:r>
      <w:r>
        <w:rPr>
          <w:rFonts w:ascii="宋体" w:hAnsi="宋体" w:eastAsia="宋体" w:cs="宋体"/>
          <w:color w:val="auto"/>
          <w:spacing w:val="9"/>
          <w:sz w:val="20"/>
          <w:szCs w:val="20"/>
          <w:lang w:eastAsia="zh-CN"/>
        </w:rPr>
        <w:t>以及各工种技术工人的安排状况。承包人应向监理人提交施工场地人员变动情况的报告。</w:t>
      </w:r>
    </w:p>
    <w:p>
      <w:pPr>
        <w:spacing w:line="359" w:lineRule="auto"/>
        <w:rPr>
          <w:rFonts w:ascii="宋体" w:hAnsi="宋体" w:eastAsia="宋体" w:cs="宋体"/>
          <w:color w:val="auto"/>
          <w:sz w:val="20"/>
          <w:szCs w:val="20"/>
          <w:lang w:eastAsia="zh-CN"/>
        </w:rPr>
        <w:sectPr>
          <w:footerReference r:id="rId52" w:type="default"/>
          <w:pgSz w:w="11906" w:h="16839"/>
          <w:pgMar w:top="1431" w:right="1478" w:bottom="1468" w:left="1591"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4.6.2 为完成合同约定的各项工作，承包人应向施工场地派遣或雇佣足够</w:t>
      </w:r>
      <w:r>
        <w:rPr>
          <w:rFonts w:ascii="宋体" w:hAnsi="宋体" w:eastAsia="宋体" w:cs="宋体"/>
          <w:color w:val="auto"/>
          <w:spacing w:val="7"/>
          <w:sz w:val="20"/>
          <w:szCs w:val="20"/>
          <w:lang w:eastAsia="zh-CN"/>
        </w:rPr>
        <w:t>数量的下列人员：</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（1）具有相应资格的专业技工和合格的普工；</w:t>
      </w:r>
    </w:p>
    <w:p>
      <w:pPr>
        <w:spacing w:before="153" w:line="228" w:lineRule="auto"/>
        <w:ind w:left="7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（2）具有相应施工经验的技术人员；</w:t>
      </w:r>
    </w:p>
    <w:p>
      <w:pPr>
        <w:spacing w:before="151" w:line="228" w:lineRule="auto"/>
        <w:ind w:left="7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（3）具有相应岗位资格的各级管理人员。</w:t>
      </w:r>
    </w:p>
    <w:p>
      <w:pPr>
        <w:spacing w:before="155" w:line="298" w:lineRule="auto"/>
        <w:ind w:left="6" w:right="2"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4.6.3 承包人安排在施工场地的主要管理人员和技术骨干应相对稳定。承包人更换主要管理人员和技术骨干时，应取得监理人的同意。</w:t>
      </w:r>
    </w:p>
    <w:p>
      <w:pPr>
        <w:spacing w:before="152" w:line="299" w:lineRule="auto"/>
        <w:ind w:left="8" w:right="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4.6.4 特殊岗位的工作人员均应持有相应的资格证明，监理人有权随时检查。监理人认为有必要时，可进行现场考核。</w:t>
      </w:r>
    </w:p>
    <w:p>
      <w:pPr>
        <w:spacing w:before="248" w:line="222" w:lineRule="auto"/>
        <w:outlineLvl w:val="2"/>
        <w:rPr>
          <w:rFonts w:ascii="黑体" w:hAnsi="黑体" w:eastAsia="黑体" w:cs="黑体"/>
          <w:color w:val="auto"/>
          <w:sz w:val="28"/>
          <w:szCs w:val="28"/>
          <w:lang w:eastAsia="zh-CN"/>
        </w:rPr>
      </w:pPr>
      <w:bookmarkStart w:id="245" w:name="bookmark248"/>
      <w:bookmarkEnd w:id="245"/>
      <w:bookmarkStart w:id="246" w:name="bookmark247"/>
      <w:bookmarkEnd w:id="246"/>
      <w:r>
        <w:rPr>
          <w:rFonts w:ascii="黑体" w:hAnsi="黑体" w:eastAsia="黑体" w:cs="黑体"/>
          <w:color w:val="auto"/>
          <w:spacing w:val="-1"/>
          <w:sz w:val="28"/>
          <w:szCs w:val="28"/>
          <w:lang w:eastAsia="zh-CN"/>
        </w:rPr>
        <w:t>4.7 撤换承包人项目经理和其他人员</w:t>
      </w:r>
    </w:p>
    <w:p>
      <w:pPr>
        <w:spacing w:before="281" w:line="355" w:lineRule="auto"/>
        <w:ind w:left="8" w:righ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承包人应对其项目经理和其他人员进行有效管理。监理人要求撤换不能胜任本职</w:t>
      </w:r>
      <w:r>
        <w:rPr>
          <w:rFonts w:ascii="宋体" w:hAnsi="宋体" w:eastAsia="宋体" w:cs="宋体"/>
          <w:color w:val="auto"/>
          <w:spacing w:val="8"/>
          <w:sz w:val="20"/>
          <w:szCs w:val="20"/>
          <w:lang w:eastAsia="zh-CN"/>
        </w:rPr>
        <w:t>工作、行为</w:t>
      </w:r>
      <w:r>
        <w:rPr>
          <w:rFonts w:ascii="宋体" w:hAnsi="宋体" w:eastAsia="宋体" w:cs="宋体"/>
          <w:color w:val="auto"/>
          <w:spacing w:val="9"/>
          <w:sz w:val="20"/>
          <w:szCs w:val="20"/>
          <w:lang w:eastAsia="zh-CN"/>
        </w:rPr>
        <w:t>不端或玩忽职守的承包人项目经理和其他人员的，承包人应予以撤换。</w:t>
      </w:r>
    </w:p>
    <w:p>
      <w:pPr>
        <w:spacing w:before="125" w:line="222" w:lineRule="auto"/>
        <w:outlineLvl w:val="2"/>
        <w:rPr>
          <w:rFonts w:ascii="黑体" w:hAnsi="黑体" w:eastAsia="黑体" w:cs="黑体"/>
          <w:color w:val="auto"/>
          <w:sz w:val="28"/>
          <w:szCs w:val="28"/>
          <w:lang w:eastAsia="zh-CN"/>
        </w:rPr>
      </w:pPr>
      <w:bookmarkStart w:id="247" w:name="bookmark249"/>
      <w:bookmarkEnd w:id="247"/>
      <w:bookmarkStart w:id="248" w:name="bookmark250"/>
      <w:bookmarkEnd w:id="248"/>
      <w:r>
        <w:rPr>
          <w:rFonts w:ascii="黑体" w:hAnsi="黑体" w:eastAsia="黑体" w:cs="黑体"/>
          <w:color w:val="auto"/>
          <w:spacing w:val="-1"/>
          <w:sz w:val="28"/>
          <w:szCs w:val="28"/>
          <w:lang w:eastAsia="zh-CN"/>
        </w:rPr>
        <w:t>4.8 保障承包人人员的合法权益</w:t>
      </w:r>
    </w:p>
    <w:p>
      <w:pPr>
        <w:spacing w:before="280"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4.8.1 承包人应与其雇佣的人员签订劳动合同，并按时发放工资。</w:t>
      </w:r>
    </w:p>
    <w:p>
      <w:pPr>
        <w:spacing w:before="153" w:line="322" w:lineRule="auto"/>
        <w:ind w:left="7" w:right="2"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4.8.2 承包人应按劳动法的规定安排工作时间，保证其雇佣人员享有休息和休假的权利。因</w:t>
      </w:r>
      <w:r>
        <w:rPr>
          <w:rFonts w:ascii="宋体" w:hAnsi="宋体" w:eastAsia="宋体" w:cs="宋体"/>
          <w:color w:val="auto"/>
          <w:spacing w:val="9"/>
          <w:sz w:val="20"/>
          <w:szCs w:val="20"/>
          <w:lang w:eastAsia="zh-CN"/>
        </w:rPr>
        <w:t>工程施工的特殊需要占用休假日或延长工作时间的，应不超过法律规定的限度，并</w:t>
      </w:r>
      <w:r>
        <w:rPr>
          <w:rFonts w:ascii="宋体" w:hAnsi="宋体" w:eastAsia="宋体" w:cs="宋体"/>
          <w:color w:val="auto"/>
          <w:spacing w:val="8"/>
          <w:sz w:val="20"/>
          <w:szCs w:val="20"/>
          <w:lang w:eastAsia="zh-CN"/>
        </w:rPr>
        <w:t>按法律规定给</w:t>
      </w:r>
      <w:r>
        <w:rPr>
          <w:rFonts w:ascii="宋体" w:hAnsi="宋体" w:eastAsia="宋体" w:cs="宋体"/>
          <w:color w:val="auto"/>
          <w:spacing w:val="6"/>
          <w:sz w:val="20"/>
          <w:szCs w:val="20"/>
          <w:lang w:eastAsia="zh-CN"/>
        </w:rPr>
        <w:t>予补休或付酬。</w:t>
      </w:r>
    </w:p>
    <w:p>
      <w:pPr>
        <w:spacing w:before="154" w:line="299" w:lineRule="auto"/>
        <w:ind w:left="5" w:right="2"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4.8.3 承包人应为其雇佣人员提供必要的食宿条件，以及符合环境保护和卫生要求的生活环</w:t>
      </w:r>
      <w:r>
        <w:rPr>
          <w:rFonts w:ascii="宋体" w:hAnsi="宋体" w:eastAsia="宋体" w:cs="宋体"/>
          <w:color w:val="auto"/>
          <w:spacing w:val="9"/>
          <w:sz w:val="20"/>
          <w:szCs w:val="20"/>
          <w:lang w:eastAsia="zh-CN"/>
        </w:rPr>
        <w:t>境，在远离城镇的施工场地，还应配备必要的伤病防治和急救的医务人员与医疗设施。</w:t>
      </w:r>
    </w:p>
    <w:p>
      <w:pPr>
        <w:spacing w:before="153" w:line="322" w:lineRule="auto"/>
        <w:ind w:left="4"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4.8.4 承包人应按国家有关劳动保护的规定，采取有效的防止粉尘、降低噪声、控制有害气</w:t>
      </w:r>
      <w:r>
        <w:rPr>
          <w:rFonts w:ascii="宋体" w:hAnsi="宋体" w:eastAsia="宋体" w:cs="宋体"/>
          <w:color w:val="auto"/>
          <w:spacing w:val="9"/>
          <w:sz w:val="20"/>
          <w:szCs w:val="20"/>
          <w:lang w:eastAsia="zh-CN"/>
        </w:rPr>
        <w:t>体和保障高温、高寒、高空作业安全等劳动保护措施。其雇佣人员在施工中受到伤害的，</w:t>
      </w:r>
      <w:r>
        <w:rPr>
          <w:rFonts w:ascii="宋体" w:hAnsi="宋体" w:eastAsia="宋体" w:cs="宋体"/>
          <w:color w:val="auto"/>
          <w:spacing w:val="8"/>
          <w:sz w:val="20"/>
          <w:szCs w:val="20"/>
          <w:lang w:eastAsia="zh-CN"/>
        </w:rPr>
        <w:t>承包人应立即采取有效措施进行抢救和治疗。</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4.8.5 承包人应按有关法律规定和合同约定，为其雇佣人员办理保险。</w:t>
      </w:r>
    </w:p>
    <w:p>
      <w:pPr>
        <w:spacing w:before="154" w:line="228" w:lineRule="auto"/>
        <w:ind w:left="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4.8.6 承包人应负责处理其雇佣人员因工伤亡事故的善后事宜。</w:t>
      </w:r>
    </w:p>
    <w:p>
      <w:pPr>
        <w:spacing w:before="249" w:line="222" w:lineRule="auto"/>
        <w:outlineLvl w:val="2"/>
        <w:rPr>
          <w:rFonts w:ascii="黑体" w:hAnsi="黑体" w:eastAsia="黑体" w:cs="黑体"/>
          <w:color w:val="auto"/>
          <w:sz w:val="28"/>
          <w:szCs w:val="28"/>
          <w:lang w:eastAsia="zh-CN"/>
        </w:rPr>
      </w:pPr>
      <w:bookmarkStart w:id="249" w:name="bookmark252"/>
      <w:bookmarkEnd w:id="249"/>
      <w:bookmarkStart w:id="250" w:name="bookmark251"/>
      <w:bookmarkEnd w:id="250"/>
      <w:r>
        <w:rPr>
          <w:rFonts w:ascii="黑体" w:hAnsi="黑体" w:eastAsia="黑体" w:cs="黑体"/>
          <w:color w:val="auto"/>
          <w:spacing w:val="-1"/>
          <w:sz w:val="28"/>
          <w:szCs w:val="28"/>
          <w:lang w:eastAsia="zh-CN"/>
        </w:rPr>
        <w:t>4.9 工程价款应专款专用</w:t>
      </w:r>
    </w:p>
    <w:p>
      <w:pPr>
        <w:spacing w:before="279" w:line="226" w:lineRule="auto"/>
        <w:ind w:left="42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发包人按合同约定支付给承包人的各项价款应专用于合同工程。</w:t>
      </w:r>
    </w:p>
    <w:p>
      <w:pPr>
        <w:spacing w:before="253" w:line="222" w:lineRule="auto"/>
        <w:outlineLvl w:val="2"/>
        <w:rPr>
          <w:rFonts w:ascii="黑体" w:hAnsi="黑体" w:eastAsia="黑体" w:cs="黑体"/>
          <w:color w:val="auto"/>
          <w:sz w:val="28"/>
          <w:szCs w:val="28"/>
          <w:lang w:eastAsia="zh-CN"/>
        </w:rPr>
      </w:pPr>
      <w:bookmarkStart w:id="251" w:name="bookmark254"/>
      <w:bookmarkEnd w:id="251"/>
      <w:bookmarkStart w:id="252" w:name="bookmark253"/>
      <w:bookmarkEnd w:id="252"/>
      <w:r>
        <w:rPr>
          <w:rFonts w:ascii="黑体" w:hAnsi="黑体" w:eastAsia="黑体" w:cs="黑体"/>
          <w:color w:val="auto"/>
          <w:spacing w:val="-1"/>
          <w:sz w:val="28"/>
          <w:szCs w:val="28"/>
          <w:lang w:eastAsia="zh-CN"/>
        </w:rPr>
        <w:t>4.10 承包人现场查勘</w:t>
      </w:r>
    </w:p>
    <w:p>
      <w:pPr>
        <w:spacing w:before="278" w:line="298" w:lineRule="auto"/>
        <w:ind w:left="7" w:firstLine="41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4.10.1 发包人应将其持有的现场地质勘探资料、水文</w:t>
      </w:r>
      <w:r>
        <w:rPr>
          <w:rFonts w:ascii="宋体" w:hAnsi="宋体" w:eastAsia="宋体" w:cs="宋体"/>
          <w:color w:val="auto"/>
          <w:spacing w:val="10"/>
          <w:sz w:val="20"/>
          <w:szCs w:val="20"/>
          <w:lang w:eastAsia="zh-CN"/>
        </w:rPr>
        <w:t>气象资料提供给承包人，并对其准确</w:t>
      </w:r>
      <w:r>
        <w:rPr>
          <w:rFonts w:ascii="宋体" w:hAnsi="宋体" w:eastAsia="宋体" w:cs="宋体"/>
          <w:color w:val="auto"/>
          <w:spacing w:val="9"/>
          <w:sz w:val="20"/>
          <w:szCs w:val="20"/>
          <w:lang w:eastAsia="zh-CN"/>
        </w:rPr>
        <w:t>性负责。但承包人应对其阅读上述有关资料后所作出的解释和推断负责。</w:t>
      </w:r>
    </w:p>
    <w:p>
      <w:pPr>
        <w:spacing w:before="155" w:line="298" w:lineRule="auto"/>
        <w:ind w:left="4" w:firstLine="41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4.10.2 承包人应对施工场地和周围环境进行查勘，并</w:t>
      </w:r>
      <w:r>
        <w:rPr>
          <w:rFonts w:ascii="宋体" w:hAnsi="宋体" w:eastAsia="宋体" w:cs="宋体"/>
          <w:color w:val="auto"/>
          <w:spacing w:val="10"/>
          <w:sz w:val="20"/>
          <w:szCs w:val="20"/>
          <w:lang w:eastAsia="zh-CN"/>
        </w:rPr>
        <w:t>收集有关地质、水文、气象条件、交</w:t>
      </w:r>
      <w:r>
        <w:rPr>
          <w:rFonts w:ascii="宋体" w:hAnsi="宋体" w:eastAsia="宋体" w:cs="宋体"/>
          <w:color w:val="auto"/>
          <w:spacing w:val="9"/>
          <w:sz w:val="20"/>
          <w:szCs w:val="20"/>
          <w:lang w:eastAsia="zh-CN"/>
        </w:rPr>
        <w:t>通条件、风俗习惯以及其他为完成合同工作有关的当地资料。在全部合同工作中，应视</w:t>
      </w:r>
      <w:r>
        <w:rPr>
          <w:rFonts w:ascii="宋体" w:hAnsi="宋体" w:eastAsia="宋体" w:cs="宋体"/>
          <w:color w:val="auto"/>
          <w:spacing w:val="8"/>
          <w:sz w:val="20"/>
          <w:szCs w:val="20"/>
          <w:lang w:eastAsia="zh-CN"/>
        </w:rPr>
        <w:t>为承包人</w:t>
      </w:r>
    </w:p>
    <w:p>
      <w:pPr>
        <w:spacing w:line="298" w:lineRule="auto"/>
        <w:rPr>
          <w:rFonts w:ascii="宋体" w:hAnsi="宋体" w:eastAsia="宋体" w:cs="宋体"/>
          <w:color w:val="auto"/>
          <w:sz w:val="20"/>
          <w:szCs w:val="20"/>
          <w:lang w:eastAsia="zh-CN"/>
        </w:rPr>
        <w:sectPr>
          <w:footerReference r:id="rId53"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已充分估计了应承担的责任和风险。</w:t>
      </w:r>
    </w:p>
    <w:p>
      <w:pPr>
        <w:spacing w:before="252" w:line="222" w:lineRule="auto"/>
        <w:outlineLvl w:val="2"/>
        <w:rPr>
          <w:rFonts w:ascii="黑体" w:hAnsi="黑体" w:eastAsia="黑体" w:cs="黑体"/>
          <w:color w:val="auto"/>
          <w:sz w:val="28"/>
          <w:szCs w:val="28"/>
          <w:lang w:eastAsia="zh-CN"/>
        </w:rPr>
      </w:pPr>
      <w:bookmarkStart w:id="253" w:name="bookmark256"/>
      <w:bookmarkEnd w:id="253"/>
      <w:bookmarkStart w:id="254" w:name="bookmark255"/>
      <w:bookmarkEnd w:id="254"/>
      <w:r>
        <w:rPr>
          <w:rFonts w:ascii="黑体" w:hAnsi="黑体" w:eastAsia="黑体" w:cs="黑体"/>
          <w:color w:val="auto"/>
          <w:spacing w:val="-1"/>
          <w:sz w:val="28"/>
          <w:szCs w:val="28"/>
          <w:lang w:eastAsia="zh-CN"/>
        </w:rPr>
        <w:t>4.11 不利物质条件</w:t>
      </w:r>
    </w:p>
    <w:p>
      <w:pPr>
        <w:spacing w:before="278" w:line="298"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4.11.1 不利物质条件，除专用合同条款另有约定外，</w:t>
      </w:r>
      <w:r>
        <w:rPr>
          <w:rFonts w:ascii="宋体" w:hAnsi="宋体" w:eastAsia="宋体" w:cs="宋体"/>
          <w:color w:val="auto"/>
          <w:spacing w:val="10"/>
          <w:sz w:val="20"/>
          <w:szCs w:val="20"/>
          <w:lang w:eastAsia="zh-CN"/>
        </w:rPr>
        <w:t>是指承包人在施工场地遇到的不可预</w:t>
      </w:r>
      <w:r>
        <w:rPr>
          <w:rFonts w:ascii="宋体" w:hAnsi="宋体" w:eastAsia="宋体" w:cs="宋体"/>
          <w:color w:val="auto"/>
          <w:spacing w:val="9"/>
          <w:sz w:val="20"/>
          <w:szCs w:val="20"/>
          <w:lang w:eastAsia="zh-CN"/>
        </w:rPr>
        <w:t>见的自然物质条件、非自然的物质障碍和污染物，包括地下和水文条件，但不包括气候条件。</w:t>
      </w:r>
    </w:p>
    <w:p>
      <w:pPr>
        <w:spacing w:before="152" w:line="322" w:lineRule="auto"/>
        <w:ind w:left="8" w:firstLine="41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4.11.2 承包人遇到不利物质条件时，应采取适应不利</w:t>
      </w:r>
      <w:r>
        <w:rPr>
          <w:rFonts w:ascii="宋体" w:hAnsi="宋体" w:eastAsia="宋体" w:cs="宋体"/>
          <w:color w:val="auto"/>
          <w:spacing w:val="10"/>
          <w:sz w:val="20"/>
          <w:szCs w:val="20"/>
          <w:lang w:eastAsia="zh-CN"/>
        </w:rPr>
        <w:t>物质条件的合理措施继续施工，并及时通知监理人。监理人应当及时发出指示，指示构成变更的，按第15条约定办理。监理人没有</w:t>
      </w:r>
      <w:r>
        <w:rPr>
          <w:rFonts w:ascii="宋体" w:hAnsi="宋体" w:eastAsia="宋体" w:cs="宋体"/>
          <w:color w:val="auto"/>
          <w:spacing w:val="9"/>
          <w:sz w:val="20"/>
          <w:szCs w:val="20"/>
          <w:lang w:eastAsia="zh-CN"/>
        </w:rPr>
        <w:t>发出指示的，承包人因采取合理措施而增加的费用和（或）工期延误，由发包人承担。</w:t>
      </w:r>
    </w:p>
    <w:p>
      <w:pPr>
        <w:pStyle w:val="3"/>
        <w:spacing w:line="272" w:lineRule="auto"/>
        <w:rPr>
          <w:color w:val="auto"/>
          <w:lang w:eastAsia="zh-CN"/>
        </w:rPr>
      </w:pPr>
    </w:p>
    <w:p>
      <w:pPr>
        <w:spacing w:before="101" w:line="227" w:lineRule="auto"/>
        <w:ind w:left="1"/>
        <w:outlineLvl w:val="1"/>
        <w:rPr>
          <w:rFonts w:ascii="黑体" w:hAnsi="黑体" w:eastAsia="黑体" w:cs="黑体"/>
          <w:color w:val="auto"/>
          <w:sz w:val="31"/>
          <w:szCs w:val="31"/>
          <w:lang w:eastAsia="zh-CN"/>
        </w:rPr>
      </w:pPr>
      <w:bookmarkStart w:id="255" w:name="bookmark260"/>
      <w:bookmarkEnd w:id="255"/>
      <w:bookmarkStart w:id="256" w:name="bookmark257"/>
      <w:bookmarkEnd w:id="256"/>
      <w:bookmarkStart w:id="257" w:name="bookmark258"/>
      <w:bookmarkEnd w:id="257"/>
      <w:r>
        <w:rPr>
          <w:rFonts w:ascii="黑体" w:hAnsi="黑体" w:eastAsia="黑体" w:cs="黑体"/>
          <w:b/>
          <w:bCs/>
          <w:color w:val="auto"/>
          <w:spacing w:val="5"/>
          <w:sz w:val="31"/>
          <w:szCs w:val="31"/>
          <w:lang w:eastAsia="zh-CN"/>
        </w:rPr>
        <w:t>5.材料和工程设备</w:t>
      </w:r>
    </w:p>
    <w:p>
      <w:pPr>
        <w:pStyle w:val="3"/>
        <w:spacing w:line="269"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258" w:name="bookmark259"/>
      <w:bookmarkEnd w:id="258"/>
      <w:r>
        <w:rPr>
          <w:rFonts w:ascii="黑体" w:hAnsi="黑体" w:eastAsia="黑体" w:cs="黑体"/>
          <w:color w:val="auto"/>
          <w:spacing w:val="-1"/>
          <w:sz w:val="28"/>
          <w:szCs w:val="28"/>
          <w:lang w:eastAsia="zh-CN"/>
        </w:rPr>
        <w:t>5.1 承包人提供的材料和工程设备</w:t>
      </w:r>
    </w:p>
    <w:p>
      <w:pPr>
        <w:spacing w:before="280" w:line="298"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5.1.1 除专用合同条款另有约定外，承包人提供的材料和工程设备均由承包人负责采购、运</w:t>
      </w:r>
      <w:r>
        <w:rPr>
          <w:rFonts w:ascii="宋体" w:hAnsi="宋体" w:eastAsia="宋体" w:cs="宋体"/>
          <w:color w:val="auto"/>
          <w:spacing w:val="9"/>
          <w:sz w:val="20"/>
          <w:szCs w:val="20"/>
          <w:lang w:eastAsia="zh-CN"/>
        </w:rPr>
        <w:t>输和保管。承包人应对其采购的材料和工程设备负责。</w:t>
      </w:r>
    </w:p>
    <w:p>
      <w:pPr>
        <w:spacing w:before="155" w:line="322"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5.1.2 承包人应按专用合同条款的约定，将各项材料和工程设备的供货人及品种、规格、数</w:t>
      </w:r>
      <w:r>
        <w:rPr>
          <w:rFonts w:ascii="宋体" w:hAnsi="宋体" w:eastAsia="宋体" w:cs="宋体"/>
          <w:color w:val="auto"/>
          <w:spacing w:val="9"/>
          <w:sz w:val="20"/>
          <w:szCs w:val="20"/>
          <w:lang w:eastAsia="zh-CN"/>
        </w:rPr>
        <w:t>量和供货时间等报送监理人审批。承包人应向监理人提交其负责提供的材料和工程设备</w:t>
      </w:r>
      <w:r>
        <w:rPr>
          <w:rFonts w:ascii="宋体" w:hAnsi="宋体" w:eastAsia="宋体" w:cs="宋体"/>
          <w:color w:val="auto"/>
          <w:spacing w:val="8"/>
          <w:sz w:val="20"/>
          <w:szCs w:val="20"/>
          <w:lang w:eastAsia="zh-CN"/>
        </w:rPr>
        <w:t>的质量证明文件，并满足合同约定的质量标准。</w:t>
      </w:r>
    </w:p>
    <w:p>
      <w:pPr>
        <w:spacing w:before="153" w:line="322"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5.1.3对承包人提供的材料和工程设备，承包人应会同监理人进行检验和交货验收，查验材料合格证明和产品合格证书，并按合同约定和监理人指示，进行材料的抽样检验和工程设</w:t>
      </w:r>
      <w:r>
        <w:rPr>
          <w:rFonts w:ascii="宋体" w:hAnsi="宋体" w:eastAsia="宋体" w:cs="宋体"/>
          <w:color w:val="auto"/>
          <w:spacing w:val="8"/>
          <w:sz w:val="20"/>
          <w:szCs w:val="20"/>
          <w:lang w:eastAsia="zh-CN"/>
        </w:rPr>
        <w:t>备的检</w:t>
      </w:r>
      <w:r>
        <w:rPr>
          <w:rFonts w:ascii="宋体" w:hAnsi="宋体" w:eastAsia="宋体" w:cs="宋体"/>
          <w:color w:val="auto"/>
          <w:spacing w:val="9"/>
          <w:sz w:val="20"/>
          <w:szCs w:val="20"/>
          <w:lang w:eastAsia="zh-CN"/>
        </w:rPr>
        <w:t>验测试，检验和测试结果应提交监理人，所需费用由承包人承担。</w:t>
      </w:r>
    </w:p>
    <w:p>
      <w:pPr>
        <w:spacing w:before="248" w:line="222" w:lineRule="auto"/>
        <w:ind w:left="1"/>
        <w:outlineLvl w:val="2"/>
        <w:rPr>
          <w:rFonts w:ascii="黑体" w:hAnsi="黑体" w:eastAsia="黑体" w:cs="黑体"/>
          <w:color w:val="auto"/>
          <w:sz w:val="28"/>
          <w:szCs w:val="28"/>
          <w:lang w:eastAsia="zh-CN"/>
        </w:rPr>
      </w:pPr>
      <w:bookmarkStart w:id="259" w:name="bookmark262"/>
      <w:bookmarkEnd w:id="259"/>
      <w:bookmarkStart w:id="260" w:name="bookmark261"/>
      <w:bookmarkEnd w:id="260"/>
      <w:r>
        <w:rPr>
          <w:rFonts w:ascii="黑体" w:hAnsi="黑体" w:eastAsia="黑体" w:cs="黑体"/>
          <w:color w:val="auto"/>
          <w:spacing w:val="-1"/>
          <w:sz w:val="28"/>
          <w:szCs w:val="28"/>
          <w:lang w:eastAsia="zh-CN"/>
        </w:rPr>
        <w:t>5.2 发包人提供的材料和工程设备</w:t>
      </w:r>
    </w:p>
    <w:p>
      <w:pPr>
        <w:spacing w:before="280" w:line="298" w:lineRule="auto"/>
        <w:ind w:left="4" w:right="2"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5.2.1 发包人提供的材料和工程设备，应在专用合同条款中写明材料和工程设备的名称、规</w:t>
      </w:r>
      <w:r>
        <w:rPr>
          <w:rFonts w:ascii="宋体" w:hAnsi="宋体" w:eastAsia="宋体" w:cs="宋体"/>
          <w:color w:val="auto"/>
          <w:spacing w:val="9"/>
          <w:sz w:val="20"/>
          <w:szCs w:val="20"/>
          <w:lang w:eastAsia="zh-CN"/>
        </w:rPr>
        <w:t>格、数量、价格、交货方式、交货地点和计划交货日期等。</w:t>
      </w:r>
    </w:p>
    <w:p>
      <w:pPr>
        <w:spacing w:before="157" w:line="297" w:lineRule="auto"/>
        <w:ind w:left="6" w:right="2"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5.2.2 承包人应根据合同进度计划的安排，向监理人报送要求发包人交货的日期计划。发包</w:t>
      </w:r>
      <w:r>
        <w:rPr>
          <w:rFonts w:ascii="宋体" w:hAnsi="宋体" w:eastAsia="宋体" w:cs="宋体"/>
          <w:color w:val="auto"/>
          <w:spacing w:val="9"/>
          <w:sz w:val="20"/>
          <w:szCs w:val="20"/>
          <w:lang w:eastAsia="zh-CN"/>
        </w:rPr>
        <w:t>人应按照监理人与合同双方当事人商定的交货日期，向承包人提交材料和工程设备。</w:t>
      </w:r>
    </w:p>
    <w:p>
      <w:pPr>
        <w:spacing w:before="154" w:line="322" w:lineRule="auto"/>
        <w:ind w:left="12" w:right="2" w:firstLine="41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5.2.3 发包人应在材料和工程设备到货7天前通知承包人，承包人应会同监理人在约定的时</w:t>
      </w:r>
      <w:r>
        <w:rPr>
          <w:rFonts w:ascii="宋体" w:hAnsi="宋体" w:eastAsia="宋体" w:cs="宋体"/>
          <w:color w:val="auto"/>
          <w:spacing w:val="9"/>
          <w:sz w:val="20"/>
          <w:szCs w:val="20"/>
          <w:lang w:eastAsia="zh-CN"/>
        </w:rPr>
        <w:t>间内，赴交货地点共同进行验收。除专用合同条款另有约定外，发包人</w:t>
      </w:r>
      <w:r>
        <w:rPr>
          <w:rFonts w:ascii="宋体" w:hAnsi="宋体" w:eastAsia="宋体" w:cs="宋体"/>
          <w:color w:val="auto"/>
          <w:spacing w:val="8"/>
          <w:sz w:val="20"/>
          <w:szCs w:val="20"/>
          <w:lang w:eastAsia="zh-CN"/>
        </w:rPr>
        <w:t>提供的材料和工程设备验收后，由承包人负责接收、运输和保管。</w:t>
      </w:r>
    </w:p>
    <w:p>
      <w:pPr>
        <w:spacing w:before="155" w:line="299" w:lineRule="auto"/>
        <w:ind w:left="21" w:right="2" w:firstLine="40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5.2.4 发包人要求向承包人提前交货的，承包人不得拒绝，但发包人应承担承包人由此增加</w:t>
      </w:r>
      <w:r>
        <w:rPr>
          <w:rFonts w:ascii="宋体" w:hAnsi="宋体" w:eastAsia="宋体" w:cs="宋体"/>
          <w:color w:val="auto"/>
          <w:sz w:val="20"/>
          <w:szCs w:val="20"/>
          <w:lang w:eastAsia="zh-CN"/>
        </w:rPr>
        <w:t>的费用。</w:t>
      </w:r>
    </w:p>
    <w:p>
      <w:pPr>
        <w:spacing w:before="152" w:line="298" w:lineRule="auto"/>
        <w:ind w:left="9" w:right="2"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5.2.5 承包人要求更改交货日期或地点的，应事先报请监理人批准。由于承包人要求更改交</w:t>
      </w:r>
      <w:r>
        <w:rPr>
          <w:rFonts w:ascii="宋体" w:hAnsi="宋体" w:eastAsia="宋体" w:cs="宋体"/>
          <w:color w:val="auto"/>
          <w:spacing w:val="9"/>
          <w:sz w:val="20"/>
          <w:szCs w:val="20"/>
          <w:lang w:eastAsia="zh-CN"/>
        </w:rPr>
        <w:t>货时间或地点所增加的费用和（或）工期延误由承包人承担。</w:t>
      </w:r>
    </w:p>
    <w:p>
      <w:pPr>
        <w:spacing w:before="154"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5.2.6 发包人提供的材料和工程设备的规格、数量或质量不符合合同要求，或由于发包人原</w:t>
      </w:r>
    </w:p>
    <w:p>
      <w:pPr>
        <w:spacing w:line="227" w:lineRule="auto"/>
        <w:rPr>
          <w:rFonts w:ascii="宋体" w:hAnsi="宋体" w:eastAsia="宋体" w:cs="宋体"/>
          <w:color w:val="auto"/>
          <w:sz w:val="20"/>
          <w:szCs w:val="20"/>
          <w:lang w:eastAsia="zh-CN"/>
        </w:rPr>
        <w:sectPr>
          <w:footerReference r:id="rId54" w:type="default"/>
          <w:pgSz w:w="11906" w:h="16839"/>
          <w:pgMar w:top="1431" w:right="1530"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8" w:firstLine="1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因发生交货日期延误及交货地点变更等情况的，发包人应承担由此增加的费用和（或）工期延</w:t>
      </w:r>
      <w:r>
        <w:rPr>
          <w:rFonts w:ascii="宋体" w:hAnsi="宋体" w:eastAsia="宋体" w:cs="宋体"/>
          <w:color w:val="auto"/>
          <w:spacing w:val="4"/>
          <w:sz w:val="20"/>
          <w:szCs w:val="20"/>
          <w:lang w:eastAsia="zh-CN"/>
        </w:rPr>
        <w:t>误，</w:t>
      </w:r>
      <w:r>
        <w:rPr>
          <w:rFonts w:ascii="宋体" w:hAnsi="宋体" w:eastAsia="宋体" w:cs="宋体"/>
          <w:color w:val="auto"/>
          <w:spacing w:val="7"/>
          <w:sz w:val="20"/>
          <w:szCs w:val="20"/>
          <w:lang w:eastAsia="zh-CN"/>
        </w:rPr>
        <w:t>并向承包人支付合理利润。</w:t>
      </w:r>
    </w:p>
    <w:p>
      <w:pPr>
        <w:spacing w:before="126" w:line="222" w:lineRule="auto"/>
        <w:outlineLvl w:val="2"/>
        <w:rPr>
          <w:rFonts w:ascii="黑体" w:hAnsi="黑体" w:eastAsia="黑体" w:cs="黑体"/>
          <w:color w:val="auto"/>
          <w:sz w:val="28"/>
          <w:szCs w:val="28"/>
          <w:lang w:eastAsia="zh-CN"/>
        </w:rPr>
      </w:pPr>
      <w:bookmarkStart w:id="261" w:name="bookmark263"/>
      <w:bookmarkEnd w:id="261"/>
      <w:bookmarkStart w:id="262" w:name="bookmark264"/>
      <w:bookmarkEnd w:id="262"/>
      <w:r>
        <w:rPr>
          <w:rFonts w:ascii="黑体" w:hAnsi="黑体" w:eastAsia="黑体" w:cs="黑体"/>
          <w:color w:val="auto"/>
          <w:spacing w:val="-1"/>
          <w:sz w:val="28"/>
          <w:szCs w:val="28"/>
          <w:lang w:eastAsia="zh-CN"/>
        </w:rPr>
        <w:t>5.3 材料和工程设备专用于合同工程</w:t>
      </w:r>
    </w:p>
    <w:p>
      <w:pPr>
        <w:spacing w:before="278" w:line="299" w:lineRule="auto"/>
        <w:ind w:left="4" w:right="54" w:firstLine="42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5.3.1运入施工场地的材料、工程设备，包括备品备件、安装专用工器具与随机资料，必须专用于合同工程，未经监理人同意，承包人不得运出施工场地或挪作他用。</w:t>
      </w:r>
    </w:p>
    <w:p>
      <w:pPr>
        <w:spacing w:before="153" w:line="322" w:lineRule="auto"/>
        <w:ind w:left="5" w:right="54" w:firstLine="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5.3.2 随同工程设备运入施工场地的备品备件、专用工器具与随机资料，应由承包人会同监</w:t>
      </w:r>
      <w:r>
        <w:rPr>
          <w:rFonts w:ascii="宋体" w:hAnsi="宋体" w:eastAsia="宋体" w:cs="宋体"/>
          <w:color w:val="auto"/>
          <w:spacing w:val="9"/>
          <w:sz w:val="20"/>
          <w:szCs w:val="20"/>
          <w:lang w:eastAsia="zh-CN"/>
        </w:rPr>
        <w:t>理人按供货人的装箱单清点后共同封存，未经监理人同意不得启用。承包人因合同工</w:t>
      </w:r>
      <w:r>
        <w:rPr>
          <w:rFonts w:ascii="宋体" w:hAnsi="宋体" w:eastAsia="宋体" w:cs="宋体"/>
          <w:color w:val="auto"/>
          <w:spacing w:val="8"/>
          <w:sz w:val="20"/>
          <w:szCs w:val="20"/>
          <w:lang w:eastAsia="zh-CN"/>
        </w:rPr>
        <w:t>作需要使用上述物品时，应向监理人提出申请。</w:t>
      </w:r>
    </w:p>
    <w:p>
      <w:pPr>
        <w:spacing w:before="248" w:line="222" w:lineRule="auto"/>
        <w:outlineLvl w:val="2"/>
        <w:rPr>
          <w:rFonts w:ascii="黑体" w:hAnsi="黑体" w:eastAsia="黑体" w:cs="黑体"/>
          <w:color w:val="auto"/>
          <w:sz w:val="28"/>
          <w:szCs w:val="28"/>
          <w:lang w:eastAsia="zh-CN"/>
        </w:rPr>
      </w:pPr>
      <w:bookmarkStart w:id="263" w:name="bookmark265"/>
      <w:bookmarkEnd w:id="263"/>
      <w:bookmarkStart w:id="264" w:name="bookmark266"/>
      <w:bookmarkEnd w:id="264"/>
      <w:r>
        <w:rPr>
          <w:rFonts w:ascii="黑体" w:hAnsi="黑体" w:eastAsia="黑体" w:cs="黑体"/>
          <w:color w:val="auto"/>
          <w:spacing w:val="-1"/>
          <w:sz w:val="28"/>
          <w:szCs w:val="28"/>
          <w:lang w:eastAsia="zh-CN"/>
        </w:rPr>
        <w:t>5.4 禁止使用不合格的材料和工程设备</w:t>
      </w:r>
    </w:p>
    <w:p>
      <w:pPr>
        <w:spacing w:before="279" w:line="299" w:lineRule="auto"/>
        <w:ind w:left="4" w:right="55" w:firstLine="42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5.4.1 监理人有权拒绝承包人提供的不合格材料或工程设备，并要求承包人立即进行更换。监理人应在更换后再次进行检查和检验，由此增加的费用和（或）工期延误由承包人承担。</w:t>
      </w:r>
    </w:p>
    <w:p>
      <w:pPr>
        <w:spacing w:before="155" w:line="297" w:lineRule="auto"/>
        <w:ind w:left="10" w:right="54" w:firstLine="4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5.4.2 监理人发现承包人使用了不合格的材料和工程设备，应即时发出指示要求承包人立即</w:t>
      </w:r>
      <w:r>
        <w:rPr>
          <w:rFonts w:ascii="宋体" w:hAnsi="宋体" w:eastAsia="宋体" w:cs="宋体"/>
          <w:color w:val="auto"/>
          <w:spacing w:val="9"/>
          <w:sz w:val="20"/>
          <w:szCs w:val="20"/>
          <w:lang w:eastAsia="zh-CN"/>
        </w:rPr>
        <w:t>改正，并禁止在工程中继续使用不合格的材料和工程设</w:t>
      </w:r>
      <w:r>
        <w:rPr>
          <w:rFonts w:ascii="宋体" w:hAnsi="宋体" w:eastAsia="宋体" w:cs="宋体"/>
          <w:color w:val="auto"/>
          <w:spacing w:val="8"/>
          <w:sz w:val="20"/>
          <w:szCs w:val="20"/>
          <w:lang w:eastAsia="zh-CN"/>
        </w:rPr>
        <w:t>备。</w:t>
      </w:r>
    </w:p>
    <w:p>
      <w:pPr>
        <w:spacing w:before="155" w:line="299" w:lineRule="auto"/>
        <w:ind w:left="6"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5.4.3 发包人提供的材料或工程设备不符合合同要求的，承包人有权拒绝，并可要求发包人</w:t>
      </w:r>
      <w:r>
        <w:rPr>
          <w:rFonts w:ascii="宋体" w:hAnsi="宋体" w:eastAsia="宋体" w:cs="宋体"/>
          <w:color w:val="auto"/>
          <w:spacing w:val="9"/>
          <w:sz w:val="20"/>
          <w:szCs w:val="20"/>
          <w:lang w:eastAsia="zh-CN"/>
        </w:rPr>
        <w:t>更换，由此增加的费用和（或）工期延误由发包人承担。</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65" w:name="bookmark267"/>
      <w:bookmarkEnd w:id="265"/>
      <w:bookmarkStart w:id="266" w:name="bookmark270"/>
      <w:bookmarkEnd w:id="266"/>
      <w:bookmarkStart w:id="267" w:name="bookmark268"/>
      <w:bookmarkEnd w:id="267"/>
      <w:r>
        <w:rPr>
          <w:rFonts w:ascii="黑体" w:hAnsi="黑体" w:eastAsia="黑体" w:cs="黑体"/>
          <w:b/>
          <w:bCs/>
          <w:color w:val="auto"/>
          <w:spacing w:val="5"/>
          <w:sz w:val="31"/>
          <w:szCs w:val="31"/>
          <w:lang w:eastAsia="zh-CN"/>
        </w:rPr>
        <w:t>6.施工设备和临时设施</w:t>
      </w:r>
    </w:p>
    <w:p>
      <w:pPr>
        <w:pStyle w:val="3"/>
        <w:spacing w:line="271" w:lineRule="auto"/>
        <w:rPr>
          <w:color w:val="auto"/>
          <w:lang w:eastAsia="zh-CN"/>
        </w:rPr>
      </w:pPr>
    </w:p>
    <w:p>
      <w:pPr>
        <w:spacing w:before="92" w:line="222" w:lineRule="auto"/>
        <w:ind w:left="5"/>
        <w:outlineLvl w:val="2"/>
        <w:rPr>
          <w:rFonts w:ascii="黑体" w:hAnsi="黑体" w:eastAsia="黑体" w:cs="黑体"/>
          <w:color w:val="auto"/>
          <w:sz w:val="28"/>
          <w:szCs w:val="28"/>
          <w:lang w:eastAsia="zh-CN"/>
        </w:rPr>
      </w:pPr>
      <w:bookmarkStart w:id="268" w:name="bookmark269"/>
      <w:bookmarkEnd w:id="268"/>
      <w:r>
        <w:rPr>
          <w:rFonts w:ascii="黑体" w:hAnsi="黑体" w:eastAsia="黑体" w:cs="黑体"/>
          <w:color w:val="auto"/>
          <w:spacing w:val="-1"/>
          <w:sz w:val="28"/>
          <w:szCs w:val="28"/>
          <w:lang w:eastAsia="zh-CN"/>
        </w:rPr>
        <w:t>6.1 承包人提供的施工设备和临时设施</w:t>
      </w:r>
    </w:p>
    <w:p>
      <w:pPr>
        <w:spacing w:before="280" w:line="322" w:lineRule="auto"/>
        <w:ind w:left="5" w:right="5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6.1.1 承包人应按合同进度计划的要求，及时配置施工设备和修建临时设施。进入施工场地</w:t>
      </w:r>
      <w:r>
        <w:rPr>
          <w:rFonts w:ascii="宋体" w:hAnsi="宋体" w:eastAsia="宋体" w:cs="宋体"/>
          <w:color w:val="auto"/>
          <w:spacing w:val="9"/>
          <w:sz w:val="20"/>
          <w:szCs w:val="20"/>
          <w:lang w:eastAsia="zh-CN"/>
        </w:rPr>
        <w:t xml:space="preserve"> 的承包人设备需经监理人核查后才能投入使用。承包人更换合同约定的承包人设备的</w:t>
      </w:r>
      <w:r>
        <w:rPr>
          <w:rFonts w:ascii="宋体" w:hAnsi="宋体" w:eastAsia="宋体" w:cs="宋体"/>
          <w:color w:val="auto"/>
          <w:spacing w:val="8"/>
          <w:sz w:val="20"/>
          <w:szCs w:val="20"/>
          <w:lang w:eastAsia="zh-CN"/>
        </w:rPr>
        <w:t>，应报监理</w:t>
      </w:r>
      <w:r>
        <w:rPr>
          <w:rFonts w:ascii="宋体" w:hAnsi="宋体" w:eastAsia="宋体" w:cs="宋体"/>
          <w:color w:val="auto"/>
          <w:spacing w:val="4"/>
          <w:sz w:val="20"/>
          <w:szCs w:val="20"/>
          <w:lang w:eastAsia="zh-CN"/>
        </w:rPr>
        <w:t>人批准。</w:t>
      </w:r>
    </w:p>
    <w:p>
      <w:pPr>
        <w:spacing w:before="152" w:line="298" w:lineRule="auto"/>
        <w:ind w:left="20" w:right="54" w:firstLine="40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6.1.2除专用合同条款另有约定外，承包人应自行承担修建临时设施的费用，需要临时占地</w:t>
      </w:r>
      <w:r>
        <w:rPr>
          <w:rFonts w:ascii="宋体" w:hAnsi="宋体" w:eastAsia="宋体" w:cs="宋体"/>
          <w:color w:val="auto"/>
          <w:spacing w:val="8"/>
          <w:sz w:val="20"/>
          <w:szCs w:val="20"/>
          <w:lang w:eastAsia="zh-CN"/>
        </w:rPr>
        <w:t>的，应由发包人办理申请手续并承担相应费用。</w:t>
      </w:r>
    </w:p>
    <w:p>
      <w:pPr>
        <w:spacing w:before="250" w:line="222" w:lineRule="auto"/>
        <w:ind w:left="5"/>
        <w:outlineLvl w:val="2"/>
        <w:rPr>
          <w:rFonts w:ascii="黑体" w:hAnsi="黑体" w:eastAsia="黑体" w:cs="黑体"/>
          <w:color w:val="auto"/>
          <w:sz w:val="28"/>
          <w:szCs w:val="28"/>
          <w:lang w:eastAsia="zh-CN"/>
        </w:rPr>
      </w:pPr>
      <w:bookmarkStart w:id="269" w:name="bookmark272"/>
      <w:bookmarkEnd w:id="269"/>
      <w:bookmarkStart w:id="270" w:name="bookmark271"/>
      <w:bookmarkEnd w:id="270"/>
      <w:r>
        <w:rPr>
          <w:rFonts w:ascii="黑体" w:hAnsi="黑体" w:eastAsia="黑体" w:cs="黑体"/>
          <w:color w:val="auto"/>
          <w:spacing w:val="-1"/>
          <w:sz w:val="28"/>
          <w:szCs w:val="28"/>
          <w:lang w:eastAsia="zh-CN"/>
        </w:rPr>
        <w:t>6.2 发包人提供的施工设备和临时设施</w:t>
      </w:r>
    </w:p>
    <w:p>
      <w:pPr>
        <w:spacing w:before="280" w:line="227"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发包人提供的施工设备或临时设施在专用合同条款中约定。</w:t>
      </w:r>
    </w:p>
    <w:p>
      <w:pPr>
        <w:spacing w:before="249" w:line="222" w:lineRule="auto"/>
        <w:ind w:left="5"/>
        <w:outlineLvl w:val="2"/>
        <w:rPr>
          <w:rFonts w:ascii="黑体" w:hAnsi="黑体" w:eastAsia="黑体" w:cs="黑体"/>
          <w:color w:val="auto"/>
          <w:sz w:val="28"/>
          <w:szCs w:val="28"/>
          <w:lang w:eastAsia="zh-CN"/>
        </w:rPr>
      </w:pPr>
      <w:bookmarkStart w:id="271" w:name="bookmark273"/>
      <w:bookmarkEnd w:id="271"/>
      <w:bookmarkStart w:id="272" w:name="bookmark274"/>
      <w:bookmarkEnd w:id="272"/>
      <w:r>
        <w:rPr>
          <w:rFonts w:ascii="黑体" w:hAnsi="黑体" w:eastAsia="黑体" w:cs="黑体"/>
          <w:color w:val="auto"/>
          <w:spacing w:val="-1"/>
          <w:sz w:val="28"/>
          <w:szCs w:val="28"/>
          <w:lang w:eastAsia="zh-CN"/>
        </w:rPr>
        <w:t>6.3 要求承包人增加或更换施工设备</w:t>
      </w:r>
    </w:p>
    <w:p>
      <w:pPr>
        <w:spacing w:before="280" w:line="359" w:lineRule="auto"/>
        <w:ind w:left="4" w:right="54"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承包人使用的施工设备不能满足合同进度计划和（或）质量要求时，监理人有</w:t>
      </w:r>
      <w:r>
        <w:rPr>
          <w:rFonts w:ascii="宋体" w:hAnsi="宋体" w:eastAsia="宋体" w:cs="宋体"/>
          <w:color w:val="auto"/>
          <w:spacing w:val="8"/>
          <w:sz w:val="20"/>
          <w:szCs w:val="20"/>
          <w:lang w:eastAsia="zh-CN"/>
        </w:rPr>
        <w:t>权要求承包人</w:t>
      </w:r>
      <w:r>
        <w:rPr>
          <w:rFonts w:ascii="宋体" w:hAnsi="宋体" w:eastAsia="宋体" w:cs="宋体"/>
          <w:color w:val="auto"/>
          <w:spacing w:val="9"/>
          <w:sz w:val="20"/>
          <w:szCs w:val="20"/>
          <w:lang w:eastAsia="zh-CN"/>
        </w:rPr>
        <w:t>增加或更换施工设备，承包人应及时增加或更换，由此增加的费用和（或）工期延误由</w:t>
      </w:r>
      <w:r>
        <w:rPr>
          <w:rFonts w:ascii="宋体" w:hAnsi="宋体" w:eastAsia="宋体" w:cs="宋体"/>
          <w:color w:val="auto"/>
          <w:spacing w:val="8"/>
          <w:sz w:val="20"/>
          <w:szCs w:val="20"/>
          <w:lang w:eastAsia="zh-CN"/>
        </w:rPr>
        <w:t>承包人承</w:t>
      </w:r>
      <w:r>
        <w:rPr>
          <w:rFonts w:ascii="宋体" w:hAnsi="宋体" w:eastAsia="宋体" w:cs="宋体"/>
          <w:color w:val="auto"/>
          <w:sz w:val="20"/>
          <w:szCs w:val="20"/>
          <w:lang w:eastAsia="zh-CN"/>
        </w:rPr>
        <w:t xml:space="preserve"> 担。</w:t>
      </w:r>
    </w:p>
    <w:p>
      <w:pPr>
        <w:spacing w:line="359" w:lineRule="auto"/>
        <w:rPr>
          <w:rFonts w:ascii="宋体" w:hAnsi="宋体" w:eastAsia="宋体" w:cs="宋体"/>
          <w:color w:val="auto"/>
          <w:sz w:val="20"/>
          <w:szCs w:val="20"/>
          <w:lang w:eastAsia="zh-CN"/>
        </w:rPr>
        <w:sectPr>
          <w:footerReference r:id="rId55" w:type="default"/>
          <w:pgSz w:w="11906" w:h="16839"/>
          <w:pgMar w:top="1431" w:right="1478" w:bottom="1468" w:left="1593" w:header="0" w:footer="1306" w:gutter="0"/>
          <w:cols w:space="720" w:num="1"/>
          <w:docGrid w:linePitch="0" w:charSpace="0"/>
        </w:sectPr>
      </w:pPr>
    </w:p>
    <w:p>
      <w:pPr>
        <w:pStyle w:val="3"/>
        <w:spacing w:line="426" w:lineRule="auto"/>
        <w:rPr>
          <w:color w:val="auto"/>
          <w:lang w:eastAsia="zh-CN"/>
        </w:rPr>
      </w:pPr>
    </w:p>
    <w:p>
      <w:pPr>
        <w:spacing w:before="91" w:line="222" w:lineRule="auto"/>
        <w:ind w:left="2"/>
        <w:outlineLvl w:val="2"/>
        <w:rPr>
          <w:rFonts w:ascii="黑体" w:hAnsi="黑体" w:eastAsia="黑体" w:cs="黑体"/>
          <w:color w:val="auto"/>
          <w:sz w:val="28"/>
          <w:szCs w:val="28"/>
          <w:lang w:eastAsia="zh-CN"/>
        </w:rPr>
      </w:pPr>
      <w:bookmarkStart w:id="273" w:name="bookmark275"/>
      <w:bookmarkEnd w:id="273"/>
      <w:bookmarkStart w:id="274" w:name="bookmark276"/>
      <w:bookmarkEnd w:id="274"/>
      <w:r>
        <w:rPr>
          <w:rFonts w:ascii="黑体" w:hAnsi="黑体" w:eastAsia="黑体" w:cs="黑体"/>
          <w:color w:val="auto"/>
          <w:spacing w:val="-1"/>
          <w:sz w:val="28"/>
          <w:szCs w:val="28"/>
          <w:lang w:eastAsia="zh-CN"/>
        </w:rPr>
        <w:t>6.4 施工设备和临时设施专用于合同工程</w:t>
      </w:r>
    </w:p>
    <w:p>
      <w:pPr>
        <w:spacing w:before="279" w:line="322"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6.4.1除合同另有约定外，运入施工场地的所有施工设备以及在施工场地建设的临时设施应专用于合同工程。未经监理人同意，不得将上述施工设备和临时设施中的任何部分运出</w:t>
      </w:r>
      <w:r>
        <w:rPr>
          <w:rFonts w:ascii="宋体" w:hAnsi="宋体" w:eastAsia="宋体" w:cs="宋体"/>
          <w:color w:val="auto"/>
          <w:spacing w:val="8"/>
          <w:sz w:val="20"/>
          <w:szCs w:val="20"/>
          <w:lang w:eastAsia="zh-CN"/>
        </w:rPr>
        <w:t>施工场地</w:t>
      </w:r>
      <w:r>
        <w:rPr>
          <w:rFonts w:ascii="宋体" w:hAnsi="宋体" w:eastAsia="宋体" w:cs="宋体"/>
          <w:color w:val="auto"/>
          <w:spacing w:val="6"/>
          <w:sz w:val="20"/>
          <w:szCs w:val="20"/>
          <w:lang w:eastAsia="zh-CN"/>
        </w:rPr>
        <w:t>或挪作他用。</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6.4.2 经监理人同意，承包人可根据合同进度计划撤走闲置的施工设备。</w:t>
      </w:r>
    </w:p>
    <w:p>
      <w:pPr>
        <w:pStyle w:val="3"/>
        <w:spacing w:line="269" w:lineRule="auto"/>
        <w:rPr>
          <w:color w:val="auto"/>
          <w:lang w:eastAsia="zh-CN"/>
        </w:rPr>
      </w:pPr>
    </w:p>
    <w:p>
      <w:pPr>
        <w:spacing w:before="101" w:line="227" w:lineRule="auto"/>
        <w:ind w:left="6"/>
        <w:outlineLvl w:val="1"/>
        <w:rPr>
          <w:rFonts w:ascii="黑体" w:hAnsi="黑体" w:eastAsia="黑体" w:cs="黑体"/>
          <w:color w:val="auto"/>
          <w:sz w:val="31"/>
          <w:szCs w:val="31"/>
          <w:lang w:eastAsia="zh-CN"/>
        </w:rPr>
      </w:pPr>
      <w:bookmarkStart w:id="275" w:name="bookmark280"/>
      <w:bookmarkEnd w:id="275"/>
      <w:bookmarkStart w:id="276" w:name="bookmark277"/>
      <w:bookmarkEnd w:id="276"/>
      <w:bookmarkStart w:id="277" w:name="bookmark278"/>
      <w:bookmarkEnd w:id="277"/>
      <w:r>
        <w:rPr>
          <w:rFonts w:ascii="黑体" w:hAnsi="黑体" w:eastAsia="黑体" w:cs="黑体"/>
          <w:b/>
          <w:bCs/>
          <w:color w:val="auto"/>
          <w:sz w:val="31"/>
          <w:szCs w:val="31"/>
          <w:lang w:eastAsia="zh-CN"/>
        </w:rPr>
        <w:t>7.交通运输</w:t>
      </w:r>
    </w:p>
    <w:p>
      <w:pPr>
        <w:pStyle w:val="3"/>
        <w:spacing w:line="271" w:lineRule="auto"/>
        <w:rPr>
          <w:color w:val="auto"/>
          <w:lang w:eastAsia="zh-CN"/>
        </w:rPr>
      </w:pPr>
    </w:p>
    <w:p>
      <w:pPr>
        <w:spacing w:before="91" w:line="222" w:lineRule="auto"/>
        <w:ind w:left="4"/>
        <w:outlineLvl w:val="2"/>
        <w:rPr>
          <w:rFonts w:ascii="黑体" w:hAnsi="黑体" w:eastAsia="黑体" w:cs="黑体"/>
          <w:color w:val="auto"/>
          <w:sz w:val="28"/>
          <w:szCs w:val="28"/>
          <w:lang w:eastAsia="zh-CN"/>
        </w:rPr>
      </w:pPr>
      <w:bookmarkStart w:id="278" w:name="bookmark279"/>
      <w:bookmarkEnd w:id="278"/>
      <w:r>
        <w:rPr>
          <w:rFonts w:ascii="黑体" w:hAnsi="黑体" w:eastAsia="黑体" w:cs="黑体"/>
          <w:color w:val="auto"/>
          <w:spacing w:val="-1"/>
          <w:sz w:val="28"/>
          <w:szCs w:val="28"/>
          <w:lang w:eastAsia="zh-CN"/>
        </w:rPr>
        <w:t>7.1 道路通行权和场外设施</w:t>
      </w:r>
    </w:p>
    <w:p>
      <w:pPr>
        <w:spacing w:before="279" w:line="359" w:lineRule="auto"/>
        <w:ind w:firstLine="43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除专用合同条款另有约定外，发包人应根据合同工</w:t>
      </w:r>
      <w:r>
        <w:rPr>
          <w:rFonts w:ascii="宋体" w:hAnsi="宋体" w:eastAsia="宋体" w:cs="宋体"/>
          <w:color w:val="auto"/>
          <w:spacing w:val="8"/>
          <w:sz w:val="20"/>
          <w:szCs w:val="20"/>
          <w:lang w:eastAsia="zh-CN"/>
        </w:rPr>
        <w:t>程的施工需要，负责办理取得出入施工场</w:t>
      </w:r>
      <w:r>
        <w:rPr>
          <w:rFonts w:ascii="宋体" w:hAnsi="宋体" w:eastAsia="宋体" w:cs="宋体"/>
          <w:color w:val="auto"/>
          <w:spacing w:val="6"/>
          <w:sz w:val="20"/>
          <w:szCs w:val="20"/>
          <w:lang w:eastAsia="zh-CN"/>
        </w:rPr>
        <w:t>地的专用和临时道路的通行权，以及取得为工程建设所需修建场外设</w:t>
      </w:r>
      <w:r>
        <w:rPr>
          <w:rFonts w:ascii="宋体" w:hAnsi="宋体" w:eastAsia="宋体" w:cs="宋体"/>
          <w:color w:val="auto"/>
          <w:spacing w:val="5"/>
          <w:sz w:val="20"/>
          <w:szCs w:val="20"/>
          <w:lang w:eastAsia="zh-CN"/>
        </w:rPr>
        <w:t>施的权利，并承担有关费用。</w:t>
      </w:r>
      <w:r>
        <w:rPr>
          <w:rFonts w:ascii="宋体" w:hAnsi="宋体" w:eastAsia="宋体" w:cs="宋体"/>
          <w:color w:val="auto"/>
          <w:spacing w:val="8"/>
          <w:sz w:val="20"/>
          <w:szCs w:val="20"/>
          <w:lang w:eastAsia="zh-CN"/>
        </w:rPr>
        <w:t>承包人应协助发包人办理上述手续。</w:t>
      </w:r>
    </w:p>
    <w:p>
      <w:pPr>
        <w:spacing w:before="130" w:line="224" w:lineRule="auto"/>
        <w:ind w:left="4"/>
        <w:outlineLvl w:val="2"/>
        <w:rPr>
          <w:rFonts w:ascii="黑体" w:hAnsi="黑体" w:eastAsia="黑体" w:cs="黑体"/>
          <w:color w:val="auto"/>
          <w:sz w:val="28"/>
          <w:szCs w:val="28"/>
          <w:lang w:eastAsia="zh-CN"/>
        </w:rPr>
      </w:pPr>
      <w:bookmarkStart w:id="279" w:name="bookmark281"/>
      <w:bookmarkEnd w:id="279"/>
      <w:bookmarkStart w:id="280" w:name="bookmark282"/>
      <w:bookmarkEnd w:id="280"/>
      <w:r>
        <w:rPr>
          <w:rFonts w:ascii="黑体" w:hAnsi="黑体" w:eastAsia="黑体" w:cs="黑体"/>
          <w:color w:val="auto"/>
          <w:spacing w:val="-2"/>
          <w:sz w:val="28"/>
          <w:szCs w:val="28"/>
          <w:lang w:eastAsia="zh-CN"/>
        </w:rPr>
        <w:t>7.2 场内施工道路</w:t>
      </w:r>
    </w:p>
    <w:p>
      <w:pPr>
        <w:spacing w:before="276" w:line="297" w:lineRule="auto"/>
        <w:ind w:right="70" w:firstLine="42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7.2.1 除专用合同条款另有约定外，承包人应负责修建、维修、养护和管理施工所需的临时</w:t>
      </w:r>
      <w:r>
        <w:rPr>
          <w:rFonts w:ascii="宋体" w:hAnsi="宋体" w:eastAsia="宋体" w:cs="宋体"/>
          <w:color w:val="auto"/>
          <w:spacing w:val="10"/>
          <w:sz w:val="20"/>
          <w:szCs w:val="20"/>
          <w:lang w:eastAsia="zh-CN"/>
        </w:rPr>
        <w:t>道路和交通设施，包括维修、养护和管理发包</w:t>
      </w:r>
      <w:r>
        <w:rPr>
          <w:rFonts w:ascii="宋体" w:hAnsi="宋体" w:eastAsia="宋体" w:cs="宋体"/>
          <w:color w:val="auto"/>
          <w:spacing w:val="9"/>
          <w:sz w:val="20"/>
          <w:szCs w:val="20"/>
          <w:lang w:eastAsia="zh-CN"/>
        </w:rPr>
        <w:t>人提供的道路和交通设施，并承担相应费用。</w:t>
      </w:r>
    </w:p>
    <w:p>
      <w:pPr>
        <w:spacing w:before="155" w:line="299" w:lineRule="auto"/>
        <w:ind w:left="1"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7.2.2 除专用合同条款另有约定外，承包人修建的临时道路和交通设施应免费提供发包人和</w:t>
      </w:r>
      <w:r>
        <w:rPr>
          <w:rFonts w:ascii="宋体" w:hAnsi="宋体" w:eastAsia="宋体" w:cs="宋体"/>
          <w:color w:val="auto"/>
          <w:spacing w:val="6"/>
          <w:sz w:val="20"/>
          <w:szCs w:val="20"/>
          <w:lang w:eastAsia="zh-CN"/>
        </w:rPr>
        <w:t>监理人使用。</w:t>
      </w:r>
    </w:p>
    <w:p>
      <w:pPr>
        <w:spacing w:before="248" w:line="223" w:lineRule="auto"/>
        <w:ind w:left="4"/>
        <w:outlineLvl w:val="2"/>
        <w:rPr>
          <w:rFonts w:ascii="黑体" w:hAnsi="黑体" w:eastAsia="黑体" w:cs="黑体"/>
          <w:color w:val="auto"/>
          <w:sz w:val="28"/>
          <w:szCs w:val="28"/>
          <w:lang w:eastAsia="zh-CN"/>
        </w:rPr>
      </w:pPr>
      <w:bookmarkStart w:id="281" w:name="bookmark284"/>
      <w:bookmarkEnd w:id="281"/>
      <w:bookmarkStart w:id="282" w:name="bookmark283"/>
      <w:bookmarkEnd w:id="282"/>
      <w:r>
        <w:rPr>
          <w:rFonts w:ascii="黑体" w:hAnsi="黑体" w:eastAsia="黑体" w:cs="黑体"/>
          <w:color w:val="auto"/>
          <w:spacing w:val="-2"/>
          <w:sz w:val="28"/>
          <w:szCs w:val="28"/>
          <w:lang w:eastAsia="zh-CN"/>
        </w:rPr>
        <w:t>7.3 场外交通</w:t>
      </w:r>
    </w:p>
    <w:p>
      <w:pPr>
        <w:spacing w:before="278"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7.3.1 承包人车辆外出行驶所需的场外公共道路的通行费</w:t>
      </w:r>
      <w:r>
        <w:rPr>
          <w:rFonts w:ascii="宋体" w:hAnsi="宋体" w:eastAsia="宋体" w:cs="宋体"/>
          <w:color w:val="auto"/>
          <w:spacing w:val="8"/>
          <w:sz w:val="20"/>
          <w:szCs w:val="20"/>
          <w:lang w:eastAsia="zh-CN"/>
        </w:rPr>
        <w:t>、养路费和税款等由承包人承担。</w:t>
      </w:r>
    </w:p>
    <w:p>
      <w:pPr>
        <w:spacing w:before="153" w:line="298" w:lineRule="auto"/>
        <w:ind w:left="5" w:right="70"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7.3.2 承包人应遵守有关交通法规，严格按照道路和桥梁的限制荷重安全行驶，并服从交通</w:t>
      </w:r>
      <w:r>
        <w:rPr>
          <w:rFonts w:ascii="宋体" w:hAnsi="宋体" w:eastAsia="宋体" w:cs="宋体"/>
          <w:color w:val="auto"/>
          <w:spacing w:val="7"/>
          <w:sz w:val="20"/>
          <w:szCs w:val="20"/>
          <w:lang w:eastAsia="zh-CN"/>
        </w:rPr>
        <w:t>管理部门的检查和监督。</w:t>
      </w:r>
    </w:p>
    <w:p>
      <w:pPr>
        <w:spacing w:before="252" w:line="222" w:lineRule="auto"/>
        <w:ind w:left="4"/>
        <w:outlineLvl w:val="2"/>
        <w:rPr>
          <w:rFonts w:ascii="黑体" w:hAnsi="黑体" w:eastAsia="黑体" w:cs="黑体"/>
          <w:color w:val="auto"/>
          <w:sz w:val="28"/>
          <w:szCs w:val="28"/>
          <w:lang w:eastAsia="zh-CN"/>
        </w:rPr>
      </w:pPr>
      <w:bookmarkStart w:id="283" w:name="bookmark285"/>
      <w:bookmarkEnd w:id="283"/>
      <w:bookmarkStart w:id="284" w:name="bookmark286"/>
      <w:bookmarkEnd w:id="284"/>
      <w:r>
        <w:rPr>
          <w:rFonts w:ascii="黑体" w:hAnsi="黑体" w:eastAsia="黑体" w:cs="黑体"/>
          <w:color w:val="auto"/>
          <w:spacing w:val="-1"/>
          <w:sz w:val="28"/>
          <w:szCs w:val="28"/>
          <w:lang w:eastAsia="zh-CN"/>
        </w:rPr>
        <w:t>7.4 超大件和超重件的运输</w:t>
      </w:r>
    </w:p>
    <w:p>
      <w:pPr>
        <w:spacing w:before="279" w:line="359" w:lineRule="auto"/>
        <w:ind w:left="2" w:right="70" w:firstLine="443"/>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由承包人负责运输的超大件或超重件，应由承包人负责向交通管理部门办理申请手续，发包</w:t>
      </w:r>
      <w:r>
        <w:rPr>
          <w:rFonts w:ascii="宋体" w:hAnsi="宋体" w:eastAsia="宋体" w:cs="宋体"/>
          <w:color w:val="auto"/>
          <w:spacing w:val="9"/>
          <w:sz w:val="20"/>
          <w:szCs w:val="20"/>
          <w:lang w:eastAsia="zh-CN"/>
        </w:rPr>
        <w:t xml:space="preserve"> 人给予协助。运输超大件或超重件所需的道路和桥梁临时加固改造费用和其他有关费</w:t>
      </w:r>
      <w:r>
        <w:rPr>
          <w:rFonts w:ascii="宋体" w:hAnsi="宋体" w:eastAsia="宋体" w:cs="宋体"/>
          <w:color w:val="auto"/>
          <w:spacing w:val="8"/>
          <w:sz w:val="20"/>
          <w:szCs w:val="20"/>
          <w:lang w:eastAsia="zh-CN"/>
        </w:rPr>
        <w:t>用，由承包人承担，但专用合同条款另有约定除外。</w:t>
      </w:r>
    </w:p>
    <w:p>
      <w:pPr>
        <w:spacing w:before="126" w:line="222" w:lineRule="auto"/>
        <w:ind w:left="4"/>
        <w:outlineLvl w:val="2"/>
        <w:rPr>
          <w:rFonts w:ascii="黑体" w:hAnsi="黑体" w:eastAsia="黑体" w:cs="黑体"/>
          <w:color w:val="auto"/>
          <w:sz w:val="28"/>
          <w:szCs w:val="28"/>
          <w:lang w:eastAsia="zh-CN"/>
        </w:rPr>
      </w:pPr>
      <w:bookmarkStart w:id="285" w:name="bookmark287"/>
      <w:bookmarkEnd w:id="285"/>
      <w:bookmarkStart w:id="286" w:name="bookmark288"/>
      <w:bookmarkEnd w:id="286"/>
      <w:r>
        <w:rPr>
          <w:rFonts w:ascii="黑体" w:hAnsi="黑体" w:eastAsia="黑体" w:cs="黑体"/>
          <w:color w:val="auto"/>
          <w:spacing w:val="-1"/>
          <w:sz w:val="28"/>
          <w:szCs w:val="28"/>
          <w:lang w:eastAsia="zh-CN"/>
        </w:rPr>
        <w:t>7.5 道路和桥梁的损坏责任</w:t>
      </w:r>
    </w:p>
    <w:p>
      <w:pPr>
        <w:spacing w:before="281" w:line="355" w:lineRule="auto"/>
        <w:ind w:left="1"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因承包人运输造成施工场地内外公共道路和桥梁损坏的，由承包人承担修复损坏的全部费用</w:t>
      </w:r>
      <w:r>
        <w:rPr>
          <w:rFonts w:ascii="宋体" w:hAnsi="宋体" w:eastAsia="宋体" w:cs="宋体"/>
          <w:color w:val="auto"/>
          <w:spacing w:val="7"/>
          <w:sz w:val="20"/>
          <w:szCs w:val="20"/>
          <w:lang w:eastAsia="zh-CN"/>
        </w:rPr>
        <w:t>和可能引起的赔偿。</w:t>
      </w:r>
    </w:p>
    <w:p>
      <w:pPr>
        <w:spacing w:before="127" w:line="222" w:lineRule="auto"/>
        <w:ind w:left="4"/>
        <w:outlineLvl w:val="2"/>
        <w:rPr>
          <w:rFonts w:ascii="黑体" w:hAnsi="黑体" w:eastAsia="黑体" w:cs="黑体"/>
          <w:color w:val="auto"/>
          <w:sz w:val="28"/>
          <w:szCs w:val="28"/>
          <w:lang w:eastAsia="zh-CN"/>
        </w:rPr>
      </w:pPr>
      <w:bookmarkStart w:id="287" w:name="bookmark290"/>
      <w:bookmarkEnd w:id="287"/>
      <w:bookmarkStart w:id="288" w:name="bookmark289"/>
      <w:bookmarkEnd w:id="288"/>
      <w:r>
        <w:rPr>
          <w:rFonts w:ascii="黑体" w:hAnsi="黑体" w:eastAsia="黑体" w:cs="黑体"/>
          <w:color w:val="auto"/>
          <w:spacing w:val="-2"/>
          <w:sz w:val="28"/>
          <w:szCs w:val="28"/>
          <w:lang w:eastAsia="zh-CN"/>
        </w:rPr>
        <w:t>7.6 水路和航空运输</w:t>
      </w:r>
    </w:p>
    <w:p>
      <w:pPr>
        <w:spacing w:line="222" w:lineRule="auto"/>
        <w:rPr>
          <w:rFonts w:ascii="黑体" w:hAnsi="黑体" w:eastAsia="黑体" w:cs="黑体"/>
          <w:color w:val="auto"/>
          <w:sz w:val="28"/>
          <w:szCs w:val="28"/>
          <w:lang w:eastAsia="zh-CN"/>
        </w:rPr>
        <w:sectPr>
          <w:footerReference r:id="rId56"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0" w:lineRule="auto"/>
        <w:ind w:left="4" w:firstLine="420"/>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本条上述各款的内容适用于水路运输和航空运输，其中“道路”一词的</w:t>
      </w:r>
      <w:r>
        <w:rPr>
          <w:rFonts w:ascii="宋体" w:hAnsi="宋体" w:eastAsia="宋体" w:cs="宋体"/>
          <w:color w:val="auto"/>
          <w:spacing w:val="4"/>
          <w:sz w:val="20"/>
          <w:szCs w:val="20"/>
          <w:lang w:eastAsia="zh-CN"/>
        </w:rPr>
        <w:t>涵义包括河道、航线、</w:t>
      </w:r>
      <w:r>
        <w:rPr>
          <w:rFonts w:ascii="宋体" w:hAnsi="宋体" w:eastAsia="宋体" w:cs="宋体"/>
          <w:color w:val="auto"/>
          <w:spacing w:val="8"/>
          <w:sz w:val="20"/>
          <w:szCs w:val="20"/>
          <w:lang w:eastAsia="zh-CN"/>
        </w:rPr>
        <w:t>船闸、机场、码头、堤防以及水路或航空运输中其他相似结构物；“车辆”一词的涵义包括船舶</w:t>
      </w:r>
      <w:r>
        <w:rPr>
          <w:rFonts w:ascii="宋体" w:hAnsi="宋体" w:eastAsia="宋体" w:cs="宋体"/>
          <w:color w:val="auto"/>
          <w:spacing w:val="5"/>
          <w:sz w:val="20"/>
          <w:szCs w:val="20"/>
          <w:lang w:eastAsia="zh-CN"/>
        </w:rPr>
        <w:t>和飞机等。</w:t>
      </w:r>
    </w:p>
    <w:p>
      <w:pPr>
        <w:spacing w:before="249" w:line="225" w:lineRule="auto"/>
        <w:ind w:left="5"/>
        <w:outlineLvl w:val="1"/>
        <w:rPr>
          <w:rFonts w:ascii="黑体" w:hAnsi="黑体" w:eastAsia="黑体" w:cs="黑体"/>
          <w:color w:val="auto"/>
          <w:sz w:val="31"/>
          <w:szCs w:val="31"/>
          <w:lang w:eastAsia="zh-CN"/>
        </w:rPr>
      </w:pPr>
      <w:bookmarkStart w:id="289" w:name="bookmark291"/>
      <w:bookmarkEnd w:id="289"/>
      <w:bookmarkStart w:id="290" w:name="bookmark292"/>
      <w:bookmarkEnd w:id="290"/>
      <w:bookmarkStart w:id="291" w:name="bookmark294"/>
      <w:bookmarkEnd w:id="291"/>
      <w:r>
        <w:rPr>
          <w:rFonts w:ascii="黑体" w:hAnsi="黑体" w:eastAsia="黑体" w:cs="黑体"/>
          <w:b/>
          <w:bCs/>
          <w:color w:val="auto"/>
          <w:spacing w:val="4"/>
          <w:sz w:val="31"/>
          <w:szCs w:val="31"/>
          <w:lang w:eastAsia="zh-CN"/>
        </w:rPr>
        <w:t>8.测量放线</w:t>
      </w:r>
    </w:p>
    <w:p>
      <w:pPr>
        <w:pStyle w:val="3"/>
        <w:spacing w:line="274" w:lineRule="auto"/>
        <w:rPr>
          <w:color w:val="auto"/>
          <w:lang w:eastAsia="zh-CN"/>
        </w:rPr>
      </w:pPr>
    </w:p>
    <w:p>
      <w:pPr>
        <w:spacing w:before="91" w:line="224" w:lineRule="auto"/>
        <w:ind w:left="4"/>
        <w:outlineLvl w:val="2"/>
        <w:rPr>
          <w:rFonts w:ascii="黑体" w:hAnsi="黑体" w:eastAsia="黑体" w:cs="黑体"/>
          <w:color w:val="auto"/>
          <w:sz w:val="28"/>
          <w:szCs w:val="28"/>
          <w:lang w:eastAsia="zh-CN"/>
        </w:rPr>
      </w:pPr>
      <w:bookmarkStart w:id="292" w:name="bookmark293"/>
      <w:bookmarkEnd w:id="292"/>
      <w:r>
        <w:rPr>
          <w:rFonts w:ascii="黑体" w:hAnsi="黑体" w:eastAsia="黑体" w:cs="黑体"/>
          <w:color w:val="auto"/>
          <w:spacing w:val="-1"/>
          <w:sz w:val="28"/>
          <w:szCs w:val="28"/>
          <w:lang w:eastAsia="zh-CN"/>
        </w:rPr>
        <w:t>8.1 施工控制网</w:t>
      </w:r>
    </w:p>
    <w:p>
      <w:pPr>
        <w:spacing w:before="276" w:line="362" w:lineRule="auto"/>
        <w:ind w:left="5" w:right="70"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8.1.1发包人应在专用合同条款约定的期限内，通过监理人向承包人提供测量基准点、基准线和水准点及其书面资料。除专用合同条款另有约定外，承包人应根据国家测绘基准、</w:t>
      </w:r>
      <w:r>
        <w:rPr>
          <w:rFonts w:ascii="宋体" w:hAnsi="宋体" w:eastAsia="宋体" w:cs="宋体"/>
          <w:color w:val="auto"/>
          <w:spacing w:val="8"/>
          <w:sz w:val="20"/>
          <w:szCs w:val="20"/>
          <w:lang w:eastAsia="zh-CN"/>
        </w:rPr>
        <w:t>测绘系统</w:t>
      </w:r>
      <w:r>
        <w:rPr>
          <w:rFonts w:ascii="宋体" w:hAnsi="宋体" w:eastAsia="宋体" w:cs="宋体"/>
          <w:color w:val="auto"/>
          <w:spacing w:val="9"/>
          <w:sz w:val="20"/>
          <w:szCs w:val="20"/>
          <w:lang w:eastAsia="zh-CN"/>
        </w:rPr>
        <w:t>和工程测量技术规范，按上述基准点（线）以及合同工程精度要求，测设施工控制网，</w:t>
      </w:r>
      <w:r>
        <w:rPr>
          <w:rFonts w:ascii="宋体" w:hAnsi="宋体" w:eastAsia="宋体" w:cs="宋体"/>
          <w:color w:val="auto"/>
          <w:spacing w:val="8"/>
          <w:sz w:val="20"/>
          <w:szCs w:val="20"/>
          <w:lang w:eastAsia="zh-CN"/>
        </w:rPr>
        <w:t>并在专用</w:t>
      </w:r>
      <w:r>
        <w:rPr>
          <w:rFonts w:ascii="宋体" w:hAnsi="宋体" w:eastAsia="宋体" w:cs="宋体"/>
          <w:color w:val="auto"/>
          <w:spacing w:val="9"/>
          <w:sz w:val="20"/>
          <w:szCs w:val="20"/>
          <w:lang w:eastAsia="zh-CN"/>
        </w:rPr>
        <w:t>合同条款约定的期限内，将施工控制网资料报送监理人审批。</w:t>
      </w:r>
    </w:p>
    <w:p>
      <w:pPr>
        <w:spacing w:before="31" w:line="355" w:lineRule="auto"/>
        <w:ind w:left="4" w:right="105"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8.1.2承包人应负责管理施工控制网点。施工控</w:t>
      </w:r>
      <w:r>
        <w:rPr>
          <w:rFonts w:ascii="宋体" w:hAnsi="宋体" w:eastAsia="宋体" w:cs="宋体"/>
          <w:color w:val="auto"/>
          <w:spacing w:val="8"/>
          <w:sz w:val="20"/>
          <w:szCs w:val="20"/>
          <w:lang w:eastAsia="zh-CN"/>
        </w:rPr>
        <w:t>制网点丢失或损坏的，承包人应及时修复。</w:t>
      </w:r>
      <w:r>
        <w:rPr>
          <w:rFonts w:ascii="宋体" w:hAnsi="宋体" w:eastAsia="宋体" w:cs="宋体"/>
          <w:color w:val="auto"/>
          <w:spacing w:val="10"/>
          <w:sz w:val="20"/>
          <w:szCs w:val="20"/>
          <w:lang w:eastAsia="zh-CN"/>
        </w:rPr>
        <w:t>承包人应承担施工控制网点的管理与修复费</w:t>
      </w:r>
      <w:r>
        <w:rPr>
          <w:rFonts w:ascii="宋体" w:hAnsi="宋体" w:eastAsia="宋体" w:cs="宋体"/>
          <w:color w:val="auto"/>
          <w:spacing w:val="9"/>
          <w:sz w:val="20"/>
          <w:szCs w:val="20"/>
          <w:lang w:eastAsia="zh-CN"/>
        </w:rPr>
        <w:t>用，并在工程竣工后将施工控制网点移交发包人。</w:t>
      </w:r>
    </w:p>
    <w:p>
      <w:pPr>
        <w:spacing w:before="127" w:line="224" w:lineRule="auto"/>
        <w:ind w:left="4"/>
        <w:outlineLvl w:val="2"/>
        <w:rPr>
          <w:rFonts w:ascii="黑体" w:hAnsi="黑体" w:eastAsia="黑体" w:cs="黑体"/>
          <w:color w:val="auto"/>
          <w:sz w:val="28"/>
          <w:szCs w:val="28"/>
          <w:lang w:eastAsia="zh-CN"/>
        </w:rPr>
      </w:pPr>
      <w:bookmarkStart w:id="293" w:name="bookmark295"/>
      <w:bookmarkEnd w:id="293"/>
      <w:bookmarkStart w:id="294" w:name="bookmark296"/>
      <w:bookmarkEnd w:id="294"/>
      <w:r>
        <w:rPr>
          <w:rFonts w:ascii="黑体" w:hAnsi="黑体" w:eastAsia="黑体" w:cs="黑体"/>
          <w:color w:val="auto"/>
          <w:spacing w:val="-1"/>
          <w:sz w:val="28"/>
          <w:szCs w:val="28"/>
          <w:lang w:eastAsia="zh-CN"/>
        </w:rPr>
        <w:t>8.2 施工测量</w:t>
      </w:r>
    </w:p>
    <w:p>
      <w:pPr>
        <w:spacing w:before="276" w:line="299" w:lineRule="auto"/>
        <w:ind w:left="5"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8.2.1承包人应负责施工过程中的全部施工测量放线工作，并配置合格的人员、仪器、设备</w:t>
      </w:r>
      <w:r>
        <w:rPr>
          <w:rFonts w:ascii="宋体" w:hAnsi="宋体" w:eastAsia="宋体" w:cs="宋体"/>
          <w:color w:val="auto"/>
          <w:spacing w:val="6"/>
          <w:sz w:val="20"/>
          <w:szCs w:val="20"/>
          <w:lang w:eastAsia="zh-CN"/>
        </w:rPr>
        <w:t>和其他物品。</w:t>
      </w:r>
    </w:p>
    <w:p>
      <w:pPr>
        <w:spacing w:before="153" w:line="298" w:lineRule="auto"/>
        <w:ind w:left="14" w:right="71" w:firstLine="41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8.2.2监理人可以指示承包人进行抽样复测，当复测中发现错误或出现超过合同约定的误差时，承包人应按监理人指示进行修正或补测，并承担相应的复测费用。</w:t>
      </w:r>
    </w:p>
    <w:p>
      <w:pPr>
        <w:spacing w:before="250" w:line="222" w:lineRule="auto"/>
        <w:ind w:left="4"/>
        <w:outlineLvl w:val="2"/>
        <w:rPr>
          <w:rFonts w:ascii="黑体" w:hAnsi="黑体" w:eastAsia="黑体" w:cs="黑体"/>
          <w:color w:val="auto"/>
          <w:sz w:val="28"/>
          <w:szCs w:val="28"/>
          <w:lang w:eastAsia="zh-CN"/>
        </w:rPr>
      </w:pPr>
      <w:bookmarkStart w:id="295" w:name="bookmark297"/>
      <w:bookmarkEnd w:id="295"/>
      <w:bookmarkStart w:id="296" w:name="bookmark298"/>
      <w:bookmarkEnd w:id="296"/>
      <w:r>
        <w:rPr>
          <w:rFonts w:ascii="黑体" w:hAnsi="黑体" w:eastAsia="黑体" w:cs="黑体"/>
          <w:color w:val="auto"/>
          <w:spacing w:val="-1"/>
          <w:sz w:val="28"/>
          <w:szCs w:val="28"/>
          <w:lang w:eastAsia="zh-CN"/>
        </w:rPr>
        <w:t>8.3 基准资料错误的责任</w:t>
      </w:r>
    </w:p>
    <w:p>
      <w:pPr>
        <w:spacing w:before="280" w:line="362" w:lineRule="auto"/>
        <w:ind w:left="4" w:right="70"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发包人应对其提供的测量基准点、基准线和水准点及其书面资料的真实</w:t>
      </w:r>
      <w:r>
        <w:rPr>
          <w:rFonts w:ascii="宋体" w:hAnsi="宋体" w:eastAsia="宋体" w:cs="宋体"/>
          <w:color w:val="auto"/>
          <w:spacing w:val="8"/>
          <w:sz w:val="20"/>
          <w:szCs w:val="20"/>
          <w:lang w:eastAsia="zh-CN"/>
        </w:rPr>
        <w:t>性、准确性和完整性</w:t>
      </w:r>
      <w:r>
        <w:rPr>
          <w:rFonts w:ascii="宋体" w:hAnsi="宋体" w:eastAsia="宋体" w:cs="宋体"/>
          <w:color w:val="auto"/>
          <w:spacing w:val="9"/>
          <w:sz w:val="20"/>
          <w:szCs w:val="20"/>
          <w:lang w:eastAsia="zh-CN"/>
        </w:rPr>
        <w:t>负责。发包人提供上述基准资料错误导致承包人测量放线工作的返工或造成工程损失的，</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应当承担由此增加的费用和（或）工期延误，并向承包人支付合理利润。承包人发现发</w:t>
      </w:r>
      <w:r>
        <w:rPr>
          <w:rFonts w:ascii="宋体" w:hAnsi="宋体" w:eastAsia="宋体" w:cs="宋体"/>
          <w:color w:val="auto"/>
          <w:spacing w:val="8"/>
          <w:sz w:val="20"/>
          <w:szCs w:val="20"/>
          <w:lang w:eastAsia="zh-CN"/>
        </w:rPr>
        <w:t>包人提供</w:t>
      </w:r>
      <w:r>
        <w:rPr>
          <w:rFonts w:ascii="宋体" w:hAnsi="宋体" w:eastAsia="宋体" w:cs="宋体"/>
          <w:color w:val="auto"/>
          <w:spacing w:val="9"/>
          <w:sz w:val="20"/>
          <w:szCs w:val="20"/>
          <w:lang w:eastAsia="zh-CN"/>
        </w:rPr>
        <w:t>的上述基准资料存在明显错误或疏忽的，应及时通知监理人。</w:t>
      </w:r>
    </w:p>
    <w:p>
      <w:pPr>
        <w:spacing w:before="127" w:line="222" w:lineRule="auto"/>
        <w:ind w:left="4"/>
        <w:outlineLvl w:val="2"/>
        <w:rPr>
          <w:rFonts w:ascii="黑体" w:hAnsi="黑体" w:eastAsia="黑体" w:cs="黑体"/>
          <w:color w:val="auto"/>
          <w:sz w:val="28"/>
          <w:szCs w:val="28"/>
          <w:lang w:eastAsia="zh-CN"/>
        </w:rPr>
      </w:pPr>
      <w:bookmarkStart w:id="297" w:name="bookmark299"/>
      <w:bookmarkEnd w:id="297"/>
      <w:r>
        <w:rPr>
          <w:rFonts w:ascii="黑体" w:hAnsi="黑体" w:eastAsia="黑体" w:cs="黑体"/>
          <w:color w:val="auto"/>
          <w:spacing w:val="-1"/>
          <w:sz w:val="28"/>
          <w:szCs w:val="28"/>
          <w:lang w:eastAsia="zh-CN"/>
        </w:rPr>
        <w:t>8.4 监理人使用施工控制网</w:t>
      </w:r>
    </w:p>
    <w:p>
      <w:pPr>
        <w:spacing w:before="279"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监理人需要使用施工控制网的，承包人应提供必要的协助，发包人不再为此支付费用。</w:t>
      </w:r>
    </w:p>
    <w:p>
      <w:pPr>
        <w:pStyle w:val="3"/>
        <w:spacing w:line="270" w:lineRule="auto"/>
        <w:rPr>
          <w:color w:val="auto"/>
          <w:lang w:eastAsia="zh-CN"/>
        </w:rPr>
      </w:pPr>
    </w:p>
    <w:p>
      <w:pPr>
        <w:spacing w:before="101" w:line="227" w:lineRule="auto"/>
        <w:outlineLvl w:val="1"/>
        <w:rPr>
          <w:rFonts w:ascii="黑体" w:hAnsi="黑体" w:eastAsia="黑体" w:cs="黑体"/>
          <w:color w:val="auto"/>
          <w:sz w:val="31"/>
          <w:szCs w:val="31"/>
          <w:lang w:eastAsia="zh-CN"/>
        </w:rPr>
      </w:pPr>
      <w:bookmarkStart w:id="298" w:name="bookmark301"/>
      <w:bookmarkEnd w:id="298"/>
      <w:bookmarkStart w:id="299" w:name="bookmark300"/>
      <w:bookmarkEnd w:id="299"/>
      <w:bookmarkStart w:id="300" w:name="bookmark304"/>
      <w:bookmarkEnd w:id="300"/>
      <w:bookmarkStart w:id="301" w:name="bookmark302"/>
      <w:bookmarkEnd w:id="301"/>
      <w:r>
        <w:rPr>
          <w:rFonts w:ascii="黑体" w:hAnsi="黑体" w:eastAsia="黑体" w:cs="黑体"/>
          <w:b/>
          <w:bCs/>
          <w:color w:val="auto"/>
          <w:spacing w:val="6"/>
          <w:sz w:val="31"/>
          <w:szCs w:val="31"/>
          <w:lang w:eastAsia="zh-CN"/>
        </w:rPr>
        <w:t>9.施工安全、治安保卫和环境保护</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2" w:name="bookmark303"/>
      <w:bookmarkEnd w:id="302"/>
      <w:r>
        <w:rPr>
          <w:rFonts w:ascii="黑体" w:hAnsi="黑体" w:eastAsia="黑体" w:cs="黑体"/>
          <w:color w:val="auto"/>
          <w:spacing w:val="-1"/>
          <w:sz w:val="28"/>
          <w:szCs w:val="28"/>
          <w:lang w:eastAsia="zh-CN"/>
        </w:rPr>
        <w:t>9.1 发包人的施工安全责任</w:t>
      </w:r>
    </w:p>
    <w:p>
      <w:pPr>
        <w:spacing w:before="281" w:line="355" w:lineRule="auto"/>
        <w:ind w:left="7" w:right="70"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9.1.1 发包人应按合同约定履行安全职责，授权监理人按合同约定的安全工作内容监督、检</w:t>
      </w:r>
      <w:r>
        <w:rPr>
          <w:rFonts w:ascii="宋体" w:hAnsi="宋体" w:eastAsia="宋体" w:cs="宋体"/>
          <w:color w:val="auto"/>
          <w:spacing w:val="9"/>
          <w:sz w:val="20"/>
          <w:szCs w:val="20"/>
          <w:lang w:eastAsia="zh-CN"/>
        </w:rPr>
        <w:t>查承包人安全工作的实施，组织承包人和有关单位进行安全检查。</w:t>
      </w:r>
    </w:p>
    <w:p>
      <w:pPr>
        <w:spacing w:line="355" w:lineRule="auto"/>
        <w:rPr>
          <w:rFonts w:ascii="宋体" w:hAnsi="宋体" w:eastAsia="宋体" w:cs="宋体"/>
          <w:color w:val="auto"/>
          <w:sz w:val="20"/>
          <w:szCs w:val="20"/>
          <w:lang w:eastAsia="zh-CN"/>
        </w:rPr>
        <w:sectPr>
          <w:footerReference r:id="rId57" w:type="default"/>
          <w:pgSz w:w="11906" w:h="16839"/>
          <w:pgMar w:top="1431" w:right="1462" w:bottom="1468" w:left="1592"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8" w:firstLine="41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9.1.2 发包人应对其现场机构雇佣的全部人员的工伤事故承担责任，但由于承包人原因造成发包人人员工伤的，应由承包人承担责任。</w:t>
      </w:r>
    </w:p>
    <w:p>
      <w:pPr>
        <w:spacing w:before="153"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9.1.3 发包人应负责赔偿以下各种情</w:t>
      </w:r>
      <w:r>
        <w:rPr>
          <w:rFonts w:ascii="宋体" w:hAnsi="宋体" w:eastAsia="宋体" w:cs="宋体"/>
          <w:color w:val="auto"/>
          <w:spacing w:val="8"/>
          <w:sz w:val="20"/>
          <w:szCs w:val="20"/>
          <w:lang w:eastAsia="zh-CN"/>
        </w:rPr>
        <w:t>况造成的第三者人身伤亡和财产损失：</w:t>
      </w:r>
    </w:p>
    <w:p>
      <w:pPr>
        <w:spacing w:before="151" w:line="228"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 工程或工程的任何部分对土地的占用所造</w:t>
      </w:r>
      <w:r>
        <w:rPr>
          <w:rFonts w:ascii="宋体" w:hAnsi="宋体" w:eastAsia="宋体" w:cs="宋体"/>
          <w:color w:val="auto"/>
          <w:spacing w:val="8"/>
          <w:sz w:val="20"/>
          <w:szCs w:val="20"/>
          <w:lang w:eastAsia="zh-CN"/>
        </w:rPr>
        <w:t>成的第三者财产损失；</w:t>
      </w:r>
    </w:p>
    <w:p>
      <w:pPr>
        <w:spacing w:before="153"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（2）由于发包人原因在施工场地及其毗邻地带造成的第三者人身伤</w:t>
      </w:r>
      <w:r>
        <w:rPr>
          <w:rFonts w:ascii="宋体" w:hAnsi="宋体" w:eastAsia="宋体" w:cs="宋体"/>
          <w:color w:val="auto"/>
          <w:spacing w:val="7"/>
          <w:sz w:val="20"/>
          <w:szCs w:val="20"/>
          <w:lang w:eastAsia="zh-CN"/>
        </w:rPr>
        <w:t>亡和财产损失。</w:t>
      </w:r>
    </w:p>
    <w:p>
      <w:pPr>
        <w:spacing w:before="248" w:line="222" w:lineRule="auto"/>
        <w:outlineLvl w:val="2"/>
        <w:rPr>
          <w:rFonts w:ascii="黑体" w:hAnsi="黑体" w:eastAsia="黑体" w:cs="黑体"/>
          <w:color w:val="auto"/>
          <w:sz w:val="28"/>
          <w:szCs w:val="28"/>
          <w:lang w:eastAsia="zh-CN"/>
        </w:rPr>
      </w:pPr>
      <w:bookmarkStart w:id="303" w:name="bookmark305"/>
      <w:bookmarkEnd w:id="303"/>
      <w:bookmarkStart w:id="304" w:name="bookmark306"/>
      <w:bookmarkEnd w:id="304"/>
      <w:r>
        <w:rPr>
          <w:rFonts w:ascii="黑体" w:hAnsi="黑体" w:eastAsia="黑体" w:cs="黑体"/>
          <w:color w:val="auto"/>
          <w:spacing w:val="-1"/>
          <w:sz w:val="28"/>
          <w:szCs w:val="28"/>
          <w:lang w:eastAsia="zh-CN"/>
        </w:rPr>
        <w:t>9.2 承包人的施工安全责任</w:t>
      </w:r>
    </w:p>
    <w:p>
      <w:pPr>
        <w:spacing w:before="279" w:line="299" w:lineRule="auto"/>
        <w:ind w:left="6" w:firstLine="419"/>
        <w:rPr>
          <w:rFonts w:ascii="宋体" w:hAnsi="宋体" w:eastAsia="宋体" w:cs="宋体"/>
          <w:color w:val="auto"/>
          <w:sz w:val="20"/>
          <w:szCs w:val="20"/>
          <w:lang w:eastAsia="zh-CN"/>
        </w:rPr>
      </w:pPr>
      <w:r>
        <w:rPr>
          <w:rFonts w:ascii="宋体" w:hAnsi="宋体" w:eastAsia="宋体" w:cs="宋体"/>
          <w:color w:val="auto"/>
          <w:spacing w:val="13"/>
          <w:sz w:val="20"/>
          <w:szCs w:val="20"/>
          <w:lang w:eastAsia="zh-CN"/>
        </w:rPr>
        <w:t>9.2.1 承包人应按合同约定履行安全职责,执行监理人有关安全工作的指示,并</w:t>
      </w:r>
      <w:r>
        <w:rPr>
          <w:rFonts w:ascii="宋体" w:hAnsi="宋体" w:eastAsia="宋体" w:cs="宋体"/>
          <w:color w:val="auto"/>
          <w:spacing w:val="12"/>
          <w:sz w:val="20"/>
          <w:szCs w:val="20"/>
          <w:lang w:eastAsia="zh-CN"/>
        </w:rPr>
        <w:t>在专用合同</w:t>
      </w:r>
      <w:r>
        <w:rPr>
          <w:rFonts w:ascii="宋体" w:hAnsi="宋体" w:eastAsia="宋体" w:cs="宋体"/>
          <w:color w:val="auto"/>
          <w:spacing w:val="9"/>
          <w:sz w:val="20"/>
          <w:szCs w:val="20"/>
          <w:lang w:eastAsia="zh-CN"/>
        </w:rPr>
        <w:t>条款约定的期限内，按合同约定的安全工作内容，编制施工安全措施计划报送监理人审批。</w:t>
      </w:r>
    </w:p>
    <w:p>
      <w:pPr>
        <w:spacing w:before="155" w:line="297"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9.2.2 承包人应加强施工作业安全管理，特别应加强易燃、易爆材料、火工器材、有毒与腐蚀性材料和其他危险品的管理，以及对爆破作业和地下工程施工等危险作业的管理。</w:t>
      </w:r>
    </w:p>
    <w:p>
      <w:pPr>
        <w:spacing w:before="155" w:line="299"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9.2.3 承包人应严格按照国家安全标准制定施工安全操作规程，配备必要的安全生产和劳动</w:t>
      </w:r>
      <w:r>
        <w:rPr>
          <w:rFonts w:ascii="宋体" w:hAnsi="宋体" w:eastAsia="宋体" w:cs="宋体"/>
          <w:color w:val="auto"/>
          <w:spacing w:val="9"/>
          <w:sz w:val="20"/>
          <w:szCs w:val="20"/>
          <w:lang w:eastAsia="zh-CN"/>
        </w:rPr>
        <w:t>保护设施，加强对承包人人员的安全教育，并发放安全工作手册和劳动保护用具。</w:t>
      </w:r>
    </w:p>
    <w:p>
      <w:pPr>
        <w:spacing w:before="153" w:line="298" w:lineRule="auto"/>
        <w:ind w:left="6"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9.2.4 承包人应按监理人的指示制定应对灾害的紧急预案，报送监理人审批。承包人还应按</w:t>
      </w:r>
      <w:r>
        <w:rPr>
          <w:rFonts w:ascii="宋体" w:hAnsi="宋体" w:eastAsia="宋体" w:cs="宋体"/>
          <w:color w:val="auto"/>
          <w:spacing w:val="9"/>
          <w:sz w:val="20"/>
          <w:szCs w:val="20"/>
          <w:lang w:eastAsia="zh-CN"/>
        </w:rPr>
        <w:t>预案做好安全检查，配置必要的救助物资和器材，切实保护好有关人员的人身和财产安全。</w:t>
      </w:r>
    </w:p>
    <w:p>
      <w:pPr>
        <w:spacing w:before="155" w:line="297" w:lineRule="auto"/>
        <w:ind w:left="5"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9.2.5 合同约定的安全作业环境及安全施工措施所需费用应遵守有关规定，并包括在相关工</w:t>
      </w:r>
      <w:r>
        <w:rPr>
          <w:rFonts w:ascii="宋体" w:hAnsi="宋体" w:eastAsia="宋体" w:cs="宋体"/>
          <w:color w:val="auto"/>
          <w:spacing w:val="9"/>
          <w:sz w:val="20"/>
          <w:szCs w:val="20"/>
          <w:lang w:eastAsia="zh-CN"/>
        </w:rPr>
        <w:t>作的合同价格中。因采取合同未约定的安全作业环境及安全施工措施增加的费用，由监</w:t>
      </w:r>
      <w:r>
        <w:rPr>
          <w:rFonts w:ascii="宋体" w:hAnsi="宋体" w:eastAsia="宋体" w:cs="宋体"/>
          <w:color w:val="auto"/>
          <w:spacing w:val="8"/>
          <w:sz w:val="20"/>
          <w:szCs w:val="20"/>
          <w:lang w:eastAsia="zh-CN"/>
        </w:rPr>
        <w:t>理人按第</w:t>
      </w:r>
    </w:p>
    <w:p>
      <w:pPr>
        <w:spacing w:before="156" w:line="228" w:lineRule="auto"/>
        <w:ind w:left="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3.5款商定或确定。</w:t>
      </w:r>
    </w:p>
    <w:p>
      <w:pPr>
        <w:spacing w:before="152" w:line="298" w:lineRule="auto"/>
        <w:ind w:left="30" w:firstLine="39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9.2.6 承包人应对其履行合同所雇佣的全部人员，包括分包人人员的工伤事故承担责任，但由于发包人原因造成承包人人员工伤事故的，应由发包人承担责任。</w:t>
      </w:r>
    </w:p>
    <w:p>
      <w:pPr>
        <w:spacing w:before="154" w:line="299" w:lineRule="auto"/>
        <w:ind w:left="4" w:firstLine="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9.2.7由于承包人原因在施工场地内及其毗邻</w:t>
      </w:r>
      <w:r>
        <w:rPr>
          <w:rFonts w:ascii="宋体" w:hAnsi="宋体" w:eastAsia="宋体" w:cs="宋体"/>
          <w:color w:val="auto"/>
          <w:spacing w:val="7"/>
          <w:sz w:val="20"/>
          <w:szCs w:val="20"/>
          <w:lang w:eastAsia="zh-CN"/>
        </w:rPr>
        <w:t>地带造成的第三者人员伤亡和财产损失，由承包人负责赔偿。</w:t>
      </w:r>
    </w:p>
    <w:p>
      <w:pPr>
        <w:spacing w:before="249" w:line="222" w:lineRule="auto"/>
        <w:outlineLvl w:val="2"/>
        <w:rPr>
          <w:rFonts w:ascii="黑体" w:hAnsi="黑体" w:eastAsia="黑体" w:cs="黑体"/>
          <w:color w:val="auto"/>
          <w:sz w:val="28"/>
          <w:szCs w:val="28"/>
          <w:lang w:eastAsia="zh-CN"/>
        </w:rPr>
      </w:pPr>
      <w:bookmarkStart w:id="305" w:name="bookmark307"/>
      <w:bookmarkEnd w:id="305"/>
      <w:bookmarkStart w:id="306" w:name="bookmark308"/>
      <w:bookmarkEnd w:id="306"/>
      <w:r>
        <w:rPr>
          <w:rFonts w:ascii="黑体" w:hAnsi="黑体" w:eastAsia="黑体" w:cs="黑体"/>
          <w:color w:val="auto"/>
          <w:spacing w:val="-1"/>
          <w:sz w:val="28"/>
          <w:szCs w:val="28"/>
          <w:lang w:eastAsia="zh-CN"/>
        </w:rPr>
        <w:t>9.3 治安保卫</w:t>
      </w:r>
    </w:p>
    <w:p>
      <w:pPr>
        <w:spacing w:before="279" w:line="299" w:lineRule="auto"/>
        <w:ind w:left="7" w:firstLine="418"/>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9.3.1 除合同另有约定外，发包人应与当地公安部门协商，在现场建立治安管理机构或联防</w:t>
      </w:r>
      <w:r>
        <w:rPr>
          <w:rFonts w:ascii="宋体" w:hAnsi="宋体" w:eastAsia="宋体" w:cs="宋体"/>
          <w:color w:val="auto"/>
          <w:spacing w:val="9"/>
          <w:sz w:val="20"/>
          <w:szCs w:val="20"/>
          <w:lang w:eastAsia="zh-CN"/>
        </w:rPr>
        <w:t>组织，统一管理施工场地的治安保卫事项，履行合同工程的治安保卫职责。</w:t>
      </w:r>
    </w:p>
    <w:p>
      <w:pPr>
        <w:spacing w:before="152" w:line="298" w:lineRule="auto"/>
        <w:ind w:left="3" w:right="17"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9.3.2 发包人和承包人除应协助现场治安管理机构或联防组织维护施工场</w:t>
      </w:r>
      <w:r>
        <w:rPr>
          <w:rFonts w:ascii="宋体" w:hAnsi="宋体" w:eastAsia="宋体" w:cs="宋体"/>
          <w:color w:val="auto"/>
          <w:spacing w:val="7"/>
          <w:sz w:val="20"/>
          <w:szCs w:val="20"/>
          <w:lang w:eastAsia="zh-CN"/>
        </w:rPr>
        <w:t>地的社会治安外，</w:t>
      </w:r>
      <w:r>
        <w:rPr>
          <w:rFonts w:ascii="宋体" w:hAnsi="宋体" w:eastAsia="宋体" w:cs="宋体"/>
          <w:color w:val="auto"/>
          <w:spacing w:val="9"/>
          <w:sz w:val="20"/>
          <w:szCs w:val="20"/>
          <w:lang w:eastAsia="zh-CN"/>
        </w:rPr>
        <w:t>还应做好包括生活区在内的各自管辖区的治安保卫工作。</w:t>
      </w:r>
    </w:p>
    <w:p>
      <w:pPr>
        <w:spacing w:before="157" w:line="343" w:lineRule="auto"/>
        <w:ind w:left="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9.3.3 除合同另有约定外，发包人和承包人应在工程开工后，共同编制施工场地治安管理计</w:t>
      </w:r>
      <w:r>
        <w:rPr>
          <w:rFonts w:ascii="宋体" w:hAnsi="宋体" w:eastAsia="宋体" w:cs="宋体"/>
          <w:color w:val="auto"/>
          <w:spacing w:val="9"/>
          <w:sz w:val="20"/>
          <w:szCs w:val="20"/>
          <w:lang w:eastAsia="zh-CN"/>
        </w:rPr>
        <w:t>划，并制定应对突发治安事件的紧急预案。在工程施工过程中，发生暴乱、爆炸等恐怖事</w:t>
      </w:r>
      <w:r>
        <w:rPr>
          <w:rFonts w:ascii="宋体" w:hAnsi="宋体" w:eastAsia="宋体" w:cs="宋体"/>
          <w:color w:val="auto"/>
          <w:spacing w:val="8"/>
          <w:sz w:val="20"/>
          <w:szCs w:val="20"/>
          <w:lang w:eastAsia="zh-CN"/>
        </w:rPr>
        <w:t>件，以</w:t>
      </w:r>
      <w:r>
        <w:rPr>
          <w:rFonts w:ascii="宋体" w:hAnsi="宋体" w:eastAsia="宋体" w:cs="宋体"/>
          <w:color w:val="auto"/>
          <w:spacing w:val="9"/>
          <w:sz w:val="20"/>
          <w:szCs w:val="20"/>
          <w:lang w:eastAsia="zh-CN"/>
        </w:rPr>
        <w:t>及群殴、械斗等群体性突发治安事件的，发包人和承包人应立即向当地政府报告。发包人</w:t>
      </w:r>
      <w:r>
        <w:rPr>
          <w:rFonts w:ascii="宋体" w:hAnsi="宋体" w:eastAsia="宋体" w:cs="宋体"/>
          <w:color w:val="auto"/>
          <w:spacing w:val="8"/>
          <w:sz w:val="20"/>
          <w:szCs w:val="20"/>
          <w:lang w:eastAsia="zh-CN"/>
        </w:rPr>
        <w:t>和承包</w:t>
      </w:r>
      <w:r>
        <w:rPr>
          <w:rFonts w:ascii="宋体" w:hAnsi="宋体" w:eastAsia="宋体" w:cs="宋体"/>
          <w:color w:val="auto"/>
          <w:spacing w:val="9"/>
          <w:sz w:val="20"/>
          <w:szCs w:val="20"/>
          <w:lang w:eastAsia="zh-CN"/>
        </w:rPr>
        <w:t>人应积极协助当地有关部门采取措施平息事态，防止事态扩大，尽量减少财产损失和避免</w:t>
      </w:r>
      <w:r>
        <w:rPr>
          <w:rFonts w:ascii="宋体" w:hAnsi="宋体" w:eastAsia="宋体" w:cs="宋体"/>
          <w:color w:val="auto"/>
          <w:spacing w:val="8"/>
          <w:sz w:val="20"/>
          <w:szCs w:val="20"/>
          <w:lang w:eastAsia="zh-CN"/>
        </w:rPr>
        <w:t>人员伤</w:t>
      </w:r>
      <w:r>
        <w:rPr>
          <w:rFonts w:ascii="宋体" w:hAnsi="宋体" w:eastAsia="宋体" w:cs="宋体"/>
          <w:color w:val="auto"/>
          <w:sz w:val="20"/>
          <w:szCs w:val="20"/>
          <w:lang w:eastAsia="zh-CN"/>
        </w:rPr>
        <w:t xml:space="preserve"> 亡。</w:t>
      </w:r>
    </w:p>
    <w:p>
      <w:pPr>
        <w:spacing w:line="343" w:lineRule="auto"/>
        <w:rPr>
          <w:rFonts w:ascii="宋体" w:hAnsi="宋体" w:eastAsia="宋体" w:cs="宋体"/>
          <w:color w:val="auto"/>
          <w:sz w:val="20"/>
          <w:szCs w:val="20"/>
          <w:lang w:eastAsia="zh-CN"/>
        </w:rPr>
        <w:sectPr>
          <w:footerReference r:id="rId58" w:type="default"/>
          <w:pgSz w:w="11906" w:h="16839"/>
          <w:pgMar w:top="1431" w:right="1532" w:bottom="1468" w:left="1592" w:header="0" w:footer="1306" w:gutter="0"/>
          <w:cols w:space="720" w:num="1"/>
          <w:docGrid w:linePitch="0" w:charSpace="0"/>
        </w:sectPr>
      </w:pPr>
    </w:p>
    <w:p>
      <w:pPr>
        <w:pStyle w:val="3"/>
        <w:spacing w:line="426"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307" w:name="bookmark310"/>
      <w:bookmarkEnd w:id="307"/>
      <w:bookmarkStart w:id="308" w:name="bookmark309"/>
      <w:bookmarkEnd w:id="308"/>
      <w:r>
        <w:rPr>
          <w:rFonts w:ascii="黑体" w:hAnsi="黑体" w:eastAsia="黑体" w:cs="黑体"/>
          <w:color w:val="auto"/>
          <w:spacing w:val="-1"/>
          <w:sz w:val="28"/>
          <w:szCs w:val="28"/>
          <w:lang w:eastAsia="zh-CN"/>
        </w:rPr>
        <w:t>9.4 环境保护</w:t>
      </w:r>
    </w:p>
    <w:p>
      <w:pPr>
        <w:spacing w:before="278" w:line="299" w:lineRule="auto"/>
        <w:ind w:left="9" w:right="72" w:firstLine="41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9.4.1 承包人在施工过程中，应遵守有关环境保护的法律，履行合同约定</w:t>
      </w:r>
      <w:r>
        <w:rPr>
          <w:rFonts w:ascii="宋体" w:hAnsi="宋体" w:eastAsia="宋体" w:cs="宋体"/>
          <w:color w:val="auto"/>
          <w:spacing w:val="7"/>
          <w:sz w:val="20"/>
          <w:szCs w:val="20"/>
          <w:lang w:eastAsia="zh-CN"/>
        </w:rPr>
        <w:t>的环境保护义务，</w:t>
      </w:r>
      <w:r>
        <w:rPr>
          <w:rFonts w:ascii="宋体" w:hAnsi="宋体" w:eastAsia="宋体" w:cs="宋体"/>
          <w:color w:val="auto"/>
          <w:spacing w:val="9"/>
          <w:sz w:val="20"/>
          <w:szCs w:val="20"/>
          <w:lang w:eastAsia="zh-CN"/>
        </w:rPr>
        <w:t>并对违反法律和合同约定义务所造成的环境破坏、人身伤害和财产损失负责。</w:t>
      </w:r>
    </w:p>
    <w:p>
      <w:pPr>
        <w:spacing w:before="151" w:line="228"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9.4.2 承包人应按合同约定的环保工作内容，编制施工环保措施</w:t>
      </w:r>
      <w:r>
        <w:rPr>
          <w:rFonts w:ascii="宋体" w:hAnsi="宋体" w:eastAsia="宋体" w:cs="宋体"/>
          <w:color w:val="auto"/>
          <w:spacing w:val="8"/>
          <w:sz w:val="20"/>
          <w:szCs w:val="20"/>
          <w:lang w:eastAsia="zh-CN"/>
        </w:rPr>
        <w:t>计划，报送监理人审批。</w:t>
      </w:r>
    </w:p>
    <w:p>
      <w:pPr>
        <w:spacing w:before="153" w:line="334"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9.4.3 承包人应按照批准的施工环保措施计划有序地堆放和处理施工废弃物，避免对环境造</w:t>
      </w:r>
      <w:r>
        <w:rPr>
          <w:rFonts w:ascii="宋体" w:hAnsi="宋体" w:eastAsia="宋体" w:cs="宋体"/>
          <w:color w:val="auto"/>
          <w:spacing w:val="9"/>
          <w:sz w:val="20"/>
          <w:szCs w:val="20"/>
          <w:lang w:eastAsia="zh-CN"/>
        </w:rPr>
        <w:t>成破坏。因承包人任意堆放或弃置施工废弃物造成妨碍公共交通、影响城镇居民生活、降</w:t>
      </w:r>
      <w:r>
        <w:rPr>
          <w:rFonts w:ascii="宋体" w:hAnsi="宋体" w:eastAsia="宋体" w:cs="宋体"/>
          <w:color w:val="auto"/>
          <w:spacing w:val="8"/>
          <w:sz w:val="20"/>
          <w:szCs w:val="20"/>
          <w:lang w:eastAsia="zh-CN"/>
        </w:rPr>
        <w:t>低河流</w:t>
      </w:r>
      <w:r>
        <w:rPr>
          <w:rFonts w:ascii="宋体" w:hAnsi="宋体" w:eastAsia="宋体" w:cs="宋体"/>
          <w:color w:val="auto"/>
          <w:spacing w:val="9"/>
          <w:sz w:val="20"/>
          <w:szCs w:val="20"/>
          <w:lang w:eastAsia="zh-CN"/>
        </w:rPr>
        <w:t>行洪能力、危及居民安全、破坏周边环境，或者影响其他承包人施工等后果的，承包人应</w:t>
      </w:r>
      <w:r>
        <w:rPr>
          <w:rFonts w:ascii="宋体" w:hAnsi="宋体" w:eastAsia="宋体" w:cs="宋体"/>
          <w:color w:val="auto"/>
          <w:spacing w:val="8"/>
          <w:sz w:val="20"/>
          <w:szCs w:val="20"/>
          <w:lang w:eastAsia="zh-CN"/>
        </w:rPr>
        <w:t>承担责</w:t>
      </w:r>
      <w:r>
        <w:rPr>
          <w:rFonts w:ascii="宋体" w:hAnsi="宋体" w:eastAsia="宋体" w:cs="宋体"/>
          <w:color w:val="auto"/>
          <w:sz w:val="20"/>
          <w:szCs w:val="20"/>
          <w:lang w:eastAsia="zh-CN"/>
        </w:rPr>
        <w:t xml:space="preserve"> 任。</w:t>
      </w:r>
    </w:p>
    <w:p>
      <w:pPr>
        <w:spacing w:before="153" w:line="298" w:lineRule="auto"/>
        <w:ind w:left="9" w:firstLine="41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9.4.4 承包人应按合同约定采取有效措施，对施工开挖的边坡及时进行支护,维护排水设施，</w:t>
      </w:r>
      <w:r>
        <w:rPr>
          <w:rFonts w:ascii="宋体" w:hAnsi="宋体" w:eastAsia="宋体" w:cs="宋体"/>
          <w:color w:val="auto"/>
          <w:spacing w:val="8"/>
          <w:sz w:val="20"/>
          <w:szCs w:val="20"/>
          <w:lang w:eastAsia="zh-CN"/>
        </w:rPr>
        <w:t>并进行水土保护，避免因施工造成的地质灾害。</w:t>
      </w:r>
    </w:p>
    <w:p>
      <w:pPr>
        <w:spacing w:before="155" w:line="300" w:lineRule="auto"/>
        <w:ind w:left="3" w:right="54"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9.4.5 承包人应按国家饮用水管理标准定期对饮用水源进行监测，防止施工活动污染饮用水</w:t>
      </w:r>
      <w:r>
        <w:rPr>
          <w:rFonts w:ascii="宋体" w:hAnsi="宋体" w:eastAsia="宋体" w:cs="宋体"/>
          <w:color w:val="auto"/>
          <w:sz w:val="20"/>
          <w:szCs w:val="20"/>
          <w:lang w:eastAsia="zh-CN"/>
        </w:rPr>
        <w:t>源。</w:t>
      </w:r>
    </w:p>
    <w:p>
      <w:pPr>
        <w:spacing w:before="148" w:line="299" w:lineRule="auto"/>
        <w:ind w:left="3" w:firstLine="42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9.4.6 承包人应按合同约定，加强对噪声、粉尘、废气、废水和废</w:t>
      </w:r>
      <w:r>
        <w:rPr>
          <w:rFonts w:ascii="宋体" w:hAnsi="宋体" w:eastAsia="宋体" w:cs="宋体"/>
          <w:color w:val="auto"/>
          <w:spacing w:val="4"/>
          <w:sz w:val="20"/>
          <w:szCs w:val="20"/>
          <w:lang w:eastAsia="zh-CN"/>
        </w:rPr>
        <w:t>油的控制，努力降低噪声，</w:t>
      </w:r>
      <w:r>
        <w:rPr>
          <w:rFonts w:ascii="宋体" w:hAnsi="宋体" w:eastAsia="宋体" w:cs="宋体"/>
          <w:color w:val="auto"/>
          <w:spacing w:val="9"/>
          <w:sz w:val="20"/>
          <w:szCs w:val="20"/>
          <w:lang w:eastAsia="zh-CN"/>
        </w:rPr>
        <w:t>控制粉尘和废气浓度，做好废水和废油的治理和排放。</w:t>
      </w:r>
    </w:p>
    <w:p>
      <w:pPr>
        <w:spacing w:before="248" w:line="224" w:lineRule="auto"/>
        <w:outlineLvl w:val="2"/>
        <w:rPr>
          <w:rFonts w:ascii="黑体" w:hAnsi="黑体" w:eastAsia="黑体" w:cs="黑体"/>
          <w:color w:val="auto"/>
          <w:sz w:val="28"/>
          <w:szCs w:val="28"/>
          <w:lang w:eastAsia="zh-CN"/>
        </w:rPr>
      </w:pPr>
      <w:bookmarkStart w:id="309" w:name="bookmark312"/>
      <w:bookmarkEnd w:id="309"/>
      <w:bookmarkStart w:id="310" w:name="bookmark311"/>
      <w:bookmarkEnd w:id="310"/>
      <w:r>
        <w:rPr>
          <w:rFonts w:ascii="黑体" w:hAnsi="黑体" w:eastAsia="黑体" w:cs="黑体"/>
          <w:color w:val="auto"/>
          <w:spacing w:val="-3"/>
          <w:sz w:val="28"/>
          <w:szCs w:val="28"/>
          <w:lang w:eastAsia="zh-CN"/>
        </w:rPr>
        <w:t>9.5事故处理</w:t>
      </w:r>
    </w:p>
    <w:p>
      <w:pPr>
        <w:spacing w:before="274" w:line="364" w:lineRule="auto"/>
        <w:ind w:left="3" w:firstLine="423"/>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工程施工过程中发生事故的，承包人应立即通知监理人，监理人应立即通</w:t>
      </w:r>
      <w:r>
        <w:rPr>
          <w:rFonts w:ascii="宋体" w:hAnsi="宋体" w:eastAsia="宋体" w:cs="宋体"/>
          <w:color w:val="auto"/>
          <w:spacing w:val="8"/>
          <w:sz w:val="20"/>
          <w:szCs w:val="20"/>
          <w:lang w:eastAsia="zh-CN"/>
        </w:rPr>
        <w:t>知发包人。发包人</w:t>
      </w:r>
      <w:r>
        <w:rPr>
          <w:rFonts w:ascii="宋体" w:hAnsi="宋体" w:eastAsia="宋体" w:cs="宋体"/>
          <w:color w:val="auto"/>
          <w:spacing w:val="5"/>
          <w:sz w:val="20"/>
          <w:szCs w:val="20"/>
          <w:lang w:eastAsia="zh-CN"/>
        </w:rPr>
        <w:t>和承包人应立即组织人员和设备进行紧急抢救和抢修，减少人员伤亡和财产损失，防止事故扩大，</w:t>
      </w:r>
      <w:r>
        <w:rPr>
          <w:rFonts w:ascii="宋体" w:hAnsi="宋体" w:eastAsia="宋体" w:cs="宋体"/>
          <w:color w:val="auto"/>
          <w:spacing w:val="9"/>
          <w:sz w:val="20"/>
          <w:szCs w:val="20"/>
          <w:lang w:eastAsia="zh-CN"/>
        </w:rPr>
        <w:t>并保护事故现场。需要移动现场物品时，应作出标记和书面记录，妥善保管有关证据。发</w:t>
      </w:r>
      <w:r>
        <w:rPr>
          <w:rFonts w:ascii="宋体" w:hAnsi="宋体" w:eastAsia="宋体" w:cs="宋体"/>
          <w:color w:val="auto"/>
          <w:spacing w:val="8"/>
          <w:sz w:val="20"/>
          <w:szCs w:val="20"/>
          <w:lang w:eastAsia="zh-CN"/>
        </w:rPr>
        <w:t>包人和</w:t>
      </w:r>
      <w:r>
        <w:rPr>
          <w:rFonts w:ascii="宋体" w:hAnsi="宋体" w:eastAsia="宋体" w:cs="宋体"/>
          <w:color w:val="auto"/>
          <w:spacing w:val="9"/>
          <w:sz w:val="20"/>
          <w:szCs w:val="20"/>
          <w:lang w:eastAsia="zh-CN"/>
        </w:rPr>
        <w:t>承包人应按国家有关规定，及时如实地向有关部门报告事故发生的情况，以及正在采取的</w:t>
      </w:r>
      <w:r>
        <w:rPr>
          <w:rFonts w:ascii="宋体" w:hAnsi="宋体" w:eastAsia="宋体" w:cs="宋体"/>
          <w:color w:val="auto"/>
          <w:spacing w:val="8"/>
          <w:sz w:val="20"/>
          <w:szCs w:val="20"/>
          <w:lang w:eastAsia="zh-CN"/>
        </w:rPr>
        <w:t>紧急措</w:t>
      </w:r>
      <w:r>
        <w:rPr>
          <w:rFonts w:ascii="宋体" w:hAnsi="宋体" w:eastAsia="宋体" w:cs="宋体"/>
          <w:color w:val="auto"/>
          <w:spacing w:val="3"/>
          <w:sz w:val="20"/>
          <w:szCs w:val="20"/>
          <w:lang w:eastAsia="zh-CN"/>
        </w:rPr>
        <w:t>施等。</w:t>
      </w:r>
    </w:p>
    <w:p>
      <w:pPr>
        <w:spacing w:before="250" w:line="227" w:lineRule="auto"/>
        <w:ind w:left="25"/>
        <w:outlineLvl w:val="1"/>
        <w:rPr>
          <w:rFonts w:ascii="黑体" w:hAnsi="黑体" w:eastAsia="黑体" w:cs="黑体"/>
          <w:color w:val="auto"/>
          <w:sz w:val="31"/>
          <w:szCs w:val="31"/>
          <w:lang w:eastAsia="zh-CN"/>
        </w:rPr>
      </w:pPr>
      <w:bookmarkStart w:id="311" w:name="bookmark316"/>
      <w:bookmarkEnd w:id="311"/>
      <w:bookmarkStart w:id="312" w:name="bookmark314"/>
      <w:bookmarkEnd w:id="312"/>
      <w:bookmarkStart w:id="313" w:name="bookmark313"/>
      <w:bookmarkEnd w:id="313"/>
      <w:r>
        <w:rPr>
          <w:rFonts w:ascii="黑体" w:hAnsi="黑体" w:eastAsia="黑体" w:cs="黑体"/>
          <w:b/>
          <w:bCs/>
          <w:color w:val="auto"/>
          <w:spacing w:val="1"/>
          <w:sz w:val="31"/>
          <w:szCs w:val="31"/>
          <w:lang w:eastAsia="zh-CN"/>
        </w:rPr>
        <w:t>10.进度计划</w:t>
      </w:r>
    </w:p>
    <w:p>
      <w:pPr>
        <w:pStyle w:val="3"/>
        <w:spacing w:line="271" w:lineRule="auto"/>
        <w:rPr>
          <w:color w:val="auto"/>
          <w:lang w:eastAsia="zh-CN"/>
        </w:rPr>
      </w:pPr>
    </w:p>
    <w:p>
      <w:pPr>
        <w:spacing w:before="92" w:line="222" w:lineRule="auto"/>
        <w:ind w:left="21"/>
        <w:outlineLvl w:val="2"/>
        <w:rPr>
          <w:rFonts w:ascii="黑体" w:hAnsi="黑体" w:eastAsia="黑体" w:cs="黑体"/>
          <w:color w:val="auto"/>
          <w:sz w:val="28"/>
          <w:szCs w:val="28"/>
          <w:lang w:eastAsia="zh-CN"/>
        </w:rPr>
      </w:pPr>
      <w:bookmarkStart w:id="314" w:name="bookmark315"/>
      <w:bookmarkEnd w:id="314"/>
      <w:r>
        <w:rPr>
          <w:rFonts w:ascii="黑体" w:hAnsi="黑体" w:eastAsia="黑体" w:cs="黑体"/>
          <w:color w:val="auto"/>
          <w:spacing w:val="-3"/>
          <w:sz w:val="28"/>
          <w:szCs w:val="28"/>
          <w:lang w:eastAsia="zh-CN"/>
        </w:rPr>
        <w:t>10.1 合同进度计划</w:t>
      </w:r>
    </w:p>
    <w:p>
      <w:pPr>
        <w:spacing w:before="279" w:line="362" w:lineRule="auto"/>
        <w:ind w:left="4"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承包人应按专用合同条款约定的内容和期限，编制详细的施工进度计划和施工</w:t>
      </w:r>
      <w:r>
        <w:rPr>
          <w:rFonts w:ascii="宋体" w:hAnsi="宋体" w:eastAsia="宋体" w:cs="宋体"/>
          <w:color w:val="auto"/>
          <w:spacing w:val="8"/>
          <w:sz w:val="20"/>
          <w:szCs w:val="20"/>
          <w:lang w:eastAsia="zh-CN"/>
        </w:rPr>
        <w:t>方案说明报送</w:t>
      </w:r>
      <w:r>
        <w:rPr>
          <w:rFonts w:ascii="宋体" w:hAnsi="宋体" w:eastAsia="宋体" w:cs="宋体"/>
          <w:color w:val="auto"/>
          <w:spacing w:val="9"/>
          <w:sz w:val="20"/>
          <w:szCs w:val="20"/>
          <w:lang w:eastAsia="zh-CN"/>
        </w:rPr>
        <w:t>监理人。监理人应在专用合同条款约定的期限内批复或提出修改意见，否则该进度计划</w:t>
      </w:r>
      <w:r>
        <w:rPr>
          <w:rFonts w:ascii="宋体" w:hAnsi="宋体" w:eastAsia="宋体" w:cs="宋体"/>
          <w:color w:val="auto"/>
          <w:spacing w:val="8"/>
          <w:sz w:val="20"/>
          <w:szCs w:val="20"/>
          <w:lang w:eastAsia="zh-CN"/>
        </w:rPr>
        <w:t>视为已得</w:t>
      </w:r>
      <w:r>
        <w:rPr>
          <w:rFonts w:ascii="宋体" w:hAnsi="宋体" w:eastAsia="宋体" w:cs="宋体"/>
          <w:color w:val="auto"/>
          <w:spacing w:val="9"/>
          <w:sz w:val="20"/>
          <w:szCs w:val="20"/>
          <w:lang w:eastAsia="zh-CN"/>
        </w:rPr>
        <w:t>到批准。经监理人批准的施工进度计划称合同进度计划，是控制合同工程进度的依据。承</w:t>
      </w:r>
      <w:r>
        <w:rPr>
          <w:rFonts w:ascii="宋体" w:hAnsi="宋体" w:eastAsia="宋体" w:cs="宋体"/>
          <w:color w:val="auto"/>
          <w:spacing w:val="8"/>
          <w:sz w:val="20"/>
          <w:szCs w:val="20"/>
          <w:lang w:eastAsia="zh-CN"/>
        </w:rPr>
        <w:t>包人还</w:t>
      </w:r>
      <w:r>
        <w:rPr>
          <w:rFonts w:ascii="宋体" w:hAnsi="宋体" w:eastAsia="宋体" w:cs="宋体"/>
          <w:color w:val="auto"/>
          <w:spacing w:val="9"/>
          <w:sz w:val="20"/>
          <w:szCs w:val="20"/>
          <w:lang w:eastAsia="zh-CN"/>
        </w:rPr>
        <w:t>应根据合同进度计划，编制更为详细的分阶段或分项进度计划，报监理人审批。</w:t>
      </w:r>
    </w:p>
    <w:p>
      <w:pPr>
        <w:spacing w:before="6" w:line="219" w:lineRule="auto"/>
        <w:ind w:left="23"/>
        <w:outlineLvl w:val="2"/>
        <w:rPr>
          <w:rFonts w:ascii="宋体" w:hAnsi="宋体" w:eastAsia="宋体" w:cs="宋体"/>
          <w:color w:val="auto"/>
          <w:sz w:val="24"/>
          <w:szCs w:val="24"/>
          <w:lang w:eastAsia="zh-CN"/>
        </w:rPr>
      </w:pPr>
      <w:bookmarkStart w:id="315" w:name="bookmark318"/>
      <w:bookmarkEnd w:id="315"/>
      <w:bookmarkStart w:id="316" w:name="bookmark317"/>
      <w:bookmarkEnd w:id="316"/>
      <w:r>
        <w:rPr>
          <w:rFonts w:ascii="宋体" w:hAnsi="宋体" w:eastAsia="宋体" w:cs="宋体"/>
          <w:color w:val="auto"/>
          <w:spacing w:val="-2"/>
          <w:sz w:val="24"/>
          <w:szCs w:val="24"/>
          <w:lang w:eastAsia="zh-CN"/>
        </w:rPr>
        <w:t>10.2 合同进度计划的修订</w:t>
      </w:r>
    </w:p>
    <w:p>
      <w:pPr>
        <w:spacing w:before="141" w:line="360" w:lineRule="auto"/>
        <w:ind w:left="3" w:right="54" w:firstLine="42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不论何种原因造成工程的实际进度与第10.1款的合同进度计划不符时，承包人可以在专用</w:t>
      </w:r>
      <w:r>
        <w:rPr>
          <w:rFonts w:ascii="宋体" w:hAnsi="宋体" w:eastAsia="宋体" w:cs="宋体"/>
          <w:color w:val="auto"/>
          <w:spacing w:val="9"/>
          <w:sz w:val="20"/>
          <w:szCs w:val="20"/>
          <w:lang w:eastAsia="zh-CN"/>
        </w:rPr>
        <w:t>合同条款约定的期限内向监理人提交修订合同进度计划的申请报告，并附有关措施和相关资</w:t>
      </w:r>
      <w:r>
        <w:rPr>
          <w:rFonts w:ascii="宋体" w:hAnsi="宋体" w:eastAsia="宋体" w:cs="宋体"/>
          <w:color w:val="auto"/>
          <w:spacing w:val="8"/>
          <w:sz w:val="20"/>
          <w:szCs w:val="20"/>
          <w:lang w:eastAsia="zh-CN"/>
        </w:rPr>
        <w:t>料，</w:t>
      </w:r>
      <w:r>
        <w:rPr>
          <w:rFonts w:ascii="宋体" w:hAnsi="宋体" w:eastAsia="宋体" w:cs="宋体"/>
          <w:color w:val="auto"/>
          <w:spacing w:val="9"/>
          <w:sz w:val="20"/>
          <w:szCs w:val="20"/>
          <w:lang w:eastAsia="zh-CN"/>
        </w:rPr>
        <w:t>报监理人审批；监理人也可以直接向承包人作出修订合同进度计划的指示，承包人应按该指</w:t>
      </w:r>
      <w:r>
        <w:rPr>
          <w:rFonts w:ascii="宋体" w:hAnsi="宋体" w:eastAsia="宋体" w:cs="宋体"/>
          <w:color w:val="auto"/>
          <w:spacing w:val="8"/>
          <w:sz w:val="20"/>
          <w:szCs w:val="20"/>
          <w:lang w:eastAsia="zh-CN"/>
        </w:rPr>
        <w:t>示修</w:t>
      </w:r>
    </w:p>
    <w:p>
      <w:pPr>
        <w:spacing w:line="360" w:lineRule="auto"/>
        <w:rPr>
          <w:rFonts w:ascii="宋体" w:hAnsi="宋体" w:eastAsia="宋体" w:cs="宋体"/>
          <w:color w:val="auto"/>
          <w:sz w:val="20"/>
          <w:szCs w:val="20"/>
          <w:lang w:eastAsia="zh-CN"/>
        </w:rPr>
        <w:sectPr>
          <w:footerReference r:id="rId59" w:type="default"/>
          <w:pgSz w:w="11906" w:h="16839"/>
          <w:pgMar w:top="1431" w:right="1478" w:bottom="1468" w:left="1592"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70" w:firstLine="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订合同进度计划，报监理人审批。监理人应在专用合同条款约定的期限内批复。监</w:t>
      </w:r>
      <w:r>
        <w:rPr>
          <w:rFonts w:ascii="宋体" w:hAnsi="宋体" w:eastAsia="宋体" w:cs="宋体"/>
          <w:color w:val="auto"/>
          <w:spacing w:val="8"/>
          <w:sz w:val="20"/>
          <w:szCs w:val="20"/>
          <w:lang w:eastAsia="zh-CN"/>
        </w:rPr>
        <w:t>理人在批复前</w:t>
      </w:r>
      <w:r>
        <w:rPr>
          <w:rFonts w:ascii="宋体" w:hAnsi="宋体" w:eastAsia="宋体" w:cs="宋体"/>
          <w:color w:val="auto"/>
          <w:spacing w:val="7"/>
          <w:sz w:val="20"/>
          <w:szCs w:val="20"/>
          <w:lang w:eastAsia="zh-CN"/>
        </w:rPr>
        <w:t>应获得发包人同意。</w:t>
      </w:r>
    </w:p>
    <w:p>
      <w:pPr>
        <w:spacing w:before="249" w:line="226" w:lineRule="auto"/>
        <w:ind w:left="20"/>
        <w:outlineLvl w:val="1"/>
        <w:rPr>
          <w:rFonts w:ascii="黑体" w:hAnsi="黑体" w:eastAsia="黑体" w:cs="黑体"/>
          <w:color w:val="auto"/>
          <w:sz w:val="31"/>
          <w:szCs w:val="31"/>
          <w:lang w:eastAsia="zh-CN"/>
        </w:rPr>
      </w:pPr>
      <w:bookmarkStart w:id="317" w:name="bookmark322"/>
      <w:bookmarkEnd w:id="317"/>
      <w:bookmarkStart w:id="318" w:name="bookmark320"/>
      <w:bookmarkEnd w:id="318"/>
      <w:bookmarkStart w:id="319" w:name="bookmark319"/>
      <w:bookmarkEnd w:id="319"/>
      <w:r>
        <w:rPr>
          <w:rFonts w:ascii="黑体" w:hAnsi="黑体" w:eastAsia="黑体" w:cs="黑体"/>
          <w:b/>
          <w:bCs/>
          <w:color w:val="auto"/>
          <w:spacing w:val="-1"/>
          <w:sz w:val="31"/>
          <w:szCs w:val="31"/>
          <w:lang w:eastAsia="zh-CN"/>
        </w:rPr>
        <w:t>11.开工和竣工</w:t>
      </w:r>
    </w:p>
    <w:p>
      <w:pPr>
        <w:pStyle w:val="3"/>
        <w:spacing w:line="272" w:lineRule="auto"/>
        <w:rPr>
          <w:color w:val="auto"/>
          <w:lang w:eastAsia="zh-CN"/>
        </w:rPr>
      </w:pPr>
    </w:p>
    <w:p>
      <w:pPr>
        <w:spacing w:before="91" w:line="225" w:lineRule="auto"/>
        <w:ind w:left="17"/>
        <w:outlineLvl w:val="2"/>
        <w:rPr>
          <w:rFonts w:ascii="黑体" w:hAnsi="黑体" w:eastAsia="黑体" w:cs="黑体"/>
          <w:color w:val="auto"/>
          <w:sz w:val="28"/>
          <w:szCs w:val="28"/>
          <w:lang w:eastAsia="zh-CN"/>
        </w:rPr>
      </w:pPr>
      <w:bookmarkStart w:id="320" w:name="bookmark321"/>
      <w:bookmarkEnd w:id="320"/>
      <w:r>
        <w:rPr>
          <w:rFonts w:ascii="黑体" w:hAnsi="黑体" w:eastAsia="黑体" w:cs="黑体"/>
          <w:color w:val="auto"/>
          <w:spacing w:val="-7"/>
          <w:sz w:val="28"/>
          <w:szCs w:val="28"/>
          <w:lang w:eastAsia="zh-CN"/>
        </w:rPr>
        <w:t>11.1开工</w:t>
      </w:r>
    </w:p>
    <w:p>
      <w:pPr>
        <w:spacing w:before="275" w:line="322" w:lineRule="auto"/>
        <w:ind w:right="70"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11.1.1 监理人应在开工日期7天前向承包人发出开工通知。监理人在发出开工通知前应获得发包人同意。工期自监理人发出的开工通知中载明的开工日期起计算。承包人应在开</w:t>
      </w:r>
      <w:r>
        <w:rPr>
          <w:rFonts w:ascii="宋体" w:hAnsi="宋体" w:eastAsia="宋体" w:cs="宋体"/>
          <w:color w:val="auto"/>
          <w:spacing w:val="8"/>
          <w:sz w:val="20"/>
          <w:szCs w:val="20"/>
          <w:lang w:eastAsia="zh-CN"/>
        </w:rPr>
        <w:t>工日期后</w:t>
      </w:r>
      <w:r>
        <w:rPr>
          <w:rFonts w:ascii="宋体" w:hAnsi="宋体" w:eastAsia="宋体" w:cs="宋体"/>
          <w:color w:val="auto"/>
          <w:spacing w:val="5"/>
          <w:sz w:val="20"/>
          <w:szCs w:val="20"/>
          <w:lang w:eastAsia="zh-CN"/>
        </w:rPr>
        <w:t>尽快施工。</w:t>
      </w:r>
    </w:p>
    <w:p>
      <w:pPr>
        <w:spacing w:before="152" w:line="322" w:lineRule="auto"/>
        <w:ind w:right="70"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11.1.2 承包人应按第10.1款约定的合同进度计划</w:t>
      </w:r>
      <w:r>
        <w:rPr>
          <w:rFonts w:ascii="宋体" w:hAnsi="宋体" w:eastAsia="宋体" w:cs="宋体"/>
          <w:color w:val="auto"/>
          <w:spacing w:val="6"/>
          <w:sz w:val="20"/>
          <w:szCs w:val="20"/>
          <w:lang w:eastAsia="zh-CN"/>
        </w:rPr>
        <w:t>，向监理人提交工程开工报审表，经监理</w:t>
      </w:r>
      <w:r>
        <w:rPr>
          <w:rFonts w:ascii="宋体" w:hAnsi="宋体" w:eastAsia="宋体" w:cs="宋体"/>
          <w:color w:val="auto"/>
          <w:spacing w:val="9"/>
          <w:sz w:val="20"/>
          <w:szCs w:val="20"/>
          <w:lang w:eastAsia="zh-CN"/>
        </w:rPr>
        <w:t>人审批后执行。开工报审表应详细说明按合同进度计划正常施工所需的施工道路、临时设</w:t>
      </w:r>
      <w:r>
        <w:rPr>
          <w:rFonts w:ascii="宋体" w:hAnsi="宋体" w:eastAsia="宋体" w:cs="宋体"/>
          <w:color w:val="auto"/>
          <w:spacing w:val="8"/>
          <w:sz w:val="20"/>
          <w:szCs w:val="20"/>
          <w:lang w:eastAsia="zh-CN"/>
        </w:rPr>
        <w:t>施、材</w:t>
      </w:r>
      <w:r>
        <w:rPr>
          <w:rFonts w:ascii="宋体" w:hAnsi="宋体" w:eastAsia="宋体" w:cs="宋体"/>
          <w:color w:val="auto"/>
          <w:spacing w:val="9"/>
          <w:sz w:val="20"/>
          <w:szCs w:val="20"/>
          <w:lang w:eastAsia="zh-CN"/>
        </w:rPr>
        <w:t>料设备、施工人员等施工组织措施的落实情况以及工程的进度安排。</w:t>
      </w:r>
    </w:p>
    <w:p>
      <w:pPr>
        <w:spacing w:before="250" w:line="222" w:lineRule="auto"/>
        <w:ind w:left="17"/>
        <w:outlineLvl w:val="2"/>
        <w:rPr>
          <w:rFonts w:ascii="黑体" w:hAnsi="黑体" w:eastAsia="黑体" w:cs="黑体"/>
          <w:color w:val="auto"/>
          <w:sz w:val="28"/>
          <w:szCs w:val="28"/>
          <w:lang w:eastAsia="zh-CN"/>
        </w:rPr>
      </w:pPr>
      <w:bookmarkStart w:id="321" w:name="bookmark323"/>
      <w:bookmarkEnd w:id="321"/>
      <w:bookmarkStart w:id="322" w:name="bookmark324"/>
      <w:bookmarkEnd w:id="322"/>
      <w:r>
        <w:rPr>
          <w:rFonts w:ascii="黑体" w:hAnsi="黑体" w:eastAsia="黑体" w:cs="黑体"/>
          <w:color w:val="auto"/>
          <w:spacing w:val="-4"/>
          <w:sz w:val="28"/>
          <w:szCs w:val="28"/>
          <w:lang w:eastAsia="zh-CN"/>
        </w:rPr>
        <w:t>11.2 竣工</w:t>
      </w:r>
    </w:p>
    <w:p>
      <w:pPr>
        <w:spacing w:before="281" w:line="227"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承包人应在第1.1.4.3 目约定的期限内完成合同工程。实际竣工日期</w:t>
      </w:r>
      <w:r>
        <w:rPr>
          <w:rFonts w:ascii="宋体" w:hAnsi="宋体" w:eastAsia="宋体" w:cs="宋体"/>
          <w:color w:val="auto"/>
          <w:spacing w:val="6"/>
          <w:sz w:val="20"/>
          <w:szCs w:val="20"/>
          <w:lang w:eastAsia="zh-CN"/>
        </w:rPr>
        <w:t>在接收证书中写明。</w:t>
      </w:r>
    </w:p>
    <w:p>
      <w:pPr>
        <w:spacing w:before="248" w:line="222" w:lineRule="auto"/>
        <w:ind w:left="17"/>
        <w:outlineLvl w:val="2"/>
        <w:rPr>
          <w:rFonts w:ascii="黑体" w:hAnsi="黑体" w:eastAsia="黑体" w:cs="黑体"/>
          <w:color w:val="auto"/>
          <w:sz w:val="28"/>
          <w:szCs w:val="28"/>
          <w:lang w:eastAsia="zh-CN"/>
        </w:rPr>
      </w:pPr>
      <w:bookmarkStart w:id="323" w:name="bookmark325"/>
      <w:bookmarkEnd w:id="323"/>
      <w:bookmarkStart w:id="324" w:name="bookmark326"/>
      <w:bookmarkEnd w:id="324"/>
      <w:r>
        <w:rPr>
          <w:rFonts w:ascii="黑体" w:hAnsi="黑体" w:eastAsia="黑体" w:cs="黑体"/>
          <w:color w:val="auto"/>
          <w:spacing w:val="-2"/>
          <w:sz w:val="28"/>
          <w:szCs w:val="28"/>
          <w:lang w:eastAsia="zh-CN"/>
        </w:rPr>
        <w:t>11.3 发包人的工期延误</w:t>
      </w:r>
    </w:p>
    <w:p>
      <w:pPr>
        <w:spacing w:before="281" w:line="355" w:lineRule="auto"/>
        <w:ind w:left="2"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在履行合同过程中，由于发包人的下列原因造成工期延误的，承包人有权要求发</w:t>
      </w:r>
      <w:r>
        <w:rPr>
          <w:rFonts w:ascii="宋体" w:hAnsi="宋体" w:eastAsia="宋体" w:cs="宋体"/>
          <w:color w:val="auto"/>
          <w:spacing w:val="8"/>
          <w:sz w:val="20"/>
          <w:szCs w:val="20"/>
          <w:lang w:eastAsia="zh-CN"/>
        </w:rPr>
        <w:t>包人延长工</w:t>
      </w:r>
      <w:r>
        <w:rPr>
          <w:rFonts w:ascii="宋体" w:hAnsi="宋体" w:eastAsia="宋体" w:cs="宋体"/>
          <w:color w:val="auto"/>
          <w:spacing w:val="7"/>
          <w:sz w:val="20"/>
          <w:szCs w:val="20"/>
          <w:lang w:eastAsia="zh-CN"/>
        </w:rPr>
        <w:t>期和（或）增加费用，并支付合理利润。需要修订合同进度计划的，按照第10.2款的约</w:t>
      </w:r>
      <w:r>
        <w:rPr>
          <w:rFonts w:ascii="宋体" w:hAnsi="宋体" w:eastAsia="宋体" w:cs="宋体"/>
          <w:color w:val="auto"/>
          <w:spacing w:val="6"/>
          <w:sz w:val="20"/>
          <w:szCs w:val="20"/>
          <w:lang w:eastAsia="zh-CN"/>
        </w:rPr>
        <w:t>定办理。</w:t>
      </w:r>
    </w:p>
    <w:p>
      <w:pPr>
        <w:spacing w:before="29"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（1）增加合同工作内容；</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（2）改变合同中任何一项工作的质量要求或其他特性；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（3）发包人迟延提供材料、工程设备或变更交货地点的；</w:t>
      </w:r>
    </w:p>
    <w:p>
      <w:pPr>
        <w:spacing w:before="153"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（4）因发包人原因导致的暂停施工；</w:t>
      </w:r>
    </w:p>
    <w:p>
      <w:pPr>
        <w:spacing w:before="153" w:line="227"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（5）提供图纸延误；</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（6）未按合同约定及时支付预付款、进度款；</w:t>
      </w:r>
    </w:p>
    <w:p>
      <w:pPr>
        <w:spacing w:before="152"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（7）发包人造成工期延误的其他原因。</w:t>
      </w:r>
    </w:p>
    <w:p>
      <w:pPr>
        <w:spacing w:before="249" w:line="222" w:lineRule="auto"/>
        <w:ind w:left="17"/>
        <w:outlineLvl w:val="2"/>
        <w:rPr>
          <w:rFonts w:ascii="黑体" w:hAnsi="黑体" w:eastAsia="黑体" w:cs="黑体"/>
          <w:color w:val="auto"/>
          <w:sz w:val="28"/>
          <w:szCs w:val="28"/>
          <w:lang w:eastAsia="zh-CN"/>
        </w:rPr>
      </w:pPr>
      <w:bookmarkStart w:id="325" w:name="bookmark327"/>
      <w:bookmarkEnd w:id="325"/>
      <w:bookmarkStart w:id="326" w:name="bookmark328"/>
      <w:bookmarkEnd w:id="326"/>
      <w:r>
        <w:rPr>
          <w:rFonts w:ascii="黑体" w:hAnsi="黑体" w:eastAsia="黑体" w:cs="黑体"/>
          <w:color w:val="auto"/>
          <w:spacing w:val="-2"/>
          <w:sz w:val="28"/>
          <w:szCs w:val="28"/>
          <w:lang w:eastAsia="zh-CN"/>
        </w:rPr>
        <w:t>11.4 异常恶劣的气候条件</w:t>
      </w:r>
    </w:p>
    <w:p>
      <w:pPr>
        <w:spacing w:before="281" w:line="353" w:lineRule="auto"/>
        <w:ind w:right="71" w:firstLine="38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由于出现专用合同条款规定的异常恶劣气候的条件导致工期延误的，承</w:t>
      </w:r>
      <w:r>
        <w:rPr>
          <w:rFonts w:ascii="宋体" w:hAnsi="宋体" w:eastAsia="宋体" w:cs="宋体"/>
          <w:color w:val="auto"/>
          <w:spacing w:val="9"/>
          <w:sz w:val="20"/>
          <w:szCs w:val="20"/>
          <w:lang w:eastAsia="zh-CN"/>
        </w:rPr>
        <w:t>包人有权要求发包人</w:t>
      </w:r>
      <w:r>
        <w:rPr>
          <w:rFonts w:ascii="宋体" w:hAnsi="宋体" w:eastAsia="宋体" w:cs="宋体"/>
          <w:color w:val="auto"/>
          <w:spacing w:val="5"/>
          <w:sz w:val="20"/>
          <w:szCs w:val="20"/>
          <w:lang w:eastAsia="zh-CN"/>
        </w:rPr>
        <w:t>延长工期。</w:t>
      </w:r>
    </w:p>
    <w:p>
      <w:pPr>
        <w:spacing w:before="131" w:line="222" w:lineRule="auto"/>
        <w:ind w:left="17"/>
        <w:outlineLvl w:val="2"/>
        <w:rPr>
          <w:rFonts w:ascii="黑体" w:hAnsi="黑体" w:eastAsia="黑体" w:cs="黑体"/>
          <w:color w:val="auto"/>
          <w:sz w:val="28"/>
          <w:szCs w:val="28"/>
          <w:lang w:eastAsia="zh-CN"/>
        </w:rPr>
      </w:pPr>
      <w:bookmarkStart w:id="327" w:name="bookmark329"/>
      <w:bookmarkEnd w:id="327"/>
      <w:bookmarkStart w:id="328" w:name="bookmark330"/>
      <w:bookmarkEnd w:id="328"/>
      <w:r>
        <w:rPr>
          <w:rFonts w:ascii="黑体" w:hAnsi="黑体" w:eastAsia="黑体" w:cs="黑体"/>
          <w:color w:val="auto"/>
          <w:spacing w:val="-2"/>
          <w:sz w:val="28"/>
          <w:szCs w:val="28"/>
          <w:lang w:eastAsia="zh-CN"/>
        </w:rPr>
        <w:t>11.5 承包人的工期延误</w:t>
      </w:r>
    </w:p>
    <w:p>
      <w:pPr>
        <w:spacing w:before="278" w:line="353" w:lineRule="auto"/>
        <w:ind w:left="20" w:right="70" w:firstLine="42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由于承包人原因，未能按合同进度计划完成工作，或监理人认为承包人施工进度不能满足合同工期要求的，承包人应采取措施加快进度，并承担加快进度所增加的费用。由于承包人原因造</w:t>
      </w:r>
    </w:p>
    <w:p>
      <w:pPr>
        <w:spacing w:line="353" w:lineRule="auto"/>
        <w:rPr>
          <w:rFonts w:ascii="宋体" w:hAnsi="宋体" w:eastAsia="宋体" w:cs="宋体"/>
          <w:color w:val="auto"/>
          <w:sz w:val="20"/>
          <w:szCs w:val="20"/>
          <w:lang w:eastAsia="zh-CN"/>
        </w:rPr>
        <w:sectPr>
          <w:footerReference r:id="rId60"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firstLine="1"/>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成工期延误，承包人应支付逾期竣工违约金。逾期竣工违约金的计</w:t>
      </w:r>
      <w:r>
        <w:rPr>
          <w:rFonts w:ascii="宋体" w:hAnsi="宋体" w:eastAsia="宋体" w:cs="宋体"/>
          <w:color w:val="auto"/>
          <w:spacing w:val="5"/>
          <w:sz w:val="20"/>
          <w:szCs w:val="20"/>
          <w:lang w:eastAsia="zh-CN"/>
        </w:rPr>
        <w:t>算方法在专用合同条款中约定。</w:t>
      </w:r>
      <w:r>
        <w:rPr>
          <w:rFonts w:ascii="宋体" w:hAnsi="宋体" w:eastAsia="宋体" w:cs="宋体"/>
          <w:color w:val="auto"/>
          <w:spacing w:val="9"/>
          <w:sz w:val="20"/>
          <w:szCs w:val="20"/>
          <w:lang w:eastAsia="zh-CN"/>
        </w:rPr>
        <w:t>承包人支付逾期竣工违约金，不免除承包人完成工程及修补缺陷的义务。</w:t>
      </w:r>
    </w:p>
    <w:p>
      <w:pPr>
        <w:spacing w:before="125" w:line="223" w:lineRule="auto"/>
        <w:ind w:left="17"/>
        <w:outlineLvl w:val="1"/>
        <w:rPr>
          <w:rFonts w:ascii="黑体" w:hAnsi="黑体" w:eastAsia="黑体" w:cs="黑体"/>
          <w:color w:val="auto"/>
          <w:sz w:val="28"/>
          <w:szCs w:val="28"/>
          <w:lang w:eastAsia="zh-CN"/>
        </w:rPr>
      </w:pPr>
      <w:bookmarkStart w:id="329" w:name="bookmark332"/>
      <w:bookmarkEnd w:id="329"/>
      <w:bookmarkStart w:id="330" w:name="bookmark331"/>
      <w:bookmarkEnd w:id="330"/>
      <w:r>
        <w:rPr>
          <w:rFonts w:ascii="黑体" w:hAnsi="黑体" w:eastAsia="黑体" w:cs="黑体"/>
          <w:color w:val="auto"/>
          <w:spacing w:val="-3"/>
          <w:sz w:val="28"/>
          <w:szCs w:val="28"/>
          <w:lang w:eastAsia="zh-CN"/>
        </w:rPr>
        <w:t>11.6 工期提前</w:t>
      </w:r>
    </w:p>
    <w:p>
      <w:pPr>
        <w:spacing w:before="278" w:line="360" w:lineRule="auto"/>
        <w:ind w:right="70"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发包人要求承包人提前竣工，或承包人提出提前竣工的建议能够给发包</w:t>
      </w:r>
      <w:r>
        <w:rPr>
          <w:rFonts w:ascii="宋体" w:hAnsi="宋体" w:eastAsia="宋体" w:cs="宋体"/>
          <w:color w:val="auto"/>
          <w:spacing w:val="8"/>
          <w:sz w:val="20"/>
          <w:szCs w:val="20"/>
          <w:lang w:eastAsia="zh-CN"/>
        </w:rPr>
        <w:t>人带来效益的，应由</w:t>
      </w:r>
      <w:r>
        <w:rPr>
          <w:rFonts w:ascii="宋体" w:hAnsi="宋体" w:eastAsia="宋体" w:cs="宋体"/>
          <w:color w:val="auto"/>
          <w:spacing w:val="9"/>
          <w:sz w:val="20"/>
          <w:szCs w:val="20"/>
          <w:lang w:eastAsia="zh-CN"/>
        </w:rPr>
        <w:t>监理人与承包人共同协商采取加快工程进度的措施和修订合同进度计划。发包人应承担</w:t>
      </w:r>
      <w:r>
        <w:rPr>
          <w:rFonts w:ascii="宋体" w:hAnsi="宋体" w:eastAsia="宋体" w:cs="宋体"/>
          <w:color w:val="auto"/>
          <w:spacing w:val="8"/>
          <w:sz w:val="20"/>
          <w:szCs w:val="20"/>
          <w:lang w:eastAsia="zh-CN"/>
        </w:rPr>
        <w:t>承包人由</w:t>
      </w:r>
      <w:r>
        <w:rPr>
          <w:rFonts w:ascii="宋体" w:hAnsi="宋体" w:eastAsia="宋体" w:cs="宋体"/>
          <w:color w:val="auto"/>
          <w:spacing w:val="9"/>
          <w:sz w:val="20"/>
          <w:szCs w:val="20"/>
          <w:lang w:eastAsia="zh-CN"/>
        </w:rPr>
        <w:t>此增加的费用，并向承包人支付专用合同条款约定的相应奖金。</w:t>
      </w:r>
    </w:p>
    <w:p>
      <w:pPr>
        <w:spacing w:before="250" w:line="228" w:lineRule="auto"/>
        <w:ind w:left="20"/>
        <w:outlineLvl w:val="0"/>
        <w:rPr>
          <w:rFonts w:ascii="黑体" w:hAnsi="黑体" w:eastAsia="黑体" w:cs="黑体"/>
          <w:color w:val="auto"/>
          <w:sz w:val="31"/>
          <w:szCs w:val="31"/>
          <w:lang w:eastAsia="zh-CN"/>
        </w:rPr>
      </w:pPr>
      <w:bookmarkStart w:id="331" w:name="bookmark333"/>
      <w:bookmarkEnd w:id="331"/>
      <w:bookmarkStart w:id="332" w:name="bookmark334"/>
      <w:bookmarkEnd w:id="332"/>
      <w:bookmarkStart w:id="333" w:name="bookmark336"/>
      <w:bookmarkEnd w:id="333"/>
      <w:r>
        <w:rPr>
          <w:rFonts w:ascii="黑体" w:hAnsi="黑体" w:eastAsia="黑体" w:cs="黑体"/>
          <w:b/>
          <w:bCs/>
          <w:color w:val="auto"/>
          <w:spacing w:val="-2"/>
          <w:sz w:val="31"/>
          <w:szCs w:val="31"/>
          <w:lang w:eastAsia="zh-CN"/>
        </w:rPr>
        <w:t>12.暂停施工</w:t>
      </w:r>
    </w:p>
    <w:p>
      <w:pPr>
        <w:pStyle w:val="3"/>
        <w:spacing w:line="268"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34" w:name="bookmark335"/>
      <w:bookmarkEnd w:id="334"/>
      <w:r>
        <w:rPr>
          <w:rFonts w:ascii="黑体" w:hAnsi="黑体" w:eastAsia="黑体" w:cs="黑体"/>
          <w:color w:val="auto"/>
          <w:spacing w:val="-2"/>
          <w:sz w:val="28"/>
          <w:szCs w:val="28"/>
          <w:lang w:eastAsia="zh-CN"/>
        </w:rPr>
        <w:t>12.1 承包人暂停施工的责任</w:t>
      </w:r>
    </w:p>
    <w:p>
      <w:pPr>
        <w:spacing w:before="280"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因下列暂停施工增加的费用和（或）工期延误由承包人承担：</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（1）承包人违约引起的暂停施工；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（2）由于承包人原因为工程合理施工和安全保障所必需的暂停施工；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（3）承包人擅自暂停施工；</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（4）承包人其他原因引起的暂停施工；</w:t>
      </w:r>
    </w:p>
    <w:p>
      <w:pPr>
        <w:spacing w:before="154"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（5）专用合同条款约定由承包人承担的其他暂停施工。</w:t>
      </w:r>
    </w:p>
    <w:p>
      <w:pPr>
        <w:spacing w:before="248" w:line="222" w:lineRule="auto"/>
        <w:ind w:left="17"/>
        <w:outlineLvl w:val="1"/>
        <w:rPr>
          <w:rFonts w:ascii="黑体" w:hAnsi="黑体" w:eastAsia="黑体" w:cs="黑体"/>
          <w:color w:val="auto"/>
          <w:sz w:val="28"/>
          <w:szCs w:val="28"/>
          <w:lang w:eastAsia="zh-CN"/>
        </w:rPr>
      </w:pPr>
      <w:bookmarkStart w:id="335" w:name="bookmark338"/>
      <w:bookmarkEnd w:id="335"/>
      <w:bookmarkStart w:id="336" w:name="bookmark337"/>
      <w:bookmarkEnd w:id="336"/>
      <w:r>
        <w:rPr>
          <w:rFonts w:ascii="黑体" w:hAnsi="黑体" w:eastAsia="黑体" w:cs="黑体"/>
          <w:color w:val="auto"/>
          <w:spacing w:val="-2"/>
          <w:sz w:val="28"/>
          <w:szCs w:val="28"/>
          <w:lang w:eastAsia="zh-CN"/>
        </w:rPr>
        <w:t>12.2 发包人暂停施工的责任</w:t>
      </w:r>
    </w:p>
    <w:p>
      <w:pPr>
        <w:spacing w:before="281" w:line="355" w:lineRule="auto"/>
        <w:ind w:right="55" w:firstLine="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由于发包人原因引起的暂停施工造成工期延误的，承包人</w:t>
      </w:r>
      <w:r>
        <w:rPr>
          <w:rFonts w:ascii="宋体" w:hAnsi="宋体" w:eastAsia="宋体" w:cs="宋体"/>
          <w:color w:val="auto"/>
          <w:spacing w:val="8"/>
          <w:sz w:val="20"/>
          <w:szCs w:val="20"/>
          <w:lang w:eastAsia="zh-CN"/>
        </w:rPr>
        <w:t>有权要求发包人延长工期和（或）增加费用，并支付合理利润。</w:t>
      </w:r>
    </w:p>
    <w:p>
      <w:pPr>
        <w:spacing w:before="126" w:line="222" w:lineRule="auto"/>
        <w:ind w:left="17"/>
        <w:outlineLvl w:val="1"/>
        <w:rPr>
          <w:rFonts w:ascii="黑体" w:hAnsi="黑体" w:eastAsia="黑体" w:cs="黑体"/>
          <w:color w:val="auto"/>
          <w:sz w:val="28"/>
          <w:szCs w:val="28"/>
          <w:lang w:eastAsia="zh-CN"/>
        </w:rPr>
      </w:pPr>
      <w:bookmarkStart w:id="337" w:name="bookmark340"/>
      <w:bookmarkEnd w:id="337"/>
      <w:bookmarkStart w:id="338" w:name="bookmark339"/>
      <w:bookmarkEnd w:id="338"/>
      <w:r>
        <w:rPr>
          <w:rFonts w:ascii="黑体" w:hAnsi="黑体" w:eastAsia="黑体" w:cs="黑体"/>
          <w:color w:val="auto"/>
          <w:spacing w:val="-2"/>
          <w:sz w:val="28"/>
          <w:szCs w:val="28"/>
          <w:lang w:eastAsia="zh-CN"/>
        </w:rPr>
        <w:t>12.3 监理人暂停施工指示</w:t>
      </w:r>
    </w:p>
    <w:p>
      <w:pPr>
        <w:spacing w:before="278" w:line="323"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12.3.1 监理人认为有必要时，可向承包人作出暂停施工的指示，承包人应按监理人指示暂</w:t>
      </w:r>
      <w:r>
        <w:rPr>
          <w:rFonts w:ascii="宋体" w:hAnsi="宋体" w:eastAsia="宋体" w:cs="宋体"/>
          <w:color w:val="auto"/>
          <w:spacing w:val="9"/>
          <w:sz w:val="20"/>
          <w:szCs w:val="20"/>
          <w:lang w:eastAsia="zh-CN"/>
        </w:rPr>
        <w:t>停施工。不论由于何种原因引起的暂停施工，暂停施工期间承包人应负责妥善保护工程</w:t>
      </w:r>
      <w:r>
        <w:rPr>
          <w:rFonts w:ascii="宋体" w:hAnsi="宋体" w:eastAsia="宋体" w:cs="宋体"/>
          <w:color w:val="auto"/>
          <w:spacing w:val="8"/>
          <w:sz w:val="20"/>
          <w:szCs w:val="20"/>
          <w:lang w:eastAsia="zh-CN"/>
        </w:rPr>
        <w:t>并提供安</w:t>
      </w:r>
      <w:r>
        <w:rPr>
          <w:rFonts w:ascii="宋体" w:hAnsi="宋体" w:eastAsia="宋体" w:cs="宋体"/>
          <w:color w:val="auto"/>
          <w:spacing w:val="5"/>
          <w:sz w:val="20"/>
          <w:szCs w:val="20"/>
          <w:lang w:eastAsia="zh-CN"/>
        </w:rPr>
        <w:t>全保障。</w:t>
      </w:r>
    </w:p>
    <w:p>
      <w:pPr>
        <w:spacing w:before="152" w:line="298" w:lineRule="auto"/>
        <w:ind w:right="16"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12.3.2由于发包人的原因发生暂停施工的紧急情况，且监理人未及时下达暂停施工指示</w:t>
      </w:r>
      <w:r>
        <w:rPr>
          <w:rFonts w:ascii="宋体" w:hAnsi="宋体" w:eastAsia="宋体" w:cs="宋体"/>
          <w:color w:val="auto"/>
          <w:spacing w:val="5"/>
          <w:sz w:val="20"/>
          <w:szCs w:val="20"/>
          <w:lang w:eastAsia="zh-CN"/>
        </w:rPr>
        <w:t>的，</w:t>
      </w:r>
      <w:r>
        <w:rPr>
          <w:rFonts w:ascii="宋体" w:hAnsi="宋体" w:eastAsia="宋体" w:cs="宋体"/>
          <w:color w:val="auto"/>
          <w:spacing w:val="9"/>
          <w:sz w:val="20"/>
          <w:szCs w:val="20"/>
          <w:lang w:eastAsia="zh-CN"/>
        </w:rPr>
        <w:t>承包人可先暂停施工，并及时向监理人提出暂停施工的书面请求。监理人应在接到书面请</w:t>
      </w:r>
      <w:r>
        <w:rPr>
          <w:rFonts w:ascii="宋体" w:hAnsi="宋体" w:eastAsia="宋体" w:cs="宋体"/>
          <w:color w:val="auto"/>
          <w:spacing w:val="8"/>
          <w:sz w:val="20"/>
          <w:szCs w:val="20"/>
          <w:lang w:eastAsia="zh-CN"/>
        </w:rPr>
        <w:t>求后的</w:t>
      </w:r>
    </w:p>
    <w:p>
      <w:pPr>
        <w:spacing w:before="15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24小时内予以答复，逾期未答复的，视为同意承包人的暂停施工请求。</w:t>
      </w:r>
    </w:p>
    <w:p>
      <w:pPr>
        <w:spacing w:before="249" w:line="222" w:lineRule="auto"/>
        <w:ind w:left="17"/>
        <w:outlineLvl w:val="1"/>
        <w:rPr>
          <w:rFonts w:ascii="黑体" w:hAnsi="黑体" w:eastAsia="黑体" w:cs="黑体"/>
          <w:color w:val="auto"/>
          <w:sz w:val="28"/>
          <w:szCs w:val="28"/>
          <w:lang w:eastAsia="zh-CN"/>
        </w:rPr>
      </w:pPr>
      <w:bookmarkStart w:id="339" w:name="bookmark342"/>
      <w:bookmarkEnd w:id="339"/>
      <w:bookmarkStart w:id="340" w:name="bookmark341"/>
      <w:bookmarkEnd w:id="340"/>
      <w:r>
        <w:rPr>
          <w:rFonts w:ascii="黑体" w:hAnsi="黑体" w:eastAsia="黑体" w:cs="黑体"/>
          <w:color w:val="auto"/>
          <w:spacing w:val="-2"/>
          <w:sz w:val="28"/>
          <w:szCs w:val="28"/>
          <w:lang w:eastAsia="zh-CN"/>
        </w:rPr>
        <w:t>12.4 暂停施工后的复工</w:t>
      </w:r>
    </w:p>
    <w:p>
      <w:pPr>
        <w:spacing w:before="279" w:line="359"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12.4.1 暂停施工后，监理人应与发包人和承包人协商，采取有效措施积极消除暂停施工的</w:t>
      </w:r>
      <w:r>
        <w:rPr>
          <w:rFonts w:ascii="宋体" w:hAnsi="宋体" w:eastAsia="宋体" w:cs="宋体"/>
          <w:color w:val="auto"/>
          <w:spacing w:val="9"/>
          <w:sz w:val="20"/>
          <w:szCs w:val="20"/>
          <w:lang w:eastAsia="zh-CN"/>
        </w:rPr>
        <w:t>影响。当工程具备复工条件时，监理人应立即向承包人发出复工通知。承包人收到复工通知后，</w:t>
      </w:r>
      <w:r>
        <w:rPr>
          <w:rFonts w:ascii="宋体" w:hAnsi="宋体" w:eastAsia="宋体" w:cs="宋体"/>
          <w:color w:val="auto"/>
          <w:spacing w:val="8"/>
          <w:sz w:val="20"/>
          <w:szCs w:val="20"/>
          <w:lang w:eastAsia="zh-CN"/>
        </w:rPr>
        <w:t>应在监理人指定的期限内复工。</w:t>
      </w:r>
    </w:p>
    <w:p>
      <w:pPr>
        <w:spacing w:line="359" w:lineRule="auto"/>
        <w:rPr>
          <w:rFonts w:ascii="宋体" w:hAnsi="宋体" w:eastAsia="宋体" w:cs="宋体"/>
          <w:color w:val="auto"/>
          <w:sz w:val="20"/>
          <w:szCs w:val="20"/>
          <w:lang w:eastAsia="zh-CN"/>
        </w:rPr>
        <w:sectPr>
          <w:footerReference r:id="rId61"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left="2"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12.4.2 承包人无故拖延和拒绝复工的，由此增加的费用和工期延误由承包人承担；因发包</w:t>
      </w:r>
      <w:r>
        <w:rPr>
          <w:rFonts w:ascii="宋体" w:hAnsi="宋体" w:eastAsia="宋体" w:cs="宋体"/>
          <w:color w:val="auto"/>
          <w:spacing w:val="9"/>
          <w:sz w:val="20"/>
          <w:szCs w:val="20"/>
          <w:lang w:eastAsia="zh-CN"/>
        </w:rPr>
        <w:t>人原因无法按时复工的，承包人有权要求发包人延长工期和（或）增加费用，并支</w:t>
      </w:r>
      <w:r>
        <w:rPr>
          <w:rFonts w:ascii="宋体" w:hAnsi="宋体" w:eastAsia="宋体" w:cs="宋体"/>
          <w:color w:val="auto"/>
          <w:spacing w:val="8"/>
          <w:sz w:val="20"/>
          <w:szCs w:val="20"/>
          <w:lang w:eastAsia="zh-CN"/>
        </w:rPr>
        <w:t>付合理利润。</w:t>
      </w:r>
    </w:p>
    <w:p>
      <w:pPr>
        <w:spacing w:before="125" w:line="222" w:lineRule="auto"/>
        <w:ind w:left="17"/>
        <w:outlineLvl w:val="1"/>
        <w:rPr>
          <w:rFonts w:ascii="黑体" w:hAnsi="黑体" w:eastAsia="黑体" w:cs="黑体"/>
          <w:color w:val="auto"/>
          <w:sz w:val="28"/>
          <w:szCs w:val="28"/>
          <w:lang w:eastAsia="zh-CN"/>
        </w:rPr>
      </w:pPr>
      <w:bookmarkStart w:id="341" w:name="bookmark344"/>
      <w:bookmarkEnd w:id="341"/>
      <w:bookmarkStart w:id="342" w:name="bookmark343"/>
      <w:bookmarkEnd w:id="342"/>
      <w:r>
        <w:rPr>
          <w:rFonts w:ascii="黑体" w:hAnsi="黑体" w:eastAsia="黑体" w:cs="黑体"/>
          <w:color w:val="auto"/>
          <w:spacing w:val="-3"/>
          <w:sz w:val="28"/>
          <w:szCs w:val="28"/>
          <w:lang w:eastAsia="zh-CN"/>
        </w:rPr>
        <w:t>12.5 暂停施工持续56天以上</w:t>
      </w:r>
    </w:p>
    <w:p>
      <w:pPr>
        <w:spacing w:before="279" w:line="228"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12.5.1 监理人发出暂停施工指示后56天内未向承包人发出复工通知，除了该项停工属于第</w:t>
      </w:r>
    </w:p>
    <w:p>
      <w:pPr>
        <w:spacing w:before="153" w:line="334" w:lineRule="auto"/>
        <w:ind w:right="2" w:firstLine="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12.1款的情况外，承包人可向监理人提交书面通知，要求监理人在收到书面通知后28天内准许</w:t>
      </w:r>
      <w:r>
        <w:rPr>
          <w:rFonts w:ascii="宋体" w:hAnsi="宋体" w:eastAsia="宋体" w:cs="宋体"/>
          <w:color w:val="auto"/>
          <w:spacing w:val="9"/>
          <w:sz w:val="20"/>
          <w:szCs w:val="20"/>
          <w:lang w:eastAsia="zh-CN"/>
        </w:rPr>
        <w:t>已暂停施工的工程或其中一部分工程继续施工。如监理人逾期不予批准，则承包人可以通</w:t>
      </w:r>
      <w:r>
        <w:rPr>
          <w:rFonts w:ascii="宋体" w:hAnsi="宋体" w:eastAsia="宋体" w:cs="宋体"/>
          <w:color w:val="auto"/>
          <w:spacing w:val="8"/>
          <w:sz w:val="20"/>
          <w:szCs w:val="20"/>
          <w:lang w:eastAsia="zh-CN"/>
        </w:rPr>
        <w:t>知监理</w:t>
      </w:r>
      <w:r>
        <w:rPr>
          <w:rFonts w:ascii="宋体" w:hAnsi="宋体" w:eastAsia="宋体" w:cs="宋体"/>
          <w:color w:val="auto"/>
          <w:spacing w:val="9"/>
          <w:sz w:val="20"/>
          <w:szCs w:val="20"/>
          <w:lang w:eastAsia="zh-CN"/>
        </w:rPr>
        <w:t>人，将工程受影响的部分视为按第15.1（1）项的可取消工作。如暂停施工影响到整个工程，可</w:t>
      </w:r>
      <w:r>
        <w:rPr>
          <w:rFonts w:ascii="宋体" w:hAnsi="宋体" w:eastAsia="宋体" w:cs="宋体"/>
          <w:color w:val="auto"/>
          <w:spacing w:val="7"/>
          <w:sz w:val="20"/>
          <w:szCs w:val="20"/>
          <w:lang w:eastAsia="zh-CN"/>
        </w:rPr>
        <w:t>视为发包人违约，应按第22.2款的规定办理。</w:t>
      </w:r>
    </w:p>
    <w:p>
      <w:pPr>
        <w:spacing w:before="155" w:line="297" w:lineRule="auto"/>
        <w:ind w:right="2" w:firstLine="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12.5.2由于承包人责任引起的暂停施工，如承包人在收到监理人暂停施工指示后56天内不</w:t>
      </w:r>
      <w:r>
        <w:rPr>
          <w:rFonts w:ascii="宋体" w:hAnsi="宋体" w:eastAsia="宋体" w:cs="宋体"/>
          <w:color w:val="auto"/>
          <w:spacing w:val="9"/>
          <w:sz w:val="20"/>
          <w:szCs w:val="20"/>
          <w:lang w:eastAsia="zh-CN"/>
        </w:rPr>
        <w:t>认真采取有效的复工措施，造成工期延误，可</w:t>
      </w:r>
      <w:r>
        <w:rPr>
          <w:rFonts w:ascii="宋体" w:hAnsi="宋体" w:eastAsia="宋体" w:cs="宋体"/>
          <w:color w:val="auto"/>
          <w:spacing w:val="8"/>
          <w:sz w:val="20"/>
          <w:szCs w:val="20"/>
          <w:lang w:eastAsia="zh-CN"/>
        </w:rPr>
        <w:t>视为承包人违约，应按第22.1款的规定办理。</w:t>
      </w:r>
    </w:p>
    <w:p>
      <w:pPr>
        <w:pStyle w:val="3"/>
        <w:spacing w:line="272"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43" w:name="bookmark345"/>
      <w:bookmarkEnd w:id="343"/>
      <w:bookmarkStart w:id="344" w:name="bookmark348"/>
      <w:bookmarkEnd w:id="344"/>
      <w:bookmarkStart w:id="345" w:name="bookmark346"/>
      <w:bookmarkEnd w:id="345"/>
      <w:r>
        <w:rPr>
          <w:rFonts w:ascii="黑体" w:hAnsi="黑体" w:eastAsia="黑体" w:cs="黑体"/>
          <w:b/>
          <w:bCs/>
          <w:color w:val="auto"/>
          <w:spacing w:val="1"/>
          <w:sz w:val="31"/>
          <w:szCs w:val="31"/>
          <w:lang w:eastAsia="zh-CN"/>
        </w:rPr>
        <w:t>13.工程质量</w:t>
      </w:r>
    </w:p>
    <w:p>
      <w:pPr>
        <w:pStyle w:val="3"/>
        <w:spacing w:line="269"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46" w:name="bookmark347"/>
      <w:bookmarkEnd w:id="346"/>
      <w:r>
        <w:rPr>
          <w:rFonts w:ascii="黑体" w:hAnsi="黑体" w:eastAsia="黑体" w:cs="黑体"/>
          <w:color w:val="auto"/>
          <w:spacing w:val="-3"/>
          <w:sz w:val="28"/>
          <w:szCs w:val="28"/>
          <w:lang w:eastAsia="zh-CN"/>
        </w:rPr>
        <w:t>13.1 工程质量要求</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13.1.1 工程质量验收按合同约定验收标准执行。</w:t>
      </w:r>
    </w:p>
    <w:p>
      <w:pPr>
        <w:spacing w:before="154"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13.1.2 因承包人原因造成工程质量达不到合同约定验收标准的，监理人有权要求承包人返</w:t>
      </w:r>
      <w:r>
        <w:rPr>
          <w:rFonts w:ascii="宋体" w:hAnsi="宋体" w:eastAsia="宋体" w:cs="宋体"/>
          <w:color w:val="auto"/>
          <w:spacing w:val="8"/>
          <w:sz w:val="20"/>
          <w:szCs w:val="20"/>
          <w:lang w:eastAsia="zh-CN"/>
        </w:rPr>
        <w:t>工直至符合合同要求为止，由此造成的费用增加和（或）工期延误由承包人承担。</w:t>
      </w:r>
    </w:p>
    <w:p>
      <w:pPr>
        <w:spacing w:before="151" w:line="299"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13.1.3 因发包人原因造成工程质量达不到合同约定验收标准的，发包人应承担由于承包人</w:t>
      </w:r>
      <w:r>
        <w:rPr>
          <w:rFonts w:ascii="宋体" w:hAnsi="宋体" w:eastAsia="宋体" w:cs="宋体"/>
          <w:color w:val="auto"/>
          <w:spacing w:val="9"/>
          <w:sz w:val="20"/>
          <w:szCs w:val="20"/>
          <w:lang w:eastAsia="zh-CN"/>
        </w:rPr>
        <w:t>返工造成的费用增加和（或）工期延误，并支付承包人合理利润。</w:t>
      </w:r>
    </w:p>
    <w:p>
      <w:pPr>
        <w:spacing w:before="248" w:line="223" w:lineRule="auto"/>
        <w:ind w:left="17"/>
        <w:outlineLvl w:val="1"/>
        <w:rPr>
          <w:rFonts w:ascii="黑体" w:hAnsi="黑体" w:eastAsia="黑体" w:cs="黑体"/>
          <w:color w:val="auto"/>
          <w:sz w:val="28"/>
          <w:szCs w:val="28"/>
          <w:lang w:eastAsia="zh-CN"/>
        </w:rPr>
      </w:pPr>
      <w:bookmarkStart w:id="347" w:name="bookmark350"/>
      <w:bookmarkEnd w:id="347"/>
      <w:bookmarkStart w:id="348" w:name="bookmark349"/>
      <w:bookmarkEnd w:id="348"/>
      <w:r>
        <w:rPr>
          <w:rFonts w:ascii="黑体" w:hAnsi="黑体" w:eastAsia="黑体" w:cs="黑体"/>
          <w:color w:val="auto"/>
          <w:spacing w:val="-2"/>
          <w:sz w:val="28"/>
          <w:szCs w:val="28"/>
          <w:lang w:eastAsia="zh-CN"/>
        </w:rPr>
        <w:t>13.2 承包人的质量管理</w:t>
      </w:r>
    </w:p>
    <w:p>
      <w:pPr>
        <w:spacing w:before="277" w:line="323" w:lineRule="auto"/>
        <w:ind w:left="3"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13.2.1 承包人应在施工场地设置专门的质量检查机构，配备专职质量检查人员，建立完善</w:t>
      </w:r>
      <w:r>
        <w:rPr>
          <w:rFonts w:ascii="宋体" w:hAnsi="宋体" w:eastAsia="宋体" w:cs="宋体"/>
          <w:color w:val="auto"/>
          <w:spacing w:val="9"/>
          <w:sz w:val="20"/>
          <w:szCs w:val="20"/>
          <w:lang w:eastAsia="zh-CN"/>
        </w:rPr>
        <w:t>的质量检查制度。承包人应在合同约定的期限内，提交工程质量保证措施文件，包</w:t>
      </w:r>
      <w:r>
        <w:rPr>
          <w:rFonts w:ascii="宋体" w:hAnsi="宋体" w:eastAsia="宋体" w:cs="宋体"/>
          <w:color w:val="auto"/>
          <w:spacing w:val="8"/>
          <w:sz w:val="20"/>
          <w:szCs w:val="20"/>
          <w:lang w:eastAsia="zh-CN"/>
        </w:rPr>
        <w:t>括质量检查机</w:t>
      </w:r>
      <w:r>
        <w:rPr>
          <w:rFonts w:ascii="宋体" w:hAnsi="宋体" w:eastAsia="宋体" w:cs="宋体"/>
          <w:color w:val="auto"/>
          <w:spacing w:val="9"/>
          <w:sz w:val="20"/>
          <w:szCs w:val="20"/>
          <w:lang w:eastAsia="zh-CN"/>
        </w:rPr>
        <w:t>构的组织和岗位责任、质检人员的组成、质量检查程序和实施细则等，报送监理人审批。</w:t>
      </w:r>
    </w:p>
    <w:p>
      <w:pPr>
        <w:spacing w:before="151" w:line="299" w:lineRule="auto"/>
        <w:ind w:left="1" w:right="51"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13.2.2 承包人应加强对施工人员的质量教育和技术培训，定期考核施工人员的劳动技能，</w:t>
      </w:r>
      <w:r>
        <w:rPr>
          <w:rFonts w:ascii="宋体" w:hAnsi="宋体" w:eastAsia="宋体" w:cs="宋体"/>
          <w:color w:val="auto"/>
          <w:spacing w:val="8"/>
          <w:sz w:val="20"/>
          <w:szCs w:val="20"/>
          <w:lang w:eastAsia="zh-CN"/>
        </w:rPr>
        <w:t>严格执行规范和操作规程。</w:t>
      </w:r>
    </w:p>
    <w:p>
      <w:pPr>
        <w:spacing w:before="249" w:line="223" w:lineRule="auto"/>
        <w:ind w:left="17"/>
        <w:outlineLvl w:val="1"/>
        <w:rPr>
          <w:rFonts w:ascii="黑体" w:hAnsi="黑体" w:eastAsia="黑体" w:cs="黑体"/>
          <w:color w:val="auto"/>
          <w:sz w:val="28"/>
          <w:szCs w:val="28"/>
          <w:lang w:eastAsia="zh-CN"/>
        </w:rPr>
      </w:pPr>
      <w:bookmarkStart w:id="349" w:name="bookmark352"/>
      <w:bookmarkEnd w:id="349"/>
      <w:bookmarkStart w:id="350" w:name="bookmark351"/>
      <w:bookmarkEnd w:id="350"/>
      <w:r>
        <w:rPr>
          <w:rFonts w:ascii="黑体" w:hAnsi="黑体" w:eastAsia="黑体" w:cs="黑体"/>
          <w:color w:val="auto"/>
          <w:spacing w:val="-2"/>
          <w:sz w:val="28"/>
          <w:szCs w:val="28"/>
          <w:lang w:eastAsia="zh-CN"/>
        </w:rPr>
        <w:t>13.3 承包人的质量检查</w:t>
      </w:r>
    </w:p>
    <w:p>
      <w:pPr>
        <w:spacing w:before="278" w:line="355" w:lineRule="auto"/>
        <w:ind w:right="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承包人应按合同约定对材料、工程设备以及工程的所有部位及其施工工艺进行</w:t>
      </w:r>
      <w:r>
        <w:rPr>
          <w:rFonts w:ascii="宋体" w:hAnsi="宋体" w:eastAsia="宋体" w:cs="宋体"/>
          <w:color w:val="auto"/>
          <w:spacing w:val="8"/>
          <w:sz w:val="20"/>
          <w:szCs w:val="20"/>
          <w:lang w:eastAsia="zh-CN"/>
        </w:rPr>
        <w:t>全过程的质量</w:t>
      </w:r>
      <w:r>
        <w:rPr>
          <w:rFonts w:ascii="宋体" w:hAnsi="宋体" w:eastAsia="宋体" w:cs="宋体"/>
          <w:color w:val="auto"/>
          <w:spacing w:val="9"/>
          <w:sz w:val="20"/>
          <w:szCs w:val="20"/>
          <w:lang w:eastAsia="zh-CN"/>
        </w:rPr>
        <w:t>检查和检验，并作详细记录，编制工程质量报表，报送监理人审查。</w:t>
      </w:r>
    </w:p>
    <w:p>
      <w:pPr>
        <w:spacing w:before="126" w:line="223" w:lineRule="auto"/>
        <w:ind w:left="17"/>
        <w:outlineLvl w:val="1"/>
        <w:rPr>
          <w:rFonts w:ascii="黑体" w:hAnsi="黑体" w:eastAsia="黑体" w:cs="黑体"/>
          <w:color w:val="auto"/>
          <w:sz w:val="28"/>
          <w:szCs w:val="28"/>
          <w:lang w:eastAsia="zh-CN"/>
        </w:rPr>
      </w:pPr>
      <w:bookmarkStart w:id="351" w:name="bookmark354"/>
      <w:bookmarkEnd w:id="351"/>
      <w:bookmarkStart w:id="352" w:name="bookmark353"/>
      <w:bookmarkEnd w:id="352"/>
      <w:r>
        <w:rPr>
          <w:rFonts w:ascii="黑体" w:hAnsi="黑体" w:eastAsia="黑体" w:cs="黑体"/>
          <w:color w:val="auto"/>
          <w:spacing w:val="-2"/>
          <w:sz w:val="28"/>
          <w:szCs w:val="28"/>
          <w:lang w:eastAsia="zh-CN"/>
        </w:rPr>
        <w:t>13.4 监理人的质量检查</w:t>
      </w:r>
    </w:p>
    <w:p>
      <w:pPr>
        <w:spacing w:before="278" w:line="227" w:lineRule="auto"/>
        <w:ind w:right="2"/>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监理人有权对工程的所有部位及其施工工艺、材料和工程设备进行检查和检验</w:t>
      </w:r>
      <w:r>
        <w:rPr>
          <w:rFonts w:ascii="宋体" w:hAnsi="宋体" w:eastAsia="宋体" w:cs="宋体"/>
          <w:color w:val="auto"/>
          <w:spacing w:val="8"/>
          <w:sz w:val="20"/>
          <w:szCs w:val="20"/>
          <w:lang w:eastAsia="zh-CN"/>
        </w:rPr>
        <w:t>。承包人应为</w:t>
      </w:r>
    </w:p>
    <w:p>
      <w:pPr>
        <w:spacing w:line="227" w:lineRule="auto"/>
        <w:rPr>
          <w:rFonts w:ascii="宋体" w:hAnsi="宋体" w:eastAsia="宋体" w:cs="宋体"/>
          <w:color w:val="auto"/>
          <w:sz w:val="20"/>
          <w:szCs w:val="20"/>
          <w:lang w:eastAsia="zh-CN"/>
        </w:rPr>
        <w:sectPr>
          <w:footerReference r:id="rId6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62" w:lineRule="auto"/>
        <w:ind w:right="15"/>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监理人的检查和检验提供方便，包括监理人到施工场地，或制造、加工地点，或合同约</w:t>
      </w:r>
      <w:r>
        <w:rPr>
          <w:rFonts w:ascii="宋体" w:hAnsi="宋体" w:eastAsia="宋体" w:cs="宋体"/>
          <w:color w:val="auto"/>
          <w:spacing w:val="8"/>
          <w:sz w:val="20"/>
          <w:szCs w:val="20"/>
          <w:lang w:eastAsia="zh-CN"/>
        </w:rPr>
        <w:t>定的其他</w:t>
      </w:r>
      <w:r>
        <w:rPr>
          <w:rFonts w:ascii="宋体" w:hAnsi="宋体" w:eastAsia="宋体" w:cs="宋体"/>
          <w:color w:val="auto"/>
          <w:spacing w:val="9"/>
          <w:sz w:val="20"/>
          <w:szCs w:val="20"/>
          <w:lang w:eastAsia="zh-CN"/>
        </w:rPr>
        <w:t>地方进行察看和查阅施工原始记录。承包人还应按监理人指示，进行施工场地取样试验、</w:t>
      </w:r>
      <w:r>
        <w:rPr>
          <w:rFonts w:ascii="宋体" w:hAnsi="宋体" w:eastAsia="宋体" w:cs="宋体"/>
          <w:color w:val="auto"/>
          <w:spacing w:val="8"/>
          <w:sz w:val="20"/>
          <w:szCs w:val="20"/>
          <w:lang w:eastAsia="zh-CN"/>
        </w:rPr>
        <w:t>工程复</w:t>
      </w:r>
      <w:r>
        <w:rPr>
          <w:rFonts w:ascii="宋体" w:hAnsi="宋体" w:eastAsia="宋体" w:cs="宋体"/>
          <w:color w:val="auto"/>
          <w:spacing w:val="9"/>
          <w:sz w:val="20"/>
          <w:szCs w:val="20"/>
          <w:lang w:eastAsia="zh-CN"/>
        </w:rPr>
        <w:t>核测量和设备性能检测，提供试验样品、提交试验报告和测量成果以及监理人要求进行</w:t>
      </w:r>
      <w:r>
        <w:rPr>
          <w:rFonts w:ascii="宋体" w:hAnsi="宋体" w:eastAsia="宋体" w:cs="宋体"/>
          <w:color w:val="auto"/>
          <w:spacing w:val="8"/>
          <w:sz w:val="20"/>
          <w:szCs w:val="20"/>
          <w:lang w:eastAsia="zh-CN"/>
        </w:rPr>
        <w:t>的其他工</w:t>
      </w:r>
      <w:r>
        <w:rPr>
          <w:rFonts w:ascii="宋体" w:hAnsi="宋体" w:eastAsia="宋体" w:cs="宋体"/>
          <w:color w:val="auto"/>
          <w:spacing w:val="9"/>
          <w:sz w:val="20"/>
          <w:szCs w:val="20"/>
          <w:lang w:eastAsia="zh-CN"/>
        </w:rPr>
        <w:t>作。监理人的检查和检验，不免除承包人按合同约定应负的责任。</w:t>
      </w:r>
    </w:p>
    <w:p>
      <w:pPr>
        <w:spacing w:before="129" w:line="222" w:lineRule="auto"/>
        <w:ind w:left="17"/>
        <w:outlineLvl w:val="1"/>
        <w:rPr>
          <w:rFonts w:ascii="黑体" w:hAnsi="黑体" w:eastAsia="黑体" w:cs="黑体"/>
          <w:color w:val="auto"/>
          <w:sz w:val="28"/>
          <w:szCs w:val="28"/>
          <w:lang w:eastAsia="zh-CN"/>
        </w:rPr>
      </w:pPr>
      <w:bookmarkStart w:id="353" w:name="bookmark356"/>
      <w:bookmarkEnd w:id="353"/>
      <w:bookmarkStart w:id="354" w:name="bookmark355"/>
      <w:bookmarkEnd w:id="354"/>
      <w:r>
        <w:rPr>
          <w:rFonts w:ascii="黑体" w:hAnsi="黑体" w:eastAsia="黑体" w:cs="黑体"/>
          <w:color w:val="auto"/>
          <w:spacing w:val="-2"/>
          <w:sz w:val="28"/>
          <w:szCs w:val="28"/>
          <w:lang w:eastAsia="zh-CN"/>
        </w:rPr>
        <w:t>13.5 工程隐蔽部位覆盖前的检查</w:t>
      </w:r>
    </w:p>
    <w:p>
      <w:pPr>
        <w:spacing w:before="278"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13.5.1 通知监理人检查</w:t>
      </w:r>
    </w:p>
    <w:p>
      <w:pPr>
        <w:spacing w:before="151" w:line="365" w:lineRule="auto"/>
        <w:ind w:left="1" w:right="29" w:firstLine="452"/>
        <w:rPr>
          <w:rFonts w:ascii="宋体" w:hAnsi="宋体" w:eastAsia="宋体" w:cs="宋体"/>
          <w:color w:val="auto"/>
          <w:sz w:val="20"/>
          <w:szCs w:val="20"/>
          <w:lang w:eastAsia="zh-CN"/>
        </w:rPr>
      </w:pPr>
      <w:r>
        <w:rPr>
          <w:rFonts w:ascii="宋体" w:hAnsi="宋体" w:eastAsia="宋体" w:cs="宋体"/>
          <w:color w:val="auto"/>
          <w:spacing w:val="23"/>
          <w:sz w:val="20"/>
          <w:szCs w:val="20"/>
          <w:lang w:eastAsia="zh-CN"/>
        </w:rPr>
        <w:t>经承包人自检确认的工程隐蔽部位具备覆盖条件后，承包人应通知监理人在约定的期</w:t>
      </w:r>
      <w:r>
        <w:rPr>
          <w:rFonts w:ascii="宋体" w:hAnsi="宋体" w:eastAsia="宋体" w:cs="宋体"/>
          <w:color w:val="auto"/>
          <w:spacing w:val="21"/>
          <w:sz w:val="20"/>
          <w:szCs w:val="20"/>
          <w:lang w:eastAsia="zh-CN"/>
        </w:rPr>
        <w:t>限内检查。承包人的通知应附有自检记录和必要的检查资料。监理人应按时到场检查。经监理人检查确认质量符合隐蔽要求，并在检查记录上签字后，承包人才能进行覆盖。监理</w:t>
      </w:r>
      <w:r>
        <w:rPr>
          <w:rFonts w:ascii="宋体" w:hAnsi="宋体" w:eastAsia="宋体" w:cs="宋体"/>
          <w:color w:val="auto"/>
          <w:spacing w:val="22"/>
          <w:sz w:val="20"/>
          <w:szCs w:val="20"/>
          <w:lang w:eastAsia="zh-CN"/>
        </w:rPr>
        <w:t>人检查确认质量不合格的，承包人应在监理人指示的时间内修整返工后，由监理人重新检</w:t>
      </w:r>
      <w:r>
        <w:rPr>
          <w:rFonts w:ascii="宋体" w:hAnsi="宋体" w:eastAsia="宋体" w:cs="宋体"/>
          <w:color w:val="auto"/>
          <w:sz w:val="20"/>
          <w:szCs w:val="20"/>
          <w:lang w:eastAsia="zh-CN"/>
        </w:rPr>
        <w:t xml:space="preserve"> 查。</w:t>
      </w:r>
    </w:p>
    <w:p>
      <w:pPr>
        <w:spacing w:before="24"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13.5.2 监理人未到场检查</w:t>
      </w:r>
    </w:p>
    <w:p>
      <w:pPr>
        <w:spacing w:before="153" w:line="360" w:lineRule="auto"/>
        <w:ind w:left="1" w:right="13" w:firstLine="42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监理人未按第13.5.1项约定的时间进行检查的，除监理人另有指示外，</w:t>
      </w:r>
      <w:r>
        <w:rPr>
          <w:rFonts w:ascii="宋体" w:hAnsi="宋体" w:eastAsia="宋体" w:cs="宋体"/>
          <w:color w:val="auto"/>
          <w:spacing w:val="9"/>
          <w:sz w:val="20"/>
          <w:szCs w:val="20"/>
          <w:lang w:eastAsia="zh-CN"/>
        </w:rPr>
        <w:t>承包人可自行完成覆盖工作，并作相应记录报送监理人，监理人应签字确认。监理人事后对检查记录有疑</w:t>
      </w:r>
      <w:r>
        <w:rPr>
          <w:rFonts w:ascii="宋体" w:hAnsi="宋体" w:eastAsia="宋体" w:cs="宋体"/>
          <w:color w:val="auto"/>
          <w:spacing w:val="8"/>
          <w:sz w:val="20"/>
          <w:szCs w:val="20"/>
          <w:lang w:eastAsia="zh-CN"/>
        </w:rPr>
        <w:t>问的，可</w:t>
      </w:r>
      <w:r>
        <w:rPr>
          <w:rFonts w:ascii="宋体" w:hAnsi="宋体" w:eastAsia="宋体" w:cs="宋体"/>
          <w:color w:val="auto"/>
          <w:spacing w:val="4"/>
          <w:sz w:val="20"/>
          <w:szCs w:val="20"/>
          <w:lang w:eastAsia="zh-CN"/>
        </w:rPr>
        <w:t>按第13.5.3项的约定重新检查。</w:t>
      </w:r>
    </w:p>
    <w:p>
      <w:pPr>
        <w:spacing w:before="29"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13.5.3 监理人重新检查</w:t>
      </w:r>
    </w:p>
    <w:p>
      <w:pPr>
        <w:spacing w:before="151" w:line="364" w:lineRule="auto"/>
        <w:ind w:firstLine="42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承包人按第13.5.1项或第13.5.2项覆盖工程隐蔽部位后，监理人对质量有疑问的，可要求</w:t>
      </w:r>
      <w:r>
        <w:rPr>
          <w:rFonts w:ascii="宋体" w:hAnsi="宋体" w:eastAsia="宋体" w:cs="宋体"/>
          <w:color w:val="auto"/>
          <w:spacing w:val="9"/>
          <w:sz w:val="20"/>
          <w:szCs w:val="20"/>
          <w:lang w:eastAsia="zh-CN"/>
        </w:rPr>
        <w:t>承包人对已覆盖的部位进行钻孔探测或揭开重新检验，承包人应遵照执行，并在检验后</w:t>
      </w:r>
      <w:r>
        <w:rPr>
          <w:rFonts w:ascii="宋体" w:hAnsi="宋体" w:eastAsia="宋体" w:cs="宋体"/>
          <w:color w:val="auto"/>
          <w:spacing w:val="8"/>
          <w:sz w:val="20"/>
          <w:szCs w:val="20"/>
          <w:lang w:eastAsia="zh-CN"/>
        </w:rPr>
        <w:t>重新覆盖</w:t>
      </w:r>
      <w:r>
        <w:rPr>
          <w:rFonts w:ascii="宋体" w:hAnsi="宋体" w:eastAsia="宋体" w:cs="宋体"/>
          <w:color w:val="auto"/>
          <w:spacing w:val="9"/>
          <w:sz w:val="20"/>
          <w:szCs w:val="20"/>
          <w:lang w:eastAsia="zh-CN"/>
        </w:rPr>
        <w:t>恢复原状。经检验证明工程质量符合合同要求的，由发包人承担由此增加的费用和（或）</w:t>
      </w:r>
      <w:r>
        <w:rPr>
          <w:rFonts w:ascii="宋体" w:hAnsi="宋体" w:eastAsia="宋体" w:cs="宋体"/>
          <w:color w:val="auto"/>
          <w:spacing w:val="8"/>
          <w:sz w:val="20"/>
          <w:szCs w:val="20"/>
          <w:lang w:eastAsia="zh-CN"/>
        </w:rPr>
        <w:t>工期延</w:t>
      </w:r>
      <w:r>
        <w:rPr>
          <w:rFonts w:ascii="宋体" w:hAnsi="宋体" w:eastAsia="宋体" w:cs="宋体"/>
          <w:color w:val="auto"/>
          <w:spacing w:val="9"/>
          <w:sz w:val="20"/>
          <w:szCs w:val="20"/>
          <w:lang w:eastAsia="zh-CN"/>
        </w:rPr>
        <w:t>误，并支付承包人合理利润；经检验证明工程质量不符合合同要求的，由此增加的费用和（或）</w:t>
      </w:r>
      <w:r>
        <w:rPr>
          <w:rFonts w:ascii="宋体" w:hAnsi="宋体" w:eastAsia="宋体" w:cs="宋体"/>
          <w:color w:val="auto"/>
          <w:spacing w:val="8"/>
          <w:sz w:val="20"/>
          <w:szCs w:val="20"/>
          <w:lang w:eastAsia="zh-CN"/>
        </w:rPr>
        <w:t>工期延误由承包人承担。</w:t>
      </w:r>
    </w:p>
    <w:p>
      <w:pPr>
        <w:spacing w:before="30" w:line="228"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13.5.4 承包人私自覆盖</w:t>
      </w:r>
    </w:p>
    <w:p>
      <w:pPr>
        <w:spacing w:before="155" w:line="355" w:lineRule="auto"/>
        <w:ind w:left="1" w:right="15"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承包人未通知监理人到场检查，私自将工程隐蔽部位覆盖的，监理人有权指示</w:t>
      </w:r>
      <w:r>
        <w:rPr>
          <w:rFonts w:ascii="宋体" w:hAnsi="宋体" w:eastAsia="宋体" w:cs="宋体"/>
          <w:color w:val="auto"/>
          <w:spacing w:val="8"/>
          <w:sz w:val="20"/>
          <w:szCs w:val="20"/>
          <w:lang w:eastAsia="zh-CN"/>
        </w:rPr>
        <w:t>承包人钻孔探</w:t>
      </w:r>
      <w:r>
        <w:rPr>
          <w:rFonts w:ascii="宋体" w:hAnsi="宋体" w:eastAsia="宋体" w:cs="宋体"/>
          <w:color w:val="auto"/>
          <w:spacing w:val="9"/>
          <w:sz w:val="20"/>
          <w:szCs w:val="20"/>
          <w:lang w:eastAsia="zh-CN"/>
        </w:rPr>
        <w:t>测或揭开检查，由此增加的费用和（或）工期延误由承包人承担。</w:t>
      </w:r>
    </w:p>
    <w:p>
      <w:pPr>
        <w:spacing w:before="126" w:line="222" w:lineRule="auto"/>
        <w:ind w:left="17"/>
        <w:outlineLvl w:val="1"/>
        <w:rPr>
          <w:rFonts w:ascii="黑体" w:hAnsi="黑体" w:eastAsia="黑体" w:cs="黑体"/>
          <w:color w:val="auto"/>
          <w:sz w:val="28"/>
          <w:szCs w:val="28"/>
          <w:lang w:eastAsia="zh-CN"/>
        </w:rPr>
      </w:pPr>
      <w:bookmarkStart w:id="355" w:name="bookmark357"/>
      <w:bookmarkEnd w:id="355"/>
      <w:bookmarkStart w:id="356" w:name="bookmark358"/>
      <w:bookmarkEnd w:id="356"/>
      <w:r>
        <w:rPr>
          <w:rFonts w:ascii="黑体" w:hAnsi="黑体" w:eastAsia="黑体" w:cs="黑体"/>
          <w:color w:val="auto"/>
          <w:spacing w:val="-3"/>
          <w:sz w:val="28"/>
          <w:szCs w:val="28"/>
          <w:lang w:eastAsia="zh-CN"/>
        </w:rPr>
        <w:t>13.6 清除不合格工程</w:t>
      </w:r>
    </w:p>
    <w:p>
      <w:pPr>
        <w:spacing w:before="279" w:line="322" w:lineRule="auto"/>
        <w:ind w:left="2" w:right="13"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13.6.1 承包人使用不合格材料、工程设备，或采用不适当的施工工艺，或施工不当，造成</w:t>
      </w:r>
      <w:r>
        <w:rPr>
          <w:rFonts w:ascii="宋体" w:hAnsi="宋体" w:eastAsia="宋体" w:cs="宋体"/>
          <w:color w:val="auto"/>
          <w:spacing w:val="9"/>
          <w:sz w:val="20"/>
          <w:szCs w:val="20"/>
          <w:lang w:eastAsia="zh-CN"/>
        </w:rPr>
        <w:t>工程不合格的，监理人可以随时发出指示，要求承包人立即采取措施进行补救，直至</w:t>
      </w:r>
      <w:r>
        <w:rPr>
          <w:rFonts w:ascii="宋体" w:hAnsi="宋体" w:eastAsia="宋体" w:cs="宋体"/>
          <w:color w:val="auto"/>
          <w:spacing w:val="8"/>
          <w:sz w:val="20"/>
          <w:szCs w:val="20"/>
          <w:lang w:eastAsia="zh-CN"/>
        </w:rPr>
        <w:t>达到合同要</w:t>
      </w:r>
      <w:r>
        <w:rPr>
          <w:rFonts w:ascii="宋体" w:hAnsi="宋体" w:eastAsia="宋体" w:cs="宋体"/>
          <w:color w:val="auto"/>
          <w:spacing w:val="9"/>
          <w:sz w:val="20"/>
          <w:szCs w:val="20"/>
          <w:lang w:eastAsia="zh-CN"/>
        </w:rPr>
        <w:t>求的质量标准，由此增加的费用和（或）工期延误由承包人承担。</w:t>
      </w:r>
    </w:p>
    <w:p>
      <w:pPr>
        <w:spacing w:before="154" w:line="322" w:lineRule="auto"/>
        <w:ind w:right="39" w:firstLine="484"/>
        <w:rPr>
          <w:rFonts w:ascii="宋体" w:hAnsi="宋体" w:eastAsia="宋体" w:cs="宋体"/>
          <w:color w:val="auto"/>
          <w:sz w:val="20"/>
          <w:szCs w:val="20"/>
          <w:lang w:eastAsia="zh-CN"/>
        </w:rPr>
      </w:pPr>
      <w:r>
        <w:rPr>
          <w:rFonts w:ascii="宋体" w:hAnsi="宋体" w:eastAsia="宋体" w:cs="宋体"/>
          <w:color w:val="auto"/>
          <w:spacing w:val="25"/>
          <w:sz w:val="20"/>
          <w:szCs w:val="20"/>
          <w:lang w:eastAsia="zh-CN"/>
        </w:rPr>
        <w:t>13.6.2由于发包人提供的材料或工程设备不合</w:t>
      </w:r>
      <w:r>
        <w:rPr>
          <w:rFonts w:ascii="宋体" w:hAnsi="宋体" w:eastAsia="宋体" w:cs="宋体"/>
          <w:color w:val="auto"/>
          <w:spacing w:val="24"/>
          <w:sz w:val="20"/>
          <w:szCs w:val="20"/>
          <w:lang w:eastAsia="zh-CN"/>
        </w:rPr>
        <w:t>格造成的工程不合格，需要承包人</w:t>
      </w:r>
      <w:r>
        <w:rPr>
          <w:rFonts w:ascii="宋体" w:hAnsi="宋体" w:eastAsia="宋体" w:cs="宋体"/>
          <w:color w:val="auto"/>
          <w:spacing w:val="22"/>
          <w:sz w:val="20"/>
          <w:szCs w:val="20"/>
          <w:lang w:eastAsia="zh-CN"/>
        </w:rPr>
        <w:t>采取措施补救的，发包人应承担由此增加的费用和（或）工期延误，并支付承包人合理</w:t>
      </w:r>
      <w:r>
        <w:rPr>
          <w:rFonts w:ascii="宋体" w:hAnsi="宋体" w:eastAsia="宋体" w:cs="宋体"/>
          <w:color w:val="auto"/>
          <w:spacing w:val="20"/>
          <w:sz w:val="20"/>
          <w:szCs w:val="20"/>
          <w:lang w:eastAsia="zh-CN"/>
        </w:rPr>
        <w:t>利润。</w:t>
      </w:r>
    </w:p>
    <w:p>
      <w:pPr>
        <w:spacing w:line="322" w:lineRule="auto"/>
        <w:rPr>
          <w:rFonts w:ascii="宋体" w:hAnsi="宋体" w:eastAsia="宋体" w:cs="宋体"/>
          <w:color w:val="auto"/>
          <w:sz w:val="20"/>
          <w:szCs w:val="20"/>
          <w:lang w:eastAsia="zh-CN"/>
        </w:rPr>
        <w:sectPr>
          <w:footerReference r:id="rId63" w:type="default"/>
          <w:pgSz w:w="11906" w:h="16839"/>
          <w:pgMar w:top="1431" w:right="1517" w:bottom="1468" w:left="1596" w:header="0" w:footer="1306" w:gutter="0"/>
          <w:cols w:space="720" w:num="1"/>
          <w:docGrid w:linePitch="0" w:charSpace="0"/>
        </w:sectPr>
      </w:pPr>
    </w:p>
    <w:p>
      <w:pPr>
        <w:pStyle w:val="3"/>
        <w:spacing w:line="384" w:lineRule="auto"/>
        <w:rPr>
          <w:color w:val="auto"/>
          <w:lang w:eastAsia="zh-CN"/>
        </w:rPr>
      </w:pPr>
    </w:p>
    <w:p>
      <w:pPr>
        <w:spacing w:before="101" w:line="226" w:lineRule="auto"/>
        <w:ind w:left="20"/>
        <w:outlineLvl w:val="0"/>
        <w:rPr>
          <w:rFonts w:ascii="黑体" w:hAnsi="黑体" w:eastAsia="黑体" w:cs="黑体"/>
          <w:color w:val="auto"/>
          <w:sz w:val="31"/>
          <w:szCs w:val="31"/>
          <w:lang w:eastAsia="zh-CN"/>
        </w:rPr>
      </w:pPr>
      <w:bookmarkStart w:id="357" w:name="bookmark360"/>
      <w:bookmarkEnd w:id="357"/>
      <w:bookmarkStart w:id="358" w:name="bookmark362"/>
      <w:bookmarkEnd w:id="358"/>
      <w:bookmarkStart w:id="359" w:name="bookmark359"/>
      <w:bookmarkEnd w:id="359"/>
      <w:r>
        <w:rPr>
          <w:rFonts w:ascii="黑体" w:hAnsi="黑体" w:eastAsia="黑体" w:cs="黑体"/>
          <w:b/>
          <w:bCs/>
          <w:color w:val="auto"/>
          <w:spacing w:val="2"/>
          <w:sz w:val="31"/>
          <w:szCs w:val="31"/>
          <w:lang w:eastAsia="zh-CN"/>
        </w:rPr>
        <w:t>14.试验和检验</w:t>
      </w:r>
    </w:p>
    <w:p>
      <w:pPr>
        <w:pStyle w:val="3"/>
        <w:spacing w:line="272"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0" w:name="bookmark361"/>
      <w:bookmarkEnd w:id="360"/>
      <w:r>
        <w:rPr>
          <w:rFonts w:ascii="黑体" w:hAnsi="黑体" w:eastAsia="黑体" w:cs="黑体"/>
          <w:color w:val="auto"/>
          <w:spacing w:val="-2"/>
          <w:sz w:val="28"/>
          <w:szCs w:val="28"/>
          <w:lang w:eastAsia="zh-CN"/>
        </w:rPr>
        <w:t>14.1 材料、工程设备和工程的试验和检验</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14.1.1 承包人应按合同约定进行材料、工程设备和工程的试验和检验，并为监理人对上述</w:t>
      </w:r>
      <w:r>
        <w:rPr>
          <w:rFonts w:ascii="宋体" w:hAnsi="宋体" w:eastAsia="宋体" w:cs="宋体"/>
          <w:color w:val="auto"/>
          <w:spacing w:val="9"/>
          <w:sz w:val="20"/>
          <w:szCs w:val="20"/>
          <w:lang w:eastAsia="zh-CN"/>
        </w:rPr>
        <w:t>材料、工程设备和工程的质量检查提供必要的试验资料和原始记录。按合同约定应由监</w:t>
      </w:r>
      <w:r>
        <w:rPr>
          <w:rFonts w:ascii="宋体" w:hAnsi="宋体" w:eastAsia="宋体" w:cs="宋体"/>
          <w:color w:val="auto"/>
          <w:spacing w:val="8"/>
          <w:sz w:val="20"/>
          <w:szCs w:val="20"/>
          <w:lang w:eastAsia="zh-CN"/>
        </w:rPr>
        <w:t>理人与承</w:t>
      </w:r>
      <w:r>
        <w:rPr>
          <w:rFonts w:ascii="宋体" w:hAnsi="宋体" w:eastAsia="宋体" w:cs="宋体"/>
          <w:color w:val="auto"/>
          <w:spacing w:val="9"/>
          <w:sz w:val="20"/>
          <w:szCs w:val="20"/>
          <w:lang w:eastAsia="zh-CN"/>
        </w:rPr>
        <w:t>包人共同进行试验和检验的，由承包人负责提供必要的试验资料和原始记录。</w:t>
      </w:r>
    </w:p>
    <w:p>
      <w:pPr>
        <w:spacing w:before="154" w:line="298"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14.1.2 监理人未按合同约定派员参加试验和检验的，除监理人另有指示外，承包人可自行</w:t>
      </w:r>
      <w:r>
        <w:rPr>
          <w:rFonts w:ascii="宋体" w:hAnsi="宋体" w:eastAsia="宋体" w:cs="宋体"/>
          <w:color w:val="auto"/>
          <w:spacing w:val="9"/>
          <w:sz w:val="20"/>
          <w:szCs w:val="20"/>
          <w:lang w:eastAsia="zh-CN"/>
        </w:rPr>
        <w:t>试验和检验，并应立即将试验和检验结果报送监理人，监理人应签字确认。</w:t>
      </w:r>
    </w:p>
    <w:p>
      <w:pPr>
        <w:spacing w:before="154" w:line="341" w:lineRule="auto"/>
        <w:ind w:right="68"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14.1.3 监理人对承包人的试验和检验结果有疑问的，或为查清承包人试验和检验成果的可</w:t>
      </w:r>
      <w:r>
        <w:rPr>
          <w:rFonts w:ascii="宋体" w:hAnsi="宋体" w:eastAsia="宋体" w:cs="宋体"/>
          <w:color w:val="auto"/>
          <w:spacing w:val="9"/>
          <w:sz w:val="20"/>
          <w:szCs w:val="20"/>
          <w:lang w:eastAsia="zh-CN"/>
        </w:rPr>
        <w:t>靠性要求承包人重新试验和检验的，可按合同约定由监理人与承包人共同进行。重新试</w:t>
      </w:r>
      <w:r>
        <w:rPr>
          <w:rFonts w:ascii="宋体" w:hAnsi="宋体" w:eastAsia="宋体" w:cs="宋体"/>
          <w:color w:val="auto"/>
          <w:spacing w:val="8"/>
          <w:sz w:val="20"/>
          <w:szCs w:val="20"/>
          <w:lang w:eastAsia="zh-CN"/>
        </w:rPr>
        <w:t>验和检验</w:t>
      </w:r>
      <w:r>
        <w:rPr>
          <w:rFonts w:ascii="宋体" w:hAnsi="宋体" w:eastAsia="宋体" w:cs="宋体"/>
          <w:color w:val="auto"/>
          <w:spacing w:val="9"/>
          <w:sz w:val="20"/>
          <w:szCs w:val="20"/>
          <w:lang w:eastAsia="zh-CN"/>
        </w:rPr>
        <w:t>的结果证明该项材料、工程设备或工程的质量不符合合同要求的，由此增加的费用和（</w:t>
      </w:r>
      <w:r>
        <w:rPr>
          <w:rFonts w:ascii="宋体" w:hAnsi="宋体" w:eastAsia="宋体" w:cs="宋体"/>
          <w:color w:val="auto"/>
          <w:spacing w:val="8"/>
          <w:sz w:val="20"/>
          <w:szCs w:val="20"/>
          <w:lang w:eastAsia="zh-CN"/>
        </w:rPr>
        <w:t>或）工期</w:t>
      </w:r>
      <w:r>
        <w:rPr>
          <w:rFonts w:ascii="宋体" w:hAnsi="宋体" w:eastAsia="宋体" w:cs="宋体"/>
          <w:color w:val="auto"/>
          <w:spacing w:val="9"/>
          <w:sz w:val="20"/>
          <w:szCs w:val="20"/>
          <w:lang w:eastAsia="zh-CN"/>
        </w:rPr>
        <w:t>延误由承包人承担；重新试验和检验结果证明该项材料、工程设备和工程符合合同要求</w:t>
      </w:r>
      <w:r>
        <w:rPr>
          <w:rFonts w:ascii="宋体" w:hAnsi="宋体" w:eastAsia="宋体" w:cs="宋体"/>
          <w:color w:val="auto"/>
          <w:spacing w:val="8"/>
          <w:sz w:val="20"/>
          <w:szCs w:val="20"/>
          <w:lang w:eastAsia="zh-CN"/>
        </w:rPr>
        <w:t>，由发包</w:t>
      </w:r>
      <w:r>
        <w:rPr>
          <w:rFonts w:ascii="宋体" w:hAnsi="宋体" w:eastAsia="宋体" w:cs="宋体"/>
          <w:color w:val="auto"/>
          <w:spacing w:val="9"/>
          <w:sz w:val="20"/>
          <w:szCs w:val="20"/>
          <w:lang w:eastAsia="zh-CN"/>
        </w:rPr>
        <w:t>人承担由此增加的费用和（或）工期延误，并支付承包人合理利润。</w:t>
      </w:r>
    </w:p>
    <w:p>
      <w:pPr>
        <w:spacing w:before="247" w:line="222" w:lineRule="auto"/>
        <w:ind w:left="17"/>
        <w:outlineLvl w:val="1"/>
        <w:rPr>
          <w:rFonts w:ascii="黑体" w:hAnsi="黑体" w:eastAsia="黑体" w:cs="黑体"/>
          <w:color w:val="auto"/>
          <w:sz w:val="28"/>
          <w:szCs w:val="28"/>
          <w:lang w:eastAsia="zh-CN"/>
        </w:rPr>
      </w:pPr>
      <w:bookmarkStart w:id="361" w:name="bookmark364"/>
      <w:bookmarkEnd w:id="361"/>
      <w:bookmarkStart w:id="362" w:name="bookmark363"/>
      <w:bookmarkEnd w:id="362"/>
      <w:r>
        <w:rPr>
          <w:rFonts w:ascii="黑体" w:hAnsi="黑体" w:eastAsia="黑体" w:cs="黑体"/>
          <w:color w:val="auto"/>
          <w:spacing w:val="-3"/>
          <w:sz w:val="28"/>
          <w:szCs w:val="28"/>
          <w:lang w:eastAsia="zh-CN"/>
        </w:rPr>
        <w:t>14.2 现场材料试验</w:t>
      </w:r>
    </w:p>
    <w:p>
      <w:pPr>
        <w:spacing w:before="281" w:line="298"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14.2.1 承包人根据合同约定或监理人指示进行的现场材料试验，应由承包人提供试验场所、</w:t>
      </w:r>
      <w:r>
        <w:rPr>
          <w:rFonts w:ascii="宋体" w:hAnsi="宋体" w:eastAsia="宋体" w:cs="宋体"/>
          <w:color w:val="auto"/>
          <w:spacing w:val="9"/>
          <w:sz w:val="20"/>
          <w:szCs w:val="20"/>
          <w:lang w:eastAsia="zh-CN"/>
        </w:rPr>
        <w:t>试验人员、试验设备器材以及其他必要的试验条件。</w:t>
      </w:r>
    </w:p>
    <w:p>
      <w:pPr>
        <w:spacing w:before="154" w:line="298" w:lineRule="auto"/>
        <w:ind w:left="3" w:right="68"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14.2.2 监理人在必要时可以使用承包人的试验场所、试验设备器材以及其他试验条件，进</w:t>
      </w:r>
      <w:r>
        <w:rPr>
          <w:rFonts w:ascii="宋体" w:hAnsi="宋体" w:eastAsia="宋体" w:cs="宋体"/>
          <w:color w:val="auto"/>
          <w:spacing w:val="9"/>
          <w:sz w:val="20"/>
          <w:szCs w:val="20"/>
          <w:lang w:eastAsia="zh-CN"/>
        </w:rPr>
        <w:t>行以工程质量检查为目的的复核性材料试验，承包人应予以协助。</w:t>
      </w:r>
    </w:p>
    <w:p>
      <w:pPr>
        <w:spacing w:before="248" w:line="222" w:lineRule="auto"/>
        <w:ind w:left="17"/>
        <w:outlineLvl w:val="1"/>
        <w:rPr>
          <w:rFonts w:ascii="黑体" w:hAnsi="黑体" w:eastAsia="黑体" w:cs="黑体"/>
          <w:color w:val="auto"/>
          <w:sz w:val="28"/>
          <w:szCs w:val="28"/>
          <w:lang w:eastAsia="zh-CN"/>
        </w:rPr>
      </w:pPr>
      <w:bookmarkStart w:id="363" w:name="bookmark365"/>
      <w:bookmarkEnd w:id="363"/>
      <w:bookmarkStart w:id="364" w:name="bookmark366"/>
      <w:bookmarkEnd w:id="364"/>
      <w:r>
        <w:rPr>
          <w:rFonts w:ascii="黑体" w:hAnsi="黑体" w:eastAsia="黑体" w:cs="黑体"/>
          <w:color w:val="auto"/>
          <w:spacing w:val="-3"/>
          <w:sz w:val="28"/>
          <w:szCs w:val="28"/>
          <w:lang w:eastAsia="zh-CN"/>
        </w:rPr>
        <w:t>14.3 现场工艺试验</w:t>
      </w:r>
    </w:p>
    <w:p>
      <w:pPr>
        <w:spacing w:before="281" w:line="355" w:lineRule="auto"/>
        <w:ind w:left="3" w:firstLine="41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承包人应按合同约定或监理人指示进行现场工艺试验。对大型的现场工艺试验，</w:t>
      </w:r>
      <w:r>
        <w:rPr>
          <w:rFonts w:ascii="宋体" w:hAnsi="宋体" w:eastAsia="宋体" w:cs="宋体"/>
          <w:color w:val="auto"/>
          <w:spacing w:val="8"/>
          <w:sz w:val="20"/>
          <w:szCs w:val="20"/>
          <w:lang w:eastAsia="zh-CN"/>
        </w:rPr>
        <w:t>监理人认为</w:t>
      </w:r>
      <w:r>
        <w:rPr>
          <w:rFonts w:ascii="宋体" w:hAnsi="宋体" w:eastAsia="宋体" w:cs="宋体"/>
          <w:color w:val="auto"/>
          <w:spacing w:val="6"/>
          <w:sz w:val="20"/>
          <w:szCs w:val="20"/>
          <w:lang w:eastAsia="zh-CN"/>
        </w:rPr>
        <w:t>必要时，应由承包人根据监理人提出的工艺试验要求，编制工</w:t>
      </w:r>
      <w:r>
        <w:rPr>
          <w:rFonts w:ascii="宋体" w:hAnsi="宋体" w:eastAsia="宋体" w:cs="宋体"/>
          <w:color w:val="auto"/>
          <w:spacing w:val="5"/>
          <w:sz w:val="20"/>
          <w:szCs w:val="20"/>
          <w:lang w:eastAsia="zh-CN"/>
        </w:rPr>
        <w:t>艺试验措施计划，报送监理人审批。</w:t>
      </w:r>
    </w:p>
    <w:p>
      <w:pPr>
        <w:spacing w:before="249" w:line="227" w:lineRule="auto"/>
        <w:ind w:left="20"/>
        <w:outlineLvl w:val="0"/>
        <w:rPr>
          <w:rFonts w:ascii="黑体" w:hAnsi="黑体" w:eastAsia="黑体" w:cs="黑体"/>
          <w:color w:val="auto"/>
          <w:sz w:val="31"/>
          <w:szCs w:val="31"/>
          <w:lang w:eastAsia="zh-CN"/>
        </w:rPr>
      </w:pPr>
      <w:bookmarkStart w:id="365" w:name="bookmark370"/>
      <w:bookmarkEnd w:id="365"/>
      <w:bookmarkStart w:id="366" w:name="bookmark368"/>
      <w:bookmarkEnd w:id="366"/>
      <w:bookmarkStart w:id="367" w:name="bookmark367"/>
      <w:bookmarkEnd w:id="367"/>
      <w:r>
        <w:rPr>
          <w:rFonts w:ascii="黑体" w:hAnsi="黑体" w:eastAsia="黑体" w:cs="黑体"/>
          <w:b/>
          <w:bCs/>
          <w:color w:val="auto"/>
          <w:spacing w:val="-5"/>
          <w:sz w:val="31"/>
          <w:szCs w:val="31"/>
          <w:lang w:eastAsia="zh-CN"/>
        </w:rPr>
        <w:t>15.变更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68" w:name="bookmark369"/>
      <w:bookmarkEnd w:id="368"/>
      <w:r>
        <w:rPr>
          <w:rFonts w:ascii="黑体" w:hAnsi="黑体" w:eastAsia="黑体" w:cs="黑体"/>
          <w:color w:val="auto"/>
          <w:spacing w:val="-2"/>
          <w:sz w:val="28"/>
          <w:szCs w:val="28"/>
          <w:lang w:eastAsia="zh-CN"/>
        </w:rPr>
        <w:t>15.1 变更的范围和内容</w:t>
      </w:r>
    </w:p>
    <w:p>
      <w:pPr>
        <w:spacing w:before="279" w:line="227"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除专用合同条款另有约定外，在履行合同中发生以下情形之一，应按照本条规定进行变更。</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（1）取消合同中任何一项工作，但被取消的工作不能转由发包人或其他人实施；</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（2）改变合同中任何一项工作的质量或其他特性；</w:t>
      </w:r>
    </w:p>
    <w:p>
      <w:pPr>
        <w:spacing w:before="154" w:line="227"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（3）改变合同工程的基线、标高、位置或尺寸；</w:t>
      </w:r>
    </w:p>
    <w:p>
      <w:pPr>
        <w:spacing w:before="155" w:line="228" w:lineRule="auto"/>
        <w:ind w:left="36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（4）改变合同中任何一项工作的施工时间或改变已批准的施工工艺或</w:t>
      </w:r>
      <w:r>
        <w:rPr>
          <w:rFonts w:ascii="宋体" w:hAnsi="宋体" w:eastAsia="宋体" w:cs="宋体"/>
          <w:color w:val="auto"/>
          <w:spacing w:val="8"/>
          <w:sz w:val="20"/>
          <w:szCs w:val="20"/>
          <w:lang w:eastAsia="zh-CN"/>
        </w:rPr>
        <w:t>顺序；</w:t>
      </w:r>
    </w:p>
    <w:p>
      <w:pPr>
        <w:spacing w:before="151" w:line="228" w:lineRule="auto"/>
        <w:ind w:left="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（5）为完成工程需要追加的额外工作。</w:t>
      </w:r>
    </w:p>
    <w:p>
      <w:pPr>
        <w:spacing w:line="228" w:lineRule="auto"/>
        <w:rPr>
          <w:rFonts w:ascii="宋体" w:hAnsi="宋体" w:eastAsia="宋体" w:cs="宋体"/>
          <w:color w:val="auto"/>
          <w:sz w:val="20"/>
          <w:szCs w:val="20"/>
          <w:lang w:eastAsia="zh-CN"/>
        </w:rPr>
        <w:sectPr>
          <w:footerReference r:id="rId64" w:type="default"/>
          <w:pgSz w:w="11906" w:h="16839"/>
          <w:pgMar w:top="1431" w:right="1462" w:bottom="1465"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69" w:name="bookmark372"/>
      <w:bookmarkEnd w:id="369"/>
      <w:bookmarkStart w:id="370" w:name="bookmark371"/>
      <w:bookmarkEnd w:id="370"/>
      <w:r>
        <w:rPr>
          <w:rFonts w:ascii="黑体" w:hAnsi="黑体" w:eastAsia="黑体" w:cs="黑体"/>
          <w:color w:val="auto"/>
          <w:spacing w:val="-6"/>
          <w:sz w:val="28"/>
          <w:szCs w:val="28"/>
          <w:lang w:eastAsia="zh-CN"/>
        </w:rPr>
        <w:t>15.2变更权</w:t>
      </w:r>
    </w:p>
    <w:p>
      <w:pPr>
        <w:spacing w:before="279" w:line="355" w:lineRule="auto"/>
        <w:ind w:left="3" w:right="70" w:firstLine="41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在履行合同过程中，经发包人同意，监理人可按第15.3款约定的变更程序向承包人作出变</w:t>
      </w:r>
      <w:r>
        <w:rPr>
          <w:rFonts w:ascii="宋体" w:hAnsi="宋体" w:eastAsia="宋体" w:cs="宋体"/>
          <w:color w:val="auto"/>
          <w:spacing w:val="9"/>
          <w:sz w:val="20"/>
          <w:szCs w:val="20"/>
          <w:lang w:eastAsia="zh-CN"/>
        </w:rPr>
        <w:t>更指示，承包人应遵照执行。没有监理人的变更指示，承包人不得擅自变更。</w:t>
      </w:r>
    </w:p>
    <w:p>
      <w:pPr>
        <w:spacing w:before="126" w:line="222" w:lineRule="auto"/>
        <w:ind w:left="17"/>
        <w:outlineLvl w:val="1"/>
        <w:rPr>
          <w:rFonts w:ascii="黑体" w:hAnsi="黑体" w:eastAsia="黑体" w:cs="黑体"/>
          <w:color w:val="auto"/>
          <w:sz w:val="28"/>
          <w:szCs w:val="28"/>
          <w:lang w:eastAsia="zh-CN"/>
        </w:rPr>
      </w:pPr>
      <w:bookmarkStart w:id="371" w:name="bookmark374"/>
      <w:bookmarkEnd w:id="371"/>
      <w:bookmarkStart w:id="372" w:name="bookmark373"/>
      <w:bookmarkEnd w:id="372"/>
      <w:r>
        <w:rPr>
          <w:rFonts w:ascii="黑体" w:hAnsi="黑体" w:eastAsia="黑体" w:cs="黑体"/>
          <w:color w:val="auto"/>
          <w:spacing w:val="-6"/>
          <w:sz w:val="28"/>
          <w:szCs w:val="28"/>
          <w:lang w:eastAsia="zh-CN"/>
        </w:rPr>
        <w:t>15.3变更程序</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15.3.1 变更的提出</w:t>
      </w:r>
    </w:p>
    <w:p>
      <w:pPr>
        <w:spacing w:before="152" w:line="341" w:lineRule="auto"/>
        <w:ind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（1）在合同履行过程中，可能发生第15.1款约定情形的，监理人可向承包人发出变更意向</w:t>
      </w:r>
      <w:r>
        <w:rPr>
          <w:rFonts w:ascii="宋体" w:hAnsi="宋体" w:eastAsia="宋体" w:cs="宋体"/>
          <w:color w:val="auto"/>
          <w:spacing w:val="6"/>
          <w:sz w:val="20"/>
          <w:szCs w:val="20"/>
          <w:lang w:eastAsia="zh-CN"/>
        </w:rPr>
        <w:t>书。变更意向书应说明变更的具体内容和发包人对变更的时间要求，</w:t>
      </w:r>
      <w:r>
        <w:rPr>
          <w:rFonts w:ascii="宋体" w:hAnsi="宋体" w:eastAsia="宋体" w:cs="宋体"/>
          <w:color w:val="auto"/>
          <w:spacing w:val="5"/>
          <w:sz w:val="20"/>
          <w:szCs w:val="20"/>
          <w:lang w:eastAsia="zh-CN"/>
        </w:rPr>
        <w:t>并附必要的图纸和相关资料。</w:t>
      </w:r>
      <w:r>
        <w:rPr>
          <w:rFonts w:ascii="宋体" w:hAnsi="宋体" w:eastAsia="宋体" w:cs="宋体"/>
          <w:color w:val="auto"/>
          <w:spacing w:val="10"/>
          <w:sz w:val="20"/>
          <w:szCs w:val="20"/>
          <w:lang w:eastAsia="zh-CN"/>
        </w:rPr>
        <w:t>变更意向书应要求承包人提交包括拟实施变更工作的计划、措施和竣工时间等内容的实施方案。</w:t>
      </w:r>
      <w:r>
        <w:rPr>
          <w:rFonts w:ascii="宋体" w:hAnsi="宋体" w:eastAsia="宋体" w:cs="宋体"/>
          <w:color w:val="auto"/>
          <w:spacing w:val="9"/>
          <w:sz w:val="20"/>
          <w:szCs w:val="20"/>
          <w:lang w:eastAsia="zh-CN"/>
        </w:rPr>
        <w:t>发包人同意承包人根据变更意向书要求提交的变更实施方案的，由监理人按第15.3</w:t>
      </w:r>
      <w:r>
        <w:rPr>
          <w:rFonts w:ascii="宋体" w:hAnsi="宋体" w:eastAsia="宋体" w:cs="宋体"/>
          <w:color w:val="auto"/>
          <w:spacing w:val="8"/>
          <w:sz w:val="20"/>
          <w:szCs w:val="20"/>
          <w:lang w:eastAsia="zh-CN"/>
        </w:rPr>
        <w:t>.3项约定发</w:t>
      </w:r>
      <w:r>
        <w:rPr>
          <w:rFonts w:ascii="宋体" w:hAnsi="宋体" w:eastAsia="宋体" w:cs="宋体"/>
          <w:color w:val="auto"/>
          <w:spacing w:val="6"/>
          <w:sz w:val="20"/>
          <w:szCs w:val="20"/>
          <w:lang w:eastAsia="zh-CN"/>
        </w:rPr>
        <w:t>出变更指示。</w:t>
      </w:r>
    </w:p>
    <w:p>
      <w:pPr>
        <w:spacing w:before="153" w:line="299"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（2）在合同履行过程中，发生第15.1款约定情形的，监理人应按照第15.3.3项约定向承</w:t>
      </w:r>
      <w:r>
        <w:rPr>
          <w:rFonts w:ascii="宋体" w:hAnsi="宋体" w:eastAsia="宋体" w:cs="宋体"/>
          <w:color w:val="auto"/>
          <w:spacing w:val="7"/>
          <w:sz w:val="20"/>
          <w:szCs w:val="20"/>
          <w:lang w:eastAsia="zh-CN"/>
        </w:rPr>
        <w:t>包人发出变更指示。</w:t>
      </w:r>
    </w:p>
    <w:p>
      <w:pPr>
        <w:spacing w:before="151" w:line="341" w:lineRule="auto"/>
        <w:ind w:right="76" w:firstLine="454"/>
        <w:rPr>
          <w:rFonts w:ascii="宋体" w:hAnsi="宋体" w:eastAsia="宋体" w:cs="宋体"/>
          <w:color w:val="auto"/>
          <w:sz w:val="20"/>
          <w:szCs w:val="20"/>
          <w:lang w:eastAsia="zh-CN"/>
        </w:rPr>
      </w:pPr>
      <w:r>
        <w:rPr>
          <w:rFonts w:ascii="宋体" w:hAnsi="宋体" w:eastAsia="宋体" w:cs="宋体"/>
          <w:color w:val="auto"/>
          <w:spacing w:val="21"/>
          <w:sz w:val="20"/>
          <w:szCs w:val="20"/>
          <w:lang w:eastAsia="zh-CN"/>
        </w:rPr>
        <w:t>（3）承包人收到监理人按合同约定发出的图纸</w:t>
      </w:r>
      <w:r>
        <w:rPr>
          <w:rFonts w:ascii="宋体" w:hAnsi="宋体" w:eastAsia="宋体" w:cs="宋体"/>
          <w:color w:val="auto"/>
          <w:spacing w:val="20"/>
          <w:sz w:val="20"/>
          <w:szCs w:val="20"/>
          <w:lang w:eastAsia="zh-CN"/>
        </w:rPr>
        <w:t>和文件，经检查认为其中存在第 15.1</w:t>
      </w:r>
      <w:r>
        <w:rPr>
          <w:rFonts w:ascii="宋体" w:hAnsi="宋体" w:eastAsia="宋体" w:cs="宋体"/>
          <w:color w:val="auto"/>
          <w:spacing w:val="19"/>
          <w:sz w:val="20"/>
          <w:szCs w:val="20"/>
          <w:lang w:eastAsia="zh-CN"/>
        </w:rPr>
        <w:t>款约定情形的，可向监理人提出书面变更建议。变更建议应阐明要求变更的依据，并附必要</w:t>
      </w:r>
      <w:r>
        <w:rPr>
          <w:rFonts w:ascii="宋体" w:hAnsi="宋体" w:eastAsia="宋体" w:cs="宋体"/>
          <w:color w:val="auto"/>
          <w:spacing w:val="18"/>
          <w:sz w:val="20"/>
          <w:szCs w:val="20"/>
          <w:lang w:eastAsia="zh-CN"/>
        </w:rPr>
        <w:t>的图纸和说明。监理人收到承包人书面建议后，应与发包人共同研究，确认存在变更的，应</w:t>
      </w:r>
      <w:r>
        <w:rPr>
          <w:rFonts w:ascii="宋体" w:hAnsi="宋体" w:eastAsia="宋体" w:cs="宋体"/>
          <w:color w:val="auto"/>
          <w:spacing w:val="19"/>
          <w:sz w:val="20"/>
          <w:szCs w:val="20"/>
          <w:lang w:eastAsia="zh-CN"/>
        </w:rPr>
        <w:t>在收到承包人书面建议后的14天内作出变更指示。经研究后不同意作</w:t>
      </w:r>
      <w:r>
        <w:rPr>
          <w:rFonts w:ascii="宋体" w:hAnsi="宋体" w:eastAsia="宋体" w:cs="宋体"/>
          <w:color w:val="auto"/>
          <w:spacing w:val="18"/>
          <w:sz w:val="20"/>
          <w:szCs w:val="20"/>
          <w:lang w:eastAsia="zh-CN"/>
        </w:rPr>
        <w:t>为变更的，应由监理</w:t>
      </w:r>
      <w:r>
        <w:rPr>
          <w:rFonts w:ascii="宋体" w:hAnsi="宋体" w:eastAsia="宋体" w:cs="宋体"/>
          <w:color w:val="auto"/>
          <w:spacing w:val="17"/>
          <w:sz w:val="20"/>
          <w:szCs w:val="20"/>
          <w:lang w:eastAsia="zh-CN"/>
        </w:rPr>
        <w:t>人书面答复承包人。</w:t>
      </w:r>
    </w:p>
    <w:p>
      <w:pPr>
        <w:spacing w:before="156" w:line="297" w:lineRule="auto"/>
        <w:ind w:left="20" w:right="71" w:firstLine="41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（4）若承包人收到监理人的变更意向书后认为难以实施此项变更，应立即通知监理人，说</w:t>
      </w:r>
      <w:r>
        <w:rPr>
          <w:rFonts w:ascii="宋体" w:hAnsi="宋体" w:eastAsia="宋体" w:cs="宋体"/>
          <w:color w:val="auto"/>
          <w:spacing w:val="8"/>
          <w:sz w:val="20"/>
          <w:szCs w:val="20"/>
          <w:lang w:eastAsia="zh-CN"/>
        </w:rPr>
        <w:t>明原因并附详细依据。监理人与承包人和发包人协商后确定撤销、改变或不改变原变更意向书。</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15.3.2 变更估价</w:t>
      </w:r>
    </w:p>
    <w:p>
      <w:pPr>
        <w:spacing w:before="157" w:line="321" w:lineRule="auto"/>
        <w:ind w:left="17" w:right="70" w:firstLine="41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（1）除专用合同条款对期限另有约定外，承包人应在收到变更指示或变更意向书后的14天</w:t>
      </w:r>
      <w:r>
        <w:rPr>
          <w:rFonts w:ascii="宋体" w:hAnsi="宋体" w:eastAsia="宋体" w:cs="宋体"/>
          <w:color w:val="auto"/>
          <w:spacing w:val="9"/>
          <w:sz w:val="20"/>
          <w:szCs w:val="20"/>
          <w:lang w:eastAsia="zh-CN"/>
        </w:rPr>
        <w:t>内，向监理人提交变更报价书，报价内容应根据第15.4款约定的估价原</w:t>
      </w:r>
      <w:r>
        <w:rPr>
          <w:rFonts w:ascii="宋体" w:hAnsi="宋体" w:eastAsia="宋体" w:cs="宋体"/>
          <w:color w:val="auto"/>
          <w:spacing w:val="8"/>
          <w:sz w:val="20"/>
          <w:szCs w:val="20"/>
          <w:lang w:eastAsia="zh-CN"/>
        </w:rPr>
        <w:t>则，详细开列变更工作的价格组成及其依据，并附必要的施工方法说明和有关图纸。</w:t>
      </w:r>
    </w:p>
    <w:p>
      <w:pPr>
        <w:spacing w:before="155" w:line="298" w:lineRule="auto"/>
        <w:ind w:left="2" w:right="21" w:firstLine="452"/>
        <w:rPr>
          <w:rFonts w:ascii="宋体" w:hAnsi="宋体" w:eastAsia="宋体" w:cs="宋体"/>
          <w:color w:val="auto"/>
          <w:sz w:val="20"/>
          <w:szCs w:val="20"/>
          <w:lang w:eastAsia="zh-CN"/>
        </w:rPr>
      </w:pPr>
      <w:r>
        <w:rPr>
          <w:rFonts w:ascii="宋体" w:hAnsi="宋体" w:eastAsia="宋体" w:cs="宋体"/>
          <w:color w:val="auto"/>
          <w:spacing w:val="17"/>
          <w:sz w:val="20"/>
          <w:szCs w:val="20"/>
          <w:lang w:eastAsia="zh-CN"/>
        </w:rPr>
        <w:t>（2）变更工作影响工期的，承包人应提出调整工期的具体细节。监理人认为有必要时，</w:t>
      </w:r>
      <w:r>
        <w:rPr>
          <w:rFonts w:ascii="宋体" w:hAnsi="宋体" w:eastAsia="宋体" w:cs="宋体"/>
          <w:color w:val="auto"/>
          <w:spacing w:val="21"/>
          <w:sz w:val="20"/>
          <w:szCs w:val="20"/>
          <w:lang w:eastAsia="zh-CN"/>
        </w:rPr>
        <w:t>可要求承包人提交要求提前或延长工期的施工进度计划及相</w:t>
      </w:r>
      <w:r>
        <w:rPr>
          <w:rFonts w:ascii="宋体" w:hAnsi="宋体" w:eastAsia="宋体" w:cs="宋体"/>
          <w:color w:val="auto"/>
          <w:spacing w:val="20"/>
          <w:sz w:val="20"/>
          <w:szCs w:val="20"/>
          <w:lang w:eastAsia="zh-CN"/>
        </w:rPr>
        <w:t>应施工措施等详细资料。</w:t>
      </w:r>
    </w:p>
    <w:p>
      <w:pPr>
        <w:spacing w:before="154" w:line="298" w:lineRule="auto"/>
        <w:ind w:right="70"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（3）除专用合同条款对期限另有约定外，监理人收到承包人变更报价书后的14天内，根据</w:t>
      </w:r>
      <w:r>
        <w:rPr>
          <w:rFonts w:ascii="宋体" w:hAnsi="宋体" w:eastAsia="宋体" w:cs="宋体"/>
          <w:color w:val="auto"/>
          <w:spacing w:val="6"/>
          <w:sz w:val="20"/>
          <w:szCs w:val="20"/>
          <w:lang w:eastAsia="zh-CN"/>
        </w:rPr>
        <w:t>第15.4款约定的估价原则，按照第3.5款商定或确定变更价格。</w:t>
      </w:r>
    </w:p>
    <w:p>
      <w:pPr>
        <w:spacing w:before="154" w:line="229" w:lineRule="auto"/>
        <w:ind w:left="43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15.3.3 变更指示</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（1）变更指示只能由监理人发出。</w:t>
      </w:r>
    </w:p>
    <w:p>
      <w:pPr>
        <w:spacing w:before="154" w:line="297" w:lineRule="auto"/>
        <w:ind w:left="5" w:right="16"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（2）变更指示应说明变更的目的、范围、变更内容以及变更的工程量及其进度和技术要求，</w:t>
      </w:r>
      <w:r>
        <w:rPr>
          <w:rFonts w:ascii="宋体" w:hAnsi="宋体" w:eastAsia="宋体" w:cs="宋体"/>
          <w:color w:val="auto"/>
          <w:spacing w:val="9"/>
          <w:sz w:val="20"/>
          <w:szCs w:val="20"/>
          <w:lang w:eastAsia="zh-CN"/>
        </w:rPr>
        <w:t>并附有关图纸和文件。承包人收到变更指示后，应按变更指示进行变更工作。</w:t>
      </w:r>
    </w:p>
    <w:p>
      <w:pPr>
        <w:spacing w:line="297" w:lineRule="auto"/>
        <w:rPr>
          <w:rFonts w:ascii="宋体" w:hAnsi="宋体" w:eastAsia="宋体" w:cs="宋体"/>
          <w:color w:val="auto"/>
          <w:sz w:val="20"/>
          <w:szCs w:val="20"/>
          <w:lang w:eastAsia="zh-CN"/>
        </w:rPr>
        <w:sectPr>
          <w:footerReference r:id="rId65" w:type="default"/>
          <w:pgSz w:w="11906" w:h="16839"/>
          <w:pgMar w:top="1431" w:right="1462"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7"/>
        <w:outlineLvl w:val="1"/>
        <w:rPr>
          <w:rFonts w:ascii="黑体" w:hAnsi="黑体" w:eastAsia="黑体" w:cs="黑体"/>
          <w:color w:val="auto"/>
          <w:sz w:val="28"/>
          <w:szCs w:val="28"/>
          <w:lang w:eastAsia="zh-CN"/>
        </w:rPr>
      </w:pPr>
      <w:bookmarkStart w:id="373" w:name="bookmark376"/>
      <w:bookmarkEnd w:id="373"/>
      <w:bookmarkStart w:id="374" w:name="bookmark375"/>
      <w:bookmarkEnd w:id="374"/>
      <w:r>
        <w:rPr>
          <w:rFonts w:ascii="黑体" w:hAnsi="黑体" w:eastAsia="黑体" w:cs="黑体"/>
          <w:color w:val="auto"/>
          <w:spacing w:val="-3"/>
          <w:sz w:val="28"/>
          <w:szCs w:val="28"/>
          <w:lang w:eastAsia="zh-CN"/>
        </w:rPr>
        <w:t>15.4 变更的估价原则</w:t>
      </w:r>
    </w:p>
    <w:p>
      <w:pPr>
        <w:spacing w:before="279"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除专用合同条款另有约定外，因变更引起的价格调整按照本款约定处理。</w:t>
      </w:r>
    </w:p>
    <w:p>
      <w:pPr>
        <w:spacing w:before="155" w:line="226" w:lineRule="auto"/>
        <w:ind w:left="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15.4.1已标价工程量清单中有适用于变更工作的子目的，采用该子目的单价。</w:t>
      </w:r>
    </w:p>
    <w:p>
      <w:pPr>
        <w:spacing w:before="153" w:line="298"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15.4.2已标价工程量清单中无适用于变更工作的子</w:t>
      </w:r>
      <w:r>
        <w:rPr>
          <w:rFonts w:ascii="宋体" w:hAnsi="宋体" w:eastAsia="宋体" w:cs="宋体"/>
          <w:color w:val="auto"/>
          <w:spacing w:val="9"/>
          <w:sz w:val="20"/>
          <w:szCs w:val="20"/>
          <w:lang w:eastAsia="zh-CN"/>
        </w:rPr>
        <w:t>目，但有类似子目的，可在合理范围内</w:t>
      </w:r>
      <w:r>
        <w:rPr>
          <w:rFonts w:ascii="宋体" w:hAnsi="宋体" w:eastAsia="宋体" w:cs="宋体"/>
          <w:color w:val="auto"/>
          <w:spacing w:val="7"/>
          <w:sz w:val="20"/>
          <w:szCs w:val="20"/>
          <w:lang w:eastAsia="zh-CN"/>
        </w:rPr>
        <w:t>参照类似子目的单价，由监理人按第3.5款商定或确定变更工作</w:t>
      </w:r>
      <w:r>
        <w:rPr>
          <w:rFonts w:ascii="宋体" w:hAnsi="宋体" w:eastAsia="宋体" w:cs="宋体"/>
          <w:color w:val="auto"/>
          <w:spacing w:val="6"/>
          <w:sz w:val="20"/>
          <w:szCs w:val="20"/>
          <w:lang w:eastAsia="zh-CN"/>
        </w:rPr>
        <w:t>的单价。</w:t>
      </w:r>
    </w:p>
    <w:p>
      <w:pPr>
        <w:spacing w:before="155" w:line="297" w:lineRule="auto"/>
        <w:ind w:left="1" w:right="52" w:firstLine="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15.4.3已标价工程量清单中无适用或类似子目的单</w:t>
      </w:r>
      <w:r>
        <w:rPr>
          <w:rFonts w:ascii="宋体" w:hAnsi="宋体" w:eastAsia="宋体" w:cs="宋体"/>
          <w:color w:val="auto"/>
          <w:spacing w:val="8"/>
          <w:sz w:val="20"/>
          <w:szCs w:val="20"/>
          <w:lang w:eastAsia="zh-CN"/>
        </w:rPr>
        <w:t>价，可按照成本加利润的原则，由监理</w:t>
      </w:r>
      <w:r>
        <w:rPr>
          <w:rFonts w:ascii="宋体" w:hAnsi="宋体" w:eastAsia="宋体" w:cs="宋体"/>
          <w:color w:val="auto"/>
          <w:spacing w:val="7"/>
          <w:sz w:val="20"/>
          <w:szCs w:val="20"/>
          <w:lang w:eastAsia="zh-CN"/>
        </w:rPr>
        <w:t>人按第3.5款商定或确定变更工作的单价。</w:t>
      </w:r>
    </w:p>
    <w:p>
      <w:pPr>
        <w:spacing w:before="253" w:line="222" w:lineRule="auto"/>
        <w:ind w:left="17"/>
        <w:outlineLvl w:val="1"/>
        <w:rPr>
          <w:rFonts w:ascii="黑体" w:hAnsi="黑体" w:eastAsia="黑体" w:cs="黑体"/>
          <w:color w:val="auto"/>
          <w:sz w:val="28"/>
          <w:szCs w:val="28"/>
          <w:lang w:eastAsia="zh-CN"/>
        </w:rPr>
      </w:pPr>
      <w:bookmarkStart w:id="375" w:name="bookmark377"/>
      <w:bookmarkEnd w:id="375"/>
      <w:bookmarkStart w:id="376" w:name="bookmark378"/>
      <w:bookmarkEnd w:id="376"/>
      <w:r>
        <w:rPr>
          <w:rFonts w:ascii="黑体" w:hAnsi="黑体" w:eastAsia="黑体" w:cs="黑体"/>
          <w:color w:val="auto"/>
          <w:spacing w:val="-2"/>
          <w:sz w:val="28"/>
          <w:szCs w:val="28"/>
          <w:lang w:eastAsia="zh-CN"/>
        </w:rPr>
        <w:t>15.5 承包人的合理化建议</w:t>
      </w:r>
    </w:p>
    <w:p>
      <w:pPr>
        <w:spacing w:before="278" w:line="334" w:lineRule="auto"/>
        <w:ind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15.5.1 在履行合同过程中，承包人对发包人提供的图纸、技术要求以及其他方面提出的合</w:t>
      </w:r>
      <w:r>
        <w:rPr>
          <w:rFonts w:ascii="宋体" w:hAnsi="宋体" w:eastAsia="宋体" w:cs="宋体"/>
          <w:color w:val="auto"/>
          <w:spacing w:val="9"/>
          <w:sz w:val="20"/>
          <w:szCs w:val="20"/>
          <w:lang w:eastAsia="zh-CN"/>
        </w:rPr>
        <w:t>理化建议，均应以书面形式提交监理人。合理化建议书的内容应包括建议工作的详细说明</w:t>
      </w:r>
      <w:r>
        <w:rPr>
          <w:rFonts w:ascii="宋体" w:hAnsi="宋体" w:eastAsia="宋体" w:cs="宋体"/>
          <w:color w:val="auto"/>
          <w:spacing w:val="8"/>
          <w:sz w:val="20"/>
          <w:szCs w:val="20"/>
          <w:lang w:eastAsia="zh-CN"/>
        </w:rPr>
        <w:t>、进度</w:t>
      </w:r>
      <w:r>
        <w:rPr>
          <w:rFonts w:ascii="宋体" w:hAnsi="宋体" w:eastAsia="宋体" w:cs="宋体"/>
          <w:color w:val="auto"/>
          <w:spacing w:val="9"/>
          <w:sz w:val="20"/>
          <w:szCs w:val="20"/>
          <w:lang w:eastAsia="zh-CN"/>
        </w:rPr>
        <w:t>计划和效益以及与其他工作的协调等，并附必要的设计文件。监理人应与发包人协商是</w:t>
      </w:r>
      <w:r>
        <w:rPr>
          <w:rFonts w:ascii="宋体" w:hAnsi="宋体" w:eastAsia="宋体" w:cs="宋体"/>
          <w:color w:val="auto"/>
          <w:spacing w:val="8"/>
          <w:sz w:val="20"/>
          <w:szCs w:val="20"/>
          <w:lang w:eastAsia="zh-CN"/>
        </w:rPr>
        <w:t>否采纳建议。建议被采纳并构成变更的，应按第15.3.3项</w:t>
      </w:r>
      <w:r>
        <w:rPr>
          <w:rFonts w:ascii="宋体" w:hAnsi="宋体" w:eastAsia="宋体" w:cs="宋体"/>
          <w:color w:val="auto"/>
          <w:spacing w:val="7"/>
          <w:sz w:val="20"/>
          <w:szCs w:val="20"/>
          <w:lang w:eastAsia="zh-CN"/>
        </w:rPr>
        <w:t>约定向承包人发出变更指示。</w:t>
      </w:r>
    </w:p>
    <w:p>
      <w:pPr>
        <w:spacing w:before="152" w:line="299" w:lineRule="auto"/>
        <w:ind w:left="3"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15.5.2 承包人提出的合理化建议降低了合同价格、缩短了工</w:t>
      </w:r>
      <w:r>
        <w:rPr>
          <w:rFonts w:ascii="宋体" w:hAnsi="宋体" w:eastAsia="宋体" w:cs="宋体"/>
          <w:color w:val="auto"/>
          <w:spacing w:val="6"/>
          <w:sz w:val="20"/>
          <w:szCs w:val="20"/>
          <w:lang w:eastAsia="zh-CN"/>
        </w:rPr>
        <w:t>期或者提高了工程经济效益的，</w:t>
      </w:r>
      <w:r>
        <w:rPr>
          <w:rFonts w:ascii="宋体" w:hAnsi="宋体" w:eastAsia="宋体" w:cs="宋体"/>
          <w:color w:val="auto"/>
          <w:spacing w:val="9"/>
          <w:sz w:val="20"/>
          <w:szCs w:val="20"/>
          <w:lang w:eastAsia="zh-CN"/>
        </w:rPr>
        <w:t>发包人可按国家有关规定在专用合同条款中约定给予奖励。</w:t>
      </w:r>
    </w:p>
    <w:p>
      <w:pPr>
        <w:spacing w:before="249" w:line="222" w:lineRule="auto"/>
        <w:ind w:left="17"/>
        <w:outlineLvl w:val="1"/>
        <w:rPr>
          <w:rFonts w:ascii="黑体" w:hAnsi="黑体" w:eastAsia="黑体" w:cs="黑体"/>
          <w:color w:val="auto"/>
          <w:sz w:val="28"/>
          <w:szCs w:val="28"/>
          <w:lang w:eastAsia="zh-CN"/>
        </w:rPr>
      </w:pPr>
      <w:bookmarkStart w:id="377" w:name="bookmark379"/>
      <w:bookmarkEnd w:id="377"/>
      <w:bookmarkStart w:id="378" w:name="bookmark380"/>
      <w:bookmarkEnd w:id="378"/>
      <w:r>
        <w:rPr>
          <w:rFonts w:ascii="黑体" w:hAnsi="黑体" w:eastAsia="黑体" w:cs="黑体"/>
          <w:color w:val="auto"/>
          <w:spacing w:val="-6"/>
          <w:sz w:val="28"/>
          <w:szCs w:val="28"/>
          <w:lang w:eastAsia="zh-CN"/>
        </w:rPr>
        <w:t>15.6暂列金额</w:t>
      </w:r>
    </w:p>
    <w:p>
      <w:pPr>
        <w:spacing w:before="279" w:line="226" w:lineRule="auto"/>
        <w:ind w:left="42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暂列金额只能按照监理人的指示使用，并对合同价格进行相应调整。</w:t>
      </w:r>
    </w:p>
    <w:p>
      <w:pPr>
        <w:spacing w:before="253" w:line="225" w:lineRule="auto"/>
        <w:ind w:left="17"/>
        <w:outlineLvl w:val="1"/>
        <w:rPr>
          <w:rFonts w:ascii="黑体" w:hAnsi="黑体" w:eastAsia="黑体" w:cs="黑体"/>
          <w:color w:val="auto"/>
          <w:sz w:val="28"/>
          <w:szCs w:val="28"/>
          <w:lang w:eastAsia="zh-CN"/>
        </w:rPr>
      </w:pPr>
      <w:bookmarkStart w:id="379" w:name="bookmark382"/>
      <w:bookmarkEnd w:id="379"/>
      <w:bookmarkStart w:id="380" w:name="bookmark381"/>
      <w:bookmarkEnd w:id="380"/>
      <w:r>
        <w:rPr>
          <w:rFonts w:ascii="黑体" w:hAnsi="黑体" w:eastAsia="黑体" w:cs="黑体"/>
          <w:color w:val="auto"/>
          <w:spacing w:val="-4"/>
          <w:sz w:val="28"/>
          <w:szCs w:val="28"/>
          <w:lang w:eastAsia="zh-CN"/>
        </w:rPr>
        <w:t>15.7 计日工</w:t>
      </w:r>
    </w:p>
    <w:p>
      <w:pPr>
        <w:spacing w:before="274" w:line="297" w:lineRule="auto"/>
        <w:ind w:right="54" w:firstLine="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15.7.1 发包人认为有必要时，由监理人通知承包人以计日工方式实施变更的零星工作。其价款按列入已标价工程量清单中的计日工计价子目及其单价进行计算。</w:t>
      </w:r>
    </w:p>
    <w:p>
      <w:pPr>
        <w:spacing w:before="156" w:line="299" w:lineRule="auto"/>
        <w:ind w:left="17" w:right="5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15.7.2 采用计日工计价的任何一项变更工作，应从暂列金额中支付，承包人应在该项变更</w:t>
      </w:r>
      <w:r>
        <w:rPr>
          <w:rFonts w:ascii="宋体" w:hAnsi="宋体" w:eastAsia="宋体" w:cs="宋体"/>
          <w:color w:val="auto"/>
          <w:spacing w:val="8"/>
          <w:sz w:val="20"/>
          <w:szCs w:val="20"/>
          <w:lang w:eastAsia="zh-CN"/>
        </w:rPr>
        <w:t>的实施过程中，每天提交以下报表和有关凭证报送监理人审批：</w:t>
      </w:r>
    </w:p>
    <w:p>
      <w:pPr>
        <w:spacing w:before="151" w:line="228" w:lineRule="auto"/>
        <w:ind w:left="72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（1）工作名称、内容和数量；</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（2）投入该工作所有人员的姓名、工种、级别和耗用工时；</w:t>
      </w:r>
    </w:p>
    <w:p>
      <w:pPr>
        <w:spacing w:before="154" w:line="227" w:lineRule="auto"/>
        <w:ind w:left="72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（3）投入该工作的材料类别和数量；</w:t>
      </w:r>
    </w:p>
    <w:p>
      <w:pPr>
        <w:spacing w:before="152"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（4）投入该工作的施工设备型号、台数和耗用台时；</w:t>
      </w:r>
    </w:p>
    <w:p>
      <w:pPr>
        <w:spacing w:before="154" w:line="228" w:lineRule="auto"/>
        <w:ind w:left="7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（5）监理人要求提交的其他资料和凭证。</w:t>
      </w:r>
    </w:p>
    <w:p>
      <w:pPr>
        <w:spacing w:before="153" w:line="298" w:lineRule="auto"/>
        <w:ind w:left="5" w:right="54" w:firstLine="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15.7.3 计日工由承包人汇总后，按</w:t>
      </w:r>
      <w:r>
        <w:rPr>
          <w:rFonts w:ascii="宋体" w:hAnsi="宋体" w:eastAsia="宋体" w:cs="宋体"/>
          <w:color w:val="auto"/>
          <w:spacing w:val="6"/>
          <w:sz w:val="20"/>
          <w:szCs w:val="20"/>
          <w:lang w:eastAsia="zh-CN"/>
        </w:rPr>
        <w:t>第17.3.2项的约定列入进度付款申请单，由监理人复核</w:t>
      </w:r>
      <w:r>
        <w:rPr>
          <w:rFonts w:ascii="宋体" w:hAnsi="宋体" w:eastAsia="宋体" w:cs="宋体"/>
          <w:color w:val="auto"/>
          <w:spacing w:val="8"/>
          <w:sz w:val="20"/>
          <w:szCs w:val="20"/>
          <w:lang w:eastAsia="zh-CN"/>
        </w:rPr>
        <w:t>并经发包人同意后列入进度付款。</w:t>
      </w:r>
    </w:p>
    <w:p>
      <w:pPr>
        <w:spacing w:before="252" w:line="222" w:lineRule="auto"/>
        <w:ind w:left="17"/>
        <w:outlineLvl w:val="1"/>
        <w:rPr>
          <w:rFonts w:ascii="黑体" w:hAnsi="黑体" w:eastAsia="黑体" w:cs="黑体"/>
          <w:color w:val="auto"/>
          <w:sz w:val="28"/>
          <w:szCs w:val="28"/>
          <w:lang w:eastAsia="zh-CN"/>
        </w:rPr>
      </w:pPr>
      <w:bookmarkStart w:id="381" w:name="bookmark383"/>
      <w:bookmarkEnd w:id="381"/>
      <w:bookmarkStart w:id="382" w:name="bookmark384"/>
      <w:bookmarkEnd w:id="382"/>
      <w:r>
        <w:rPr>
          <w:rFonts w:ascii="黑体" w:hAnsi="黑体" w:eastAsia="黑体" w:cs="黑体"/>
          <w:color w:val="auto"/>
          <w:spacing w:val="-7"/>
          <w:sz w:val="28"/>
          <w:szCs w:val="28"/>
          <w:lang w:eastAsia="zh-CN"/>
        </w:rPr>
        <w:t>15.8暂估价</w:t>
      </w:r>
    </w:p>
    <w:p>
      <w:pPr>
        <w:spacing w:before="279" w:line="226" w:lineRule="auto"/>
        <w:ind w:left="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15.8.1 发包人在工程量清单中给定暂估价的材料、工程设备和专业工程属于依法必须招标</w:t>
      </w:r>
    </w:p>
    <w:p>
      <w:pPr>
        <w:spacing w:line="226" w:lineRule="auto"/>
        <w:rPr>
          <w:rFonts w:ascii="宋体" w:hAnsi="宋体" w:eastAsia="宋体" w:cs="宋体"/>
          <w:color w:val="auto"/>
          <w:sz w:val="20"/>
          <w:szCs w:val="20"/>
          <w:lang w:eastAsia="zh-CN"/>
        </w:rPr>
        <w:sectPr>
          <w:footerReference r:id="rId66" w:type="default"/>
          <w:pgSz w:w="11906" w:h="16839"/>
          <w:pgMar w:top="1431" w:right="1478" w:bottom="1465"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60" w:lineRule="auto"/>
        <w:ind w:left="1" w:right="2" w:firstLine="16"/>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的范围并达到规定的规模标准的，由发包人和承</w:t>
      </w:r>
      <w:r>
        <w:rPr>
          <w:rFonts w:ascii="宋体" w:hAnsi="宋体" w:eastAsia="宋体" w:cs="宋体"/>
          <w:color w:val="auto"/>
          <w:spacing w:val="8"/>
          <w:sz w:val="20"/>
          <w:szCs w:val="20"/>
          <w:lang w:eastAsia="zh-CN"/>
        </w:rPr>
        <w:t>包人以招标的方式选择供应商或分包人。发包人</w:t>
      </w:r>
      <w:r>
        <w:rPr>
          <w:rFonts w:ascii="宋体" w:hAnsi="宋体" w:eastAsia="宋体" w:cs="宋体"/>
          <w:color w:val="auto"/>
          <w:spacing w:val="9"/>
          <w:sz w:val="20"/>
          <w:szCs w:val="20"/>
          <w:lang w:eastAsia="zh-CN"/>
        </w:rPr>
        <w:t>和承包人的权利义务关系在专用合同条款中约定。中标金额与工程量清单中所列的暂估</w:t>
      </w:r>
      <w:r>
        <w:rPr>
          <w:rFonts w:ascii="宋体" w:hAnsi="宋体" w:eastAsia="宋体" w:cs="宋体"/>
          <w:color w:val="auto"/>
          <w:spacing w:val="8"/>
          <w:sz w:val="20"/>
          <w:szCs w:val="20"/>
          <w:lang w:eastAsia="zh-CN"/>
        </w:rPr>
        <w:t>价的金额差以及相应的税金等其他费用列入合同价格。</w:t>
      </w:r>
    </w:p>
    <w:p>
      <w:pPr>
        <w:spacing w:before="31" w:line="322"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15.8.2 发包人在工程量清单中给定暂估价的材料和工程设备不属于依法必须招标的范围或</w:t>
      </w:r>
      <w:r>
        <w:rPr>
          <w:rFonts w:ascii="宋体" w:hAnsi="宋体" w:eastAsia="宋体" w:cs="宋体"/>
          <w:color w:val="auto"/>
          <w:spacing w:val="8"/>
          <w:sz w:val="20"/>
          <w:szCs w:val="20"/>
          <w:lang w:eastAsia="zh-CN"/>
        </w:rPr>
        <w:t>未达到规定的规模标准的，应由承包人按第5.1款的约定提供。经监理人确认的材料、工程设备</w:t>
      </w:r>
      <w:r>
        <w:rPr>
          <w:rFonts w:ascii="宋体" w:hAnsi="宋体" w:eastAsia="宋体" w:cs="宋体"/>
          <w:color w:val="auto"/>
          <w:spacing w:val="9"/>
          <w:sz w:val="20"/>
          <w:szCs w:val="20"/>
          <w:lang w:eastAsia="zh-CN"/>
        </w:rPr>
        <w:t>的价格与工程量清单中所列的暂估价的金额差以及相应的税金等其他费用列入合同价格。</w:t>
      </w:r>
    </w:p>
    <w:p>
      <w:pPr>
        <w:spacing w:before="153" w:line="322" w:lineRule="auto"/>
        <w:ind w:left="1"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15.8.3 发包人在工程量清单中给定暂估价的专业工程不属于依法必须招标的范围或未达到</w:t>
      </w:r>
      <w:r>
        <w:rPr>
          <w:rFonts w:ascii="宋体" w:hAnsi="宋体" w:eastAsia="宋体" w:cs="宋体"/>
          <w:color w:val="auto"/>
          <w:spacing w:val="9"/>
          <w:sz w:val="20"/>
          <w:szCs w:val="20"/>
          <w:lang w:eastAsia="zh-CN"/>
        </w:rPr>
        <w:t>规定的规模标准的，由监理人按照第15.4款进行估价，但专用合同条款另有约定的除外。经估价的专业工程与工程量清单中所列的暂估价的金额差以及相应的税金等其他费用列入</w:t>
      </w:r>
      <w:r>
        <w:rPr>
          <w:rFonts w:ascii="宋体" w:hAnsi="宋体" w:eastAsia="宋体" w:cs="宋体"/>
          <w:color w:val="auto"/>
          <w:spacing w:val="8"/>
          <w:sz w:val="20"/>
          <w:szCs w:val="20"/>
          <w:lang w:eastAsia="zh-CN"/>
        </w:rPr>
        <w:t>合同价格。</w:t>
      </w:r>
    </w:p>
    <w:p>
      <w:pPr>
        <w:pStyle w:val="3"/>
        <w:spacing w:line="270" w:lineRule="auto"/>
        <w:rPr>
          <w:color w:val="auto"/>
          <w:lang w:eastAsia="zh-CN"/>
        </w:rPr>
      </w:pPr>
    </w:p>
    <w:p>
      <w:pPr>
        <w:spacing w:before="101" w:line="227" w:lineRule="auto"/>
        <w:ind w:left="21"/>
        <w:outlineLvl w:val="0"/>
        <w:rPr>
          <w:rFonts w:ascii="黑体" w:hAnsi="黑体" w:eastAsia="黑体" w:cs="黑体"/>
          <w:color w:val="auto"/>
          <w:sz w:val="31"/>
          <w:szCs w:val="31"/>
          <w:lang w:eastAsia="zh-CN"/>
        </w:rPr>
      </w:pPr>
      <w:bookmarkStart w:id="383" w:name="bookmark386"/>
      <w:bookmarkEnd w:id="383"/>
      <w:bookmarkStart w:id="384" w:name="bookmark385"/>
      <w:bookmarkEnd w:id="384"/>
      <w:bookmarkStart w:id="385" w:name="bookmark388"/>
      <w:bookmarkEnd w:id="385"/>
      <w:r>
        <w:rPr>
          <w:rFonts w:ascii="黑体" w:hAnsi="黑体" w:eastAsia="黑体" w:cs="黑体"/>
          <w:b/>
          <w:bCs/>
          <w:color w:val="auto"/>
          <w:spacing w:val="1"/>
          <w:sz w:val="31"/>
          <w:szCs w:val="31"/>
          <w:lang w:eastAsia="zh-CN"/>
        </w:rPr>
        <w:t>16.价格调整</w:t>
      </w:r>
    </w:p>
    <w:p>
      <w:pPr>
        <w:pStyle w:val="3"/>
        <w:spacing w:line="271" w:lineRule="auto"/>
        <w:rPr>
          <w:color w:val="auto"/>
          <w:lang w:eastAsia="zh-CN"/>
        </w:rPr>
      </w:pPr>
    </w:p>
    <w:p>
      <w:pPr>
        <w:spacing w:before="92" w:line="222" w:lineRule="auto"/>
        <w:ind w:left="17"/>
        <w:outlineLvl w:val="1"/>
        <w:rPr>
          <w:rFonts w:ascii="黑体" w:hAnsi="黑体" w:eastAsia="黑体" w:cs="黑体"/>
          <w:color w:val="auto"/>
          <w:sz w:val="28"/>
          <w:szCs w:val="28"/>
          <w:lang w:eastAsia="zh-CN"/>
        </w:rPr>
      </w:pPr>
      <w:bookmarkStart w:id="386" w:name="bookmark387"/>
      <w:bookmarkEnd w:id="386"/>
      <w:r>
        <w:rPr>
          <w:rFonts w:ascii="黑体" w:hAnsi="黑体" w:eastAsia="黑体" w:cs="黑体"/>
          <w:color w:val="auto"/>
          <w:spacing w:val="-2"/>
          <w:sz w:val="28"/>
          <w:szCs w:val="28"/>
          <w:lang w:eastAsia="zh-CN"/>
        </w:rPr>
        <w:t>16.1 物价波动引起的价格调整</w:t>
      </w:r>
    </w:p>
    <w:p>
      <w:pPr>
        <w:spacing w:before="279"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除专用合同条款另有约定外，因物价波动引起的价格调整按照本款约定处理。</w:t>
      </w:r>
    </w:p>
    <w:p>
      <w:pPr>
        <w:spacing w:before="154" w:line="226" w:lineRule="auto"/>
        <w:ind w:left="436"/>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16.1.1 采用价格指数调整价格差额</w:t>
      </w:r>
    </w:p>
    <w:p>
      <w:pPr>
        <w:spacing w:before="156" w:line="226" w:lineRule="auto"/>
        <w:ind w:left="436"/>
        <w:rPr>
          <w:rFonts w:ascii="宋体" w:hAnsi="宋体" w:eastAsia="宋体" w:cs="宋体"/>
          <w:color w:val="auto"/>
          <w:sz w:val="20"/>
          <w:szCs w:val="20"/>
          <w:lang w:eastAsia="zh-CN"/>
        </w:rPr>
      </w:pPr>
      <w:r>
        <w:rPr>
          <w:color w:val="auto"/>
        </w:rPr>
        <w:fldChar w:fldCharType="begin"/>
      </w:r>
      <w:r>
        <w:rPr>
          <w:color w:val="auto"/>
        </w:rPr>
        <w:instrText xml:space="preserve"> HYPERLINK "16.1.1.1" </w:instrText>
      </w:r>
      <w:r>
        <w:rPr>
          <w:color w:val="auto"/>
        </w:rPr>
        <w:fldChar w:fldCharType="separate"/>
      </w:r>
      <w:r>
        <w:rPr>
          <w:rFonts w:ascii="宋体" w:hAnsi="宋体" w:eastAsia="宋体" w:cs="宋体"/>
          <w:color w:val="auto"/>
          <w:spacing w:val="5"/>
          <w:sz w:val="20"/>
          <w:szCs w:val="20"/>
          <w:lang w:eastAsia="zh-CN"/>
        </w:rPr>
        <w:t>16.1.1.1</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价格调整公式</w:t>
      </w:r>
    </w:p>
    <w:p>
      <w:pPr>
        <w:spacing w:before="156" w:line="352" w:lineRule="auto"/>
        <w:ind w:left="5" w:right="2"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因人工、材料和设备等价格波动影响合同价格时，根据投标函附录中的价格指数和权重表约定的数据，按以下公式计算差额并调整合同价格。</w:t>
      </w:r>
    </w:p>
    <w:p>
      <w:pPr>
        <w:pStyle w:val="3"/>
        <w:spacing w:line="427" w:lineRule="auto"/>
        <w:rPr>
          <w:color w:val="auto"/>
          <w:lang w:eastAsia="zh-CN"/>
        </w:rPr>
      </w:pPr>
    </w:p>
    <w:p>
      <w:pPr>
        <w:spacing w:before="1" w:line="748" w:lineRule="exact"/>
        <w:ind w:left="1551"/>
        <w:rPr>
          <w:color w:val="auto"/>
        </w:rPr>
      </w:pPr>
      <w:r>
        <w:rPr>
          <w:color w:val="auto"/>
          <w:position w:val="-15"/>
          <w:lang w:eastAsia="zh-CN"/>
        </w:rPr>
        <w:drawing>
          <wp:inline distT="0" distB="0" distL="0" distR="0">
            <wp:extent cx="3830320" cy="474980"/>
            <wp:effectExtent l="0" t="0" r="0" b="0"/>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27"/>
                    <a:stretch>
                      <a:fillRect/>
                    </a:stretch>
                  </pic:blipFill>
                  <pic:spPr>
                    <a:xfrm>
                      <a:off x="0" y="0"/>
                      <a:ext cx="3830618" cy="475202"/>
                    </a:xfrm>
                    <a:prstGeom prst="rect">
                      <a:avLst/>
                    </a:prstGeom>
                  </pic:spPr>
                </pic:pic>
              </a:graphicData>
            </a:graphic>
          </wp:inline>
        </w:drawing>
      </w:r>
    </w:p>
    <w:p>
      <w:pPr>
        <w:spacing w:before="57" w:line="226" w:lineRule="auto"/>
        <w:ind w:left="528"/>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式中：△P --需调整的价格差额；</w:t>
      </w:r>
    </w:p>
    <w:p>
      <w:pPr>
        <w:spacing w:before="155" w:line="359" w:lineRule="auto"/>
        <w:ind w:right="2" w:firstLine="1256"/>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P</w:t>
      </w:r>
      <w:r>
        <w:rPr>
          <w:rFonts w:ascii="宋体" w:hAnsi="宋体" w:eastAsia="宋体" w:cs="宋体"/>
          <w:color w:val="auto"/>
          <w:spacing w:val="4"/>
          <w:position w:val="-2"/>
          <w:sz w:val="10"/>
          <w:szCs w:val="10"/>
          <w:lang w:eastAsia="zh-CN"/>
        </w:rPr>
        <w:t xml:space="preserve">0 </w:t>
      </w:r>
      <w:r>
        <w:rPr>
          <w:rFonts w:ascii="宋体" w:hAnsi="宋体" w:eastAsia="宋体" w:cs="宋体"/>
          <w:color w:val="auto"/>
          <w:spacing w:val="4"/>
          <w:sz w:val="20"/>
          <w:szCs w:val="20"/>
          <w:lang w:eastAsia="zh-CN"/>
        </w:rPr>
        <w:t>-- 第17.3.3项、第17.5.2项和第17.6.2项约定的付款证书中承包人应得到的</w:t>
      </w:r>
      <w:r>
        <w:rPr>
          <w:rFonts w:ascii="宋体" w:hAnsi="宋体" w:eastAsia="宋体" w:cs="宋体"/>
          <w:color w:val="auto"/>
          <w:spacing w:val="9"/>
          <w:sz w:val="20"/>
          <w:szCs w:val="20"/>
          <w:lang w:eastAsia="zh-CN"/>
        </w:rPr>
        <w:t>已完成工程量的金额。此项金额应不包括价格调整、不计质量保证金的扣留和支付、预付</w:t>
      </w:r>
      <w:r>
        <w:rPr>
          <w:rFonts w:ascii="宋体" w:hAnsi="宋体" w:eastAsia="宋体" w:cs="宋体"/>
          <w:color w:val="auto"/>
          <w:spacing w:val="8"/>
          <w:sz w:val="20"/>
          <w:szCs w:val="20"/>
          <w:lang w:eastAsia="zh-CN"/>
        </w:rPr>
        <w:t>款的支付和扣回。第15条约定的变更及其他金额已按现行价格计价的，也不计在内；</w:t>
      </w:r>
    </w:p>
    <w:p>
      <w:pPr>
        <w:spacing w:before="34" w:line="228" w:lineRule="auto"/>
        <w:ind w:left="125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A -- 定值权重(即不调部分的权重)；</w:t>
      </w:r>
    </w:p>
    <w:p>
      <w:pPr>
        <w:spacing w:before="152" w:line="353" w:lineRule="auto"/>
        <w:ind w:right="2" w:firstLine="1256"/>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1</w:t>
      </w:r>
      <w:r>
        <w:rPr>
          <w:rFonts w:ascii="宋体" w:hAnsi="宋体" w:eastAsia="宋体" w:cs="宋体"/>
          <w:color w:val="auto"/>
          <w:spacing w:val="-3"/>
          <w:sz w:val="14"/>
          <w:szCs w:val="14"/>
          <w:lang w:eastAsia="zh-CN"/>
        </w:rPr>
        <w:t>;</w:t>
      </w:r>
      <w:r>
        <w:rPr>
          <w:rFonts w:ascii="宋体" w:hAnsi="宋体" w:eastAsia="宋体" w:cs="宋体"/>
          <w:color w:val="auto"/>
          <w:spacing w:val="-3"/>
          <w:sz w:val="20"/>
          <w:szCs w:val="20"/>
          <w:lang w:eastAsia="zh-CN"/>
        </w:rPr>
        <w:t>B</w:t>
      </w:r>
      <w:r>
        <w:rPr>
          <w:rFonts w:ascii="宋体" w:hAnsi="宋体" w:eastAsia="宋体" w:cs="宋体"/>
          <w:color w:val="auto"/>
          <w:spacing w:val="-3"/>
          <w:position w:val="-3"/>
          <w:sz w:val="10"/>
          <w:szCs w:val="10"/>
          <w:lang w:eastAsia="zh-CN"/>
        </w:rPr>
        <w:t xml:space="preserve">2   </w:t>
      </w:r>
      <w:r>
        <w:rPr>
          <w:rFonts w:ascii="宋体" w:hAnsi="宋体" w:eastAsia="宋体" w:cs="宋体"/>
          <w:color w:val="auto"/>
          <w:spacing w:val="-15"/>
          <w:sz w:val="20"/>
          <w:szCs w:val="20"/>
          <w:lang w:eastAsia="zh-CN"/>
        </w:rPr>
        <w:t>;B</w:t>
      </w:r>
      <w:r>
        <w:rPr>
          <w:rFonts w:ascii="宋体" w:hAnsi="宋体" w:eastAsia="宋体" w:cs="宋体"/>
          <w:color w:val="auto"/>
          <w:spacing w:val="5"/>
          <w:position w:val="-3"/>
          <w:sz w:val="10"/>
          <w:szCs w:val="10"/>
          <w:lang w:eastAsia="zh-CN"/>
        </w:rPr>
        <w:t>3</w:t>
      </w:r>
      <w:r>
        <w:rPr>
          <w:rFonts w:ascii="宋体" w:hAnsi="宋体" w:eastAsia="宋体" w:cs="宋体"/>
          <w:color w:val="auto"/>
          <w:spacing w:val="-48"/>
          <w:sz w:val="14"/>
          <w:szCs w:val="14"/>
          <w:lang w:eastAsia="zh-CN"/>
        </w:rPr>
        <w:t>·····</w:t>
      </w:r>
      <w:r>
        <w:rPr>
          <w:rFonts w:ascii="宋体" w:hAnsi="宋体" w:eastAsia="宋体" w:cs="宋体"/>
          <w:color w:val="auto"/>
          <w:sz w:val="20"/>
          <w:szCs w:val="20"/>
          <w:lang w:eastAsia="zh-CN"/>
        </w:rPr>
        <w:t>B</w:t>
      </w:r>
      <w:r>
        <w:rPr>
          <w:rFonts w:ascii="宋体" w:hAnsi="宋体" w:eastAsia="宋体" w:cs="宋体"/>
          <w:color w:val="auto"/>
          <w:position w:val="-3"/>
          <w:sz w:val="10"/>
          <w:szCs w:val="10"/>
          <w:lang w:eastAsia="zh-CN"/>
        </w:rPr>
        <w:t>n</w:t>
      </w:r>
      <w:r>
        <w:rPr>
          <w:rFonts w:ascii="宋体" w:hAnsi="宋体" w:eastAsia="宋体" w:cs="宋体"/>
          <w:color w:val="auto"/>
          <w:spacing w:val="11"/>
          <w:sz w:val="20"/>
          <w:szCs w:val="20"/>
          <w:lang w:eastAsia="zh-CN"/>
        </w:rPr>
        <w:t>-- 各可调因子的变值权重(即可调部分的权重)为各可调因子</w:t>
      </w:r>
      <w:r>
        <w:rPr>
          <w:rFonts w:ascii="宋体" w:hAnsi="宋体" w:eastAsia="宋体" w:cs="宋体"/>
          <w:color w:val="auto"/>
          <w:spacing w:val="8"/>
          <w:sz w:val="20"/>
          <w:szCs w:val="20"/>
          <w:lang w:eastAsia="zh-CN"/>
        </w:rPr>
        <w:t>在投标函投标总报价中所占的比例；</w:t>
      </w:r>
    </w:p>
    <w:p>
      <w:pPr>
        <w:spacing w:before="35" w:line="342" w:lineRule="auto"/>
        <w:ind w:left="4" w:firstLine="1253"/>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1</w:t>
      </w:r>
      <w:r>
        <w:rPr>
          <w:rFonts w:ascii="宋体" w:hAnsi="宋体" w:eastAsia="宋体" w:cs="宋体"/>
          <w:color w:val="auto"/>
          <w:spacing w:val="-16"/>
          <w:sz w:val="20"/>
          <w:szCs w:val="20"/>
          <w:lang w:eastAsia="zh-CN"/>
        </w:rPr>
        <w:t>;F</w:t>
      </w:r>
      <w:r>
        <w:rPr>
          <w:rFonts w:ascii="宋体" w:hAnsi="宋体" w:eastAsia="宋体" w:cs="宋体"/>
          <w:color w:val="auto"/>
          <w:position w:val="-2"/>
          <w:sz w:val="10"/>
          <w:szCs w:val="10"/>
          <w:lang w:eastAsia="zh-CN"/>
        </w:rPr>
        <w:t>t</w:t>
      </w:r>
      <w:r>
        <w:rPr>
          <w:rFonts w:ascii="宋体" w:hAnsi="宋体" w:eastAsia="宋体" w:cs="宋体"/>
          <w:color w:val="auto"/>
          <w:spacing w:val="4"/>
          <w:position w:val="-2"/>
          <w:sz w:val="10"/>
          <w:szCs w:val="10"/>
          <w:lang w:eastAsia="zh-CN"/>
        </w:rPr>
        <w:t>2</w:t>
      </w:r>
      <w:r>
        <w:rPr>
          <w:rFonts w:ascii="宋体" w:hAnsi="宋体" w:eastAsia="宋体" w:cs="宋体"/>
          <w:color w:val="auto"/>
          <w:spacing w:val="-16"/>
          <w:sz w:val="20"/>
          <w:szCs w:val="20"/>
          <w:lang w:eastAsia="zh-CN"/>
        </w:rPr>
        <w:t>;F</w:t>
      </w:r>
      <w:r>
        <w:rPr>
          <w:rFonts w:ascii="宋体" w:hAnsi="宋体" w:eastAsia="宋体" w:cs="宋体"/>
          <w:color w:val="auto"/>
          <w:spacing w:val="-32"/>
          <w:position w:val="-2"/>
          <w:sz w:val="10"/>
          <w:szCs w:val="10"/>
          <w:lang w:eastAsia="zh-CN"/>
        </w:rPr>
        <w:t>t3</w:t>
      </w:r>
      <w:r>
        <w:rPr>
          <w:rFonts w:ascii="宋体" w:hAnsi="宋体" w:eastAsia="宋体" w:cs="宋体"/>
          <w:color w:val="auto"/>
          <w:spacing w:val="-32"/>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tn</w:t>
      </w:r>
      <w:r>
        <w:rPr>
          <w:rFonts w:ascii="宋体" w:hAnsi="宋体" w:eastAsia="宋体" w:cs="宋体"/>
          <w:color w:val="auto"/>
          <w:spacing w:val="6"/>
          <w:sz w:val="20"/>
          <w:szCs w:val="20"/>
          <w:lang w:eastAsia="zh-CN"/>
        </w:rPr>
        <w:t>-- 各可调因子的现行价格指数，指第17.3.3项、第17.5.2</w:t>
      </w:r>
      <w:r>
        <w:rPr>
          <w:rFonts w:ascii="宋体" w:hAnsi="宋体" w:eastAsia="宋体" w:cs="宋体"/>
          <w:color w:val="auto"/>
          <w:spacing w:val="7"/>
          <w:sz w:val="20"/>
          <w:szCs w:val="20"/>
          <w:lang w:eastAsia="zh-CN"/>
        </w:rPr>
        <w:t>项和第17.6.2项约定的付款证书相关周期最后一天的前42天的各可调因子的价格指数；</w:t>
      </w:r>
    </w:p>
    <w:p>
      <w:pPr>
        <w:spacing w:before="59" w:line="342" w:lineRule="auto"/>
        <w:ind w:left="17" w:right="2" w:firstLine="1239"/>
        <w:rPr>
          <w:rFonts w:ascii="宋体" w:hAnsi="宋体" w:eastAsia="宋体" w:cs="宋体"/>
          <w:color w:val="auto"/>
          <w:sz w:val="20"/>
          <w:szCs w:val="20"/>
          <w:lang w:eastAsia="zh-CN"/>
        </w:rPr>
      </w:pP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w:t>
      </w:r>
      <w:r>
        <w:rPr>
          <w:rFonts w:ascii="宋体" w:hAnsi="宋体" w:eastAsia="宋体" w:cs="宋体"/>
          <w:color w:val="auto"/>
          <w:spacing w:val="4"/>
          <w:position w:val="-2"/>
          <w:sz w:val="10"/>
          <w:szCs w:val="10"/>
          <w:lang w:eastAsia="zh-CN"/>
        </w:rPr>
        <w:t>1</w:t>
      </w:r>
      <w:r>
        <w:rPr>
          <w:rFonts w:ascii="宋体" w:hAnsi="宋体" w:eastAsia="宋体" w:cs="宋体"/>
          <w:color w:val="auto"/>
          <w:spacing w:val="-19"/>
          <w:sz w:val="20"/>
          <w:szCs w:val="20"/>
          <w:lang w:eastAsia="zh-CN"/>
        </w:rPr>
        <w:t>;F</w:t>
      </w:r>
      <w:r>
        <w:rPr>
          <w:rFonts w:ascii="宋体" w:hAnsi="宋体" w:eastAsia="宋体" w:cs="宋体"/>
          <w:color w:val="auto"/>
          <w:spacing w:val="-21"/>
          <w:position w:val="-2"/>
          <w:sz w:val="10"/>
          <w:szCs w:val="10"/>
          <w:lang w:eastAsia="zh-CN"/>
        </w:rPr>
        <w:t>o2</w:t>
      </w:r>
      <w:r>
        <w:rPr>
          <w:rFonts w:ascii="宋体" w:hAnsi="宋体" w:eastAsia="宋体" w:cs="宋体"/>
          <w:color w:val="auto"/>
          <w:spacing w:val="-21"/>
          <w:sz w:val="14"/>
          <w:szCs w:val="14"/>
          <w:lang w:eastAsia="zh-CN"/>
        </w:rPr>
        <w:t xml:space="preserve">;  </w:t>
      </w:r>
      <w:r>
        <w:rPr>
          <w:rFonts w:ascii="宋体" w:hAnsi="宋体" w:eastAsia="宋体" w:cs="宋体"/>
          <w:color w:val="auto"/>
          <w:spacing w:val="-21"/>
          <w:sz w:val="20"/>
          <w:szCs w:val="20"/>
          <w:lang w:eastAsia="zh-CN"/>
        </w:rPr>
        <w:t>F</w:t>
      </w:r>
      <w:r>
        <w:rPr>
          <w:rFonts w:ascii="宋体" w:hAnsi="宋体" w:eastAsia="宋体" w:cs="宋体"/>
          <w:color w:val="auto"/>
          <w:spacing w:val="-21"/>
          <w:position w:val="-2"/>
          <w:sz w:val="10"/>
          <w:szCs w:val="10"/>
          <w:lang w:eastAsia="zh-CN"/>
        </w:rPr>
        <w:t>o3</w:t>
      </w:r>
      <w:r>
        <w:rPr>
          <w:rFonts w:ascii="宋体" w:hAnsi="宋体" w:eastAsia="宋体" w:cs="宋体"/>
          <w:color w:val="auto"/>
          <w:spacing w:val="-21"/>
          <w:sz w:val="14"/>
          <w:szCs w:val="14"/>
          <w:lang w:eastAsia="zh-CN"/>
        </w:rPr>
        <w:t>·· ···</w:t>
      </w:r>
      <w:r>
        <w:rPr>
          <w:rFonts w:ascii="宋体" w:hAnsi="宋体" w:eastAsia="宋体" w:cs="宋体"/>
          <w:color w:val="auto"/>
          <w:sz w:val="20"/>
          <w:szCs w:val="20"/>
          <w:lang w:eastAsia="zh-CN"/>
        </w:rPr>
        <w:t>F</w:t>
      </w:r>
      <w:r>
        <w:rPr>
          <w:rFonts w:ascii="宋体" w:hAnsi="宋体" w:eastAsia="宋体" w:cs="宋体"/>
          <w:color w:val="auto"/>
          <w:position w:val="-2"/>
          <w:sz w:val="10"/>
          <w:szCs w:val="10"/>
          <w:lang w:eastAsia="zh-CN"/>
        </w:rPr>
        <w:t>on</w:t>
      </w:r>
      <w:r>
        <w:rPr>
          <w:rFonts w:ascii="宋体" w:hAnsi="宋体" w:eastAsia="宋体" w:cs="宋体"/>
          <w:color w:val="auto"/>
          <w:spacing w:val="12"/>
          <w:sz w:val="20"/>
          <w:szCs w:val="20"/>
          <w:lang w:eastAsia="zh-CN"/>
        </w:rPr>
        <w:t>-- 各可调因子的基本价格指数，指基准</w:t>
      </w:r>
      <w:r>
        <w:rPr>
          <w:rFonts w:ascii="宋体" w:hAnsi="宋体" w:eastAsia="宋体" w:cs="宋体"/>
          <w:color w:val="auto"/>
          <w:spacing w:val="11"/>
          <w:sz w:val="20"/>
          <w:szCs w:val="20"/>
          <w:lang w:eastAsia="zh-CN"/>
        </w:rPr>
        <w:t>日期的各可调因子</w:t>
      </w:r>
      <w:r>
        <w:rPr>
          <w:rFonts w:ascii="宋体" w:hAnsi="宋体" w:eastAsia="宋体" w:cs="宋体"/>
          <w:color w:val="auto"/>
          <w:spacing w:val="3"/>
          <w:sz w:val="20"/>
          <w:szCs w:val="20"/>
          <w:lang w:eastAsia="zh-CN"/>
        </w:rPr>
        <w:t>的价格指数。</w:t>
      </w:r>
    </w:p>
    <w:p>
      <w:pPr>
        <w:spacing w:before="58"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以上价格调整公式中的各可调因子、定值和变值权重，以及基本价格指数及其来源在投标函</w:t>
      </w:r>
    </w:p>
    <w:p>
      <w:pPr>
        <w:spacing w:line="226" w:lineRule="auto"/>
        <w:rPr>
          <w:rFonts w:ascii="宋体" w:hAnsi="宋体" w:eastAsia="宋体" w:cs="宋体"/>
          <w:color w:val="auto"/>
          <w:sz w:val="20"/>
          <w:szCs w:val="20"/>
          <w:lang w:eastAsia="zh-CN"/>
        </w:rPr>
        <w:sectPr>
          <w:footerReference r:id="rId67" w:type="default"/>
          <w:pgSz w:w="11906" w:h="16839"/>
          <w:pgMar w:top="1431" w:right="1530" w:bottom="1468" w:left="1596"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55" w:lineRule="auto"/>
        <w:ind w:left="1" w:right="70" w:firstLine="1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附录价格指数和权重表中约定。价格指数应首先采</w:t>
      </w:r>
      <w:r>
        <w:rPr>
          <w:rFonts w:ascii="宋体" w:hAnsi="宋体" w:eastAsia="宋体" w:cs="宋体"/>
          <w:color w:val="auto"/>
          <w:spacing w:val="8"/>
          <w:sz w:val="20"/>
          <w:szCs w:val="20"/>
          <w:lang w:eastAsia="zh-CN"/>
        </w:rPr>
        <w:t>用有关部门提供的价格指数，缺乏上述价格指数时，可采用有关部门提供的价格代替。</w:t>
      </w:r>
    </w:p>
    <w:p>
      <w:pPr>
        <w:spacing w:before="32"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"16.1.1.2" </w:instrText>
      </w:r>
      <w:r>
        <w:rPr>
          <w:color w:val="auto"/>
        </w:rPr>
        <w:fldChar w:fldCharType="separate"/>
      </w:r>
      <w:r>
        <w:rPr>
          <w:rFonts w:ascii="宋体" w:hAnsi="宋体" w:eastAsia="宋体" w:cs="宋体"/>
          <w:color w:val="auto"/>
          <w:spacing w:val="5"/>
          <w:sz w:val="20"/>
          <w:szCs w:val="20"/>
          <w:lang w:eastAsia="zh-CN"/>
        </w:rPr>
        <w:t>16.1.1.2</w:t>
      </w:r>
      <w:r>
        <w:rPr>
          <w:rFonts w:ascii="宋体" w:hAnsi="宋体" w:eastAsia="宋体" w:cs="宋体"/>
          <w:color w:val="auto"/>
          <w:spacing w:val="5"/>
          <w:sz w:val="20"/>
          <w:szCs w:val="20"/>
          <w:lang w:eastAsia="zh-CN"/>
        </w:rPr>
        <w:fldChar w:fldCharType="end"/>
      </w:r>
      <w:r>
        <w:rPr>
          <w:rFonts w:ascii="宋体" w:hAnsi="宋体" w:eastAsia="宋体" w:cs="宋体"/>
          <w:color w:val="auto"/>
          <w:spacing w:val="5"/>
          <w:sz w:val="20"/>
          <w:szCs w:val="20"/>
          <w:lang w:eastAsia="zh-CN"/>
        </w:rPr>
        <w:t xml:space="preserve"> 暂时确定调整差额</w:t>
      </w:r>
    </w:p>
    <w:p>
      <w:pPr>
        <w:spacing w:before="150" w:line="355" w:lineRule="auto"/>
        <w:ind w:left="1" w:right="70" w:firstLine="41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在计算调整差额时得不到现行价格指数的，可暂用上一次价格指数计算，并在以</w:t>
      </w:r>
      <w:r>
        <w:rPr>
          <w:rFonts w:ascii="宋体" w:hAnsi="宋体" w:eastAsia="宋体" w:cs="宋体"/>
          <w:color w:val="auto"/>
          <w:spacing w:val="8"/>
          <w:sz w:val="20"/>
          <w:szCs w:val="20"/>
          <w:lang w:eastAsia="zh-CN"/>
        </w:rPr>
        <w:t>后的付款中再按实际价格指数进行调整。</w:t>
      </w:r>
    </w:p>
    <w:p>
      <w:pPr>
        <w:spacing w:before="33" w:line="228"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"16.1.1.3" </w:instrText>
      </w:r>
      <w:r>
        <w:rPr>
          <w:color w:val="auto"/>
        </w:rPr>
        <w:fldChar w:fldCharType="separate"/>
      </w:r>
      <w:r>
        <w:rPr>
          <w:rFonts w:ascii="宋体" w:hAnsi="宋体" w:eastAsia="宋体" w:cs="宋体"/>
          <w:color w:val="auto"/>
          <w:spacing w:val="4"/>
          <w:sz w:val="20"/>
          <w:szCs w:val="20"/>
          <w:lang w:eastAsia="zh-CN"/>
        </w:rPr>
        <w:t>16.1.1.3</w:t>
      </w:r>
      <w:r>
        <w:rPr>
          <w:rFonts w:ascii="宋体" w:hAnsi="宋体" w:eastAsia="宋体" w:cs="宋体"/>
          <w:color w:val="auto"/>
          <w:spacing w:val="4"/>
          <w:sz w:val="20"/>
          <w:szCs w:val="20"/>
          <w:lang w:eastAsia="zh-CN"/>
        </w:rPr>
        <w:fldChar w:fldCharType="end"/>
      </w:r>
      <w:r>
        <w:rPr>
          <w:rFonts w:ascii="宋体" w:hAnsi="宋体" w:eastAsia="宋体" w:cs="宋体"/>
          <w:color w:val="auto"/>
          <w:spacing w:val="4"/>
          <w:sz w:val="20"/>
          <w:szCs w:val="20"/>
          <w:lang w:eastAsia="zh-CN"/>
        </w:rPr>
        <w:t xml:space="preserve"> 权重的调整</w:t>
      </w:r>
    </w:p>
    <w:p>
      <w:pPr>
        <w:spacing w:before="151" w:line="356" w:lineRule="auto"/>
        <w:ind w:left="1" w:right="71"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按第15.1款约定的变更导致原定合同中的权重不合理时，由监理人与承包人和发包人协商</w:t>
      </w:r>
      <w:r>
        <w:rPr>
          <w:rFonts w:ascii="宋体" w:hAnsi="宋体" w:eastAsia="宋体" w:cs="宋体"/>
          <w:color w:val="auto"/>
          <w:spacing w:val="6"/>
          <w:sz w:val="20"/>
          <w:szCs w:val="20"/>
          <w:lang w:eastAsia="zh-CN"/>
        </w:rPr>
        <w:t>后进行调整。</w:t>
      </w:r>
    </w:p>
    <w:p>
      <w:pPr>
        <w:spacing w:before="32" w:line="226" w:lineRule="auto"/>
        <w:ind w:left="435"/>
        <w:rPr>
          <w:rFonts w:ascii="宋体" w:hAnsi="宋体" w:eastAsia="宋体" w:cs="宋体"/>
          <w:color w:val="auto"/>
          <w:sz w:val="20"/>
          <w:szCs w:val="20"/>
          <w:lang w:eastAsia="zh-CN"/>
        </w:rPr>
      </w:pPr>
      <w:r>
        <w:rPr>
          <w:color w:val="auto"/>
        </w:rPr>
        <w:fldChar w:fldCharType="begin"/>
      </w:r>
      <w:r>
        <w:rPr>
          <w:color w:val="auto"/>
        </w:rPr>
        <w:instrText xml:space="preserve"> HYPERLINK "16.1.1.4" </w:instrText>
      </w:r>
      <w:r>
        <w:rPr>
          <w:color w:val="auto"/>
        </w:rPr>
        <w:fldChar w:fldCharType="separate"/>
      </w:r>
      <w:r>
        <w:rPr>
          <w:rFonts w:ascii="宋体" w:hAnsi="宋体" w:eastAsia="宋体" w:cs="宋体"/>
          <w:color w:val="auto"/>
          <w:spacing w:val="6"/>
          <w:sz w:val="20"/>
          <w:szCs w:val="20"/>
          <w:lang w:eastAsia="zh-CN"/>
        </w:rPr>
        <w:t>16.1.1.4</w:t>
      </w:r>
      <w:r>
        <w:rPr>
          <w:rFonts w:ascii="宋体" w:hAnsi="宋体" w:eastAsia="宋体" w:cs="宋体"/>
          <w:color w:val="auto"/>
          <w:spacing w:val="6"/>
          <w:sz w:val="20"/>
          <w:szCs w:val="20"/>
          <w:lang w:eastAsia="zh-CN"/>
        </w:rPr>
        <w:fldChar w:fldCharType="end"/>
      </w:r>
      <w:r>
        <w:rPr>
          <w:rFonts w:ascii="宋体" w:hAnsi="宋体" w:eastAsia="宋体" w:cs="宋体"/>
          <w:color w:val="auto"/>
          <w:spacing w:val="6"/>
          <w:sz w:val="20"/>
          <w:szCs w:val="20"/>
          <w:lang w:eastAsia="zh-CN"/>
        </w:rPr>
        <w:t xml:space="preserve"> 承包人工期延误后的价格调整</w:t>
      </w:r>
    </w:p>
    <w:p>
      <w:pPr>
        <w:spacing w:before="152" w:line="360" w:lineRule="auto"/>
        <w:ind w:right="70" w:firstLine="44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由于承包人原因未在约定的工期内竣工的，则对原约定竣工日期后继续施工的工程，在使用</w:t>
      </w:r>
      <w:r>
        <w:rPr>
          <w:rFonts w:ascii="宋体" w:hAnsi="宋体" w:eastAsia="宋体" w:cs="宋体"/>
          <w:color w:val="auto"/>
          <w:spacing w:val="9"/>
          <w:sz w:val="20"/>
          <w:szCs w:val="20"/>
          <w:lang w:eastAsia="zh-CN"/>
        </w:rPr>
        <w:t xml:space="preserve"> 第16.1.1.1 目价格调整公式时，应采用原约定竣工日</w:t>
      </w:r>
      <w:r>
        <w:rPr>
          <w:rFonts w:ascii="宋体" w:hAnsi="宋体" w:eastAsia="宋体" w:cs="宋体"/>
          <w:color w:val="auto"/>
          <w:spacing w:val="8"/>
          <w:sz w:val="20"/>
          <w:szCs w:val="20"/>
          <w:lang w:eastAsia="zh-CN"/>
        </w:rPr>
        <w:t>期与实际竣工日期的两个价格指数中较低的一个作为现行价格指数。</w:t>
      </w:r>
    </w:p>
    <w:p>
      <w:pPr>
        <w:spacing w:before="31" w:line="226"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16.1.2 采用造价信息调整价格差额</w:t>
      </w:r>
    </w:p>
    <w:p>
      <w:pPr>
        <w:spacing w:before="158" w:line="363" w:lineRule="auto"/>
        <w:ind w:right="70"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施工期内，因人工、材料、设备和机械台班价格波动影响合同价格时，人工、机</w:t>
      </w:r>
      <w:r>
        <w:rPr>
          <w:rFonts w:ascii="宋体" w:hAnsi="宋体" w:eastAsia="宋体" w:cs="宋体"/>
          <w:color w:val="auto"/>
          <w:spacing w:val="8"/>
          <w:sz w:val="20"/>
          <w:szCs w:val="20"/>
          <w:lang w:eastAsia="zh-CN"/>
        </w:rPr>
        <w:t>械使用费按</w:t>
      </w:r>
      <w:r>
        <w:rPr>
          <w:rFonts w:ascii="宋体" w:hAnsi="宋体" w:eastAsia="宋体" w:cs="宋体"/>
          <w:color w:val="auto"/>
          <w:spacing w:val="9"/>
          <w:sz w:val="20"/>
          <w:szCs w:val="20"/>
          <w:lang w:eastAsia="zh-CN"/>
        </w:rPr>
        <w:t>照国家或省、自治区、直辖市建设行政管理部门、行业建设管理部门或其授权的工程造</w:t>
      </w:r>
      <w:r>
        <w:rPr>
          <w:rFonts w:ascii="宋体" w:hAnsi="宋体" w:eastAsia="宋体" w:cs="宋体"/>
          <w:color w:val="auto"/>
          <w:spacing w:val="8"/>
          <w:sz w:val="20"/>
          <w:szCs w:val="20"/>
          <w:lang w:eastAsia="zh-CN"/>
        </w:rPr>
        <w:t>价管理机</w:t>
      </w:r>
      <w:r>
        <w:rPr>
          <w:rFonts w:ascii="宋体" w:hAnsi="宋体" w:eastAsia="宋体" w:cs="宋体"/>
          <w:color w:val="auto"/>
          <w:spacing w:val="9"/>
          <w:sz w:val="20"/>
          <w:szCs w:val="20"/>
          <w:lang w:eastAsia="zh-CN"/>
        </w:rPr>
        <w:t>构发布的人工成本信息、机械台班单价或机械使用费系数进行调整；需要进行价格调整</w:t>
      </w:r>
      <w:r>
        <w:rPr>
          <w:rFonts w:ascii="宋体" w:hAnsi="宋体" w:eastAsia="宋体" w:cs="宋体"/>
          <w:color w:val="auto"/>
          <w:spacing w:val="8"/>
          <w:sz w:val="20"/>
          <w:szCs w:val="20"/>
          <w:lang w:eastAsia="zh-CN"/>
        </w:rPr>
        <w:t>的材料，</w:t>
      </w:r>
      <w:r>
        <w:rPr>
          <w:rFonts w:ascii="宋体" w:hAnsi="宋体" w:eastAsia="宋体" w:cs="宋体"/>
          <w:color w:val="auto"/>
          <w:spacing w:val="9"/>
          <w:sz w:val="20"/>
          <w:szCs w:val="20"/>
          <w:lang w:eastAsia="zh-CN"/>
        </w:rPr>
        <w:t>其单价和采购数应由监理人复核，监理人确认需调整的材料单价及数量，作为调整工程</w:t>
      </w:r>
      <w:r>
        <w:rPr>
          <w:rFonts w:ascii="宋体" w:hAnsi="宋体" w:eastAsia="宋体" w:cs="宋体"/>
          <w:color w:val="auto"/>
          <w:spacing w:val="8"/>
          <w:sz w:val="20"/>
          <w:szCs w:val="20"/>
          <w:lang w:eastAsia="zh-CN"/>
        </w:rPr>
        <w:t>合同价格</w:t>
      </w:r>
      <w:r>
        <w:rPr>
          <w:rFonts w:ascii="宋体" w:hAnsi="宋体" w:eastAsia="宋体" w:cs="宋体"/>
          <w:color w:val="auto"/>
          <w:spacing w:val="6"/>
          <w:sz w:val="20"/>
          <w:szCs w:val="20"/>
          <w:lang w:eastAsia="zh-CN"/>
        </w:rPr>
        <w:t>差额的依据。</w:t>
      </w:r>
    </w:p>
    <w:p>
      <w:pPr>
        <w:spacing w:before="128" w:line="222" w:lineRule="auto"/>
        <w:ind w:left="17"/>
        <w:outlineLvl w:val="1"/>
        <w:rPr>
          <w:rFonts w:ascii="黑体" w:hAnsi="黑体" w:eastAsia="黑体" w:cs="黑体"/>
          <w:color w:val="auto"/>
          <w:sz w:val="28"/>
          <w:szCs w:val="28"/>
          <w:lang w:eastAsia="zh-CN"/>
        </w:rPr>
      </w:pPr>
      <w:bookmarkStart w:id="387" w:name="bookmark390"/>
      <w:bookmarkEnd w:id="387"/>
      <w:bookmarkStart w:id="388" w:name="bookmark389"/>
      <w:bookmarkEnd w:id="388"/>
      <w:r>
        <w:rPr>
          <w:rFonts w:ascii="黑体" w:hAnsi="黑体" w:eastAsia="黑体" w:cs="黑体"/>
          <w:color w:val="auto"/>
          <w:spacing w:val="-2"/>
          <w:sz w:val="28"/>
          <w:szCs w:val="28"/>
          <w:lang w:eastAsia="zh-CN"/>
        </w:rPr>
        <w:t>16.2 法律变化引起的价格调整</w:t>
      </w:r>
    </w:p>
    <w:p>
      <w:pPr>
        <w:spacing w:before="278" w:line="359" w:lineRule="auto"/>
        <w:ind w:left="5" w:right="68" w:firstLine="414"/>
        <w:jc w:val="both"/>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在基准日后，因法律变化导致承包人在合同履行中所需要的工程费用发生除第16.1款约定</w:t>
      </w:r>
      <w:r>
        <w:rPr>
          <w:rFonts w:ascii="宋体" w:hAnsi="宋体" w:eastAsia="宋体" w:cs="宋体"/>
          <w:color w:val="auto"/>
          <w:spacing w:val="7"/>
          <w:sz w:val="20"/>
          <w:szCs w:val="20"/>
          <w:lang w:eastAsia="zh-CN"/>
        </w:rPr>
        <w:t>以外的增减时，监理人应根据法律、国家或省、自治区、直辖市有关部门的规定，按第3.</w:t>
      </w:r>
      <w:r>
        <w:rPr>
          <w:rFonts w:ascii="宋体" w:hAnsi="宋体" w:eastAsia="宋体" w:cs="宋体"/>
          <w:color w:val="auto"/>
          <w:spacing w:val="6"/>
          <w:sz w:val="20"/>
          <w:szCs w:val="20"/>
          <w:lang w:eastAsia="zh-CN"/>
        </w:rPr>
        <w:t>5款商</w:t>
      </w:r>
      <w:r>
        <w:rPr>
          <w:rFonts w:ascii="宋体" w:hAnsi="宋体" w:eastAsia="宋体" w:cs="宋体"/>
          <w:color w:val="auto"/>
          <w:spacing w:val="8"/>
          <w:sz w:val="20"/>
          <w:szCs w:val="20"/>
          <w:lang w:eastAsia="zh-CN"/>
        </w:rPr>
        <w:t>定或确定需调整的合同价款。</w:t>
      </w:r>
    </w:p>
    <w:p>
      <w:pPr>
        <w:spacing w:before="254" w:line="229" w:lineRule="auto"/>
        <w:ind w:left="20"/>
        <w:outlineLvl w:val="0"/>
        <w:rPr>
          <w:rFonts w:ascii="黑体" w:hAnsi="黑体" w:eastAsia="黑体" w:cs="黑体"/>
          <w:color w:val="auto"/>
          <w:sz w:val="31"/>
          <w:szCs w:val="31"/>
          <w:lang w:eastAsia="zh-CN"/>
        </w:rPr>
      </w:pPr>
      <w:bookmarkStart w:id="389" w:name="bookmark391"/>
      <w:bookmarkEnd w:id="389"/>
      <w:bookmarkStart w:id="390" w:name="bookmark394"/>
      <w:bookmarkEnd w:id="390"/>
      <w:bookmarkStart w:id="391" w:name="bookmark392"/>
      <w:bookmarkEnd w:id="391"/>
      <w:r>
        <w:rPr>
          <w:rFonts w:ascii="黑体" w:hAnsi="黑体" w:eastAsia="黑体" w:cs="黑体"/>
          <w:b/>
          <w:bCs/>
          <w:color w:val="auto"/>
          <w:spacing w:val="2"/>
          <w:sz w:val="31"/>
          <w:szCs w:val="31"/>
          <w:lang w:eastAsia="zh-CN"/>
        </w:rPr>
        <w:t>17.计量与支付</w:t>
      </w:r>
    </w:p>
    <w:p>
      <w:pPr>
        <w:pStyle w:val="3"/>
        <w:spacing w:line="265" w:lineRule="auto"/>
        <w:rPr>
          <w:color w:val="auto"/>
          <w:lang w:eastAsia="zh-CN"/>
        </w:rPr>
      </w:pPr>
    </w:p>
    <w:p>
      <w:pPr>
        <w:spacing w:before="92" w:line="226" w:lineRule="auto"/>
        <w:ind w:left="17"/>
        <w:outlineLvl w:val="1"/>
        <w:rPr>
          <w:rFonts w:ascii="黑体" w:hAnsi="黑体" w:eastAsia="黑体" w:cs="黑体"/>
          <w:color w:val="auto"/>
          <w:sz w:val="28"/>
          <w:szCs w:val="28"/>
          <w:lang w:eastAsia="zh-CN"/>
        </w:rPr>
      </w:pPr>
      <w:bookmarkStart w:id="392" w:name="bookmark393"/>
      <w:bookmarkEnd w:id="392"/>
      <w:r>
        <w:rPr>
          <w:rFonts w:ascii="黑体" w:hAnsi="黑体" w:eastAsia="黑体" w:cs="黑体"/>
          <w:color w:val="auto"/>
          <w:spacing w:val="-6"/>
          <w:sz w:val="28"/>
          <w:szCs w:val="28"/>
          <w:lang w:eastAsia="zh-CN"/>
        </w:rPr>
        <w:t>17.1计量</w:t>
      </w:r>
    </w:p>
    <w:p>
      <w:pPr>
        <w:spacing w:before="274"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17.1.1 计量单位</w:t>
      </w:r>
    </w:p>
    <w:p>
      <w:pPr>
        <w:spacing w:before="153" w:line="227"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计量采用国家法定的计量单位。</w:t>
      </w:r>
    </w:p>
    <w:p>
      <w:pPr>
        <w:spacing w:before="155" w:line="229"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17.1.2 计量方法</w:t>
      </w:r>
    </w:p>
    <w:p>
      <w:pPr>
        <w:spacing w:before="150" w:line="228" w:lineRule="auto"/>
        <w:jc w:val="right"/>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工程量清单中的工程量计算规则应按有关国家标准、行业标准的规定，并在合同中约定执行。</w:t>
      </w:r>
    </w:p>
    <w:p>
      <w:pPr>
        <w:spacing w:before="15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17.1.3 计量周期</w:t>
      </w:r>
    </w:p>
    <w:p>
      <w:pPr>
        <w:spacing w:before="153"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除专用合同条款另有约定外，单价子目已完成工程</w:t>
      </w:r>
      <w:r>
        <w:rPr>
          <w:rFonts w:ascii="宋体" w:hAnsi="宋体" w:eastAsia="宋体" w:cs="宋体"/>
          <w:color w:val="auto"/>
          <w:spacing w:val="8"/>
          <w:sz w:val="20"/>
          <w:szCs w:val="20"/>
          <w:lang w:eastAsia="zh-CN"/>
        </w:rPr>
        <w:t>量按月计量，总价子目的计量周期按批准</w:t>
      </w:r>
    </w:p>
    <w:p>
      <w:pPr>
        <w:spacing w:line="226" w:lineRule="auto"/>
        <w:rPr>
          <w:rFonts w:ascii="宋体" w:hAnsi="宋体" w:eastAsia="宋体" w:cs="宋体"/>
          <w:color w:val="auto"/>
          <w:sz w:val="20"/>
          <w:szCs w:val="20"/>
          <w:lang w:eastAsia="zh-CN"/>
        </w:rPr>
        <w:sectPr>
          <w:footerReference r:id="rId68"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ind w:left="1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的支付分解报告确定。</w:t>
      </w:r>
    </w:p>
    <w:p>
      <w:pPr>
        <w:spacing w:before="155"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17.1.4 单价子目的计量</w:t>
      </w:r>
    </w:p>
    <w:p>
      <w:pPr>
        <w:spacing w:before="155" w:line="298" w:lineRule="auto"/>
        <w:ind w:left="17" w:right="71" w:firstLine="41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（1）已标价工程量清单中的单价子目工程量为估算工程量。结算工程量是承包人实际完成</w:t>
      </w:r>
      <w:r>
        <w:rPr>
          <w:rFonts w:ascii="宋体" w:hAnsi="宋体" w:eastAsia="宋体" w:cs="宋体"/>
          <w:color w:val="auto"/>
          <w:spacing w:val="8"/>
          <w:sz w:val="20"/>
          <w:szCs w:val="20"/>
          <w:lang w:eastAsia="zh-CN"/>
        </w:rPr>
        <w:t>的，并按合同约定的计量方法进行计量的工程量。</w:t>
      </w:r>
    </w:p>
    <w:p>
      <w:pPr>
        <w:spacing w:before="154" w:line="299" w:lineRule="auto"/>
        <w:ind w:left="1" w:right="71"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（2）承包人对已完成的工程进行计量，向监理人提交进度付款申请单、已完成工程量报表</w:t>
      </w:r>
      <w:r>
        <w:rPr>
          <w:rFonts w:ascii="宋体" w:hAnsi="宋体" w:eastAsia="宋体" w:cs="宋体"/>
          <w:color w:val="auto"/>
          <w:spacing w:val="7"/>
          <w:sz w:val="20"/>
          <w:szCs w:val="20"/>
          <w:lang w:eastAsia="zh-CN"/>
        </w:rPr>
        <w:t>和有关计量资料。</w:t>
      </w:r>
    </w:p>
    <w:p>
      <w:pPr>
        <w:spacing w:before="150"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（3）监理人对承包人提交的工程量报表进行复核，以确定实际完成的工程量。对数量有异</w:t>
      </w:r>
      <w:r>
        <w:rPr>
          <w:rFonts w:ascii="宋体" w:hAnsi="宋体" w:eastAsia="宋体" w:cs="宋体"/>
          <w:color w:val="auto"/>
          <w:spacing w:val="8"/>
          <w:sz w:val="20"/>
          <w:szCs w:val="20"/>
          <w:lang w:eastAsia="zh-CN"/>
        </w:rPr>
        <w:t>议的，可要求承包人按第8.2款约定进行共同复核和抽样复测。承包人应协助监理人进行复核并</w:t>
      </w:r>
      <w:r>
        <w:rPr>
          <w:rFonts w:ascii="宋体" w:hAnsi="宋体" w:eastAsia="宋体" w:cs="宋体"/>
          <w:color w:val="auto"/>
          <w:spacing w:val="9"/>
          <w:sz w:val="20"/>
          <w:szCs w:val="20"/>
          <w:lang w:eastAsia="zh-CN"/>
        </w:rPr>
        <w:t>按监理人要求提供补充计量资料。承包人未按监理人要求参加复核，监理人复核或修正的</w:t>
      </w:r>
      <w:r>
        <w:rPr>
          <w:rFonts w:ascii="宋体" w:hAnsi="宋体" w:eastAsia="宋体" w:cs="宋体"/>
          <w:color w:val="auto"/>
          <w:spacing w:val="8"/>
          <w:sz w:val="20"/>
          <w:szCs w:val="20"/>
          <w:lang w:eastAsia="zh-CN"/>
        </w:rPr>
        <w:t>工程量视为承包人实际完成的工程量。</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（4）监理人认为有必要时，可通知承包人共同进行联合测量、计量，承包人应遵照执行。</w:t>
      </w:r>
    </w:p>
    <w:p>
      <w:pPr>
        <w:spacing w:before="154" w:line="334" w:lineRule="auto"/>
        <w:ind w:left="1" w:right="16" w:firstLine="429"/>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（5）承包人完成工程量清单中每个子目的工程量后，监理人应要求承包人派员共同对每个</w:t>
      </w:r>
      <w:r>
        <w:rPr>
          <w:rFonts w:ascii="宋体" w:hAnsi="宋体" w:eastAsia="宋体" w:cs="宋体"/>
          <w:color w:val="auto"/>
          <w:spacing w:val="5"/>
          <w:sz w:val="20"/>
          <w:szCs w:val="20"/>
          <w:lang w:eastAsia="zh-CN"/>
        </w:rPr>
        <w:t>子目的历次计量报表进行汇总，以核实最终结算工程量。监理人可要求承包人提供补充计量资料，</w:t>
      </w:r>
      <w:r>
        <w:rPr>
          <w:rFonts w:ascii="宋体" w:hAnsi="宋体" w:eastAsia="宋体" w:cs="宋体"/>
          <w:color w:val="auto"/>
          <w:spacing w:val="9"/>
          <w:sz w:val="20"/>
          <w:szCs w:val="20"/>
          <w:lang w:eastAsia="zh-CN"/>
        </w:rPr>
        <w:t>以确定最后一次进度付款的准确工程量。承包人未按监理人要求派员参加的，监理人最</w:t>
      </w:r>
      <w:r>
        <w:rPr>
          <w:rFonts w:ascii="宋体" w:hAnsi="宋体" w:eastAsia="宋体" w:cs="宋体"/>
          <w:color w:val="auto"/>
          <w:spacing w:val="8"/>
          <w:sz w:val="20"/>
          <w:szCs w:val="20"/>
          <w:lang w:eastAsia="zh-CN"/>
        </w:rPr>
        <w:t>终核实的工程量视为承包人完成该子目的准确工程量。</w:t>
      </w:r>
    </w:p>
    <w:p>
      <w:pPr>
        <w:spacing w:before="152" w:line="323" w:lineRule="auto"/>
        <w:ind w:left="1" w:right="70" w:firstLine="42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（6）监理人应在收到承包人提交的工程量报表后的7天内进行复核，监理人未在约定时间</w:t>
      </w:r>
      <w:r>
        <w:rPr>
          <w:rFonts w:ascii="宋体" w:hAnsi="宋体" w:eastAsia="宋体" w:cs="宋体"/>
          <w:color w:val="auto"/>
          <w:spacing w:val="9"/>
          <w:sz w:val="20"/>
          <w:szCs w:val="20"/>
          <w:lang w:eastAsia="zh-CN"/>
        </w:rPr>
        <w:t>内复核的，承包人提交的工程量报表中的工程量视为承包人实际完成的工程量，据此计</w:t>
      </w:r>
      <w:r>
        <w:rPr>
          <w:rFonts w:ascii="宋体" w:hAnsi="宋体" w:eastAsia="宋体" w:cs="宋体"/>
          <w:color w:val="auto"/>
          <w:spacing w:val="8"/>
          <w:sz w:val="20"/>
          <w:szCs w:val="20"/>
          <w:lang w:eastAsia="zh-CN"/>
        </w:rPr>
        <w:t>算工程价</w:t>
      </w:r>
      <w:r>
        <w:rPr>
          <w:rFonts w:ascii="宋体" w:hAnsi="宋体" w:eastAsia="宋体" w:cs="宋体"/>
          <w:color w:val="auto"/>
          <w:sz w:val="20"/>
          <w:szCs w:val="20"/>
          <w:lang w:eastAsia="zh-CN"/>
        </w:rPr>
        <w:t xml:space="preserve"> 款。</w:t>
      </w:r>
    </w:p>
    <w:p>
      <w:pPr>
        <w:spacing w:before="150" w:line="226" w:lineRule="auto"/>
        <w:ind w:left="436"/>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17.1.5 总价子目的计量</w:t>
      </w:r>
    </w:p>
    <w:p>
      <w:pPr>
        <w:spacing w:before="156" w:line="226" w:lineRule="auto"/>
        <w:ind w:left="43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除专用合同条款另有约定外，总价子目的分解和计量按照下述约定进行。</w:t>
      </w:r>
    </w:p>
    <w:p>
      <w:pPr>
        <w:spacing w:before="156" w:line="297" w:lineRule="auto"/>
        <w:ind w:left="5" w:right="70" w:firstLine="42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（1）总价子目的计量和支付应以总价为基础，不因第16.1款中的因素而进行调整。承包人</w:t>
      </w:r>
      <w:r>
        <w:rPr>
          <w:rFonts w:ascii="宋体" w:hAnsi="宋体" w:eastAsia="宋体" w:cs="宋体"/>
          <w:color w:val="auto"/>
          <w:spacing w:val="9"/>
          <w:sz w:val="20"/>
          <w:szCs w:val="20"/>
          <w:lang w:eastAsia="zh-CN"/>
        </w:rPr>
        <w:t>实际完成的工程量，是进行工程目标管理和控制进度支付的依据。</w:t>
      </w:r>
    </w:p>
    <w:p>
      <w:pPr>
        <w:spacing w:before="155" w:line="322"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（2）承包人在合同约定的每个计量周期内，对已完成的工程进行计量，并向监理人提交进</w:t>
      </w:r>
      <w:r>
        <w:rPr>
          <w:rFonts w:ascii="宋体" w:hAnsi="宋体" w:eastAsia="宋体" w:cs="宋体"/>
          <w:color w:val="auto"/>
          <w:spacing w:val="9"/>
          <w:sz w:val="20"/>
          <w:szCs w:val="20"/>
          <w:lang w:eastAsia="zh-CN"/>
        </w:rPr>
        <w:t>度付款申请单、专用合同条款约定的合同总价支付分解表所表示的阶段性或分项计量的支</w:t>
      </w:r>
      <w:r>
        <w:rPr>
          <w:rFonts w:ascii="宋体" w:hAnsi="宋体" w:eastAsia="宋体" w:cs="宋体"/>
          <w:color w:val="auto"/>
          <w:spacing w:val="8"/>
          <w:sz w:val="20"/>
          <w:szCs w:val="20"/>
          <w:lang w:eastAsia="zh-CN"/>
        </w:rPr>
        <w:t>持性资料，以及所达到工程形象目标或分阶段需完成的工程量和有关计量资料。</w:t>
      </w:r>
    </w:p>
    <w:p>
      <w:pPr>
        <w:spacing w:before="153" w:line="299" w:lineRule="auto"/>
        <w:ind w:left="8" w:right="71" w:firstLine="42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（3）监理人对承包人提交的上述资料进行复核，以确定分阶段实际完成的工程量和工程形</w:t>
      </w:r>
      <w:r>
        <w:rPr>
          <w:rFonts w:ascii="宋体" w:hAnsi="宋体" w:eastAsia="宋体" w:cs="宋体"/>
          <w:color w:val="auto"/>
          <w:spacing w:val="8"/>
          <w:sz w:val="20"/>
          <w:szCs w:val="20"/>
          <w:lang w:eastAsia="zh-CN"/>
        </w:rPr>
        <w:t>象目标。对其有异议的，可要求承包人按第8.2款约定进行共同复核和抽样复测。</w:t>
      </w:r>
    </w:p>
    <w:p>
      <w:pPr>
        <w:spacing w:before="15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（4）除按照第15条约定的变更外，总价子目的工程量是承包人用于结算的最终工程</w:t>
      </w:r>
      <w:r>
        <w:rPr>
          <w:rFonts w:ascii="宋体" w:hAnsi="宋体" w:eastAsia="宋体" w:cs="宋体"/>
          <w:color w:val="auto"/>
          <w:spacing w:val="7"/>
          <w:sz w:val="20"/>
          <w:szCs w:val="20"/>
          <w:lang w:eastAsia="zh-CN"/>
        </w:rPr>
        <w:t>量。</w:t>
      </w:r>
    </w:p>
    <w:p>
      <w:pPr>
        <w:spacing w:before="252" w:line="222" w:lineRule="auto"/>
        <w:ind w:left="17"/>
        <w:outlineLvl w:val="1"/>
        <w:rPr>
          <w:rFonts w:ascii="黑体" w:hAnsi="黑体" w:eastAsia="黑体" w:cs="黑体"/>
          <w:color w:val="auto"/>
          <w:sz w:val="28"/>
          <w:szCs w:val="28"/>
          <w:lang w:eastAsia="zh-CN"/>
        </w:rPr>
      </w:pPr>
      <w:bookmarkStart w:id="393" w:name="bookmark395"/>
      <w:bookmarkEnd w:id="393"/>
      <w:bookmarkStart w:id="394" w:name="bookmark396"/>
      <w:bookmarkEnd w:id="394"/>
      <w:r>
        <w:rPr>
          <w:rFonts w:ascii="黑体" w:hAnsi="黑体" w:eastAsia="黑体" w:cs="黑体"/>
          <w:color w:val="auto"/>
          <w:spacing w:val="-6"/>
          <w:sz w:val="28"/>
          <w:szCs w:val="28"/>
          <w:lang w:eastAsia="zh-CN"/>
        </w:rPr>
        <w:t>17.2预付款</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17.2.1预付款</w:t>
      </w:r>
    </w:p>
    <w:p>
      <w:pPr>
        <w:spacing w:before="152" w:line="355" w:lineRule="auto"/>
        <w:ind w:firstLine="42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预付款用于承包人为合同工程施工购置材料、工程设备、施工设备、修建临</w:t>
      </w:r>
      <w:r>
        <w:rPr>
          <w:rFonts w:ascii="宋体" w:hAnsi="宋体" w:eastAsia="宋体" w:cs="宋体"/>
          <w:color w:val="auto"/>
          <w:spacing w:val="8"/>
          <w:sz w:val="20"/>
          <w:szCs w:val="20"/>
          <w:lang w:eastAsia="zh-CN"/>
        </w:rPr>
        <w:t>时设施以及组织</w:t>
      </w:r>
      <w:r>
        <w:rPr>
          <w:rFonts w:ascii="宋体" w:hAnsi="宋体" w:eastAsia="宋体" w:cs="宋体"/>
          <w:color w:val="auto"/>
          <w:spacing w:val="6"/>
          <w:sz w:val="20"/>
          <w:szCs w:val="20"/>
          <w:lang w:eastAsia="zh-CN"/>
        </w:rPr>
        <w:t>施工队伍进场等。预付款的额度和预付办法在专用合同条款中约定。预</w:t>
      </w:r>
      <w:r>
        <w:rPr>
          <w:rFonts w:ascii="宋体" w:hAnsi="宋体" w:eastAsia="宋体" w:cs="宋体"/>
          <w:color w:val="auto"/>
          <w:spacing w:val="5"/>
          <w:sz w:val="20"/>
          <w:szCs w:val="20"/>
          <w:lang w:eastAsia="zh-CN"/>
        </w:rPr>
        <w:t>付款必须专用于合同工程。</w:t>
      </w:r>
    </w:p>
    <w:p>
      <w:pPr>
        <w:spacing w:line="355" w:lineRule="auto"/>
        <w:rPr>
          <w:rFonts w:ascii="宋体" w:hAnsi="宋体" w:eastAsia="宋体" w:cs="宋体"/>
          <w:color w:val="auto"/>
          <w:sz w:val="20"/>
          <w:szCs w:val="20"/>
          <w:lang w:eastAsia="zh-CN"/>
        </w:rPr>
        <w:sectPr>
          <w:footerReference r:id="rId6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17.2.2 预付款保函</w:t>
      </w:r>
    </w:p>
    <w:p>
      <w:pPr>
        <w:spacing w:before="154" w:line="355" w:lineRule="auto"/>
        <w:ind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除专用合同条款另有约定外，承包人应在收到预付</w:t>
      </w:r>
      <w:r>
        <w:rPr>
          <w:rFonts w:ascii="宋体" w:hAnsi="宋体" w:eastAsia="宋体" w:cs="宋体"/>
          <w:color w:val="auto"/>
          <w:spacing w:val="8"/>
          <w:sz w:val="20"/>
          <w:szCs w:val="20"/>
          <w:lang w:eastAsia="zh-CN"/>
        </w:rPr>
        <w:t>款的同时向发包人提交预付款保函，预付</w:t>
      </w:r>
      <w:r>
        <w:rPr>
          <w:rFonts w:ascii="宋体" w:hAnsi="宋体" w:eastAsia="宋体" w:cs="宋体"/>
          <w:color w:val="auto"/>
          <w:spacing w:val="9"/>
          <w:sz w:val="20"/>
          <w:szCs w:val="20"/>
          <w:lang w:eastAsia="zh-CN"/>
        </w:rPr>
        <w:t>款保函的担保金额应与预付款金额相同。保函的担保金额可根据预付款扣回的金额相应递减。</w:t>
      </w:r>
    </w:p>
    <w:p>
      <w:pPr>
        <w:spacing w:before="28"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17.2.3 预付款的扣回与还清</w:t>
      </w:r>
    </w:p>
    <w:p>
      <w:pPr>
        <w:spacing w:before="154" w:line="359" w:lineRule="auto"/>
        <w:ind w:left="2"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预付款在进度付款中扣回，扣回办法在专用合同条款中约定。在颁发工程接</w:t>
      </w:r>
      <w:r>
        <w:rPr>
          <w:rFonts w:ascii="宋体" w:hAnsi="宋体" w:eastAsia="宋体" w:cs="宋体"/>
          <w:color w:val="auto"/>
          <w:spacing w:val="8"/>
          <w:sz w:val="20"/>
          <w:szCs w:val="20"/>
          <w:lang w:eastAsia="zh-CN"/>
        </w:rPr>
        <w:t>收证书前，由于</w:t>
      </w:r>
      <w:r>
        <w:rPr>
          <w:rFonts w:ascii="宋体" w:hAnsi="宋体" w:eastAsia="宋体" w:cs="宋体"/>
          <w:color w:val="auto"/>
          <w:spacing w:val="9"/>
          <w:sz w:val="20"/>
          <w:szCs w:val="20"/>
          <w:lang w:eastAsia="zh-CN"/>
        </w:rPr>
        <w:t>不可抗力或其他原因解除合同时，预付款尚未扣清的，尚未扣清的预付款余额应作</w:t>
      </w:r>
      <w:r>
        <w:rPr>
          <w:rFonts w:ascii="宋体" w:hAnsi="宋体" w:eastAsia="宋体" w:cs="宋体"/>
          <w:color w:val="auto"/>
          <w:spacing w:val="8"/>
          <w:sz w:val="20"/>
          <w:szCs w:val="20"/>
          <w:lang w:eastAsia="zh-CN"/>
        </w:rPr>
        <w:t>为承包人的到</w:t>
      </w:r>
      <w:r>
        <w:rPr>
          <w:rFonts w:ascii="宋体" w:hAnsi="宋体" w:eastAsia="宋体" w:cs="宋体"/>
          <w:color w:val="auto"/>
          <w:spacing w:val="5"/>
          <w:sz w:val="20"/>
          <w:szCs w:val="20"/>
          <w:lang w:eastAsia="zh-CN"/>
        </w:rPr>
        <w:t>期应付款。</w:t>
      </w:r>
    </w:p>
    <w:p>
      <w:pPr>
        <w:spacing w:before="130" w:line="222" w:lineRule="auto"/>
        <w:ind w:left="17"/>
        <w:outlineLvl w:val="1"/>
        <w:rPr>
          <w:rFonts w:ascii="黑体" w:hAnsi="黑体" w:eastAsia="黑体" w:cs="黑体"/>
          <w:color w:val="auto"/>
          <w:sz w:val="28"/>
          <w:szCs w:val="28"/>
          <w:lang w:eastAsia="zh-CN"/>
        </w:rPr>
      </w:pPr>
      <w:bookmarkStart w:id="395" w:name="bookmark398"/>
      <w:bookmarkEnd w:id="395"/>
      <w:bookmarkStart w:id="396" w:name="bookmark397"/>
      <w:bookmarkEnd w:id="396"/>
      <w:r>
        <w:rPr>
          <w:rFonts w:ascii="黑体" w:hAnsi="黑体" w:eastAsia="黑体" w:cs="黑体"/>
          <w:color w:val="auto"/>
          <w:spacing w:val="-3"/>
          <w:sz w:val="28"/>
          <w:szCs w:val="28"/>
          <w:lang w:eastAsia="zh-CN"/>
        </w:rPr>
        <w:t>17.3 工程进度付款</w:t>
      </w:r>
    </w:p>
    <w:p>
      <w:pPr>
        <w:spacing w:before="279" w:line="228" w:lineRule="auto"/>
        <w:ind w:left="435"/>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17.3.1 付款周期</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付款周期同计量周期。</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17.3.2 进度付款申请单</w:t>
      </w:r>
    </w:p>
    <w:p>
      <w:pPr>
        <w:spacing w:before="155" w:line="359"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承包人应在每个付款周期末，按监理人批准的格式和专用合同条款约定的份数，</w:t>
      </w:r>
      <w:r>
        <w:rPr>
          <w:rFonts w:ascii="宋体" w:hAnsi="宋体" w:eastAsia="宋体" w:cs="宋体"/>
          <w:color w:val="auto"/>
          <w:spacing w:val="8"/>
          <w:sz w:val="20"/>
          <w:szCs w:val="20"/>
          <w:lang w:eastAsia="zh-CN"/>
        </w:rPr>
        <w:t>向监理人提</w:t>
      </w:r>
      <w:r>
        <w:rPr>
          <w:rFonts w:ascii="宋体" w:hAnsi="宋体" w:eastAsia="宋体" w:cs="宋体"/>
          <w:color w:val="auto"/>
          <w:spacing w:val="9"/>
          <w:sz w:val="20"/>
          <w:szCs w:val="20"/>
          <w:lang w:eastAsia="zh-CN"/>
        </w:rPr>
        <w:t>交进度付款申请单，并附相应的支持性证明文件。除专用合同条款另有约定外，进度付款</w:t>
      </w:r>
      <w:r>
        <w:rPr>
          <w:rFonts w:ascii="宋体" w:hAnsi="宋体" w:eastAsia="宋体" w:cs="宋体"/>
          <w:color w:val="auto"/>
          <w:spacing w:val="8"/>
          <w:sz w:val="20"/>
          <w:szCs w:val="20"/>
          <w:lang w:eastAsia="zh-CN"/>
        </w:rPr>
        <w:t>申请单</w:t>
      </w:r>
      <w:r>
        <w:rPr>
          <w:rFonts w:ascii="宋体" w:hAnsi="宋体" w:eastAsia="宋体" w:cs="宋体"/>
          <w:color w:val="auto"/>
          <w:spacing w:val="7"/>
          <w:sz w:val="20"/>
          <w:szCs w:val="20"/>
          <w:lang w:eastAsia="zh-CN"/>
        </w:rPr>
        <w:t>应包括下列内容：</w:t>
      </w:r>
    </w:p>
    <w:p>
      <w:pPr>
        <w:spacing w:before="33"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（1）截至本次付款周期末已实施工程的价款；</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（2）根据第15条应增加和扣减的变更金额；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（3）根据第23条应增加和扣减的索赔金额；</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（4）根据第17.2款约定应支付的预付款和扣减的返还预付</w:t>
      </w:r>
      <w:r>
        <w:rPr>
          <w:rFonts w:ascii="宋体" w:hAnsi="宋体" w:eastAsia="宋体" w:cs="宋体"/>
          <w:color w:val="auto"/>
          <w:spacing w:val="6"/>
          <w:sz w:val="20"/>
          <w:szCs w:val="20"/>
          <w:lang w:eastAsia="zh-CN"/>
        </w:rPr>
        <w:t>款；</w:t>
      </w:r>
    </w:p>
    <w:p>
      <w:pPr>
        <w:spacing w:before="152" w:line="228"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（5）根据第17.4.1项约定应扣减的质</w:t>
      </w:r>
      <w:r>
        <w:rPr>
          <w:rFonts w:ascii="宋体" w:hAnsi="宋体" w:eastAsia="宋体" w:cs="宋体"/>
          <w:color w:val="auto"/>
          <w:spacing w:val="5"/>
          <w:sz w:val="20"/>
          <w:szCs w:val="20"/>
          <w:lang w:eastAsia="zh-CN"/>
        </w:rPr>
        <w:t>量保证金；</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（6）根据合同应增加和扣减的其他金额。</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17.3.3 进度付款证书和支付时间</w:t>
      </w:r>
    </w:p>
    <w:p>
      <w:pPr>
        <w:spacing w:before="152" w:line="334" w:lineRule="auto"/>
        <w:ind w:firstLine="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（1）监理人在收到承包人进度付款申请单以及相应的支持性证明文件后的14天内完成</w:t>
      </w:r>
      <w:r>
        <w:rPr>
          <w:rFonts w:ascii="宋体" w:hAnsi="宋体" w:eastAsia="宋体" w:cs="宋体"/>
          <w:color w:val="auto"/>
          <w:spacing w:val="5"/>
          <w:sz w:val="20"/>
          <w:szCs w:val="20"/>
          <w:lang w:eastAsia="zh-CN"/>
        </w:rPr>
        <w:t>核查，</w:t>
      </w:r>
      <w:r>
        <w:rPr>
          <w:rFonts w:ascii="宋体" w:hAnsi="宋体" w:eastAsia="宋体" w:cs="宋体"/>
          <w:color w:val="auto"/>
          <w:spacing w:val="9"/>
          <w:sz w:val="20"/>
          <w:szCs w:val="20"/>
          <w:lang w:eastAsia="zh-CN"/>
        </w:rPr>
        <w:t>提出发包人到期应支付给承包人的金额以及相应的支持性材料，经发包人审查同意后，</w:t>
      </w:r>
      <w:r>
        <w:rPr>
          <w:rFonts w:ascii="宋体" w:hAnsi="宋体" w:eastAsia="宋体" w:cs="宋体"/>
          <w:color w:val="auto"/>
          <w:spacing w:val="8"/>
          <w:sz w:val="20"/>
          <w:szCs w:val="20"/>
          <w:lang w:eastAsia="zh-CN"/>
        </w:rPr>
        <w:t>由监理人</w:t>
      </w:r>
      <w:r>
        <w:rPr>
          <w:rFonts w:ascii="宋体" w:hAnsi="宋体" w:eastAsia="宋体" w:cs="宋体"/>
          <w:color w:val="auto"/>
          <w:spacing w:val="9"/>
          <w:sz w:val="20"/>
          <w:szCs w:val="20"/>
          <w:lang w:eastAsia="zh-CN"/>
        </w:rPr>
        <w:t>向承包人出具经发包人签认的进度付款证书。监理人有权扣发承包人未能按照合同要求</w:t>
      </w:r>
      <w:r>
        <w:rPr>
          <w:rFonts w:ascii="宋体" w:hAnsi="宋体" w:eastAsia="宋体" w:cs="宋体"/>
          <w:color w:val="auto"/>
          <w:spacing w:val="8"/>
          <w:sz w:val="20"/>
          <w:szCs w:val="20"/>
          <w:lang w:eastAsia="zh-CN"/>
        </w:rPr>
        <w:t>履行任何工作或义务的相应金额。</w:t>
      </w:r>
    </w:p>
    <w:p>
      <w:pPr>
        <w:spacing w:before="15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（2）发包人应在监理人收到进度付款申请单后的28天内，将</w:t>
      </w:r>
      <w:r>
        <w:rPr>
          <w:rFonts w:ascii="宋体" w:hAnsi="宋体" w:eastAsia="宋体" w:cs="宋体"/>
          <w:color w:val="auto"/>
          <w:spacing w:val="7"/>
          <w:sz w:val="20"/>
          <w:szCs w:val="20"/>
          <w:lang w:eastAsia="zh-CN"/>
        </w:rPr>
        <w:t>进度应付款支付给承包人。发</w:t>
      </w:r>
      <w:r>
        <w:rPr>
          <w:rFonts w:ascii="宋体" w:hAnsi="宋体" w:eastAsia="宋体" w:cs="宋体"/>
          <w:color w:val="auto"/>
          <w:spacing w:val="9"/>
          <w:sz w:val="20"/>
          <w:szCs w:val="20"/>
          <w:lang w:eastAsia="zh-CN"/>
        </w:rPr>
        <w:t>包人不按期支付的，按专用合同条款的约定支付逾期付款违约金。</w:t>
      </w:r>
    </w:p>
    <w:p>
      <w:pPr>
        <w:spacing w:before="152" w:line="299" w:lineRule="auto"/>
        <w:ind w:left="2"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（3）监理人出具进度付款证书，不应视为监理人已同意、批准或接受了承包人完成的该部</w:t>
      </w:r>
      <w:r>
        <w:rPr>
          <w:rFonts w:ascii="宋体" w:hAnsi="宋体" w:eastAsia="宋体" w:cs="宋体"/>
          <w:color w:val="auto"/>
          <w:spacing w:val="4"/>
          <w:sz w:val="20"/>
          <w:szCs w:val="20"/>
          <w:lang w:eastAsia="zh-CN"/>
        </w:rPr>
        <w:t xml:space="preserve"> 分工作。</w:t>
      </w:r>
    </w:p>
    <w:p>
      <w:pPr>
        <w:spacing w:before="153" w:line="298" w:lineRule="auto"/>
        <w:ind w:left="5" w:right="54"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（4）进度付款涉及政府投资资金的，按照国库集中支付等国家相关规定和专用合同条款的</w:t>
      </w:r>
      <w:r>
        <w:rPr>
          <w:rFonts w:ascii="宋体" w:hAnsi="宋体" w:eastAsia="宋体" w:cs="宋体"/>
          <w:color w:val="auto"/>
          <w:spacing w:val="4"/>
          <w:sz w:val="20"/>
          <w:szCs w:val="20"/>
          <w:lang w:eastAsia="zh-CN"/>
        </w:rPr>
        <w:t xml:space="preserve"> 约定办理。</w:t>
      </w:r>
    </w:p>
    <w:p>
      <w:pPr>
        <w:spacing w:before="154" w:line="228"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17.3.4 工程进度付款的修正</w:t>
      </w:r>
    </w:p>
    <w:p>
      <w:pPr>
        <w:spacing w:line="228" w:lineRule="auto"/>
        <w:rPr>
          <w:rFonts w:ascii="宋体" w:hAnsi="宋体" w:eastAsia="宋体" w:cs="宋体"/>
          <w:color w:val="auto"/>
          <w:sz w:val="20"/>
          <w:szCs w:val="20"/>
          <w:lang w:eastAsia="zh-CN"/>
        </w:rPr>
        <w:sectPr>
          <w:footerReference r:id="rId70"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355" w:lineRule="auto"/>
        <w:ind w:left="23" w:firstLine="39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在对以往历次已签发的进度付款证书进行汇总和复核中发现错、漏或重复的，监</w:t>
      </w:r>
      <w:r>
        <w:rPr>
          <w:rFonts w:ascii="宋体" w:hAnsi="宋体" w:eastAsia="宋体" w:cs="宋体"/>
          <w:color w:val="auto"/>
          <w:spacing w:val="8"/>
          <w:sz w:val="20"/>
          <w:szCs w:val="20"/>
          <w:lang w:eastAsia="zh-CN"/>
        </w:rPr>
        <w:t>理人有权予</w:t>
      </w:r>
      <w:r>
        <w:rPr>
          <w:rFonts w:ascii="宋体" w:hAnsi="宋体" w:eastAsia="宋体" w:cs="宋体"/>
          <w:color w:val="auto"/>
          <w:spacing w:val="5"/>
          <w:sz w:val="20"/>
          <w:szCs w:val="20"/>
          <w:lang w:eastAsia="zh-CN"/>
        </w:rPr>
        <w:t>以修正，承包人也有权提出修正申请。经双方复核同意的修正，应在本次进度付款中支付或扣除。</w:t>
      </w:r>
    </w:p>
    <w:p>
      <w:pPr>
        <w:spacing w:before="126" w:line="223" w:lineRule="auto"/>
        <w:ind w:left="17"/>
        <w:outlineLvl w:val="1"/>
        <w:rPr>
          <w:rFonts w:ascii="黑体" w:hAnsi="黑体" w:eastAsia="黑体" w:cs="黑体"/>
          <w:color w:val="auto"/>
          <w:sz w:val="28"/>
          <w:szCs w:val="28"/>
          <w:lang w:eastAsia="zh-CN"/>
        </w:rPr>
      </w:pPr>
      <w:bookmarkStart w:id="397" w:name="bookmark400"/>
      <w:bookmarkEnd w:id="397"/>
      <w:bookmarkStart w:id="398" w:name="bookmark399"/>
      <w:bookmarkEnd w:id="398"/>
      <w:r>
        <w:rPr>
          <w:rFonts w:ascii="黑体" w:hAnsi="黑体" w:eastAsia="黑体" w:cs="黑体"/>
          <w:color w:val="auto"/>
          <w:spacing w:val="-3"/>
          <w:sz w:val="28"/>
          <w:szCs w:val="28"/>
          <w:lang w:eastAsia="zh-CN"/>
        </w:rPr>
        <w:t>17.4 质量保证金</w:t>
      </w:r>
    </w:p>
    <w:p>
      <w:pPr>
        <w:spacing w:before="278" w:line="322" w:lineRule="auto"/>
        <w:ind w:right="68"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17.4.1 监理人应从第一个付款周期开始，在发包人的进度付款中，按专用合同条款的约定</w:t>
      </w:r>
      <w:r>
        <w:rPr>
          <w:rFonts w:ascii="宋体" w:hAnsi="宋体" w:eastAsia="宋体" w:cs="宋体"/>
          <w:color w:val="auto"/>
          <w:spacing w:val="9"/>
          <w:sz w:val="20"/>
          <w:szCs w:val="20"/>
          <w:lang w:eastAsia="zh-CN"/>
        </w:rPr>
        <w:t>扣留质量保证金，直至扣留的质量保证金总额达到专用合同条款约定的金额或比例为止。</w:t>
      </w:r>
      <w:r>
        <w:rPr>
          <w:rFonts w:ascii="宋体" w:hAnsi="宋体" w:eastAsia="宋体" w:cs="宋体"/>
          <w:color w:val="auto"/>
          <w:spacing w:val="8"/>
          <w:sz w:val="20"/>
          <w:szCs w:val="20"/>
          <w:lang w:eastAsia="zh-CN"/>
        </w:rPr>
        <w:t>质量保</w:t>
      </w:r>
      <w:r>
        <w:rPr>
          <w:rFonts w:ascii="宋体" w:hAnsi="宋体" w:eastAsia="宋体" w:cs="宋体"/>
          <w:color w:val="auto"/>
          <w:spacing w:val="9"/>
          <w:sz w:val="20"/>
          <w:szCs w:val="20"/>
          <w:lang w:eastAsia="zh-CN"/>
        </w:rPr>
        <w:t>证金的计算额度不包括预付款的支付、扣回以及价格调整的金额。</w:t>
      </w:r>
    </w:p>
    <w:p>
      <w:pPr>
        <w:spacing w:before="151" w:line="323" w:lineRule="auto"/>
        <w:ind w:right="71"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17.4.2 在第1.1.4.5 目约定的缺陷责任期满时，承包</w:t>
      </w:r>
      <w:r>
        <w:rPr>
          <w:rFonts w:ascii="宋体" w:hAnsi="宋体" w:eastAsia="宋体" w:cs="宋体"/>
          <w:color w:val="auto"/>
          <w:spacing w:val="7"/>
          <w:sz w:val="20"/>
          <w:szCs w:val="20"/>
          <w:lang w:eastAsia="zh-CN"/>
        </w:rPr>
        <w:t>人向发包人申请到期应返还承包人剩</w:t>
      </w:r>
      <w:r>
        <w:rPr>
          <w:rFonts w:ascii="宋体" w:hAnsi="宋体" w:eastAsia="宋体" w:cs="宋体"/>
          <w:color w:val="auto"/>
          <w:spacing w:val="10"/>
          <w:sz w:val="20"/>
          <w:szCs w:val="20"/>
          <w:lang w:eastAsia="zh-CN"/>
        </w:rPr>
        <w:t>余的质量保证金金额，发包人应在14天内会同承包人按照合同约定的内容核实承包人是否完成</w:t>
      </w:r>
      <w:r>
        <w:rPr>
          <w:rFonts w:ascii="宋体" w:hAnsi="宋体" w:eastAsia="宋体" w:cs="宋体"/>
          <w:color w:val="auto"/>
          <w:spacing w:val="9"/>
          <w:sz w:val="20"/>
          <w:szCs w:val="20"/>
          <w:lang w:eastAsia="zh-CN"/>
        </w:rPr>
        <w:t>缺陷责任。如无异议，发包人应当在核实后将剩余保证金返还承包人。</w:t>
      </w:r>
    </w:p>
    <w:p>
      <w:pPr>
        <w:spacing w:before="150" w:line="323" w:lineRule="auto"/>
        <w:ind w:right="70" w:firstLine="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17.4.3 在第1.1.4.5 目约定的缺陷责任期满时，承包</w:t>
      </w:r>
      <w:r>
        <w:rPr>
          <w:rFonts w:ascii="宋体" w:hAnsi="宋体" w:eastAsia="宋体" w:cs="宋体"/>
          <w:color w:val="auto"/>
          <w:spacing w:val="7"/>
          <w:sz w:val="20"/>
          <w:szCs w:val="20"/>
          <w:lang w:eastAsia="zh-CN"/>
        </w:rPr>
        <w:t>人没有完成缺陷责任的，发包人有权</w:t>
      </w:r>
      <w:r>
        <w:rPr>
          <w:rFonts w:ascii="宋体" w:hAnsi="宋体" w:eastAsia="宋体" w:cs="宋体"/>
          <w:color w:val="auto"/>
          <w:spacing w:val="10"/>
          <w:sz w:val="20"/>
          <w:szCs w:val="20"/>
          <w:lang w:eastAsia="zh-CN"/>
        </w:rPr>
        <w:t>扣留与未履行责任剩余工作所需金额相应的质量保证金余额，并有权根据第19.3款约定要求延</w:t>
      </w:r>
      <w:r>
        <w:rPr>
          <w:rFonts w:ascii="宋体" w:hAnsi="宋体" w:eastAsia="宋体" w:cs="宋体"/>
          <w:color w:val="auto"/>
          <w:spacing w:val="8"/>
          <w:sz w:val="20"/>
          <w:szCs w:val="20"/>
          <w:lang w:eastAsia="zh-CN"/>
        </w:rPr>
        <w:t>长缺陷责任期，直至完成剩余工作为止。</w:t>
      </w:r>
    </w:p>
    <w:p>
      <w:pPr>
        <w:spacing w:before="248" w:line="222" w:lineRule="auto"/>
        <w:ind w:left="17"/>
        <w:outlineLvl w:val="1"/>
        <w:rPr>
          <w:rFonts w:ascii="黑体" w:hAnsi="黑体" w:eastAsia="黑体" w:cs="黑体"/>
          <w:color w:val="auto"/>
          <w:sz w:val="28"/>
          <w:szCs w:val="28"/>
          <w:lang w:eastAsia="zh-CN"/>
        </w:rPr>
      </w:pPr>
      <w:bookmarkStart w:id="399" w:name="bookmark402"/>
      <w:bookmarkEnd w:id="399"/>
      <w:bookmarkStart w:id="400" w:name="bookmark401"/>
      <w:bookmarkEnd w:id="400"/>
      <w:r>
        <w:rPr>
          <w:rFonts w:ascii="黑体" w:hAnsi="黑体" w:eastAsia="黑体" w:cs="黑体"/>
          <w:color w:val="auto"/>
          <w:spacing w:val="-3"/>
          <w:sz w:val="28"/>
          <w:szCs w:val="28"/>
          <w:lang w:eastAsia="zh-CN"/>
        </w:rPr>
        <w:t>17.5 竣工结算</w:t>
      </w:r>
    </w:p>
    <w:p>
      <w:pPr>
        <w:spacing w:before="280" w:line="228" w:lineRule="auto"/>
        <w:ind w:left="435"/>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17.5.1 竣工付款申请单</w:t>
      </w:r>
    </w:p>
    <w:p>
      <w:pPr>
        <w:spacing w:before="153" w:line="334" w:lineRule="auto"/>
        <w:ind w:right="70"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（1）工程接收证书颁发后，承包人应按专用合同条款约定的份数和期限向监理人提交竣工</w:t>
      </w:r>
      <w:r>
        <w:rPr>
          <w:rFonts w:ascii="宋体" w:hAnsi="宋体" w:eastAsia="宋体" w:cs="宋体"/>
          <w:color w:val="auto"/>
          <w:spacing w:val="9"/>
          <w:sz w:val="20"/>
          <w:szCs w:val="20"/>
          <w:lang w:eastAsia="zh-CN"/>
        </w:rPr>
        <w:t>付款申请单，并提供相关证明材料。除专用合同条款另有约定外，竣工付款申请单应包</w:t>
      </w:r>
      <w:r>
        <w:rPr>
          <w:rFonts w:ascii="宋体" w:hAnsi="宋体" w:eastAsia="宋体" w:cs="宋体"/>
          <w:color w:val="auto"/>
          <w:spacing w:val="8"/>
          <w:sz w:val="20"/>
          <w:szCs w:val="20"/>
          <w:lang w:eastAsia="zh-CN"/>
        </w:rPr>
        <w:t>括下列内</w:t>
      </w:r>
      <w:r>
        <w:rPr>
          <w:rFonts w:ascii="宋体" w:hAnsi="宋体" w:eastAsia="宋体" w:cs="宋体"/>
          <w:color w:val="auto"/>
          <w:spacing w:val="9"/>
          <w:sz w:val="20"/>
          <w:szCs w:val="20"/>
          <w:lang w:eastAsia="zh-CN"/>
        </w:rPr>
        <w:t>容：竣工结算合同总价、发包人已支付承包人的工程价款、应扣留的质量保证金、应支</w:t>
      </w:r>
      <w:r>
        <w:rPr>
          <w:rFonts w:ascii="宋体" w:hAnsi="宋体" w:eastAsia="宋体" w:cs="宋体"/>
          <w:color w:val="auto"/>
          <w:spacing w:val="8"/>
          <w:sz w:val="20"/>
          <w:szCs w:val="20"/>
          <w:lang w:eastAsia="zh-CN"/>
        </w:rPr>
        <w:t>付的竣工</w:t>
      </w:r>
      <w:r>
        <w:rPr>
          <w:rFonts w:ascii="宋体" w:hAnsi="宋体" w:eastAsia="宋体" w:cs="宋体"/>
          <w:color w:val="auto"/>
          <w:spacing w:val="5"/>
          <w:sz w:val="20"/>
          <w:szCs w:val="20"/>
          <w:lang w:eastAsia="zh-CN"/>
        </w:rPr>
        <w:t>付款金额。</w:t>
      </w:r>
    </w:p>
    <w:p>
      <w:pPr>
        <w:spacing w:before="152" w:line="299" w:lineRule="auto"/>
        <w:ind w:left="2" w:right="71"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（2）监理人对竣工付款申请单有异议的，有权要求承包人进行修正和提供补充资料。经监</w:t>
      </w:r>
      <w:r>
        <w:rPr>
          <w:rFonts w:ascii="宋体" w:hAnsi="宋体" w:eastAsia="宋体" w:cs="宋体"/>
          <w:color w:val="auto"/>
          <w:spacing w:val="8"/>
          <w:sz w:val="20"/>
          <w:szCs w:val="20"/>
          <w:lang w:eastAsia="zh-CN"/>
        </w:rPr>
        <w:t>理人和承包人协商后，由承包人向监理人提交修正后的竣工付款申请</w:t>
      </w:r>
      <w:r>
        <w:rPr>
          <w:rFonts w:ascii="宋体" w:hAnsi="宋体" w:eastAsia="宋体" w:cs="宋体"/>
          <w:color w:val="auto"/>
          <w:spacing w:val="7"/>
          <w:sz w:val="20"/>
          <w:szCs w:val="20"/>
          <w:lang w:eastAsia="zh-CN"/>
        </w:rPr>
        <w:t>单。</w:t>
      </w:r>
    </w:p>
    <w:p>
      <w:pPr>
        <w:spacing w:before="154" w:line="227" w:lineRule="auto"/>
        <w:ind w:left="43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17.5.2 竣工付款证书及支付时间</w:t>
      </w:r>
    </w:p>
    <w:p>
      <w:pPr>
        <w:spacing w:before="151" w:line="341" w:lineRule="auto"/>
        <w:ind w:right="70"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（1）监理人在收到承包人提交的竣工付款申请单后的14天内完成核查，提出发包人到期应</w:t>
      </w:r>
      <w:r>
        <w:rPr>
          <w:rFonts w:ascii="宋体" w:hAnsi="宋体" w:eastAsia="宋体" w:cs="宋体"/>
          <w:color w:val="auto"/>
          <w:spacing w:val="9"/>
          <w:sz w:val="20"/>
          <w:szCs w:val="20"/>
          <w:lang w:eastAsia="zh-CN"/>
        </w:rPr>
        <w:t>支付给承包人的价款送发包人审核并抄送承包人。发包人应在收到后14天内审核完毕，由监理人向承包人出具经发包人签认的竣工付款证书。监理人未在约定时间内核查，又未提出</w:t>
      </w:r>
      <w:r>
        <w:rPr>
          <w:rFonts w:ascii="宋体" w:hAnsi="宋体" w:eastAsia="宋体" w:cs="宋体"/>
          <w:color w:val="auto"/>
          <w:spacing w:val="8"/>
          <w:sz w:val="20"/>
          <w:szCs w:val="20"/>
          <w:lang w:eastAsia="zh-CN"/>
        </w:rPr>
        <w:t>具体意见</w:t>
      </w:r>
      <w:r>
        <w:rPr>
          <w:rFonts w:ascii="宋体" w:hAnsi="宋体" w:eastAsia="宋体" w:cs="宋体"/>
          <w:color w:val="auto"/>
          <w:spacing w:val="9"/>
          <w:sz w:val="20"/>
          <w:szCs w:val="20"/>
          <w:lang w:eastAsia="zh-CN"/>
        </w:rPr>
        <w:t>的，视为承包人提交的竣工付款申请单已经监理人核查同意；发包人未在约定时间内审</w:t>
      </w:r>
      <w:r>
        <w:rPr>
          <w:rFonts w:ascii="宋体" w:hAnsi="宋体" w:eastAsia="宋体" w:cs="宋体"/>
          <w:color w:val="auto"/>
          <w:spacing w:val="8"/>
          <w:sz w:val="20"/>
          <w:szCs w:val="20"/>
          <w:lang w:eastAsia="zh-CN"/>
        </w:rPr>
        <w:t>核又未提</w:t>
      </w:r>
      <w:r>
        <w:rPr>
          <w:rFonts w:ascii="宋体" w:hAnsi="宋体" w:eastAsia="宋体" w:cs="宋体"/>
          <w:color w:val="auto"/>
          <w:spacing w:val="9"/>
          <w:sz w:val="20"/>
          <w:szCs w:val="20"/>
          <w:lang w:eastAsia="zh-CN"/>
        </w:rPr>
        <w:t>出具体意见的，监理人提出发包人到期应支付给承包人的价款视为已经发包人同意。</w:t>
      </w:r>
    </w:p>
    <w:p>
      <w:pPr>
        <w:spacing w:before="155" w:line="298" w:lineRule="auto"/>
        <w:ind w:left="3" w:right="70"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（2）发包人应在监理人出具竣工付款证书后的14天内，将应支付款支付给承包人。发包人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98" w:lineRule="auto"/>
        <w:ind w:left="1" w:right="7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（3）承包人对发包人签认的竣工付款证书有异议的，发包人可出具竣工付款申请单中承包</w:t>
      </w:r>
      <w:r>
        <w:rPr>
          <w:rFonts w:ascii="宋体" w:hAnsi="宋体" w:eastAsia="宋体" w:cs="宋体"/>
          <w:color w:val="auto"/>
          <w:spacing w:val="8"/>
          <w:sz w:val="20"/>
          <w:szCs w:val="20"/>
          <w:lang w:eastAsia="zh-CN"/>
        </w:rPr>
        <w:t>人已同意部分的临时付款证书。存在争议的部分，按第24条的约定办理。</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（4）竣工付款涉及政府投资资金的，按第17.3.3 (4 )目的约定办理。</w:t>
      </w:r>
    </w:p>
    <w:p>
      <w:pPr>
        <w:spacing w:line="227" w:lineRule="auto"/>
        <w:rPr>
          <w:rFonts w:ascii="宋体" w:hAnsi="宋体" w:eastAsia="宋体" w:cs="宋体"/>
          <w:color w:val="auto"/>
          <w:sz w:val="20"/>
          <w:szCs w:val="20"/>
          <w:lang w:eastAsia="zh-CN"/>
        </w:rPr>
        <w:sectPr>
          <w:footerReference r:id="rId71" w:type="default"/>
          <w:pgSz w:w="11906" w:h="16839"/>
          <w:pgMar w:top="1431" w:right="1462" w:bottom="1468" w:left="1596" w:header="0" w:footer="1306" w:gutter="0"/>
          <w:cols w:space="720" w:num="1"/>
          <w:docGrid w:linePitch="0" w:charSpace="0"/>
        </w:sectPr>
      </w:pPr>
    </w:p>
    <w:p>
      <w:pPr>
        <w:pStyle w:val="3"/>
        <w:spacing w:line="425" w:lineRule="auto"/>
        <w:rPr>
          <w:color w:val="auto"/>
          <w:lang w:eastAsia="zh-CN"/>
        </w:rPr>
      </w:pPr>
    </w:p>
    <w:p>
      <w:pPr>
        <w:spacing w:before="91" w:line="224" w:lineRule="auto"/>
        <w:ind w:left="16"/>
        <w:outlineLvl w:val="1"/>
        <w:rPr>
          <w:rFonts w:ascii="黑体" w:hAnsi="黑体" w:eastAsia="黑体" w:cs="黑体"/>
          <w:color w:val="auto"/>
          <w:sz w:val="28"/>
          <w:szCs w:val="28"/>
          <w:lang w:eastAsia="zh-CN"/>
        </w:rPr>
      </w:pPr>
      <w:bookmarkStart w:id="401" w:name="bookmark403"/>
      <w:bookmarkEnd w:id="401"/>
      <w:bookmarkStart w:id="402" w:name="bookmark404"/>
      <w:bookmarkEnd w:id="402"/>
      <w:r>
        <w:rPr>
          <w:rFonts w:ascii="黑体" w:hAnsi="黑体" w:eastAsia="黑体" w:cs="黑体"/>
          <w:color w:val="auto"/>
          <w:spacing w:val="-6"/>
          <w:sz w:val="28"/>
          <w:szCs w:val="28"/>
          <w:lang w:eastAsia="zh-CN"/>
        </w:rPr>
        <w:t>17.6最终结清</w:t>
      </w:r>
    </w:p>
    <w:p>
      <w:pPr>
        <w:spacing w:before="276" w:line="228" w:lineRule="auto"/>
        <w:ind w:left="434"/>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17.6.1 最终结清申请单</w:t>
      </w:r>
    </w:p>
    <w:p>
      <w:pPr>
        <w:spacing w:before="154" w:line="297" w:lineRule="auto"/>
        <w:ind w:left="3" w:right="2"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（1）缺陷责任期终止证书签发后，承包人可按专用合同条款约定的份数和期限向监理人提</w:t>
      </w:r>
      <w:r>
        <w:rPr>
          <w:rFonts w:ascii="宋体" w:hAnsi="宋体" w:eastAsia="宋体" w:cs="宋体"/>
          <w:color w:val="auto"/>
          <w:spacing w:val="8"/>
          <w:sz w:val="20"/>
          <w:szCs w:val="20"/>
          <w:lang w:eastAsia="zh-CN"/>
        </w:rPr>
        <w:t>交最终结清申请单，并提供相关证明材料。</w:t>
      </w:r>
    </w:p>
    <w:p>
      <w:pPr>
        <w:spacing w:before="154" w:line="299" w:lineRule="auto"/>
        <w:ind w:left="24" w:right="53" w:firstLine="40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（2）发包人对最终结清申请单内容有异议的，有权要求承包人进行修正和</w:t>
      </w:r>
      <w:r>
        <w:rPr>
          <w:rFonts w:ascii="宋体" w:hAnsi="宋体" w:eastAsia="宋体" w:cs="宋体"/>
          <w:color w:val="auto"/>
          <w:spacing w:val="9"/>
          <w:sz w:val="20"/>
          <w:szCs w:val="20"/>
          <w:lang w:eastAsia="zh-CN"/>
        </w:rPr>
        <w:t>提供补充资料，</w:t>
      </w:r>
      <w:r>
        <w:rPr>
          <w:rFonts w:ascii="宋体" w:hAnsi="宋体" w:eastAsia="宋体" w:cs="宋体"/>
          <w:color w:val="auto"/>
          <w:spacing w:val="8"/>
          <w:sz w:val="20"/>
          <w:szCs w:val="20"/>
          <w:lang w:eastAsia="zh-CN"/>
        </w:rPr>
        <w:t>由承包人向监理人提交修正后的最终结清申请</w:t>
      </w:r>
      <w:r>
        <w:rPr>
          <w:rFonts w:ascii="宋体" w:hAnsi="宋体" w:eastAsia="宋体" w:cs="宋体"/>
          <w:color w:val="auto"/>
          <w:spacing w:val="7"/>
          <w:sz w:val="20"/>
          <w:szCs w:val="20"/>
          <w:lang w:eastAsia="zh-CN"/>
        </w:rPr>
        <w:t>单。</w:t>
      </w:r>
    </w:p>
    <w:p>
      <w:pPr>
        <w:spacing w:before="152" w:line="227" w:lineRule="auto"/>
        <w:ind w:left="434"/>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17.6.2 最终结清证书和支付时间</w:t>
      </w:r>
    </w:p>
    <w:p>
      <w:pPr>
        <w:spacing w:before="153" w:line="341" w:lineRule="auto"/>
        <w:ind w:right="2" w:firstLine="42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（1）监理人收到承包人提交的最终结清申请单后的14天内，提出发包人应支付给承包人的</w:t>
      </w:r>
      <w:r>
        <w:rPr>
          <w:rFonts w:ascii="宋体" w:hAnsi="宋体" w:eastAsia="宋体" w:cs="宋体"/>
          <w:color w:val="auto"/>
          <w:spacing w:val="9"/>
          <w:sz w:val="20"/>
          <w:szCs w:val="20"/>
          <w:lang w:eastAsia="zh-CN"/>
        </w:rPr>
        <w:t>价款送发包人审核并抄送承包人。发包人应在收到后14天内审核完毕，由监理人向承包人出具经发包人签认的最终结清证书。监理人未在约定时间内核查，又未提出具体意见的，视</w:t>
      </w:r>
      <w:r>
        <w:rPr>
          <w:rFonts w:ascii="宋体" w:hAnsi="宋体" w:eastAsia="宋体" w:cs="宋体"/>
          <w:color w:val="auto"/>
          <w:spacing w:val="8"/>
          <w:sz w:val="20"/>
          <w:szCs w:val="20"/>
          <w:lang w:eastAsia="zh-CN"/>
        </w:rPr>
        <w:t>为承包人</w:t>
      </w:r>
      <w:r>
        <w:rPr>
          <w:rFonts w:ascii="宋体" w:hAnsi="宋体" w:eastAsia="宋体" w:cs="宋体"/>
          <w:color w:val="auto"/>
          <w:spacing w:val="9"/>
          <w:sz w:val="20"/>
          <w:szCs w:val="20"/>
          <w:lang w:eastAsia="zh-CN"/>
        </w:rPr>
        <w:t>提交的最终结清申请已经监理人核查同意；发包人未在约定时间内审核又未提出具体意</w:t>
      </w:r>
      <w:r>
        <w:rPr>
          <w:rFonts w:ascii="宋体" w:hAnsi="宋体" w:eastAsia="宋体" w:cs="宋体"/>
          <w:color w:val="auto"/>
          <w:spacing w:val="8"/>
          <w:sz w:val="20"/>
          <w:szCs w:val="20"/>
          <w:lang w:eastAsia="zh-CN"/>
        </w:rPr>
        <w:t>见的，监</w:t>
      </w:r>
      <w:r>
        <w:rPr>
          <w:rFonts w:ascii="宋体" w:hAnsi="宋体" w:eastAsia="宋体" w:cs="宋体"/>
          <w:color w:val="auto"/>
          <w:spacing w:val="9"/>
          <w:sz w:val="20"/>
          <w:szCs w:val="20"/>
          <w:lang w:eastAsia="zh-CN"/>
        </w:rPr>
        <w:t>理人提出应支付给承包人的价款视为已经发包人同意。</w:t>
      </w:r>
    </w:p>
    <w:p>
      <w:pPr>
        <w:spacing w:before="153" w:line="299" w:lineRule="auto"/>
        <w:ind w:left="2" w:right="2" w:firstLine="42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（2）发包人应在监理人出具最终结清证书后的14天内，将应支付款支付给承包人。发包人</w:t>
      </w:r>
      <w:r>
        <w:rPr>
          <w:rFonts w:ascii="宋体" w:hAnsi="宋体" w:eastAsia="宋体" w:cs="宋体"/>
          <w:color w:val="auto"/>
          <w:spacing w:val="6"/>
          <w:sz w:val="20"/>
          <w:szCs w:val="20"/>
          <w:lang w:eastAsia="zh-CN"/>
        </w:rPr>
        <w:t>不按期支付的，按第17.3.3（2）目的约定，将逾期付款违约金支付给承包人。</w:t>
      </w:r>
    </w:p>
    <w:p>
      <w:pPr>
        <w:spacing w:before="155" w:line="227" w:lineRule="auto"/>
        <w:ind w:left="4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（3）承包人对发包人签认的最终结清证书有异议的，按第24条的约定办理。</w:t>
      </w:r>
    </w:p>
    <w:p>
      <w:pPr>
        <w:spacing w:before="152" w:line="227" w:lineRule="auto"/>
        <w:ind w:left="42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（4）最终结清付款涉及政府投资资金的，按第17.3.3 (4 )目的约定办理。</w:t>
      </w:r>
    </w:p>
    <w:p>
      <w:pPr>
        <w:pStyle w:val="3"/>
        <w:spacing w:line="272" w:lineRule="auto"/>
        <w:rPr>
          <w:color w:val="auto"/>
          <w:lang w:eastAsia="zh-CN"/>
        </w:rPr>
      </w:pPr>
    </w:p>
    <w:p>
      <w:pPr>
        <w:spacing w:before="102" w:line="226" w:lineRule="auto"/>
        <w:ind w:left="19"/>
        <w:outlineLvl w:val="0"/>
        <w:rPr>
          <w:rFonts w:ascii="黑体" w:hAnsi="黑体" w:eastAsia="黑体" w:cs="黑体"/>
          <w:color w:val="auto"/>
          <w:sz w:val="31"/>
          <w:szCs w:val="31"/>
          <w:lang w:eastAsia="zh-CN"/>
        </w:rPr>
      </w:pPr>
      <w:bookmarkStart w:id="403" w:name="bookmark408"/>
      <w:bookmarkEnd w:id="403"/>
      <w:bookmarkStart w:id="404" w:name="bookmark406"/>
      <w:bookmarkEnd w:id="404"/>
      <w:bookmarkStart w:id="405" w:name="bookmark405"/>
      <w:bookmarkEnd w:id="405"/>
      <w:r>
        <w:rPr>
          <w:rFonts w:ascii="黑体" w:hAnsi="黑体" w:eastAsia="黑体" w:cs="黑体"/>
          <w:b/>
          <w:bCs/>
          <w:color w:val="auto"/>
          <w:spacing w:val="1"/>
          <w:sz w:val="31"/>
          <w:szCs w:val="31"/>
          <w:lang w:eastAsia="zh-CN"/>
        </w:rPr>
        <w:t>18.竣工验收</w:t>
      </w:r>
    </w:p>
    <w:p>
      <w:pPr>
        <w:pStyle w:val="3"/>
        <w:spacing w:line="269" w:lineRule="auto"/>
        <w:rPr>
          <w:color w:val="auto"/>
          <w:lang w:eastAsia="zh-CN"/>
        </w:rPr>
      </w:pPr>
    </w:p>
    <w:p>
      <w:pPr>
        <w:spacing w:before="91" w:line="222" w:lineRule="auto"/>
        <w:ind w:left="16"/>
        <w:outlineLvl w:val="1"/>
        <w:rPr>
          <w:rFonts w:ascii="黑体" w:hAnsi="黑体" w:eastAsia="黑体" w:cs="黑体"/>
          <w:color w:val="auto"/>
          <w:sz w:val="28"/>
          <w:szCs w:val="28"/>
          <w:lang w:eastAsia="zh-CN"/>
        </w:rPr>
      </w:pPr>
      <w:bookmarkStart w:id="406" w:name="bookmark407"/>
      <w:bookmarkEnd w:id="406"/>
      <w:r>
        <w:rPr>
          <w:rFonts w:ascii="黑体" w:hAnsi="黑体" w:eastAsia="黑体" w:cs="黑体"/>
          <w:color w:val="auto"/>
          <w:spacing w:val="-3"/>
          <w:sz w:val="28"/>
          <w:szCs w:val="28"/>
          <w:lang w:eastAsia="zh-CN"/>
        </w:rPr>
        <w:t>18.1 竣工验收的含义</w:t>
      </w:r>
    </w:p>
    <w:p>
      <w:pPr>
        <w:spacing w:before="280" w:line="228"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18.1.1 竣工验收指承包人完成了全部合同工作后，发包人按合同要求进行的验收。</w:t>
      </w:r>
    </w:p>
    <w:p>
      <w:pPr>
        <w:spacing w:before="154" w:line="299" w:lineRule="auto"/>
        <w:ind w:left="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18.1.2国家验收是政府有关部门根据法律、规范、规程和</w:t>
      </w:r>
      <w:r>
        <w:rPr>
          <w:rFonts w:ascii="宋体" w:hAnsi="宋体" w:eastAsia="宋体" w:cs="宋体"/>
          <w:color w:val="auto"/>
          <w:spacing w:val="9"/>
          <w:sz w:val="20"/>
          <w:szCs w:val="20"/>
          <w:lang w:eastAsia="zh-CN"/>
        </w:rPr>
        <w:t>政策要求，针对发包人全面组织</w:t>
      </w:r>
      <w:r>
        <w:rPr>
          <w:rFonts w:ascii="宋体" w:hAnsi="宋体" w:eastAsia="宋体" w:cs="宋体"/>
          <w:color w:val="auto"/>
          <w:spacing w:val="8"/>
          <w:sz w:val="20"/>
          <w:szCs w:val="20"/>
          <w:lang w:eastAsia="zh-CN"/>
        </w:rPr>
        <w:t>实施的整个工程正式交付投运前的验收。</w:t>
      </w:r>
    </w:p>
    <w:p>
      <w:pPr>
        <w:spacing w:before="150" w:line="323" w:lineRule="auto"/>
        <w:ind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18.1.3 需要进行国家验收的，竣工验收是国家验收的一部分。竣工验收所采用的各项验收</w:t>
      </w:r>
      <w:r>
        <w:rPr>
          <w:rFonts w:ascii="宋体" w:hAnsi="宋体" w:eastAsia="宋体" w:cs="宋体"/>
          <w:color w:val="auto"/>
          <w:spacing w:val="9"/>
          <w:sz w:val="20"/>
          <w:szCs w:val="20"/>
          <w:lang w:eastAsia="zh-CN"/>
        </w:rPr>
        <w:t>和评定标准应符合国家验收标准。发包人和承包人为竣工验收提供的各项竣工验收资料</w:t>
      </w:r>
      <w:r>
        <w:rPr>
          <w:rFonts w:ascii="宋体" w:hAnsi="宋体" w:eastAsia="宋体" w:cs="宋体"/>
          <w:color w:val="auto"/>
          <w:spacing w:val="8"/>
          <w:sz w:val="20"/>
          <w:szCs w:val="20"/>
          <w:lang w:eastAsia="zh-CN"/>
        </w:rPr>
        <w:t>应符合国</w:t>
      </w:r>
      <w:r>
        <w:rPr>
          <w:rFonts w:ascii="宋体" w:hAnsi="宋体" w:eastAsia="宋体" w:cs="宋体"/>
          <w:color w:val="auto"/>
          <w:spacing w:val="6"/>
          <w:sz w:val="20"/>
          <w:szCs w:val="20"/>
          <w:lang w:eastAsia="zh-CN"/>
        </w:rPr>
        <w:t>家验收的要求。</w:t>
      </w:r>
    </w:p>
    <w:p>
      <w:pPr>
        <w:spacing w:before="248" w:line="222" w:lineRule="auto"/>
        <w:ind w:left="16"/>
        <w:outlineLvl w:val="1"/>
        <w:rPr>
          <w:rFonts w:ascii="黑体" w:hAnsi="黑体" w:eastAsia="黑体" w:cs="黑体"/>
          <w:color w:val="auto"/>
          <w:sz w:val="28"/>
          <w:szCs w:val="28"/>
          <w:lang w:eastAsia="zh-CN"/>
        </w:rPr>
      </w:pPr>
      <w:bookmarkStart w:id="407" w:name="bookmark409"/>
      <w:bookmarkEnd w:id="407"/>
      <w:bookmarkStart w:id="408" w:name="bookmark410"/>
      <w:bookmarkEnd w:id="408"/>
      <w:r>
        <w:rPr>
          <w:rFonts w:ascii="黑体" w:hAnsi="黑体" w:eastAsia="黑体" w:cs="黑体"/>
          <w:color w:val="auto"/>
          <w:spacing w:val="-2"/>
          <w:sz w:val="28"/>
          <w:szCs w:val="28"/>
          <w:lang w:eastAsia="zh-CN"/>
        </w:rPr>
        <w:t>18.2 竣工验收申请报告</w:t>
      </w:r>
    </w:p>
    <w:p>
      <w:pPr>
        <w:spacing w:before="280" w:line="226" w:lineRule="auto"/>
        <w:ind w:left="43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当工程具备以下条件时，承包人即可向监理人报送竣工验收申</w:t>
      </w:r>
      <w:r>
        <w:rPr>
          <w:rFonts w:ascii="宋体" w:hAnsi="宋体" w:eastAsia="宋体" w:cs="宋体"/>
          <w:color w:val="auto"/>
          <w:spacing w:val="8"/>
          <w:sz w:val="20"/>
          <w:szCs w:val="20"/>
          <w:lang w:eastAsia="zh-CN"/>
        </w:rPr>
        <w:t>请报告：</w:t>
      </w:r>
    </w:p>
    <w:p>
      <w:pPr>
        <w:spacing w:before="157" w:line="322" w:lineRule="auto"/>
        <w:ind w:right="2" w:firstLine="36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（1）除监理人同意列入缺陷责任期内完成的</w:t>
      </w:r>
      <w:r>
        <w:rPr>
          <w:rFonts w:ascii="宋体" w:hAnsi="宋体" w:eastAsia="宋体" w:cs="宋体"/>
          <w:color w:val="auto"/>
          <w:spacing w:val="7"/>
          <w:sz w:val="20"/>
          <w:szCs w:val="20"/>
          <w:lang w:eastAsia="zh-CN"/>
        </w:rPr>
        <w:t>尾工（甩项）工程和缺陷修补工作外，合同范围</w:t>
      </w:r>
      <w:r>
        <w:rPr>
          <w:rFonts w:ascii="宋体" w:hAnsi="宋体" w:eastAsia="宋体" w:cs="宋体"/>
          <w:color w:val="auto"/>
          <w:spacing w:val="9"/>
          <w:sz w:val="20"/>
          <w:szCs w:val="20"/>
          <w:lang w:eastAsia="zh-CN"/>
        </w:rPr>
        <w:t>内的全部单位工程以及有关工作，包括合同要求的试验、试运行以及检验和验收均已完</w:t>
      </w:r>
      <w:r>
        <w:rPr>
          <w:rFonts w:ascii="宋体" w:hAnsi="宋体" w:eastAsia="宋体" w:cs="宋体"/>
          <w:color w:val="auto"/>
          <w:spacing w:val="8"/>
          <w:sz w:val="20"/>
          <w:szCs w:val="20"/>
          <w:lang w:eastAsia="zh-CN"/>
        </w:rPr>
        <w:t>成，并符</w:t>
      </w:r>
      <w:r>
        <w:rPr>
          <w:rFonts w:ascii="宋体" w:hAnsi="宋体" w:eastAsia="宋体" w:cs="宋体"/>
          <w:color w:val="auto"/>
          <w:spacing w:val="6"/>
          <w:sz w:val="20"/>
          <w:szCs w:val="20"/>
          <w:lang w:eastAsia="zh-CN"/>
        </w:rPr>
        <w:t>合合同要求；</w:t>
      </w:r>
    </w:p>
    <w:p>
      <w:pPr>
        <w:spacing w:before="152" w:line="228" w:lineRule="auto"/>
        <w:ind w:left="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（2）已按合同约定的内容和份数备齐了符</w:t>
      </w:r>
      <w:r>
        <w:rPr>
          <w:rFonts w:ascii="宋体" w:hAnsi="宋体" w:eastAsia="宋体" w:cs="宋体"/>
          <w:color w:val="auto"/>
          <w:spacing w:val="8"/>
          <w:sz w:val="20"/>
          <w:szCs w:val="20"/>
          <w:lang w:eastAsia="zh-CN"/>
        </w:rPr>
        <w:t>合要求的竣工资料；</w:t>
      </w:r>
    </w:p>
    <w:p>
      <w:pPr>
        <w:spacing w:line="228" w:lineRule="auto"/>
        <w:rPr>
          <w:rFonts w:ascii="宋体" w:hAnsi="宋体" w:eastAsia="宋体" w:cs="宋体"/>
          <w:color w:val="auto"/>
          <w:sz w:val="20"/>
          <w:szCs w:val="20"/>
          <w:lang w:eastAsia="zh-CN"/>
        </w:rPr>
        <w:sectPr>
          <w:footerReference r:id="rId72" w:type="default"/>
          <w:pgSz w:w="11906" w:h="16839"/>
          <w:pgMar w:top="1431" w:right="1530" w:bottom="1468" w:left="1597" w:header="0" w:footer="1306" w:gutter="0"/>
          <w:cols w:space="720" w:num="1"/>
          <w:docGrid w:linePitch="0" w:charSpace="0"/>
        </w:sectPr>
      </w:pPr>
    </w:p>
    <w:p>
      <w:pPr>
        <w:pStyle w:val="3"/>
        <w:spacing w:line="254" w:lineRule="auto"/>
        <w:rPr>
          <w:color w:val="auto"/>
          <w:lang w:eastAsia="zh-CN"/>
        </w:rPr>
      </w:pPr>
    </w:p>
    <w:p>
      <w:pPr>
        <w:pStyle w:val="3"/>
        <w:spacing w:line="255" w:lineRule="auto"/>
        <w:rPr>
          <w:color w:val="auto"/>
          <w:lang w:eastAsia="zh-CN"/>
        </w:rPr>
      </w:pPr>
    </w:p>
    <w:p>
      <w:pPr>
        <w:spacing w:before="65" w:line="300" w:lineRule="auto"/>
        <w:ind w:left="25" w:right="54" w:firstLine="34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（3）已按监理人的要求编制了在缺陷责任期</w:t>
      </w:r>
      <w:r>
        <w:rPr>
          <w:rFonts w:ascii="宋体" w:hAnsi="宋体" w:eastAsia="宋体" w:cs="宋体"/>
          <w:color w:val="auto"/>
          <w:spacing w:val="7"/>
          <w:sz w:val="20"/>
          <w:szCs w:val="20"/>
          <w:lang w:eastAsia="zh-CN"/>
        </w:rPr>
        <w:t>内完成的尾工（甩项）工程和缺陷修补工作清单</w:t>
      </w:r>
      <w:r>
        <w:rPr>
          <w:rFonts w:ascii="宋体" w:hAnsi="宋体" w:eastAsia="宋体" w:cs="宋体"/>
          <w:color w:val="auto"/>
          <w:spacing w:val="5"/>
          <w:sz w:val="20"/>
          <w:szCs w:val="20"/>
          <w:lang w:eastAsia="zh-CN"/>
        </w:rPr>
        <w:t>以及相应施工计划；</w:t>
      </w:r>
    </w:p>
    <w:p>
      <w:pPr>
        <w:spacing w:before="152"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（4）监理人要求在竣工验收前应完成的其他工作；</w:t>
      </w:r>
    </w:p>
    <w:p>
      <w:pPr>
        <w:spacing w:before="151"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（5）监理人要求提交的竣工验收资料清单。</w:t>
      </w:r>
    </w:p>
    <w:p>
      <w:pPr>
        <w:spacing w:before="251" w:line="222" w:lineRule="auto"/>
        <w:ind w:left="18"/>
        <w:outlineLvl w:val="1"/>
        <w:rPr>
          <w:rFonts w:ascii="黑体" w:hAnsi="黑体" w:eastAsia="黑体" w:cs="黑体"/>
          <w:color w:val="auto"/>
          <w:sz w:val="28"/>
          <w:szCs w:val="28"/>
          <w:lang w:eastAsia="zh-CN"/>
        </w:rPr>
      </w:pPr>
      <w:bookmarkStart w:id="409" w:name="bookmark412"/>
      <w:bookmarkEnd w:id="409"/>
      <w:bookmarkStart w:id="410" w:name="bookmark411"/>
      <w:bookmarkEnd w:id="410"/>
      <w:r>
        <w:rPr>
          <w:rFonts w:ascii="黑体" w:hAnsi="黑体" w:eastAsia="黑体" w:cs="黑体"/>
          <w:color w:val="auto"/>
          <w:spacing w:val="-4"/>
          <w:sz w:val="28"/>
          <w:szCs w:val="28"/>
          <w:lang w:eastAsia="zh-CN"/>
        </w:rPr>
        <w:t>18.3 验收</w:t>
      </w:r>
    </w:p>
    <w:p>
      <w:pPr>
        <w:spacing w:before="279" w:line="353" w:lineRule="auto"/>
        <w:ind w:left="4" w:right="54"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监理人收到承包人按第18.2款约定提交的竣工验收申请报告后，应审查申请报告的各项内</w:t>
      </w:r>
      <w:r>
        <w:rPr>
          <w:rFonts w:ascii="宋体" w:hAnsi="宋体" w:eastAsia="宋体" w:cs="宋体"/>
          <w:color w:val="auto"/>
          <w:spacing w:val="8"/>
          <w:sz w:val="20"/>
          <w:szCs w:val="20"/>
          <w:lang w:eastAsia="zh-CN"/>
        </w:rPr>
        <w:t>容，并按以下不同情况进行处理。</w:t>
      </w:r>
    </w:p>
    <w:p>
      <w:pPr>
        <w:spacing w:before="35" w:line="321" w:lineRule="auto"/>
        <w:ind w:left="4" w:right="54" w:firstLine="43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18.3.1 监理人审查后认为尚不具备竣工验收条件的，应在收到竣工验收申请报告后的28天</w:t>
      </w:r>
      <w:r>
        <w:rPr>
          <w:rFonts w:ascii="宋体" w:hAnsi="宋体" w:eastAsia="宋体" w:cs="宋体"/>
          <w:color w:val="auto"/>
          <w:spacing w:val="9"/>
          <w:sz w:val="20"/>
          <w:szCs w:val="20"/>
          <w:lang w:eastAsia="zh-CN"/>
        </w:rPr>
        <w:t>内通知承包人，指出在颁发接收证书前承包人还需进行的工作内容。承包人完成监</w:t>
      </w:r>
      <w:r>
        <w:rPr>
          <w:rFonts w:ascii="宋体" w:hAnsi="宋体" w:eastAsia="宋体" w:cs="宋体"/>
          <w:color w:val="auto"/>
          <w:spacing w:val="8"/>
          <w:sz w:val="20"/>
          <w:szCs w:val="20"/>
          <w:lang w:eastAsia="zh-CN"/>
        </w:rPr>
        <w:t>理人通知的全</w:t>
      </w:r>
      <w:r>
        <w:rPr>
          <w:rFonts w:ascii="宋体" w:hAnsi="宋体" w:eastAsia="宋体" w:cs="宋体"/>
          <w:color w:val="auto"/>
          <w:spacing w:val="9"/>
          <w:sz w:val="20"/>
          <w:szCs w:val="20"/>
          <w:lang w:eastAsia="zh-CN"/>
        </w:rPr>
        <w:t>部工作内容后，应再次提交竣工验收申请报告，直至监理人同意为止。</w:t>
      </w:r>
    </w:p>
    <w:p>
      <w:pPr>
        <w:spacing w:before="155" w:line="299"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18.3.2 监理人审查后认为已具备竣工验收条件的，应在收到竣工验收申请报告后的28天内</w:t>
      </w:r>
      <w:r>
        <w:rPr>
          <w:rFonts w:ascii="宋体" w:hAnsi="宋体" w:eastAsia="宋体" w:cs="宋体"/>
          <w:color w:val="auto"/>
          <w:spacing w:val="8"/>
          <w:sz w:val="20"/>
          <w:szCs w:val="20"/>
          <w:lang w:eastAsia="zh-CN"/>
        </w:rPr>
        <w:t>提请发包人进行工程验收。</w:t>
      </w:r>
    </w:p>
    <w:p>
      <w:pPr>
        <w:spacing w:before="150" w:line="334" w:lineRule="auto"/>
        <w:ind w:left="3" w:firstLine="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18.3.3发包人经过验收后同意接受工程的，应</w:t>
      </w:r>
      <w:r>
        <w:rPr>
          <w:rFonts w:ascii="宋体" w:hAnsi="宋体" w:eastAsia="宋体" w:cs="宋体"/>
          <w:color w:val="auto"/>
          <w:spacing w:val="4"/>
          <w:sz w:val="20"/>
          <w:szCs w:val="20"/>
          <w:lang w:eastAsia="zh-CN"/>
        </w:rPr>
        <w:t>在监理人收到竣工验收申请报告后的56天内，</w:t>
      </w:r>
      <w:r>
        <w:rPr>
          <w:rFonts w:ascii="宋体" w:hAnsi="宋体" w:eastAsia="宋体" w:cs="宋体"/>
          <w:color w:val="auto"/>
          <w:spacing w:val="9"/>
          <w:sz w:val="20"/>
          <w:szCs w:val="20"/>
          <w:lang w:eastAsia="zh-CN"/>
        </w:rPr>
        <w:t>由监理人向承包人出具经发包人签认的工程接收证书。发包人验收后同意接收工程但</w:t>
      </w:r>
      <w:r>
        <w:rPr>
          <w:rFonts w:ascii="宋体" w:hAnsi="宋体" w:eastAsia="宋体" w:cs="宋体"/>
          <w:color w:val="auto"/>
          <w:spacing w:val="8"/>
          <w:sz w:val="20"/>
          <w:szCs w:val="20"/>
          <w:lang w:eastAsia="zh-CN"/>
        </w:rPr>
        <w:t>提出整修和</w:t>
      </w:r>
      <w:r>
        <w:rPr>
          <w:rFonts w:ascii="宋体" w:hAnsi="宋体" w:eastAsia="宋体" w:cs="宋体"/>
          <w:color w:val="auto"/>
          <w:spacing w:val="5"/>
          <w:sz w:val="20"/>
          <w:szCs w:val="20"/>
          <w:lang w:eastAsia="zh-CN"/>
        </w:rPr>
        <w:t>完善要求的，限期修好，并缓发工程接收证书。整修和完善工作完成后，监理人复查达到要求的，</w:t>
      </w:r>
      <w:r>
        <w:rPr>
          <w:rFonts w:ascii="宋体" w:hAnsi="宋体" w:eastAsia="宋体" w:cs="宋体"/>
          <w:color w:val="auto"/>
          <w:spacing w:val="9"/>
          <w:sz w:val="20"/>
          <w:szCs w:val="20"/>
          <w:lang w:eastAsia="zh-CN"/>
        </w:rPr>
        <w:t>经发包人同意后，再向承包人出具工程接收证书。</w:t>
      </w:r>
    </w:p>
    <w:p>
      <w:pPr>
        <w:spacing w:before="155" w:line="334"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18.3.4 发包人验收后不同意接收工程的，监理人应按照发包人的验收意见发出指示，要求</w:t>
      </w:r>
      <w:r>
        <w:rPr>
          <w:rFonts w:ascii="宋体" w:hAnsi="宋体" w:eastAsia="宋体" w:cs="宋体"/>
          <w:color w:val="auto"/>
          <w:spacing w:val="9"/>
          <w:sz w:val="20"/>
          <w:szCs w:val="20"/>
          <w:lang w:eastAsia="zh-CN"/>
        </w:rPr>
        <w:t>承包人对不合格工程认真返工重作或进行补救处理，并承担由此产生的费用。承包人在</w:t>
      </w:r>
      <w:r>
        <w:rPr>
          <w:rFonts w:ascii="宋体" w:hAnsi="宋体" w:eastAsia="宋体" w:cs="宋体"/>
          <w:color w:val="auto"/>
          <w:spacing w:val="8"/>
          <w:sz w:val="20"/>
          <w:szCs w:val="20"/>
          <w:lang w:eastAsia="zh-CN"/>
        </w:rPr>
        <w:t>完成不合</w:t>
      </w:r>
      <w:r>
        <w:rPr>
          <w:rFonts w:ascii="宋体" w:hAnsi="宋体" w:eastAsia="宋体" w:cs="宋体"/>
          <w:color w:val="auto"/>
          <w:spacing w:val="6"/>
          <w:sz w:val="20"/>
          <w:szCs w:val="20"/>
          <w:lang w:eastAsia="zh-CN"/>
        </w:rPr>
        <w:t>格工程的返工重作或补救工作后，应重新提交竣工验收申请报告，按第18.3.1项、第18.3.2项</w:t>
      </w:r>
      <w:r>
        <w:rPr>
          <w:rFonts w:ascii="宋体" w:hAnsi="宋体" w:eastAsia="宋体" w:cs="宋体"/>
          <w:color w:val="auto"/>
          <w:spacing w:val="4"/>
          <w:sz w:val="20"/>
          <w:szCs w:val="20"/>
          <w:lang w:eastAsia="zh-CN"/>
        </w:rPr>
        <w:t>和第18.3.3项的约定进行。</w:t>
      </w:r>
    </w:p>
    <w:p>
      <w:pPr>
        <w:spacing w:before="154" w:line="297" w:lineRule="auto"/>
        <w:ind w:right="52" w:firstLine="4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18.3.5 除专用合同条款另有约定外，经验收合格工程的实际竣工日期，以提交竣工验收申请报告的日期为准，并在工程接收证书中写明。</w:t>
      </w:r>
    </w:p>
    <w:p>
      <w:pPr>
        <w:spacing w:before="156" w:line="298" w:lineRule="auto"/>
        <w:ind w:left="2" w:right="54"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18.3.6 发包人在收到承包人竣工验收申请报告56天后未进行验收的，视为验收合格，实际</w:t>
      </w:r>
      <w:r>
        <w:rPr>
          <w:rFonts w:ascii="宋体" w:hAnsi="宋体" w:eastAsia="宋体" w:cs="宋体"/>
          <w:color w:val="auto"/>
          <w:spacing w:val="9"/>
          <w:sz w:val="20"/>
          <w:szCs w:val="20"/>
          <w:lang w:eastAsia="zh-CN"/>
        </w:rPr>
        <w:t>竣工日期以提交竣工验收申请报告的日期为准，但发包人由于不可抗力不能进行验收的除外。</w:t>
      </w:r>
    </w:p>
    <w:p>
      <w:pPr>
        <w:spacing w:before="250" w:line="222" w:lineRule="auto"/>
        <w:ind w:left="18"/>
        <w:outlineLvl w:val="1"/>
        <w:rPr>
          <w:rFonts w:ascii="黑体" w:hAnsi="黑体" w:eastAsia="黑体" w:cs="黑体"/>
          <w:color w:val="auto"/>
          <w:sz w:val="28"/>
          <w:szCs w:val="28"/>
          <w:lang w:eastAsia="zh-CN"/>
        </w:rPr>
      </w:pPr>
      <w:bookmarkStart w:id="411" w:name="bookmark414"/>
      <w:bookmarkEnd w:id="411"/>
      <w:bookmarkStart w:id="412" w:name="bookmark413"/>
      <w:bookmarkEnd w:id="412"/>
      <w:r>
        <w:rPr>
          <w:rFonts w:ascii="黑体" w:hAnsi="黑体" w:eastAsia="黑体" w:cs="黑体"/>
          <w:color w:val="auto"/>
          <w:spacing w:val="-3"/>
          <w:sz w:val="28"/>
          <w:szCs w:val="28"/>
          <w:lang w:eastAsia="zh-CN"/>
        </w:rPr>
        <w:t>18.4 单位工程验收</w:t>
      </w:r>
    </w:p>
    <w:p>
      <w:pPr>
        <w:spacing w:before="278" w:line="341" w:lineRule="auto"/>
        <w:ind w:left="1"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18.4.1 发包人根据合同进度计划安排，在全部工程竣工前需</w:t>
      </w:r>
      <w:r>
        <w:rPr>
          <w:rFonts w:ascii="宋体" w:hAnsi="宋体" w:eastAsia="宋体" w:cs="宋体"/>
          <w:color w:val="auto"/>
          <w:spacing w:val="6"/>
          <w:sz w:val="20"/>
          <w:szCs w:val="20"/>
          <w:lang w:eastAsia="zh-CN"/>
        </w:rPr>
        <w:t>要使用已经竣工的单位工程时，</w:t>
      </w:r>
      <w:r>
        <w:rPr>
          <w:rFonts w:ascii="宋体" w:hAnsi="宋体" w:eastAsia="宋体" w:cs="宋体"/>
          <w:color w:val="auto"/>
          <w:spacing w:val="7"/>
          <w:sz w:val="20"/>
          <w:szCs w:val="20"/>
          <w:lang w:eastAsia="zh-CN"/>
        </w:rPr>
        <w:t>或承包人提出经发包人同意时，可进行单位工程验收。验收的程序可参</w:t>
      </w:r>
      <w:r>
        <w:rPr>
          <w:rFonts w:ascii="宋体" w:hAnsi="宋体" w:eastAsia="宋体" w:cs="宋体"/>
          <w:color w:val="auto"/>
          <w:spacing w:val="6"/>
          <w:sz w:val="20"/>
          <w:szCs w:val="20"/>
          <w:lang w:eastAsia="zh-CN"/>
        </w:rPr>
        <w:t>照第18.2款与第18.3款</w:t>
      </w:r>
      <w:r>
        <w:rPr>
          <w:rFonts w:ascii="宋体" w:hAnsi="宋体" w:eastAsia="宋体" w:cs="宋体"/>
          <w:color w:val="auto"/>
          <w:spacing w:val="9"/>
          <w:sz w:val="20"/>
          <w:szCs w:val="20"/>
          <w:lang w:eastAsia="zh-CN"/>
        </w:rPr>
        <w:t>的约定进行。验收合格后，由监理人向承包人出具经发包人签认的单位工程验收证书。已</w:t>
      </w:r>
      <w:r>
        <w:rPr>
          <w:rFonts w:ascii="宋体" w:hAnsi="宋体" w:eastAsia="宋体" w:cs="宋体"/>
          <w:color w:val="auto"/>
          <w:spacing w:val="8"/>
          <w:sz w:val="20"/>
          <w:szCs w:val="20"/>
          <w:lang w:eastAsia="zh-CN"/>
        </w:rPr>
        <w:t>签发单</w:t>
      </w:r>
      <w:r>
        <w:rPr>
          <w:rFonts w:ascii="宋体" w:hAnsi="宋体" w:eastAsia="宋体" w:cs="宋体"/>
          <w:color w:val="auto"/>
          <w:spacing w:val="9"/>
          <w:sz w:val="20"/>
          <w:szCs w:val="20"/>
          <w:lang w:eastAsia="zh-CN"/>
        </w:rPr>
        <w:t>位工程接收证书的单位工程由发包人负责照管。单位工程的验收成果和结论作为全部工</w:t>
      </w:r>
      <w:r>
        <w:rPr>
          <w:rFonts w:ascii="宋体" w:hAnsi="宋体" w:eastAsia="宋体" w:cs="宋体"/>
          <w:color w:val="auto"/>
          <w:spacing w:val="8"/>
          <w:sz w:val="20"/>
          <w:szCs w:val="20"/>
          <w:lang w:eastAsia="zh-CN"/>
        </w:rPr>
        <w:t>程竣工验</w:t>
      </w:r>
      <w:r>
        <w:rPr>
          <w:rFonts w:ascii="宋体" w:hAnsi="宋体" w:eastAsia="宋体" w:cs="宋体"/>
          <w:color w:val="auto"/>
          <w:spacing w:val="7"/>
          <w:sz w:val="20"/>
          <w:szCs w:val="20"/>
          <w:lang w:eastAsia="zh-CN"/>
        </w:rPr>
        <w:t>收申请报告的附件。</w:t>
      </w:r>
    </w:p>
    <w:p>
      <w:pPr>
        <w:spacing w:before="153" w:line="299" w:lineRule="auto"/>
        <w:ind w:left="1" w:right="52"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18.4.2 发包人在全部工程竣工前，使用已接收的单位工程导致承包人费用增加的，发包人</w:t>
      </w:r>
      <w:r>
        <w:rPr>
          <w:rFonts w:ascii="宋体" w:hAnsi="宋体" w:eastAsia="宋体" w:cs="宋体"/>
          <w:color w:val="auto"/>
          <w:spacing w:val="9"/>
          <w:sz w:val="20"/>
          <w:szCs w:val="20"/>
          <w:lang w:eastAsia="zh-CN"/>
        </w:rPr>
        <w:t>应承担由此增加的费用和（或）工期延误，并支付承包人合理利润。</w:t>
      </w:r>
    </w:p>
    <w:p>
      <w:pPr>
        <w:spacing w:line="299" w:lineRule="auto"/>
        <w:rPr>
          <w:rFonts w:ascii="宋体" w:hAnsi="宋体" w:eastAsia="宋体" w:cs="宋体"/>
          <w:color w:val="auto"/>
          <w:sz w:val="20"/>
          <w:szCs w:val="20"/>
          <w:lang w:eastAsia="zh-CN"/>
        </w:rPr>
        <w:sectPr>
          <w:footerReference r:id="rId73" w:type="default"/>
          <w:pgSz w:w="11906" w:h="16839"/>
          <w:pgMar w:top="1431" w:right="1478" w:bottom="1468" w:left="1595" w:header="0" w:footer="1306" w:gutter="0"/>
          <w:cols w:space="720" w:num="1"/>
          <w:docGrid w:linePitch="0" w:charSpace="0"/>
        </w:sectPr>
      </w:pPr>
    </w:p>
    <w:p>
      <w:pPr>
        <w:pStyle w:val="3"/>
        <w:spacing w:line="426" w:lineRule="auto"/>
        <w:rPr>
          <w:color w:val="auto"/>
          <w:lang w:eastAsia="zh-CN"/>
        </w:rPr>
      </w:pPr>
    </w:p>
    <w:p>
      <w:pPr>
        <w:spacing w:before="91" w:line="222" w:lineRule="auto"/>
        <w:ind w:left="18"/>
        <w:outlineLvl w:val="1"/>
        <w:rPr>
          <w:rFonts w:ascii="黑体" w:hAnsi="黑体" w:eastAsia="黑体" w:cs="黑体"/>
          <w:color w:val="auto"/>
          <w:sz w:val="28"/>
          <w:szCs w:val="28"/>
          <w:lang w:eastAsia="zh-CN"/>
        </w:rPr>
      </w:pPr>
      <w:bookmarkStart w:id="413" w:name="bookmark415"/>
      <w:bookmarkEnd w:id="413"/>
      <w:bookmarkStart w:id="414" w:name="bookmark416"/>
      <w:bookmarkEnd w:id="414"/>
      <w:r>
        <w:rPr>
          <w:rFonts w:ascii="黑体" w:hAnsi="黑体" w:eastAsia="黑体" w:cs="黑体"/>
          <w:color w:val="auto"/>
          <w:spacing w:val="-3"/>
          <w:sz w:val="28"/>
          <w:szCs w:val="28"/>
          <w:lang w:eastAsia="zh-CN"/>
        </w:rPr>
        <w:t>18.5 施工期运行</w:t>
      </w:r>
    </w:p>
    <w:p>
      <w:pPr>
        <w:spacing w:before="277" w:line="322"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18.5.1 施工期运行是指合同工程尚未全部竣工，其中某项或某几项单位工程或工程设备安装已竣工，根据专用合同条款约定，需要投入施工期运行的，经发包人按第18.4款的约定验收</w:t>
      </w:r>
      <w:r>
        <w:rPr>
          <w:rFonts w:ascii="宋体" w:hAnsi="宋体" w:eastAsia="宋体" w:cs="宋体"/>
          <w:color w:val="auto"/>
          <w:spacing w:val="9"/>
          <w:sz w:val="20"/>
          <w:szCs w:val="20"/>
          <w:lang w:eastAsia="zh-CN"/>
        </w:rPr>
        <w:t>合格，证明能确保安全后，才能在施工期投入运行。</w:t>
      </w:r>
    </w:p>
    <w:p>
      <w:pPr>
        <w:spacing w:before="154" w:line="299" w:lineRule="auto"/>
        <w:ind w:right="2" w:firstLine="43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18.5.2 在施工期运行中发现工程或工程设备损坏或存在缺陷的，</w:t>
      </w:r>
      <w:r>
        <w:rPr>
          <w:rFonts w:ascii="宋体" w:hAnsi="宋体" w:eastAsia="宋体" w:cs="宋体"/>
          <w:color w:val="auto"/>
          <w:spacing w:val="6"/>
          <w:sz w:val="20"/>
          <w:szCs w:val="20"/>
          <w:lang w:eastAsia="zh-CN"/>
        </w:rPr>
        <w:t>由承包人按第19.2款约定进行修复。</w:t>
      </w:r>
    </w:p>
    <w:p>
      <w:pPr>
        <w:spacing w:before="247" w:line="222" w:lineRule="auto"/>
        <w:ind w:left="18"/>
        <w:outlineLvl w:val="2"/>
        <w:rPr>
          <w:rFonts w:ascii="黑体" w:hAnsi="黑体" w:eastAsia="黑体" w:cs="黑体"/>
          <w:color w:val="auto"/>
          <w:sz w:val="28"/>
          <w:szCs w:val="28"/>
          <w:lang w:eastAsia="zh-CN"/>
        </w:rPr>
      </w:pPr>
      <w:bookmarkStart w:id="415" w:name="bookmark418"/>
      <w:bookmarkEnd w:id="415"/>
      <w:bookmarkStart w:id="416" w:name="bookmark417"/>
      <w:bookmarkEnd w:id="416"/>
      <w:r>
        <w:rPr>
          <w:rFonts w:ascii="黑体" w:hAnsi="黑体" w:eastAsia="黑体" w:cs="黑体"/>
          <w:color w:val="auto"/>
          <w:spacing w:val="-6"/>
          <w:sz w:val="28"/>
          <w:szCs w:val="28"/>
          <w:lang w:eastAsia="zh-CN"/>
        </w:rPr>
        <w:t>18.6试运行</w:t>
      </w:r>
    </w:p>
    <w:p>
      <w:pPr>
        <w:spacing w:before="281" w:line="298"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18.6.1 除专用合同条款另有约定外，承包人应按专用合同条款约定进行工程及工程设备试</w:t>
      </w:r>
      <w:r>
        <w:rPr>
          <w:rFonts w:ascii="宋体" w:hAnsi="宋体" w:eastAsia="宋体" w:cs="宋体"/>
          <w:color w:val="auto"/>
          <w:spacing w:val="9"/>
          <w:sz w:val="20"/>
          <w:szCs w:val="20"/>
          <w:lang w:eastAsia="zh-CN"/>
        </w:rPr>
        <w:t>运行，负责提供试运行所需的人员、器材和必要的条件，并承担全部试运行费用。</w:t>
      </w:r>
    </w:p>
    <w:p>
      <w:pPr>
        <w:spacing w:before="151" w:line="323" w:lineRule="auto"/>
        <w:ind w:left="1" w:firstLine="435"/>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18.6.2由于承包人的原因导致试运行失败的，</w:t>
      </w:r>
      <w:r>
        <w:rPr>
          <w:rFonts w:ascii="宋体" w:hAnsi="宋体" w:eastAsia="宋体" w:cs="宋体"/>
          <w:color w:val="auto"/>
          <w:spacing w:val="9"/>
          <w:sz w:val="20"/>
          <w:szCs w:val="20"/>
          <w:lang w:eastAsia="zh-CN"/>
        </w:rPr>
        <w:t>承包人应采取措施保证试运行合格，并承担相应费用。由于发包人的原因导致试运行失败的，承包人应当采取措施保证试运行合格，</w:t>
      </w:r>
      <w:r>
        <w:rPr>
          <w:rFonts w:ascii="宋体" w:hAnsi="宋体" w:eastAsia="宋体" w:cs="宋体"/>
          <w:color w:val="auto"/>
          <w:spacing w:val="8"/>
          <w:sz w:val="20"/>
          <w:szCs w:val="20"/>
          <w:lang w:eastAsia="zh-CN"/>
        </w:rPr>
        <w:t>发包人</w:t>
      </w:r>
      <w:r>
        <w:rPr>
          <w:rFonts w:ascii="宋体" w:hAnsi="宋体" w:eastAsia="宋体" w:cs="宋体"/>
          <w:color w:val="auto"/>
          <w:spacing w:val="9"/>
          <w:sz w:val="20"/>
          <w:szCs w:val="20"/>
          <w:lang w:eastAsia="zh-CN"/>
        </w:rPr>
        <w:t>应承担由此产生的费用，并支付承包人合理利润。</w:t>
      </w:r>
    </w:p>
    <w:p>
      <w:pPr>
        <w:spacing w:before="248" w:line="222" w:lineRule="auto"/>
        <w:ind w:left="18"/>
        <w:outlineLvl w:val="2"/>
        <w:rPr>
          <w:rFonts w:ascii="黑体" w:hAnsi="黑体" w:eastAsia="黑体" w:cs="黑体"/>
          <w:color w:val="auto"/>
          <w:sz w:val="28"/>
          <w:szCs w:val="28"/>
          <w:lang w:eastAsia="zh-CN"/>
        </w:rPr>
      </w:pPr>
      <w:bookmarkStart w:id="417" w:name="bookmark420"/>
      <w:bookmarkEnd w:id="417"/>
      <w:bookmarkStart w:id="418" w:name="bookmark419"/>
      <w:bookmarkEnd w:id="418"/>
      <w:r>
        <w:rPr>
          <w:rFonts w:ascii="黑体" w:hAnsi="黑体" w:eastAsia="黑体" w:cs="黑体"/>
          <w:color w:val="auto"/>
          <w:spacing w:val="-3"/>
          <w:sz w:val="28"/>
          <w:szCs w:val="28"/>
          <w:lang w:eastAsia="zh-CN"/>
        </w:rPr>
        <w:t>18.7 竣工清场</w:t>
      </w:r>
    </w:p>
    <w:p>
      <w:pPr>
        <w:spacing w:before="279" w:line="299" w:lineRule="auto"/>
        <w:ind w:left="4" w:firstLine="43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18.7.1 除合同另有约定外，工程接收证书颁发后，承包人应按以下要求对施工场地进行清</w:t>
      </w:r>
      <w:r>
        <w:rPr>
          <w:rFonts w:ascii="宋体" w:hAnsi="宋体" w:eastAsia="宋体" w:cs="宋体"/>
          <w:color w:val="auto"/>
          <w:spacing w:val="9"/>
          <w:sz w:val="20"/>
          <w:szCs w:val="20"/>
          <w:lang w:eastAsia="zh-CN"/>
        </w:rPr>
        <w:t>理，直至监理人检验合格为止。竣工清场费用由承包人承担。</w:t>
      </w:r>
    </w:p>
    <w:p>
      <w:pPr>
        <w:spacing w:before="152"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（1）施工场地内残留的垃圾已全部清除出场；</w:t>
      </w:r>
    </w:p>
    <w:p>
      <w:pPr>
        <w:spacing w:before="154" w:line="228"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（2）临时工程已拆除，场地已按合同要求进行清理</w:t>
      </w:r>
      <w:r>
        <w:rPr>
          <w:rFonts w:ascii="宋体" w:hAnsi="宋体" w:eastAsia="宋体" w:cs="宋体"/>
          <w:color w:val="auto"/>
          <w:spacing w:val="8"/>
          <w:sz w:val="20"/>
          <w:szCs w:val="20"/>
          <w:lang w:eastAsia="zh-CN"/>
        </w:rPr>
        <w:t>、平整或复原；</w:t>
      </w:r>
    </w:p>
    <w:p>
      <w:pPr>
        <w:spacing w:before="137" w:line="289" w:lineRule="auto"/>
        <w:ind w:left="1" w:right="2" w:firstLine="72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（3）按合同约定应撤离的承包人设备和剩余的材料，包括废弃的施工设备和材</w:t>
      </w:r>
      <w:r>
        <w:rPr>
          <w:rFonts w:ascii="宋体" w:hAnsi="宋体" w:eastAsia="宋体" w:cs="宋体"/>
          <w:color w:val="auto"/>
          <w:spacing w:val="8"/>
          <w:sz w:val="20"/>
          <w:szCs w:val="20"/>
          <w:lang w:eastAsia="zh-CN"/>
        </w:rPr>
        <w:t>料，已按</w:t>
      </w:r>
      <w:r>
        <w:rPr>
          <w:rFonts w:ascii="宋体" w:hAnsi="宋体" w:eastAsia="宋体" w:cs="宋体"/>
          <w:color w:val="auto"/>
          <w:spacing w:val="7"/>
          <w:sz w:val="20"/>
          <w:szCs w:val="20"/>
          <w:lang w:eastAsia="zh-CN"/>
        </w:rPr>
        <w:t>计划撤离施工场地；</w:t>
      </w:r>
    </w:p>
    <w:p>
      <w:pPr>
        <w:spacing w:before="135" w:line="227" w:lineRule="auto"/>
        <w:ind w:left="7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（4）工程建筑物周边及其附近道路、河道的施工堆积物，已按监理人指示全部清理；</w:t>
      </w:r>
    </w:p>
    <w:p>
      <w:pPr>
        <w:spacing w:before="133" w:line="228" w:lineRule="auto"/>
        <w:ind w:left="72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（5）监理人指示的其他场地清理工作已全部完成。</w:t>
      </w:r>
    </w:p>
    <w:p>
      <w:pPr>
        <w:spacing w:before="131" w:line="290" w:lineRule="auto"/>
        <w:ind w:left="2" w:firstLine="434"/>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18.7.2 承包人未按监理人的要求恢复临时占地，或者场地清理未达到合同约定的，发包人</w:t>
      </w:r>
      <w:r>
        <w:rPr>
          <w:rFonts w:ascii="宋体" w:hAnsi="宋体" w:eastAsia="宋体" w:cs="宋体"/>
          <w:color w:val="auto"/>
          <w:spacing w:val="9"/>
          <w:sz w:val="20"/>
          <w:szCs w:val="20"/>
          <w:lang w:eastAsia="zh-CN"/>
        </w:rPr>
        <w:t>有权委托其他人恢复或清理，所发生的金额从拟支付给承包人的款项中扣除。</w:t>
      </w:r>
    </w:p>
    <w:p>
      <w:pPr>
        <w:spacing w:before="245" w:line="223" w:lineRule="auto"/>
        <w:ind w:left="18"/>
        <w:outlineLvl w:val="2"/>
        <w:rPr>
          <w:rFonts w:ascii="黑体" w:hAnsi="黑体" w:eastAsia="黑体" w:cs="黑体"/>
          <w:color w:val="auto"/>
          <w:sz w:val="28"/>
          <w:szCs w:val="28"/>
          <w:lang w:eastAsia="zh-CN"/>
        </w:rPr>
      </w:pPr>
      <w:bookmarkStart w:id="419" w:name="bookmark421"/>
      <w:bookmarkEnd w:id="419"/>
      <w:bookmarkStart w:id="420" w:name="bookmark422"/>
      <w:bookmarkEnd w:id="420"/>
      <w:r>
        <w:rPr>
          <w:rFonts w:ascii="黑体" w:hAnsi="黑体" w:eastAsia="黑体" w:cs="黑体"/>
          <w:color w:val="auto"/>
          <w:spacing w:val="-3"/>
          <w:sz w:val="28"/>
          <w:szCs w:val="28"/>
          <w:lang w:eastAsia="zh-CN"/>
        </w:rPr>
        <w:t>18.8 施工队伍的撤离</w:t>
      </w:r>
    </w:p>
    <w:p>
      <w:pPr>
        <w:spacing w:before="264" w:line="340" w:lineRule="auto"/>
        <w:ind w:left="9" w:right="2" w:firstLine="414"/>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工程接收证书颁发后的56天内，除了经监理人</w:t>
      </w:r>
      <w:r>
        <w:rPr>
          <w:rFonts w:ascii="宋体" w:hAnsi="宋体" w:eastAsia="宋体" w:cs="宋体"/>
          <w:color w:val="auto"/>
          <w:spacing w:val="10"/>
          <w:sz w:val="20"/>
          <w:szCs w:val="20"/>
          <w:lang w:eastAsia="zh-CN"/>
        </w:rPr>
        <w:t>同意需在缺陷责任期内继续工作和使用的人</w:t>
      </w:r>
      <w:r>
        <w:rPr>
          <w:rFonts w:ascii="宋体" w:hAnsi="宋体" w:eastAsia="宋体" w:cs="宋体"/>
          <w:color w:val="auto"/>
          <w:spacing w:val="9"/>
          <w:sz w:val="20"/>
          <w:szCs w:val="20"/>
          <w:lang w:eastAsia="zh-CN"/>
        </w:rPr>
        <w:t>员、施工设备和临时工程外，其余的人员、施工设备和临时工程均应</w:t>
      </w:r>
      <w:r>
        <w:rPr>
          <w:rFonts w:ascii="宋体" w:hAnsi="宋体" w:eastAsia="宋体" w:cs="宋体"/>
          <w:color w:val="auto"/>
          <w:spacing w:val="8"/>
          <w:sz w:val="20"/>
          <w:szCs w:val="20"/>
          <w:lang w:eastAsia="zh-CN"/>
        </w:rPr>
        <w:t>撤离施工场地或拆除。除合</w:t>
      </w:r>
      <w:r>
        <w:rPr>
          <w:rFonts w:ascii="宋体" w:hAnsi="宋体" w:eastAsia="宋体" w:cs="宋体"/>
          <w:color w:val="auto"/>
          <w:spacing w:val="9"/>
          <w:sz w:val="20"/>
          <w:szCs w:val="20"/>
          <w:lang w:eastAsia="zh-CN"/>
        </w:rPr>
        <w:t>同另有约定外，缺陷责任期满时，承包人的人员和施工设备应全部撤离施工场地。</w:t>
      </w:r>
    </w:p>
    <w:p>
      <w:pPr>
        <w:spacing w:before="269" w:line="226" w:lineRule="auto"/>
        <w:ind w:left="22"/>
        <w:outlineLvl w:val="1"/>
        <w:rPr>
          <w:rFonts w:ascii="黑体" w:hAnsi="黑体" w:eastAsia="黑体" w:cs="黑体"/>
          <w:color w:val="auto"/>
          <w:sz w:val="31"/>
          <w:szCs w:val="31"/>
          <w:lang w:eastAsia="zh-CN"/>
        </w:rPr>
      </w:pPr>
      <w:bookmarkStart w:id="421" w:name="bookmark423"/>
      <w:bookmarkEnd w:id="421"/>
      <w:bookmarkStart w:id="422" w:name="bookmark426"/>
      <w:bookmarkEnd w:id="422"/>
      <w:bookmarkStart w:id="423" w:name="bookmark424"/>
      <w:bookmarkEnd w:id="423"/>
      <w:r>
        <w:rPr>
          <w:rFonts w:ascii="黑体" w:hAnsi="黑体" w:eastAsia="黑体" w:cs="黑体"/>
          <w:b/>
          <w:bCs/>
          <w:color w:val="auto"/>
          <w:spacing w:val="4"/>
          <w:sz w:val="31"/>
          <w:szCs w:val="31"/>
          <w:lang w:eastAsia="zh-CN"/>
        </w:rPr>
        <w:t>19.缺陷责任与保修责任</w:t>
      </w:r>
    </w:p>
    <w:p>
      <w:pPr>
        <w:pStyle w:val="3"/>
        <w:spacing w:line="272" w:lineRule="auto"/>
        <w:rPr>
          <w:color w:val="auto"/>
          <w:lang w:eastAsia="zh-CN"/>
        </w:rPr>
      </w:pPr>
    </w:p>
    <w:p>
      <w:pPr>
        <w:spacing w:before="91" w:line="222" w:lineRule="auto"/>
        <w:ind w:left="18"/>
        <w:outlineLvl w:val="2"/>
        <w:rPr>
          <w:rFonts w:ascii="黑体" w:hAnsi="黑体" w:eastAsia="黑体" w:cs="黑体"/>
          <w:color w:val="auto"/>
          <w:sz w:val="28"/>
          <w:szCs w:val="28"/>
          <w:lang w:eastAsia="zh-CN"/>
        </w:rPr>
      </w:pPr>
      <w:bookmarkStart w:id="424" w:name="bookmark425"/>
      <w:bookmarkEnd w:id="424"/>
      <w:r>
        <w:rPr>
          <w:rFonts w:ascii="黑体" w:hAnsi="黑体" w:eastAsia="黑体" w:cs="黑体"/>
          <w:color w:val="auto"/>
          <w:spacing w:val="-2"/>
          <w:sz w:val="28"/>
          <w:szCs w:val="28"/>
          <w:lang w:eastAsia="zh-CN"/>
        </w:rPr>
        <w:t>19.1 缺陷责任期的起算时间</w:t>
      </w:r>
    </w:p>
    <w:p>
      <w:pPr>
        <w:spacing w:line="222" w:lineRule="auto"/>
        <w:rPr>
          <w:rFonts w:ascii="黑体" w:hAnsi="黑体" w:eastAsia="黑体" w:cs="黑体"/>
          <w:color w:val="auto"/>
          <w:sz w:val="28"/>
          <w:szCs w:val="28"/>
          <w:lang w:eastAsia="zh-CN"/>
        </w:rPr>
        <w:sectPr>
          <w:footerReference r:id="rId74" w:type="default"/>
          <w:pgSz w:w="11906" w:h="16839"/>
          <w:pgMar w:top="1431" w:right="1530" w:bottom="1468" w:left="1595" w:header="0" w:footer="1306" w:gutter="0"/>
          <w:cols w:space="720" w:num="1"/>
          <w:docGrid w:linePitch="0" w:charSpace="0"/>
        </w:sectPr>
      </w:pPr>
    </w:p>
    <w:p>
      <w:pPr>
        <w:pStyle w:val="3"/>
        <w:spacing w:line="248" w:lineRule="auto"/>
        <w:rPr>
          <w:color w:val="auto"/>
          <w:lang w:eastAsia="zh-CN"/>
        </w:rPr>
      </w:pPr>
    </w:p>
    <w:p>
      <w:pPr>
        <w:pStyle w:val="3"/>
        <w:spacing w:line="249" w:lineRule="auto"/>
        <w:rPr>
          <w:color w:val="auto"/>
          <w:lang w:eastAsia="zh-CN"/>
        </w:rPr>
      </w:pPr>
    </w:p>
    <w:p>
      <w:pPr>
        <w:spacing w:before="65" w:line="335" w:lineRule="auto"/>
        <w:ind w:right="54"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缺陷责任期自实际竣工日期起计算。在全部工程竣工验收前，已经发包人提前</w:t>
      </w:r>
      <w:r>
        <w:rPr>
          <w:rFonts w:ascii="宋体" w:hAnsi="宋体" w:eastAsia="宋体" w:cs="宋体"/>
          <w:color w:val="auto"/>
          <w:spacing w:val="8"/>
          <w:sz w:val="20"/>
          <w:szCs w:val="20"/>
          <w:lang w:eastAsia="zh-CN"/>
        </w:rPr>
        <w:t>验收的单位工程，其缺陷责任期的起算日期相应提前。</w:t>
      </w:r>
    </w:p>
    <w:p>
      <w:pPr>
        <w:spacing w:before="144" w:line="222" w:lineRule="auto"/>
        <w:ind w:left="17"/>
        <w:outlineLvl w:val="2"/>
        <w:rPr>
          <w:rFonts w:ascii="黑体" w:hAnsi="黑体" w:eastAsia="黑体" w:cs="黑体"/>
          <w:color w:val="auto"/>
          <w:sz w:val="28"/>
          <w:szCs w:val="28"/>
          <w:lang w:eastAsia="zh-CN"/>
        </w:rPr>
      </w:pPr>
      <w:bookmarkStart w:id="425" w:name="bookmark427"/>
      <w:bookmarkEnd w:id="425"/>
      <w:bookmarkStart w:id="426" w:name="bookmark428"/>
      <w:bookmarkEnd w:id="426"/>
      <w:r>
        <w:rPr>
          <w:rFonts w:ascii="黑体" w:hAnsi="黑体" w:eastAsia="黑体" w:cs="黑体"/>
          <w:color w:val="auto"/>
          <w:spacing w:val="-3"/>
          <w:sz w:val="28"/>
          <w:szCs w:val="28"/>
          <w:lang w:eastAsia="zh-CN"/>
        </w:rPr>
        <w:t>19.2 缺陷责任</w:t>
      </w:r>
    </w:p>
    <w:p>
      <w:pPr>
        <w:spacing w:before="279" w:line="228" w:lineRule="auto"/>
        <w:ind w:left="43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19.2.1 承包人应在缺陷责任期内对已交付使用的工程承担</w:t>
      </w:r>
      <w:r>
        <w:rPr>
          <w:rFonts w:ascii="宋体" w:hAnsi="宋体" w:eastAsia="宋体" w:cs="宋体"/>
          <w:color w:val="auto"/>
          <w:spacing w:val="7"/>
          <w:sz w:val="20"/>
          <w:szCs w:val="20"/>
          <w:lang w:eastAsia="zh-CN"/>
        </w:rPr>
        <w:t>缺陷责任。</w:t>
      </w:r>
    </w:p>
    <w:p>
      <w:pPr>
        <w:spacing w:before="150" w:line="323" w:lineRule="auto"/>
        <w:ind w:left="2" w:firstLine="43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19.2.2 缺陷责任期内，发包人对已接收使用的工程负责日常维护工作。发包人在使用过程</w:t>
      </w:r>
      <w:r>
        <w:rPr>
          <w:rFonts w:ascii="宋体" w:hAnsi="宋体" w:eastAsia="宋体" w:cs="宋体"/>
          <w:color w:val="auto"/>
          <w:spacing w:val="5"/>
          <w:sz w:val="20"/>
          <w:szCs w:val="20"/>
          <w:lang w:eastAsia="zh-CN"/>
        </w:rPr>
        <w:t>中，发现已接收的工程存在新的缺陷或已修复的缺陷部位或部件又遭损坏的，承包人应负责修复，</w:t>
      </w:r>
      <w:r>
        <w:rPr>
          <w:rFonts w:ascii="宋体" w:hAnsi="宋体" w:eastAsia="宋体" w:cs="宋体"/>
          <w:color w:val="auto"/>
          <w:spacing w:val="7"/>
          <w:sz w:val="20"/>
          <w:szCs w:val="20"/>
          <w:lang w:eastAsia="zh-CN"/>
        </w:rPr>
        <w:t>直至检验合格为止。</w:t>
      </w:r>
    </w:p>
    <w:p>
      <w:pPr>
        <w:spacing w:before="150" w:line="323" w:lineRule="auto"/>
        <w:ind w:firstLine="435"/>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19.2.3 监理人和承包人应共同查清缺陷和（或）损坏的原因</w:t>
      </w:r>
      <w:r>
        <w:rPr>
          <w:rFonts w:ascii="宋体" w:hAnsi="宋体" w:eastAsia="宋体" w:cs="宋体"/>
          <w:color w:val="auto"/>
          <w:spacing w:val="6"/>
          <w:sz w:val="20"/>
          <w:szCs w:val="20"/>
          <w:lang w:eastAsia="zh-CN"/>
        </w:rPr>
        <w:t>。经查明属承包人原因造成的，</w:t>
      </w:r>
      <w:r>
        <w:rPr>
          <w:rFonts w:ascii="宋体" w:hAnsi="宋体" w:eastAsia="宋体" w:cs="宋体"/>
          <w:color w:val="auto"/>
          <w:spacing w:val="9"/>
          <w:sz w:val="20"/>
          <w:szCs w:val="20"/>
          <w:lang w:eastAsia="zh-CN"/>
        </w:rPr>
        <w:t>应由承包人承担修复和查验的费用。经查验属发包人原因造成的，发包人应承担修复和</w:t>
      </w:r>
      <w:r>
        <w:rPr>
          <w:rFonts w:ascii="宋体" w:hAnsi="宋体" w:eastAsia="宋体" w:cs="宋体"/>
          <w:color w:val="auto"/>
          <w:spacing w:val="8"/>
          <w:sz w:val="20"/>
          <w:szCs w:val="20"/>
          <w:lang w:eastAsia="zh-CN"/>
        </w:rPr>
        <w:t>查验的费用，并支付承包人合理利润。</w:t>
      </w:r>
    </w:p>
    <w:p>
      <w:pPr>
        <w:spacing w:before="151" w:line="299" w:lineRule="auto"/>
        <w:ind w:left="12" w:right="52" w:firstLine="423"/>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19.2.4 承包人不能在合理时间内修复缺陷的，发包人可自行修复或委托其他人修复，所需</w:t>
      </w:r>
      <w:r>
        <w:rPr>
          <w:rFonts w:ascii="宋体" w:hAnsi="宋体" w:eastAsia="宋体" w:cs="宋体"/>
          <w:color w:val="auto"/>
          <w:spacing w:val="5"/>
          <w:sz w:val="20"/>
          <w:szCs w:val="20"/>
          <w:lang w:eastAsia="zh-CN"/>
        </w:rPr>
        <w:t>费用和利润的承担，按第19.2.3项约定办理。</w:t>
      </w:r>
    </w:p>
    <w:p>
      <w:pPr>
        <w:spacing w:before="248" w:line="222" w:lineRule="auto"/>
        <w:ind w:left="17"/>
        <w:outlineLvl w:val="2"/>
        <w:rPr>
          <w:rFonts w:ascii="黑体" w:hAnsi="黑体" w:eastAsia="黑体" w:cs="黑体"/>
          <w:color w:val="auto"/>
          <w:sz w:val="28"/>
          <w:szCs w:val="28"/>
          <w:lang w:eastAsia="zh-CN"/>
        </w:rPr>
      </w:pPr>
      <w:bookmarkStart w:id="427" w:name="bookmark429"/>
      <w:bookmarkEnd w:id="427"/>
      <w:bookmarkStart w:id="428" w:name="bookmark430"/>
      <w:bookmarkEnd w:id="428"/>
      <w:r>
        <w:rPr>
          <w:rFonts w:ascii="黑体" w:hAnsi="黑体" w:eastAsia="黑体" w:cs="黑体"/>
          <w:color w:val="auto"/>
          <w:spacing w:val="-2"/>
          <w:sz w:val="28"/>
          <w:szCs w:val="28"/>
          <w:lang w:eastAsia="zh-CN"/>
        </w:rPr>
        <w:t>19.3 缺陷责任期的延长</w:t>
      </w:r>
    </w:p>
    <w:p>
      <w:pPr>
        <w:spacing w:before="281" w:line="360" w:lineRule="auto"/>
        <w:ind w:left="3" w:right="52" w:firstLine="442"/>
        <w:jc w:val="both"/>
        <w:rPr>
          <w:rFonts w:ascii="宋体" w:hAnsi="宋体" w:eastAsia="宋体" w:cs="宋体"/>
          <w:color w:val="auto"/>
          <w:sz w:val="20"/>
          <w:szCs w:val="20"/>
          <w:lang w:eastAsia="zh-CN"/>
        </w:rPr>
      </w:pPr>
      <w:r>
        <w:rPr>
          <w:rFonts w:ascii="宋体" w:hAnsi="宋体" w:eastAsia="宋体" w:cs="宋体"/>
          <w:color w:val="auto"/>
          <w:spacing w:val="14"/>
          <w:sz w:val="20"/>
          <w:szCs w:val="20"/>
          <w:lang w:eastAsia="zh-CN"/>
        </w:rPr>
        <w:t>由于承包人原因造成某项缺陷或损坏使某项工程或工程设</w:t>
      </w:r>
      <w:r>
        <w:rPr>
          <w:rFonts w:ascii="宋体" w:hAnsi="宋体" w:eastAsia="宋体" w:cs="宋体"/>
          <w:color w:val="auto"/>
          <w:spacing w:val="13"/>
          <w:sz w:val="20"/>
          <w:szCs w:val="20"/>
          <w:lang w:eastAsia="zh-CN"/>
        </w:rPr>
        <w:t>备不能按原定目标使用而需要再</w:t>
      </w:r>
      <w:r>
        <w:rPr>
          <w:rFonts w:ascii="宋体" w:hAnsi="宋体" w:eastAsia="宋体" w:cs="宋体"/>
          <w:color w:val="auto"/>
          <w:spacing w:val="9"/>
          <w:sz w:val="20"/>
          <w:szCs w:val="20"/>
          <w:lang w:eastAsia="zh-CN"/>
        </w:rPr>
        <w:t>次检查、检验和修复的，发包人有权要求承包人相应延长缺陷责任期，但缺陷责任</w:t>
      </w:r>
      <w:r>
        <w:rPr>
          <w:rFonts w:ascii="宋体" w:hAnsi="宋体" w:eastAsia="宋体" w:cs="宋体"/>
          <w:color w:val="auto"/>
          <w:spacing w:val="8"/>
          <w:sz w:val="20"/>
          <w:szCs w:val="20"/>
          <w:lang w:eastAsia="zh-CN"/>
        </w:rPr>
        <w:t>期最长不超过</w:t>
      </w:r>
      <w:r>
        <w:rPr>
          <w:rFonts w:ascii="宋体" w:hAnsi="宋体" w:eastAsia="宋体" w:cs="宋体"/>
          <w:color w:val="auto"/>
          <w:spacing w:val="-3"/>
          <w:sz w:val="20"/>
          <w:szCs w:val="20"/>
          <w:lang w:eastAsia="zh-CN"/>
        </w:rPr>
        <w:t>2年。</w:t>
      </w:r>
    </w:p>
    <w:p>
      <w:pPr>
        <w:spacing w:before="125" w:line="222" w:lineRule="auto"/>
        <w:ind w:left="17"/>
        <w:outlineLvl w:val="2"/>
        <w:rPr>
          <w:rFonts w:ascii="黑体" w:hAnsi="黑体" w:eastAsia="黑体" w:cs="黑体"/>
          <w:color w:val="auto"/>
          <w:sz w:val="28"/>
          <w:szCs w:val="28"/>
          <w:lang w:eastAsia="zh-CN"/>
        </w:rPr>
      </w:pPr>
      <w:bookmarkStart w:id="429" w:name="bookmark432"/>
      <w:bookmarkEnd w:id="429"/>
      <w:bookmarkStart w:id="430" w:name="bookmark431"/>
      <w:bookmarkEnd w:id="430"/>
      <w:r>
        <w:rPr>
          <w:rFonts w:ascii="黑体" w:hAnsi="黑体" w:eastAsia="黑体" w:cs="黑体"/>
          <w:color w:val="auto"/>
          <w:spacing w:val="-2"/>
          <w:sz w:val="28"/>
          <w:szCs w:val="28"/>
          <w:lang w:eastAsia="zh-CN"/>
        </w:rPr>
        <w:t>19.4 进一步试验和试运行</w:t>
      </w:r>
    </w:p>
    <w:p>
      <w:pPr>
        <w:spacing w:before="281" w:line="355" w:lineRule="auto"/>
        <w:ind w:left="1" w:right="54"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任何一项缺陷或损坏修复后，经检查证明其影响了工程或工程设备的使用性能，</w:t>
      </w:r>
      <w:r>
        <w:rPr>
          <w:rFonts w:ascii="宋体" w:hAnsi="宋体" w:eastAsia="宋体" w:cs="宋体"/>
          <w:color w:val="auto"/>
          <w:spacing w:val="8"/>
          <w:sz w:val="20"/>
          <w:szCs w:val="20"/>
          <w:lang w:eastAsia="zh-CN"/>
        </w:rPr>
        <w:t>承包人应重</w:t>
      </w:r>
      <w:r>
        <w:rPr>
          <w:rFonts w:ascii="宋体" w:hAnsi="宋体" w:eastAsia="宋体" w:cs="宋体"/>
          <w:color w:val="auto"/>
          <w:spacing w:val="9"/>
          <w:sz w:val="20"/>
          <w:szCs w:val="20"/>
          <w:lang w:eastAsia="zh-CN"/>
        </w:rPr>
        <w:t>新进行合同约定的试验和试运行，试验和试运行的全部费用应由责任方承担。</w:t>
      </w:r>
    </w:p>
    <w:p>
      <w:pPr>
        <w:spacing w:before="126" w:line="223" w:lineRule="auto"/>
        <w:ind w:left="17"/>
        <w:outlineLvl w:val="2"/>
        <w:rPr>
          <w:rFonts w:ascii="黑体" w:hAnsi="黑体" w:eastAsia="黑体" w:cs="黑体"/>
          <w:color w:val="auto"/>
          <w:sz w:val="28"/>
          <w:szCs w:val="28"/>
          <w:lang w:eastAsia="zh-CN"/>
        </w:rPr>
      </w:pPr>
      <w:bookmarkStart w:id="431" w:name="bookmark433"/>
      <w:bookmarkEnd w:id="431"/>
      <w:bookmarkStart w:id="432" w:name="bookmark434"/>
      <w:bookmarkEnd w:id="432"/>
      <w:r>
        <w:rPr>
          <w:rFonts w:ascii="黑体" w:hAnsi="黑体" w:eastAsia="黑体" w:cs="黑体"/>
          <w:color w:val="auto"/>
          <w:spacing w:val="-3"/>
          <w:sz w:val="28"/>
          <w:szCs w:val="28"/>
          <w:lang w:eastAsia="zh-CN"/>
        </w:rPr>
        <w:t>19.5 承包人的进入权</w:t>
      </w:r>
    </w:p>
    <w:p>
      <w:pPr>
        <w:spacing w:before="277" w:line="356" w:lineRule="auto"/>
        <w:ind w:left="1" w:right="54"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缺陷责任期内承包人为缺陷修复工作需要，有权进入工程现场，但应遵守发包</w:t>
      </w:r>
      <w:r>
        <w:rPr>
          <w:rFonts w:ascii="宋体" w:hAnsi="宋体" w:eastAsia="宋体" w:cs="宋体"/>
          <w:color w:val="auto"/>
          <w:spacing w:val="8"/>
          <w:sz w:val="20"/>
          <w:szCs w:val="20"/>
          <w:lang w:eastAsia="zh-CN"/>
        </w:rPr>
        <w:t>人的保安和保</w:t>
      </w:r>
      <w:r>
        <w:rPr>
          <w:rFonts w:ascii="宋体" w:hAnsi="宋体" w:eastAsia="宋体" w:cs="宋体"/>
          <w:color w:val="auto"/>
          <w:spacing w:val="4"/>
          <w:sz w:val="20"/>
          <w:szCs w:val="20"/>
          <w:lang w:eastAsia="zh-CN"/>
        </w:rPr>
        <w:t>密规定。</w:t>
      </w:r>
    </w:p>
    <w:p>
      <w:pPr>
        <w:spacing w:before="124" w:line="222" w:lineRule="auto"/>
        <w:ind w:left="17"/>
        <w:outlineLvl w:val="2"/>
        <w:rPr>
          <w:rFonts w:ascii="黑体" w:hAnsi="黑体" w:eastAsia="黑体" w:cs="黑体"/>
          <w:color w:val="auto"/>
          <w:sz w:val="28"/>
          <w:szCs w:val="28"/>
          <w:lang w:eastAsia="zh-CN"/>
        </w:rPr>
      </w:pPr>
      <w:bookmarkStart w:id="433" w:name="bookmark436"/>
      <w:bookmarkEnd w:id="433"/>
      <w:bookmarkStart w:id="434" w:name="bookmark435"/>
      <w:bookmarkEnd w:id="434"/>
      <w:r>
        <w:rPr>
          <w:rFonts w:ascii="黑体" w:hAnsi="黑体" w:eastAsia="黑体" w:cs="黑体"/>
          <w:color w:val="auto"/>
          <w:spacing w:val="-2"/>
          <w:sz w:val="28"/>
          <w:szCs w:val="28"/>
          <w:lang w:eastAsia="zh-CN"/>
        </w:rPr>
        <w:t>19.6 缺陷责任期终止证书</w:t>
      </w:r>
    </w:p>
    <w:p>
      <w:pPr>
        <w:spacing w:before="280" w:line="355" w:lineRule="auto"/>
        <w:ind w:left="2" w:right="54" w:firstLine="417"/>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在第1.1.4.5 目约定的缺陷责任期，包括根据第19.3款延长的期限终止后14天内，由监理</w:t>
      </w:r>
      <w:r>
        <w:rPr>
          <w:rFonts w:ascii="宋体" w:hAnsi="宋体" w:eastAsia="宋体" w:cs="宋体"/>
          <w:color w:val="auto"/>
          <w:spacing w:val="9"/>
          <w:sz w:val="20"/>
          <w:szCs w:val="20"/>
          <w:lang w:eastAsia="zh-CN"/>
        </w:rPr>
        <w:t>人向承包人出具经发包人签认的缺陷责任期终止证书，并退还剩余的质量保证金。</w:t>
      </w:r>
    </w:p>
    <w:p>
      <w:pPr>
        <w:spacing w:before="126" w:line="222" w:lineRule="auto"/>
        <w:ind w:left="17"/>
        <w:outlineLvl w:val="2"/>
        <w:rPr>
          <w:rFonts w:ascii="黑体" w:hAnsi="黑体" w:eastAsia="黑体" w:cs="黑体"/>
          <w:color w:val="auto"/>
          <w:sz w:val="28"/>
          <w:szCs w:val="28"/>
          <w:lang w:eastAsia="zh-CN"/>
        </w:rPr>
      </w:pPr>
      <w:bookmarkStart w:id="435" w:name="bookmark438"/>
      <w:bookmarkEnd w:id="435"/>
      <w:bookmarkStart w:id="436" w:name="bookmark437"/>
      <w:bookmarkEnd w:id="436"/>
      <w:r>
        <w:rPr>
          <w:rFonts w:ascii="黑体" w:hAnsi="黑体" w:eastAsia="黑体" w:cs="黑体"/>
          <w:color w:val="auto"/>
          <w:spacing w:val="-3"/>
          <w:sz w:val="28"/>
          <w:szCs w:val="28"/>
          <w:lang w:eastAsia="zh-CN"/>
        </w:rPr>
        <w:t>19.7 保修责任</w:t>
      </w:r>
    </w:p>
    <w:p>
      <w:pPr>
        <w:spacing w:before="279" w:line="344" w:lineRule="auto"/>
        <w:ind w:right="54"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合同当事人根据有关法律规定，在专用合同条款中约定工程质量保修范围、期</w:t>
      </w:r>
      <w:r>
        <w:rPr>
          <w:rFonts w:ascii="宋体" w:hAnsi="宋体" w:eastAsia="宋体" w:cs="宋体"/>
          <w:color w:val="auto"/>
          <w:spacing w:val="8"/>
          <w:sz w:val="20"/>
          <w:szCs w:val="20"/>
          <w:lang w:eastAsia="zh-CN"/>
        </w:rPr>
        <w:t>限和责任。保</w:t>
      </w:r>
      <w:r>
        <w:rPr>
          <w:rFonts w:ascii="宋体" w:hAnsi="宋体" w:eastAsia="宋体" w:cs="宋体"/>
          <w:color w:val="auto"/>
          <w:spacing w:val="9"/>
          <w:sz w:val="20"/>
          <w:szCs w:val="20"/>
          <w:lang w:eastAsia="zh-CN"/>
        </w:rPr>
        <w:t>修期自实际竣工日期起计算。在全部工程竣工验收前，已经发包人提前验收的单位工程，</w:t>
      </w:r>
      <w:r>
        <w:rPr>
          <w:rFonts w:ascii="宋体" w:hAnsi="宋体" w:eastAsia="宋体" w:cs="宋体"/>
          <w:color w:val="auto"/>
          <w:spacing w:val="8"/>
          <w:sz w:val="20"/>
          <w:szCs w:val="20"/>
          <w:lang w:eastAsia="zh-CN"/>
        </w:rPr>
        <w:t>其保修期的起算日期相应提前。</w:t>
      </w:r>
    </w:p>
    <w:p>
      <w:pPr>
        <w:spacing w:line="344" w:lineRule="auto"/>
        <w:rPr>
          <w:rFonts w:ascii="宋体" w:hAnsi="宋体" w:eastAsia="宋体" w:cs="宋体"/>
          <w:color w:val="auto"/>
          <w:sz w:val="20"/>
          <w:szCs w:val="20"/>
          <w:lang w:eastAsia="zh-CN"/>
        </w:rPr>
        <w:sectPr>
          <w:footerReference r:id="rId75" w:type="default"/>
          <w:pgSz w:w="11906" w:h="16839"/>
          <w:pgMar w:top="1431" w:right="1478" w:bottom="1468" w:left="1596" w:header="0" w:footer="1306" w:gutter="0"/>
          <w:cols w:space="720" w:num="1"/>
          <w:docGrid w:linePitch="0" w:charSpace="0"/>
        </w:sectPr>
      </w:pPr>
    </w:p>
    <w:p>
      <w:pPr>
        <w:pStyle w:val="3"/>
        <w:spacing w:line="383" w:lineRule="auto"/>
        <w:rPr>
          <w:color w:val="auto"/>
          <w:lang w:eastAsia="zh-CN"/>
        </w:rPr>
      </w:pPr>
    </w:p>
    <w:p>
      <w:pPr>
        <w:spacing w:before="101" w:line="228" w:lineRule="auto"/>
        <w:ind w:left="1"/>
        <w:outlineLvl w:val="1"/>
        <w:rPr>
          <w:rFonts w:ascii="黑体" w:hAnsi="黑体" w:eastAsia="黑体" w:cs="黑体"/>
          <w:color w:val="auto"/>
          <w:sz w:val="31"/>
          <w:szCs w:val="31"/>
          <w:lang w:eastAsia="zh-CN"/>
        </w:rPr>
      </w:pPr>
      <w:bookmarkStart w:id="437" w:name="bookmark440"/>
      <w:bookmarkEnd w:id="437"/>
      <w:bookmarkStart w:id="438" w:name="bookmark439"/>
      <w:bookmarkEnd w:id="438"/>
      <w:bookmarkStart w:id="439" w:name="bookmark442"/>
      <w:bookmarkEnd w:id="439"/>
      <w:r>
        <w:rPr>
          <w:rFonts w:ascii="黑体" w:hAnsi="黑体" w:eastAsia="黑体" w:cs="黑体"/>
          <w:b/>
          <w:bCs/>
          <w:color w:val="auto"/>
          <w:sz w:val="31"/>
          <w:szCs w:val="31"/>
          <w:lang w:eastAsia="zh-CN"/>
        </w:rPr>
        <w:t>20.保险</w:t>
      </w:r>
    </w:p>
    <w:p>
      <w:pPr>
        <w:pStyle w:val="3"/>
        <w:spacing w:line="270" w:lineRule="auto"/>
        <w:rPr>
          <w:color w:val="auto"/>
          <w:lang w:eastAsia="zh-CN"/>
        </w:rPr>
      </w:pPr>
    </w:p>
    <w:p>
      <w:pPr>
        <w:spacing w:before="91" w:line="222" w:lineRule="auto"/>
        <w:outlineLvl w:val="2"/>
        <w:rPr>
          <w:rFonts w:ascii="黑体" w:hAnsi="黑体" w:eastAsia="黑体" w:cs="黑体"/>
          <w:color w:val="auto"/>
          <w:sz w:val="28"/>
          <w:szCs w:val="28"/>
          <w:lang w:eastAsia="zh-CN"/>
        </w:rPr>
      </w:pPr>
      <w:bookmarkStart w:id="440" w:name="bookmark441"/>
      <w:bookmarkEnd w:id="440"/>
      <w:r>
        <w:rPr>
          <w:rFonts w:ascii="黑体" w:hAnsi="黑体" w:eastAsia="黑体" w:cs="黑体"/>
          <w:color w:val="auto"/>
          <w:spacing w:val="-2"/>
          <w:sz w:val="28"/>
          <w:szCs w:val="28"/>
          <w:lang w:eastAsia="zh-CN"/>
        </w:rPr>
        <w:t>20.1 工程保险</w:t>
      </w:r>
    </w:p>
    <w:p>
      <w:pPr>
        <w:spacing w:before="279" w:line="359" w:lineRule="auto"/>
        <w:ind w:right="54" w:firstLine="431"/>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除专用合同条款另有约定外，承包人应以发包人和</w:t>
      </w:r>
      <w:r>
        <w:rPr>
          <w:rFonts w:ascii="宋体" w:hAnsi="宋体" w:eastAsia="宋体" w:cs="宋体"/>
          <w:color w:val="auto"/>
          <w:spacing w:val="8"/>
          <w:sz w:val="20"/>
          <w:szCs w:val="20"/>
          <w:lang w:eastAsia="zh-CN"/>
        </w:rPr>
        <w:t>承包人的共同名义向双方同意的保险人投</w:t>
      </w:r>
      <w:r>
        <w:rPr>
          <w:rFonts w:ascii="宋体" w:hAnsi="宋体" w:eastAsia="宋体" w:cs="宋体"/>
          <w:color w:val="auto"/>
          <w:spacing w:val="9"/>
          <w:sz w:val="20"/>
          <w:szCs w:val="20"/>
          <w:lang w:eastAsia="zh-CN"/>
        </w:rPr>
        <w:t>保建筑工程一切险、安装工程一切险。其具体的投保内容、保险金额、保险费率、保险</w:t>
      </w:r>
      <w:r>
        <w:rPr>
          <w:rFonts w:ascii="宋体" w:hAnsi="宋体" w:eastAsia="宋体" w:cs="宋体"/>
          <w:color w:val="auto"/>
          <w:spacing w:val="8"/>
          <w:sz w:val="20"/>
          <w:szCs w:val="20"/>
          <w:lang w:eastAsia="zh-CN"/>
        </w:rPr>
        <w:t>期限等有关内容在专用合同条款中约定。</w:t>
      </w:r>
    </w:p>
    <w:p>
      <w:pPr>
        <w:spacing w:before="126" w:line="222" w:lineRule="auto"/>
        <w:outlineLvl w:val="2"/>
        <w:rPr>
          <w:rFonts w:ascii="黑体" w:hAnsi="黑体" w:eastAsia="黑体" w:cs="黑体"/>
          <w:color w:val="auto"/>
          <w:sz w:val="28"/>
          <w:szCs w:val="28"/>
          <w:lang w:eastAsia="zh-CN"/>
        </w:rPr>
      </w:pPr>
      <w:bookmarkStart w:id="441" w:name="bookmark443"/>
      <w:bookmarkEnd w:id="441"/>
      <w:bookmarkStart w:id="442" w:name="bookmark444"/>
      <w:bookmarkEnd w:id="442"/>
      <w:r>
        <w:rPr>
          <w:rFonts w:ascii="黑体" w:hAnsi="黑体" w:eastAsia="黑体" w:cs="黑体"/>
          <w:color w:val="auto"/>
          <w:spacing w:val="-1"/>
          <w:sz w:val="28"/>
          <w:szCs w:val="28"/>
          <w:lang w:eastAsia="zh-CN"/>
        </w:rPr>
        <w:t>20.2 人员工伤事故的保险</w:t>
      </w:r>
    </w:p>
    <w:p>
      <w:pPr>
        <w:spacing w:before="27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20.2.1 承包人员工伤事故的保险</w:t>
      </w:r>
    </w:p>
    <w:p>
      <w:pPr>
        <w:spacing w:before="155" w:line="355" w:lineRule="auto"/>
        <w:ind w:left="11" w:right="54" w:firstLine="40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承包人应依照有关法律规定参加工伤保险，为其履行合同所雇佣的全部人员，</w:t>
      </w:r>
      <w:r>
        <w:rPr>
          <w:rFonts w:ascii="宋体" w:hAnsi="宋体" w:eastAsia="宋体" w:cs="宋体"/>
          <w:color w:val="auto"/>
          <w:spacing w:val="8"/>
          <w:sz w:val="20"/>
          <w:szCs w:val="20"/>
          <w:lang w:eastAsia="zh-CN"/>
        </w:rPr>
        <w:t>缴纳工伤保险费，并要求其分包人也进行此项保险。</w:t>
      </w:r>
    </w:p>
    <w:p>
      <w:pPr>
        <w:spacing w:before="29"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20.2.2 发包人员工伤事故的保险</w:t>
      </w:r>
    </w:p>
    <w:p>
      <w:pPr>
        <w:spacing w:before="155" w:line="355" w:lineRule="auto"/>
        <w:ind w:left="5" w:firstLine="418"/>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发包人应依照有关法律规定参加工伤保险，为其现场机构雇佣的全部人员，缴纳工伤保险费，</w:t>
      </w:r>
      <w:r>
        <w:rPr>
          <w:rFonts w:ascii="宋体" w:hAnsi="宋体" w:eastAsia="宋体" w:cs="宋体"/>
          <w:color w:val="auto"/>
          <w:spacing w:val="8"/>
          <w:sz w:val="20"/>
          <w:szCs w:val="20"/>
          <w:lang w:eastAsia="zh-CN"/>
        </w:rPr>
        <w:t>并要求其监理人也进行此项保险。</w:t>
      </w:r>
    </w:p>
    <w:p>
      <w:pPr>
        <w:spacing w:before="125" w:line="222" w:lineRule="auto"/>
        <w:outlineLvl w:val="2"/>
        <w:rPr>
          <w:rFonts w:ascii="黑体" w:hAnsi="黑体" w:eastAsia="黑体" w:cs="黑体"/>
          <w:color w:val="auto"/>
          <w:sz w:val="28"/>
          <w:szCs w:val="28"/>
          <w:lang w:eastAsia="zh-CN"/>
        </w:rPr>
      </w:pPr>
      <w:bookmarkStart w:id="443" w:name="bookmark446"/>
      <w:bookmarkEnd w:id="443"/>
      <w:bookmarkStart w:id="444" w:name="bookmark445"/>
      <w:bookmarkEnd w:id="444"/>
      <w:r>
        <w:rPr>
          <w:rFonts w:ascii="黑体" w:hAnsi="黑体" w:eastAsia="黑体" w:cs="黑体"/>
          <w:color w:val="auto"/>
          <w:spacing w:val="-1"/>
          <w:sz w:val="28"/>
          <w:szCs w:val="28"/>
          <w:lang w:eastAsia="zh-CN"/>
        </w:rPr>
        <w:t>20.3 人身意外伤害险</w:t>
      </w:r>
    </w:p>
    <w:p>
      <w:pPr>
        <w:spacing w:before="280"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20.3.1 发包人应在整个施工期间为其现场机构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纳保险费，并要求其监理人也进行此项保险。</w:t>
      </w:r>
    </w:p>
    <w:p>
      <w:pPr>
        <w:spacing w:before="151" w:line="299" w:lineRule="auto"/>
        <w:ind w:left="1" w:right="5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20.3.2 承包人应在整个施工期间为其现场机构</w:t>
      </w:r>
      <w:r>
        <w:rPr>
          <w:rFonts w:ascii="宋体" w:hAnsi="宋体" w:eastAsia="宋体" w:cs="宋体"/>
          <w:color w:val="auto"/>
          <w:spacing w:val="10"/>
          <w:sz w:val="20"/>
          <w:szCs w:val="20"/>
          <w:lang w:eastAsia="zh-CN"/>
        </w:rPr>
        <w:t>雇用的全部人员，投保人身意外伤害险，缴</w:t>
      </w:r>
      <w:r>
        <w:rPr>
          <w:rFonts w:ascii="宋体" w:hAnsi="宋体" w:eastAsia="宋体" w:cs="宋体"/>
          <w:color w:val="auto"/>
          <w:spacing w:val="8"/>
          <w:sz w:val="20"/>
          <w:szCs w:val="20"/>
          <w:lang w:eastAsia="zh-CN"/>
        </w:rPr>
        <w:t>纳保险费，并要求其分包人也进行此项保险。</w:t>
      </w:r>
    </w:p>
    <w:p>
      <w:pPr>
        <w:spacing w:before="248" w:line="222" w:lineRule="auto"/>
        <w:outlineLvl w:val="2"/>
        <w:rPr>
          <w:rFonts w:ascii="黑体" w:hAnsi="黑体" w:eastAsia="黑体" w:cs="黑体"/>
          <w:color w:val="auto"/>
          <w:sz w:val="28"/>
          <w:szCs w:val="28"/>
          <w:lang w:eastAsia="zh-CN"/>
        </w:rPr>
      </w:pPr>
      <w:bookmarkStart w:id="445" w:name="bookmark447"/>
      <w:bookmarkEnd w:id="445"/>
      <w:bookmarkStart w:id="446" w:name="bookmark448"/>
      <w:bookmarkEnd w:id="446"/>
      <w:r>
        <w:rPr>
          <w:rFonts w:ascii="黑体" w:hAnsi="黑体" w:eastAsia="黑体" w:cs="黑体"/>
          <w:color w:val="auto"/>
          <w:spacing w:val="-1"/>
          <w:sz w:val="28"/>
          <w:szCs w:val="28"/>
          <w:lang w:eastAsia="zh-CN"/>
        </w:rPr>
        <w:t>20.4 第三者责任险</w:t>
      </w:r>
    </w:p>
    <w:p>
      <w:pPr>
        <w:spacing w:before="281" w:line="322" w:lineRule="auto"/>
        <w:ind w:right="52"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20.4.1 第三者责任系指在保险期内，对因工程</w:t>
      </w:r>
      <w:r>
        <w:rPr>
          <w:rFonts w:ascii="宋体" w:hAnsi="宋体" w:eastAsia="宋体" w:cs="宋体"/>
          <w:color w:val="auto"/>
          <w:spacing w:val="10"/>
          <w:sz w:val="20"/>
          <w:szCs w:val="20"/>
          <w:lang w:eastAsia="zh-CN"/>
        </w:rPr>
        <w:t>意外事故造成的、依法应由被保险人负责的</w:t>
      </w:r>
      <w:r>
        <w:rPr>
          <w:rFonts w:ascii="宋体" w:hAnsi="宋体" w:eastAsia="宋体" w:cs="宋体"/>
          <w:color w:val="auto"/>
          <w:spacing w:val="8"/>
          <w:sz w:val="20"/>
          <w:szCs w:val="20"/>
          <w:lang w:eastAsia="zh-CN"/>
        </w:rPr>
        <w:t>工地上及毗邻地区的第三者人身伤亡、疾病或财产损失（本工程除外</w:t>
      </w:r>
      <w:r>
        <w:rPr>
          <w:rFonts w:ascii="宋体" w:hAnsi="宋体" w:eastAsia="宋体" w:cs="宋体"/>
          <w:color w:val="auto"/>
          <w:spacing w:val="27"/>
          <w:sz w:val="20"/>
          <w:szCs w:val="20"/>
          <w:lang w:eastAsia="zh-CN"/>
        </w:rPr>
        <w:t>），</w:t>
      </w:r>
      <w:r>
        <w:rPr>
          <w:rFonts w:ascii="宋体" w:hAnsi="宋体" w:eastAsia="宋体" w:cs="宋体"/>
          <w:color w:val="auto"/>
          <w:spacing w:val="8"/>
          <w:sz w:val="20"/>
          <w:szCs w:val="20"/>
          <w:lang w:eastAsia="zh-CN"/>
        </w:rPr>
        <w:t>以及被保险人因此而支</w:t>
      </w:r>
      <w:r>
        <w:rPr>
          <w:rFonts w:ascii="宋体" w:hAnsi="宋体" w:eastAsia="宋体" w:cs="宋体"/>
          <w:color w:val="auto"/>
          <w:spacing w:val="9"/>
          <w:sz w:val="20"/>
          <w:szCs w:val="20"/>
          <w:lang w:eastAsia="zh-CN"/>
        </w:rPr>
        <w:t>付的诉讼费用和事先经保险人书面同意支付的其他费用等赔偿责任。</w:t>
      </w:r>
    </w:p>
    <w:p>
      <w:pPr>
        <w:spacing w:before="153" w:line="227" w:lineRule="auto"/>
        <w:ind w:left="422"/>
        <w:rPr>
          <w:rFonts w:ascii="宋体" w:hAnsi="宋体" w:eastAsia="宋体" w:cs="宋体"/>
          <w:color w:val="auto"/>
          <w:sz w:val="20"/>
          <w:szCs w:val="20"/>
          <w:lang w:eastAsia="zh-CN"/>
        </w:rPr>
      </w:pPr>
      <w:r>
        <w:rPr>
          <w:rFonts w:ascii="宋体" w:hAnsi="宋体" w:eastAsia="宋体" w:cs="宋体"/>
          <w:color w:val="auto"/>
          <w:spacing w:val="16"/>
          <w:sz w:val="20"/>
          <w:szCs w:val="20"/>
          <w:lang w:eastAsia="zh-CN"/>
        </w:rPr>
        <w:t>20.4.2 在缺陷责任期终止证书颁发前，承</w:t>
      </w:r>
      <w:r>
        <w:rPr>
          <w:rFonts w:ascii="宋体" w:hAnsi="宋体" w:eastAsia="宋体" w:cs="宋体"/>
          <w:color w:val="auto"/>
          <w:spacing w:val="15"/>
          <w:sz w:val="20"/>
          <w:szCs w:val="20"/>
          <w:lang w:eastAsia="zh-CN"/>
        </w:rPr>
        <w:t>包人应以承包人和发包人的共同名义，投保第</w:t>
      </w:r>
    </w:p>
    <w:p>
      <w:pPr>
        <w:spacing w:before="154" w:line="228" w:lineRule="auto"/>
        <w:ind w:left="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20.4.1项约定的第三者责任险，其保险</w:t>
      </w:r>
      <w:r>
        <w:rPr>
          <w:rFonts w:ascii="宋体" w:hAnsi="宋体" w:eastAsia="宋体" w:cs="宋体"/>
          <w:color w:val="auto"/>
          <w:spacing w:val="8"/>
          <w:sz w:val="20"/>
          <w:szCs w:val="20"/>
          <w:lang w:eastAsia="zh-CN"/>
        </w:rPr>
        <w:t>费率、保险金额等有关内容在专用合同条款中约定。</w:t>
      </w:r>
    </w:p>
    <w:p>
      <w:pPr>
        <w:spacing w:before="248" w:line="223" w:lineRule="auto"/>
        <w:outlineLvl w:val="2"/>
        <w:rPr>
          <w:rFonts w:ascii="黑体" w:hAnsi="黑体" w:eastAsia="黑体" w:cs="黑体"/>
          <w:color w:val="auto"/>
          <w:sz w:val="28"/>
          <w:szCs w:val="28"/>
          <w:lang w:eastAsia="zh-CN"/>
        </w:rPr>
      </w:pPr>
      <w:bookmarkStart w:id="447" w:name="bookmark449"/>
      <w:bookmarkEnd w:id="447"/>
      <w:bookmarkStart w:id="448" w:name="bookmark450"/>
      <w:bookmarkEnd w:id="448"/>
      <w:r>
        <w:rPr>
          <w:rFonts w:ascii="黑体" w:hAnsi="黑体" w:eastAsia="黑体" w:cs="黑体"/>
          <w:color w:val="auto"/>
          <w:spacing w:val="-2"/>
          <w:sz w:val="28"/>
          <w:szCs w:val="28"/>
          <w:lang w:eastAsia="zh-CN"/>
        </w:rPr>
        <w:t>20.5 其他保险</w:t>
      </w:r>
    </w:p>
    <w:p>
      <w:pPr>
        <w:spacing w:before="278" w:line="227" w:lineRule="auto"/>
        <w:ind w:right="29"/>
        <w:jc w:val="right"/>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除专用合同条款另有约定外，承包人应为其施工设备、进场的材料和工程设备等办理保险。</w:t>
      </w:r>
    </w:p>
    <w:p>
      <w:pPr>
        <w:spacing w:before="251" w:line="222" w:lineRule="auto"/>
        <w:outlineLvl w:val="2"/>
        <w:rPr>
          <w:rFonts w:ascii="黑体" w:hAnsi="黑体" w:eastAsia="黑体" w:cs="黑体"/>
          <w:color w:val="auto"/>
          <w:sz w:val="28"/>
          <w:szCs w:val="28"/>
          <w:lang w:eastAsia="zh-CN"/>
        </w:rPr>
      </w:pPr>
      <w:bookmarkStart w:id="449" w:name="bookmark451"/>
      <w:bookmarkEnd w:id="449"/>
      <w:bookmarkStart w:id="450" w:name="bookmark452"/>
      <w:bookmarkEnd w:id="450"/>
      <w:r>
        <w:rPr>
          <w:rFonts w:ascii="黑体" w:hAnsi="黑体" w:eastAsia="黑体" w:cs="黑体"/>
          <w:color w:val="auto"/>
          <w:spacing w:val="-1"/>
          <w:sz w:val="28"/>
          <w:szCs w:val="28"/>
          <w:lang w:eastAsia="zh-CN"/>
        </w:rPr>
        <w:t>20.6 对各项保险的一般要求</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20.6.1 保险凭证</w:t>
      </w:r>
    </w:p>
    <w:p>
      <w:pPr>
        <w:spacing w:before="152"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承包人应在专用合同条款约定的期限内向发包人提交各项保险生效的证据和保险</w:t>
      </w:r>
      <w:r>
        <w:rPr>
          <w:rFonts w:ascii="宋体" w:hAnsi="宋体" w:eastAsia="宋体" w:cs="宋体"/>
          <w:color w:val="auto"/>
          <w:spacing w:val="8"/>
          <w:sz w:val="20"/>
          <w:szCs w:val="20"/>
          <w:lang w:eastAsia="zh-CN"/>
        </w:rPr>
        <w:t>单副本，保</w:t>
      </w:r>
    </w:p>
    <w:p>
      <w:pPr>
        <w:spacing w:line="227" w:lineRule="auto"/>
        <w:rPr>
          <w:rFonts w:ascii="宋体" w:hAnsi="宋体" w:eastAsia="宋体" w:cs="宋体"/>
          <w:color w:val="auto"/>
          <w:sz w:val="20"/>
          <w:szCs w:val="20"/>
          <w:lang w:eastAsia="zh-CN"/>
        </w:rPr>
        <w:sectPr>
          <w:footerReference r:id="rId76"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28" w:lineRule="auto"/>
        <w:ind w:left="1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险单必须与专用合同条款约定的条件保持一致。</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20.6.2 保险合同条款的变动</w:t>
      </w:r>
    </w:p>
    <w:p>
      <w:pPr>
        <w:spacing w:before="154" w:line="353" w:lineRule="auto"/>
        <w:ind w:left="17" w:right="2" w:firstLine="402"/>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承包人需要变动保险合同条款时，应事先征得发包人同意，并通知监理人。保险</w:t>
      </w:r>
      <w:r>
        <w:rPr>
          <w:rFonts w:ascii="宋体" w:hAnsi="宋体" w:eastAsia="宋体" w:cs="宋体"/>
          <w:color w:val="auto"/>
          <w:spacing w:val="8"/>
          <w:sz w:val="20"/>
          <w:szCs w:val="20"/>
          <w:lang w:eastAsia="zh-CN"/>
        </w:rPr>
        <w:t>人作出变动的，承包人应在收到保险人通知后立即通知发包人和监理人。</w:t>
      </w:r>
    </w:p>
    <w:p>
      <w:pPr>
        <w:spacing w:before="33"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20.6.3 持续保险</w:t>
      </w:r>
    </w:p>
    <w:p>
      <w:pPr>
        <w:spacing w:before="154" w:line="353" w:lineRule="auto"/>
        <w:ind w:left="2"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承包人应与保险人保持联系，使保险人能够随时了解工程实施中的变动，并确</w:t>
      </w:r>
      <w:r>
        <w:rPr>
          <w:rFonts w:ascii="宋体" w:hAnsi="宋体" w:eastAsia="宋体" w:cs="宋体"/>
          <w:color w:val="auto"/>
          <w:spacing w:val="8"/>
          <w:sz w:val="20"/>
          <w:szCs w:val="20"/>
          <w:lang w:eastAsia="zh-CN"/>
        </w:rPr>
        <w:t>保按保险合同</w:t>
      </w:r>
      <w:r>
        <w:rPr>
          <w:rFonts w:ascii="宋体" w:hAnsi="宋体" w:eastAsia="宋体" w:cs="宋体"/>
          <w:color w:val="auto"/>
          <w:spacing w:val="7"/>
          <w:sz w:val="20"/>
          <w:szCs w:val="20"/>
          <w:lang w:eastAsia="zh-CN"/>
        </w:rPr>
        <w:t>条款要求持续保险。</w:t>
      </w:r>
    </w:p>
    <w:p>
      <w:pPr>
        <w:spacing w:before="35"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20.6.4 保险金不足的补偿</w:t>
      </w:r>
    </w:p>
    <w:p>
      <w:pPr>
        <w:spacing w:before="153"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保险金不足以补偿损失的，应由承包人和（或）发包人按合同约定负责补偿。</w:t>
      </w:r>
    </w:p>
    <w:p>
      <w:pPr>
        <w:spacing w:before="15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20.6.5 未按约定投保的补救</w:t>
      </w:r>
    </w:p>
    <w:p>
      <w:pPr>
        <w:spacing w:before="154" w:line="299" w:lineRule="auto"/>
        <w:ind w:left="5" w:right="53" w:firstLine="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（1）由于负有投保义务的一方当事人未按合同约定办理保险</w:t>
      </w:r>
      <w:r>
        <w:rPr>
          <w:rFonts w:ascii="宋体" w:hAnsi="宋体" w:eastAsia="宋体" w:cs="宋体"/>
          <w:color w:val="auto"/>
          <w:spacing w:val="8"/>
          <w:sz w:val="20"/>
          <w:szCs w:val="20"/>
          <w:lang w:eastAsia="zh-CN"/>
        </w:rPr>
        <w:t>，或未能使保险持续有效的，</w:t>
      </w:r>
      <w:r>
        <w:rPr>
          <w:rFonts w:ascii="宋体" w:hAnsi="宋体" w:eastAsia="宋体" w:cs="宋体"/>
          <w:color w:val="auto"/>
          <w:spacing w:val="9"/>
          <w:sz w:val="20"/>
          <w:szCs w:val="20"/>
          <w:lang w:eastAsia="zh-CN"/>
        </w:rPr>
        <w:t>另一方当事人可代为办理，所需费用由对方当事人承</w:t>
      </w:r>
      <w:r>
        <w:rPr>
          <w:rFonts w:ascii="宋体" w:hAnsi="宋体" w:eastAsia="宋体" w:cs="宋体"/>
          <w:color w:val="auto"/>
          <w:spacing w:val="8"/>
          <w:sz w:val="20"/>
          <w:szCs w:val="20"/>
          <w:lang w:eastAsia="zh-CN"/>
        </w:rPr>
        <w:t>担。</w:t>
      </w:r>
    </w:p>
    <w:p>
      <w:pPr>
        <w:spacing w:before="151" w:line="299" w:lineRule="auto"/>
        <w:ind w:left="12" w:right="2" w:firstLine="418"/>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（2）由于负有投保义务的一方当事人未按合同约定办理某项保险，导致受益人未能得</w:t>
      </w:r>
      <w:r>
        <w:rPr>
          <w:rFonts w:ascii="宋体" w:hAnsi="宋体" w:eastAsia="宋体" w:cs="宋体"/>
          <w:color w:val="auto"/>
          <w:spacing w:val="9"/>
          <w:sz w:val="20"/>
          <w:szCs w:val="20"/>
          <w:lang w:eastAsia="zh-CN"/>
        </w:rPr>
        <w:t>到保险人的赔偿，原应从该项保险得到的保险金应由负有投保义务的一方当事人支付。</w:t>
      </w:r>
    </w:p>
    <w:p>
      <w:pPr>
        <w:spacing w:before="155" w:line="226"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20.6.6 报告义务</w:t>
      </w:r>
    </w:p>
    <w:p>
      <w:pPr>
        <w:spacing w:before="153" w:line="226" w:lineRule="auto"/>
        <w:ind w:left="43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当保险事故发生时，投保人应按照保险单规定的条件和期限及时向保险人报告。</w:t>
      </w:r>
    </w:p>
    <w:p>
      <w:pPr>
        <w:pStyle w:val="3"/>
        <w:spacing w:line="273" w:lineRule="auto"/>
        <w:rPr>
          <w:color w:val="auto"/>
          <w:lang w:eastAsia="zh-CN"/>
        </w:rPr>
      </w:pPr>
    </w:p>
    <w:p>
      <w:pPr>
        <w:spacing w:before="102" w:line="226" w:lineRule="auto"/>
        <w:ind w:left="2"/>
        <w:outlineLvl w:val="1"/>
        <w:rPr>
          <w:rFonts w:ascii="黑体" w:hAnsi="黑体" w:eastAsia="黑体" w:cs="黑体"/>
          <w:color w:val="auto"/>
          <w:sz w:val="31"/>
          <w:szCs w:val="31"/>
          <w:lang w:eastAsia="zh-CN"/>
        </w:rPr>
      </w:pPr>
      <w:bookmarkStart w:id="451" w:name="bookmark456"/>
      <w:bookmarkEnd w:id="451"/>
      <w:bookmarkStart w:id="452" w:name="bookmark453"/>
      <w:bookmarkEnd w:id="452"/>
      <w:bookmarkStart w:id="453" w:name="bookmark454"/>
      <w:bookmarkEnd w:id="453"/>
      <w:r>
        <w:rPr>
          <w:rFonts w:ascii="黑体" w:hAnsi="黑体" w:eastAsia="黑体" w:cs="黑体"/>
          <w:b/>
          <w:bCs/>
          <w:color w:val="auto"/>
          <w:spacing w:val="1"/>
          <w:sz w:val="31"/>
          <w:szCs w:val="31"/>
          <w:lang w:eastAsia="zh-CN"/>
        </w:rPr>
        <w:t>21.不可抗力</w:t>
      </w:r>
    </w:p>
    <w:p>
      <w:pPr>
        <w:pStyle w:val="3"/>
        <w:spacing w:line="269"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54" w:name="bookmark455"/>
      <w:bookmarkEnd w:id="454"/>
      <w:r>
        <w:rPr>
          <w:rFonts w:ascii="黑体" w:hAnsi="黑体" w:eastAsia="黑体" w:cs="黑体"/>
          <w:color w:val="auto"/>
          <w:spacing w:val="-1"/>
          <w:sz w:val="28"/>
          <w:szCs w:val="28"/>
          <w:lang w:eastAsia="zh-CN"/>
        </w:rPr>
        <w:t>21.1 不可抗力的确认</w:t>
      </w:r>
    </w:p>
    <w:p>
      <w:pPr>
        <w:spacing w:before="278" w:line="323" w:lineRule="auto"/>
        <w:ind w:left="1" w:firstLine="421"/>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21.1.1 不可抗力是指承包人和发包人在订立合</w:t>
      </w:r>
      <w:r>
        <w:rPr>
          <w:rFonts w:ascii="宋体" w:hAnsi="宋体" w:eastAsia="宋体" w:cs="宋体"/>
          <w:color w:val="auto"/>
          <w:spacing w:val="10"/>
          <w:sz w:val="20"/>
          <w:szCs w:val="20"/>
          <w:lang w:eastAsia="zh-CN"/>
        </w:rPr>
        <w:t>同时不可预见，在工程施工过程中不可避免</w:t>
      </w:r>
      <w:r>
        <w:rPr>
          <w:rFonts w:ascii="宋体" w:hAnsi="宋体" w:eastAsia="宋体" w:cs="宋体"/>
          <w:color w:val="auto"/>
          <w:spacing w:val="9"/>
          <w:sz w:val="20"/>
          <w:szCs w:val="20"/>
          <w:lang w:eastAsia="zh-CN"/>
        </w:rPr>
        <w:t>发生并不能克服的自然灾害和社会性突发事件，如地震、海啸、瘟疫、水灾、骚乱、暴</w:t>
      </w:r>
      <w:r>
        <w:rPr>
          <w:rFonts w:ascii="宋体" w:hAnsi="宋体" w:eastAsia="宋体" w:cs="宋体"/>
          <w:color w:val="auto"/>
          <w:spacing w:val="8"/>
          <w:sz w:val="20"/>
          <w:szCs w:val="20"/>
          <w:lang w:eastAsia="zh-CN"/>
        </w:rPr>
        <w:t>动、战争和专用合同条款约定的其他情形。</w:t>
      </w:r>
    </w:p>
    <w:p>
      <w:pPr>
        <w:spacing w:before="151" w:line="323" w:lineRule="auto"/>
        <w:ind w:left="2"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21.1.2 不可抗力发生后，发包人和承包人应及</w:t>
      </w:r>
      <w:r>
        <w:rPr>
          <w:rFonts w:ascii="宋体" w:hAnsi="宋体" w:eastAsia="宋体" w:cs="宋体"/>
          <w:color w:val="auto"/>
          <w:spacing w:val="10"/>
          <w:sz w:val="20"/>
          <w:szCs w:val="20"/>
          <w:lang w:eastAsia="zh-CN"/>
        </w:rPr>
        <w:t>时认真统计所造成的损失，收集不可抗力造</w:t>
      </w:r>
      <w:r>
        <w:rPr>
          <w:rFonts w:ascii="宋体" w:hAnsi="宋体" w:eastAsia="宋体" w:cs="宋体"/>
          <w:color w:val="auto"/>
          <w:spacing w:val="8"/>
          <w:sz w:val="20"/>
          <w:szCs w:val="20"/>
          <w:lang w:eastAsia="zh-CN"/>
        </w:rPr>
        <w:t>成损失的证据。合同双方对是否属于不可抗力或其损失的意见不一致的，由监理人按第3.5款商</w:t>
      </w:r>
      <w:r>
        <w:rPr>
          <w:rFonts w:ascii="宋体" w:hAnsi="宋体" w:eastAsia="宋体" w:cs="宋体"/>
          <w:color w:val="auto"/>
          <w:spacing w:val="7"/>
          <w:sz w:val="20"/>
          <w:szCs w:val="20"/>
          <w:lang w:eastAsia="zh-CN"/>
        </w:rPr>
        <w:t>定或确定。发生争议时，按第24条的约定办理。</w:t>
      </w:r>
    </w:p>
    <w:p>
      <w:pPr>
        <w:spacing w:before="247" w:line="222" w:lineRule="auto"/>
        <w:ind w:left="1"/>
        <w:outlineLvl w:val="2"/>
        <w:rPr>
          <w:rFonts w:ascii="黑体" w:hAnsi="黑体" w:eastAsia="黑体" w:cs="黑体"/>
          <w:color w:val="auto"/>
          <w:sz w:val="28"/>
          <w:szCs w:val="28"/>
          <w:lang w:eastAsia="zh-CN"/>
        </w:rPr>
      </w:pPr>
      <w:bookmarkStart w:id="455" w:name="bookmark457"/>
      <w:bookmarkEnd w:id="455"/>
      <w:bookmarkStart w:id="456" w:name="bookmark458"/>
      <w:bookmarkEnd w:id="456"/>
      <w:r>
        <w:rPr>
          <w:rFonts w:ascii="黑体" w:hAnsi="黑体" w:eastAsia="黑体" w:cs="黑体"/>
          <w:color w:val="auto"/>
          <w:spacing w:val="-1"/>
          <w:sz w:val="28"/>
          <w:szCs w:val="28"/>
          <w:lang w:eastAsia="zh-CN"/>
        </w:rPr>
        <w:t>21.2 不可抗力的通知</w:t>
      </w:r>
    </w:p>
    <w:p>
      <w:pPr>
        <w:spacing w:before="281" w:line="298" w:lineRule="auto"/>
        <w:ind w:left="21" w:firstLine="40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21.2.1 合同一方当事人遇到不可抗力事件，使</w:t>
      </w:r>
      <w:r>
        <w:rPr>
          <w:rFonts w:ascii="宋体" w:hAnsi="宋体" w:eastAsia="宋体" w:cs="宋体"/>
          <w:color w:val="auto"/>
          <w:spacing w:val="10"/>
          <w:sz w:val="20"/>
          <w:szCs w:val="20"/>
          <w:lang w:eastAsia="zh-CN"/>
        </w:rPr>
        <w:t>其履行合同义务受到阻碍时，应立即通知合</w:t>
      </w:r>
      <w:r>
        <w:rPr>
          <w:rFonts w:ascii="宋体" w:hAnsi="宋体" w:eastAsia="宋体" w:cs="宋体"/>
          <w:color w:val="auto"/>
          <w:spacing w:val="9"/>
          <w:sz w:val="20"/>
          <w:szCs w:val="20"/>
          <w:lang w:eastAsia="zh-CN"/>
        </w:rPr>
        <w:t>同另一方当事人和监理人，书面说明不可抗力和受阻碍的详细情况，并提供必要</w:t>
      </w:r>
      <w:r>
        <w:rPr>
          <w:rFonts w:ascii="宋体" w:hAnsi="宋体" w:eastAsia="宋体" w:cs="宋体"/>
          <w:color w:val="auto"/>
          <w:spacing w:val="8"/>
          <w:sz w:val="20"/>
          <w:szCs w:val="20"/>
          <w:lang w:eastAsia="zh-CN"/>
        </w:rPr>
        <w:t>的证明。</w:t>
      </w:r>
    </w:p>
    <w:p>
      <w:pPr>
        <w:spacing w:before="152" w:line="323" w:lineRule="auto"/>
        <w:ind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21.2.2 如不可抗力持续发生，合同一方当事人</w:t>
      </w:r>
      <w:r>
        <w:rPr>
          <w:rFonts w:ascii="宋体" w:hAnsi="宋体" w:eastAsia="宋体" w:cs="宋体"/>
          <w:color w:val="auto"/>
          <w:spacing w:val="10"/>
          <w:sz w:val="20"/>
          <w:szCs w:val="20"/>
          <w:lang w:eastAsia="zh-CN"/>
        </w:rPr>
        <w:t>应及时向合同另一方当事人和监理人提交中</w:t>
      </w:r>
      <w:r>
        <w:rPr>
          <w:rFonts w:ascii="宋体" w:hAnsi="宋体" w:eastAsia="宋体" w:cs="宋体"/>
          <w:color w:val="auto"/>
          <w:spacing w:val="11"/>
          <w:sz w:val="20"/>
          <w:szCs w:val="20"/>
          <w:lang w:eastAsia="zh-CN"/>
        </w:rPr>
        <w:t>间报告，说明不可抗力和履行合同受阻的情况，并于不可</w:t>
      </w:r>
      <w:r>
        <w:rPr>
          <w:rFonts w:ascii="宋体" w:hAnsi="宋体" w:eastAsia="宋体" w:cs="宋体"/>
          <w:color w:val="auto"/>
          <w:spacing w:val="10"/>
          <w:sz w:val="20"/>
          <w:szCs w:val="20"/>
          <w:lang w:eastAsia="zh-CN"/>
        </w:rPr>
        <w:t>抗力事件结束后28天内提交最终报告</w:t>
      </w:r>
      <w:r>
        <w:rPr>
          <w:rFonts w:ascii="宋体" w:hAnsi="宋体" w:eastAsia="宋体" w:cs="宋体"/>
          <w:color w:val="auto"/>
          <w:spacing w:val="6"/>
          <w:sz w:val="20"/>
          <w:szCs w:val="20"/>
          <w:lang w:eastAsia="zh-CN"/>
        </w:rPr>
        <w:t>及有关资料。</w:t>
      </w:r>
    </w:p>
    <w:p>
      <w:pPr>
        <w:spacing w:line="323" w:lineRule="auto"/>
        <w:rPr>
          <w:rFonts w:ascii="宋体" w:hAnsi="宋体" w:eastAsia="宋体" w:cs="宋体"/>
          <w:color w:val="auto"/>
          <w:sz w:val="20"/>
          <w:szCs w:val="20"/>
          <w:lang w:eastAsia="zh-CN"/>
        </w:rPr>
        <w:sectPr>
          <w:footerReference r:id="rId77" w:type="default"/>
          <w:pgSz w:w="11906" w:h="16839"/>
          <w:pgMar w:top="1431" w:right="1530" w:bottom="1468" w:left="1596" w:header="0" w:footer="1306" w:gutter="0"/>
          <w:cols w:space="720" w:num="1"/>
          <w:docGrid w:linePitch="0" w:charSpace="0"/>
        </w:sectPr>
      </w:pPr>
    </w:p>
    <w:p>
      <w:pPr>
        <w:pStyle w:val="3"/>
        <w:spacing w:line="425"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57" w:name="bookmark459"/>
      <w:bookmarkEnd w:id="457"/>
      <w:bookmarkStart w:id="458" w:name="bookmark460"/>
      <w:bookmarkEnd w:id="458"/>
      <w:r>
        <w:rPr>
          <w:rFonts w:ascii="黑体" w:hAnsi="黑体" w:eastAsia="黑体" w:cs="黑体"/>
          <w:color w:val="auto"/>
          <w:spacing w:val="-1"/>
          <w:sz w:val="28"/>
          <w:szCs w:val="28"/>
          <w:lang w:eastAsia="zh-CN"/>
        </w:rPr>
        <w:t>21.3 不可抗力后果及其处理</w:t>
      </w:r>
    </w:p>
    <w:p>
      <w:pPr>
        <w:spacing w:before="279"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21.3.1 不可抗力造成损害的责任</w:t>
      </w:r>
    </w:p>
    <w:p>
      <w:pPr>
        <w:spacing w:before="154" w:line="353" w:lineRule="auto"/>
        <w:ind w:left="1" w:right="54" w:firstLine="43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除专用合同条款另有约定外，不可抗力导致的人员</w:t>
      </w:r>
      <w:r>
        <w:rPr>
          <w:rFonts w:ascii="宋体" w:hAnsi="宋体" w:eastAsia="宋体" w:cs="宋体"/>
          <w:color w:val="auto"/>
          <w:spacing w:val="8"/>
          <w:sz w:val="20"/>
          <w:szCs w:val="20"/>
          <w:lang w:eastAsia="zh-CN"/>
        </w:rPr>
        <w:t>伤亡、财产损失、费用增加和（或）工期</w:t>
      </w:r>
      <w:r>
        <w:rPr>
          <w:rFonts w:ascii="宋体" w:hAnsi="宋体" w:eastAsia="宋体" w:cs="宋体"/>
          <w:color w:val="auto"/>
          <w:spacing w:val="6"/>
          <w:sz w:val="20"/>
          <w:szCs w:val="20"/>
          <w:lang w:eastAsia="zh-CN"/>
        </w:rPr>
        <w:t>延误等后果，由合同双方按以下原则承担：</w:t>
      </w:r>
    </w:p>
    <w:p>
      <w:pPr>
        <w:spacing w:before="33" w:line="299" w:lineRule="auto"/>
        <w:ind w:right="54" w:firstLine="430"/>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（1）永久工程，包括已运至施工场地的材料和工程设备的损害，以及因工程损害造成的第</w:t>
      </w:r>
      <w:r>
        <w:rPr>
          <w:rFonts w:ascii="宋体" w:hAnsi="宋体" w:eastAsia="宋体" w:cs="宋体"/>
          <w:color w:val="auto"/>
          <w:spacing w:val="8"/>
          <w:sz w:val="20"/>
          <w:szCs w:val="20"/>
          <w:lang w:eastAsia="zh-CN"/>
        </w:rPr>
        <w:t>三者人员伤亡和财产损失由发包人承担；</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（2）承包人设备的损坏由承包人承担；</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（3）发包人和承包人各自承担其人员伤亡和其他财产损失及其</w:t>
      </w:r>
      <w:r>
        <w:rPr>
          <w:rFonts w:ascii="宋体" w:hAnsi="宋体" w:eastAsia="宋体" w:cs="宋体"/>
          <w:color w:val="auto"/>
          <w:spacing w:val="8"/>
          <w:sz w:val="20"/>
          <w:szCs w:val="20"/>
          <w:lang w:eastAsia="zh-CN"/>
        </w:rPr>
        <w:t>相关费用；</w:t>
      </w:r>
    </w:p>
    <w:p>
      <w:pPr>
        <w:spacing w:before="153" w:line="298" w:lineRule="auto"/>
        <w:ind w:right="54"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（4）承包人的停工损失由承包人承担，但停工期间应监理人要求照管工程和清理、修复工</w:t>
      </w:r>
      <w:r>
        <w:rPr>
          <w:rFonts w:ascii="宋体" w:hAnsi="宋体" w:eastAsia="宋体" w:cs="宋体"/>
          <w:color w:val="auto"/>
          <w:spacing w:val="8"/>
          <w:sz w:val="20"/>
          <w:szCs w:val="20"/>
          <w:lang w:eastAsia="zh-CN"/>
        </w:rPr>
        <w:t>程的金额由发包人承担；</w:t>
      </w:r>
    </w:p>
    <w:p>
      <w:pPr>
        <w:spacing w:before="156" w:line="298" w:lineRule="auto"/>
        <w:ind w:left="3" w:right="54" w:firstLine="42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（5）不能按期竣工的，应合理延长工期，承包人不需支付逾期竣工违约金。发包人要求赶</w:t>
      </w:r>
      <w:r>
        <w:rPr>
          <w:rFonts w:ascii="宋体" w:hAnsi="宋体" w:eastAsia="宋体" w:cs="宋体"/>
          <w:color w:val="auto"/>
          <w:spacing w:val="9"/>
          <w:sz w:val="20"/>
          <w:szCs w:val="20"/>
          <w:lang w:eastAsia="zh-CN"/>
        </w:rPr>
        <w:t>工的，承包人应采取赶工措施，赶工费用由发包人承担。</w:t>
      </w:r>
    </w:p>
    <w:p>
      <w:pPr>
        <w:spacing w:before="152"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21.3.2 延迟履行期间发生的不可抗力</w:t>
      </w:r>
    </w:p>
    <w:p>
      <w:pPr>
        <w:spacing w:before="154" w:line="228" w:lineRule="auto"/>
        <w:ind w:left="42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合同一方当事人延迟履行，在延迟履行期间发生不可抗力的，不免除其责任。</w:t>
      </w:r>
    </w:p>
    <w:p>
      <w:pPr>
        <w:spacing w:before="153"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21.3.3 避免和减少不可抗力损失</w:t>
      </w:r>
    </w:p>
    <w:p>
      <w:pPr>
        <w:spacing w:before="152" w:line="355" w:lineRule="auto"/>
        <w:ind w:right="54"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不可抗力发生后，发包人和承包人均应采取措施尽量避免和减少损失的</w:t>
      </w:r>
      <w:r>
        <w:rPr>
          <w:rFonts w:ascii="宋体" w:hAnsi="宋体" w:eastAsia="宋体" w:cs="宋体"/>
          <w:color w:val="auto"/>
          <w:spacing w:val="8"/>
          <w:sz w:val="20"/>
          <w:szCs w:val="20"/>
          <w:lang w:eastAsia="zh-CN"/>
        </w:rPr>
        <w:t>扩大，任何一方没有</w:t>
      </w:r>
      <w:r>
        <w:rPr>
          <w:rFonts w:ascii="宋体" w:hAnsi="宋体" w:eastAsia="宋体" w:cs="宋体"/>
          <w:color w:val="auto"/>
          <w:spacing w:val="9"/>
          <w:sz w:val="20"/>
          <w:szCs w:val="20"/>
          <w:lang w:eastAsia="zh-CN"/>
        </w:rPr>
        <w:t>采取有效措施导致损失扩大的，应对扩大的损失承担责任。</w:t>
      </w:r>
    </w:p>
    <w:p>
      <w:pPr>
        <w:spacing w:before="32" w:line="228" w:lineRule="auto"/>
        <w:ind w:left="42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21.3.4因不可抗力解除合同</w:t>
      </w:r>
    </w:p>
    <w:p>
      <w:pPr>
        <w:spacing w:before="150" w:line="364" w:lineRule="auto"/>
        <w:ind w:right="52"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合同一方当事人因不可抗力不能履行合同的，应当及时通知对方解除合同。合</w:t>
      </w:r>
      <w:r>
        <w:rPr>
          <w:rFonts w:ascii="宋体" w:hAnsi="宋体" w:eastAsia="宋体" w:cs="宋体"/>
          <w:color w:val="auto"/>
          <w:spacing w:val="8"/>
          <w:sz w:val="20"/>
          <w:szCs w:val="20"/>
          <w:lang w:eastAsia="zh-CN"/>
        </w:rPr>
        <w:t>同解除后，承</w:t>
      </w:r>
      <w:r>
        <w:rPr>
          <w:rFonts w:ascii="宋体" w:hAnsi="宋体" w:eastAsia="宋体" w:cs="宋体"/>
          <w:color w:val="auto"/>
          <w:spacing w:val="10"/>
          <w:sz w:val="20"/>
          <w:szCs w:val="20"/>
          <w:lang w:eastAsia="zh-CN"/>
        </w:rPr>
        <w:t>包人应按照第22.2.5项约定撤离施工场地。已经订货的材料、设备由订货方负责退货或解除订</w:t>
      </w:r>
      <w:r>
        <w:rPr>
          <w:rFonts w:ascii="宋体" w:hAnsi="宋体" w:eastAsia="宋体" w:cs="宋体"/>
          <w:color w:val="auto"/>
          <w:spacing w:val="9"/>
          <w:sz w:val="20"/>
          <w:szCs w:val="20"/>
          <w:lang w:eastAsia="zh-CN"/>
        </w:rPr>
        <w:t>货合同，不能退还的货款和因退货、解除订货合同发生的费用，由发包人承担，因未及时</w:t>
      </w:r>
      <w:r>
        <w:rPr>
          <w:rFonts w:ascii="宋体" w:hAnsi="宋体" w:eastAsia="宋体" w:cs="宋体"/>
          <w:color w:val="auto"/>
          <w:spacing w:val="8"/>
          <w:sz w:val="20"/>
          <w:szCs w:val="20"/>
          <w:lang w:eastAsia="zh-CN"/>
        </w:rPr>
        <w:t>退货造成的损失由责任方承担。合同解除后的付款，参照第22.2.4项约定，由监理人按第3.5款商定</w:t>
      </w:r>
      <w:r>
        <w:rPr>
          <w:rFonts w:ascii="宋体" w:hAnsi="宋体" w:eastAsia="宋体" w:cs="宋体"/>
          <w:color w:val="auto"/>
          <w:spacing w:val="5"/>
          <w:sz w:val="20"/>
          <w:szCs w:val="20"/>
          <w:lang w:eastAsia="zh-CN"/>
        </w:rPr>
        <w:t>或确定。</w:t>
      </w:r>
    </w:p>
    <w:p>
      <w:pPr>
        <w:spacing w:before="250" w:line="228" w:lineRule="auto"/>
        <w:ind w:left="2"/>
        <w:outlineLvl w:val="1"/>
        <w:rPr>
          <w:rFonts w:ascii="黑体" w:hAnsi="黑体" w:eastAsia="黑体" w:cs="黑体"/>
          <w:color w:val="auto"/>
          <w:sz w:val="31"/>
          <w:szCs w:val="31"/>
          <w:lang w:eastAsia="zh-CN"/>
        </w:rPr>
      </w:pPr>
      <w:bookmarkStart w:id="459" w:name="bookmark464"/>
      <w:bookmarkEnd w:id="459"/>
      <w:bookmarkStart w:id="460" w:name="bookmark461"/>
      <w:bookmarkEnd w:id="460"/>
      <w:bookmarkStart w:id="461" w:name="bookmark462"/>
      <w:bookmarkEnd w:id="461"/>
      <w:r>
        <w:rPr>
          <w:rFonts w:ascii="黑体" w:hAnsi="黑体" w:eastAsia="黑体" w:cs="黑体"/>
          <w:b/>
          <w:bCs/>
          <w:color w:val="auto"/>
          <w:sz w:val="31"/>
          <w:szCs w:val="31"/>
          <w:lang w:eastAsia="zh-CN"/>
        </w:rPr>
        <w:t>22.违约</w:t>
      </w:r>
    </w:p>
    <w:p>
      <w:pPr>
        <w:pStyle w:val="3"/>
        <w:spacing w:line="269" w:lineRule="auto"/>
        <w:rPr>
          <w:color w:val="auto"/>
          <w:lang w:eastAsia="zh-CN"/>
        </w:rPr>
      </w:pPr>
    </w:p>
    <w:p>
      <w:pPr>
        <w:spacing w:before="91" w:line="223" w:lineRule="auto"/>
        <w:ind w:left="1"/>
        <w:outlineLvl w:val="2"/>
        <w:rPr>
          <w:rFonts w:ascii="黑体" w:hAnsi="黑体" w:eastAsia="黑体" w:cs="黑体"/>
          <w:color w:val="auto"/>
          <w:sz w:val="28"/>
          <w:szCs w:val="28"/>
          <w:lang w:eastAsia="zh-CN"/>
        </w:rPr>
      </w:pPr>
      <w:bookmarkStart w:id="462" w:name="bookmark463"/>
      <w:bookmarkEnd w:id="462"/>
      <w:r>
        <w:rPr>
          <w:rFonts w:ascii="黑体" w:hAnsi="黑体" w:eastAsia="黑体" w:cs="黑体"/>
          <w:color w:val="auto"/>
          <w:spacing w:val="-1"/>
          <w:sz w:val="28"/>
          <w:szCs w:val="28"/>
          <w:lang w:eastAsia="zh-CN"/>
        </w:rPr>
        <w:t>22.1 承包人违约</w:t>
      </w:r>
    </w:p>
    <w:p>
      <w:pPr>
        <w:spacing w:before="278" w:line="228" w:lineRule="auto"/>
        <w:ind w:left="42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22.1.1 承包人违约的情形</w:t>
      </w:r>
    </w:p>
    <w:p>
      <w:pPr>
        <w:spacing w:before="154" w:line="228"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在履行合同过程中发生的下列情况属承包人违约：</w:t>
      </w:r>
    </w:p>
    <w:p>
      <w:pPr>
        <w:spacing w:before="151" w:line="299" w:lineRule="auto"/>
        <w:ind w:left="3" w:firstLine="42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（1）承包人违反第1.8款或第4.3款的约定</w:t>
      </w:r>
      <w:r>
        <w:rPr>
          <w:rFonts w:ascii="宋体" w:hAnsi="宋体" w:eastAsia="宋体" w:cs="宋体"/>
          <w:color w:val="auto"/>
          <w:spacing w:val="5"/>
          <w:sz w:val="20"/>
          <w:szCs w:val="20"/>
          <w:lang w:eastAsia="zh-CN"/>
        </w:rPr>
        <w:t>，私自将合同的全部或部分权利转让给其他人，</w:t>
      </w:r>
      <w:r>
        <w:rPr>
          <w:rFonts w:ascii="宋体" w:hAnsi="宋体" w:eastAsia="宋体" w:cs="宋体"/>
          <w:color w:val="auto"/>
          <w:spacing w:val="8"/>
          <w:sz w:val="20"/>
          <w:szCs w:val="20"/>
          <w:lang w:eastAsia="zh-CN"/>
        </w:rPr>
        <w:t>或私自将合同的全部或部分义务转移给其他人；</w:t>
      </w:r>
    </w:p>
    <w:p>
      <w:pPr>
        <w:spacing w:before="155" w:line="297" w:lineRule="auto"/>
        <w:ind w:right="54" w:firstLine="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（2）承包人违反第5.3款或第6.4款的约定，未经监理人批准，私自将已按合同约定进入施工场地的施工设备、临时设施或材料撤离施工场地；</w:t>
      </w:r>
    </w:p>
    <w:p>
      <w:pPr>
        <w:spacing w:line="297" w:lineRule="auto"/>
        <w:rPr>
          <w:rFonts w:ascii="宋体" w:hAnsi="宋体" w:eastAsia="宋体" w:cs="宋体"/>
          <w:color w:val="auto"/>
          <w:sz w:val="20"/>
          <w:szCs w:val="20"/>
          <w:lang w:eastAsia="zh-CN"/>
        </w:rPr>
        <w:sectPr>
          <w:footerReference r:id="rId78" w:type="default"/>
          <w:pgSz w:w="11906" w:h="16839"/>
          <w:pgMar w:top="1431" w:right="1478" w:bottom="1468" w:left="1596" w:header="0" w:footer="1306" w:gutter="0"/>
          <w:cols w:space="720" w:num="1"/>
          <w:docGrid w:linePitch="0" w:charSpace="0"/>
        </w:sectPr>
      </w:pPr>
    </w:p>
    <w:p>
      <w:pPr>
        <w:pStyle w:val="3"/>
        <w:spacing w:line="255" w:lineRule="auto"/>
        <w:rPr>
          <w:color w:val="auto"/>
          <w:lang w:eastAsia="zh-CN"/>
        </w:rPr>
      </w:pPr>
    </w:p>
    <w:p>
      <w:pPr>
        <w:pStyle w:val="3"/>
        <w:spacing w:line="255" w:lineRule="auto"/>
        <w:rPr>
          <w:color w:val="auto"/>
          <w:lang w:eastAsia="zh-CN"/>
        </w:rPr>
      </w:pPr>
    </w:p>
    <w:p>
      <w:pPr>
        <w:spacing w:before="65" w:line="299" w:lineRule="auto"/>
        <w:ind w:left="1" w:right="16" w:firstLine="42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（3）承包人违反第5.4款的约定使用了</w:t>
      </w:r>
      <w:r>
        <w:rPr>
          <w:rFonts w:ascii="宋体" w:hAnsi="宋体" w:eastAsia="宋体" w:cs="宋体"/>
          <w:color w:val="auto"/>
          <w:spacing w:val="6"/>
          <w:sz w:val="20"/>
          <w:szCs w:val="20"/>
          <w:lang w:eastAsia="zh-CN"/>
        </w:rPr>
        <w:t>不合格材料或工程设备，工程质量达不到标准要求，</w:t>
      </w:r>
      <w:r>
        <w:rPr>
          <w:rFonts w:ascii="宋体" w:hAnsi="宋体" w:eastAsia="宋体" w:cs="宋体"/>
          <w:color w:val="auto"/>
          <w:spacing w:val="7"/>
          <w:sz w:val="20"/>
          <w:szCs w:val="20"/>
          <w:lang w:eastAsia="zh-CN"/>
        </w:rPr>
        <w:t>又拒绝清除不合格工程；</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（4）承包人未能按合同进度计划及时完成合同约定的工作，已造成或预期造成工期延误；</w:t>
      </w:r>
    </w:p>
    <w:p>
      <w:pPr>
        <w:spacing w:before="151"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（5）承包人在缺陷责任期内，未能对工程接收证书所列的缺陷清单的内容或缺陷责任期内</w:t>
      </w:r>
      <w:r>
        <w:rPr>
          <w:rFonts w:ascii="宋体" w:hAnsi="宋体" w:eastAsia="宋体" w:cs="宋体"/>
          <w:color w:val="auto"/>
          <w:spacing w:val="9"/>
          <w:sz w:val="20"/>
          <w:szCs w:val="20"/>
          <w:lang w:eastAsia="zh-CN"/>
        </w:rPr>
        <w:t>发生的缺陷进行修复，而又拒绝按监理人指示再进行修补；</w:t>
      </w:r>
    </w:p>
    <w:p>
      <w:pPr>
        <w:spacing w:before="153"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（6）承包人无法继续履行或明确表示不履行或实质上已停止</w:t>
      </w:r>
      <w:r>
        <w:rPr>
          <w:rFonts w:ascii="宋体" w:hAnsi="宋体" w:eastAsia="宋体" w:cs="宋体"/>
          <w:color w:val="auto"/>
          <w:spacing w:val="8"/>
          <w:sz w:val="20"/>
          <w:szCs w:val="20"/>
          <w:lang w:eastAsia="zh-CN"/>
        </w:rPr>
        <w:t>履行合同；</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（7）承包人不按合同约定履行义务的其他情况。</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22.1.2 对承包人违约的处理</w:t>
      </w:r>
    </w:p>
    <w:p>
      <w:pPr>
        <w:spacing w:before="154" w:line="298" w:lineRule="auto"/>
        <w:ind w:left="5" w:right="35" w:firstLine="42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（1）承包人发生第22.1.1（6）目约定的违约情况时，发包人可通知承包人立</w:t>
      </w:r>
      <w:r>
        <w:rPr>
          <w:rFonts w:ascii="宋体" w:hAnsi="宋体" w:eastAsia="宋体" w:cs="宋体"/>
          <w:color w:val="auto"/>
          <w:spacing w:val="5"/>
          <w:sz w:val="20"/>
          <w:szCs w:val="20"/>
          <w:lang w:eastAsia="zh-CN"/>
        </w:rPr>
        <w:t>即解除合同，</w:t>
      </w:r>
      <w:r>
        <w:rPr>
          <w:rFonts w:ascii="宋体" w:hAnsi="宋体" w:eastAsia="宋体" w:cs="宋体"/>
          <w:color w:val="auto"/>
          <w:spacing w:val="7"/>
          <w:sz w:val="20"/>
          <w:szCs w:val="20"/>
          <w:lang w:eastAsia="zh-CN"/>
        </w:rPr>
        <w:t>并按有关法律处理。</w:t>
      </w:r>
    </w:p>
    <w:p>
      <w:pPr>
        <w:spacing w:before="153" w:line="299" w:lineRule="auto"/>
        <w:ind w:left="7" w:firstLine="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（2）承包人发生除第22.1.1（6）目约定以外的其他违约情况时，监理人可向承包人发出整改通知，要求其在指定的期限内改正。承包人应承担</w:t>
      </w:r>
      <w:r>
        <w:rPr>
          <w:rFonts w:ascii="宋体" w:hAnsi="宋体" w:eastAsia="宋体" w:cs="宋体"/>
          <w:color w:val="auto"/>
          <w:spacing w:val="5"/>
          <w:sz w:val="20"/>
          <w:szCs w:val="20"/>
          <w:lang w:eastAsia="zh-CN"/>
        </w:rPr>
        <w:t>其违约所引起的费用增加和（或）工期延误。</w:t>
      </w:r>
    </w:p>
    <w:p>
      <w:pPr>
        <w:spacing w:before="153" w:line="299" w:lineRule="auto"/>
        <w:ind w:left="3" w:right="71" w:firstLine="42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（3）经检查证明承包人已采取了有效措施纠正违约行为，具备复工条件的，可由监理人签</w:t>
      </w:r>
      <w:r>
        <w:rPr>
          <w:rFonts w:ascii="宋体" w:hAnsi="宋体" w:eastAsia="宋体" w:cs="宋体"/>
          <w:color w:val="auto"/>
          <w:spacing w:val="7"/>
          <w:sz w:val="20"/>
          <w:szCs w:val="20"/>
          <w:lang w:eastAsia="zh-CN"/>
        </w:rPr>
        <w:t>发复工通知复工。</w:t>
      </w:r>
    </w:p>
    <w:p>
      <w:pPr>
        <w:spacing w:before="153"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22.1.3 承包人违约解除合同</w:t>
      </w:r>
    </w:p>
    <w:p>
      <w:pPr>
        <w:spacing w:before="151" w:line="362" w:lineRule="auto"/>
        <w:ind w:right="70" w:firstLine="420"/>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监理人发出整改通知28天后，承包人仍不纠正</w:t>
      </w:r>
      <w:r>
        <w:rPr>
          <w:rFonts w:ascii="宋体" w:hAnsi="宋体" w:eastAsia="宋体" w:cs="宋体"/>
          <w:color w:val="auto"/>
          <w:spacing w:val="10"/>
          <w:sz w:val="20"/>
          <w:szCs w:val="20"/>
          <w:lang w:eastAsia="zh-CN"/>
        </w:rPr>
        <w:t>违约行为的，发包人可向承包人发出解除合</w:t>
      </w:r>
      <w:r>
        <w:rPr>
          <w:rFonts w:ascii="宋体" w:hAnsi="宋体" w:eastAsia="宋体" w:cs="宋体"/>
          <w:color w:val="auto"/>
          <w:spacing w:val="9"/>
          <w:sz w:val="20"/>
          <w:szCs w:val="20"/>
          <w:lang w:eastAsia="zh-CN"/>
        </w:rPr>
        <w:t>同通知。合同解除后，发包人可派员进驻施工场地，另行组织人员或委托其他承包人施</w:t>
      </w:r>
      <w:r>
        <w:rPr>
          <w:rFonts w:ascii="宋体" w:hAnsi="宋体" w:eastAsia="宋体" w:cs="宋体"/>
          <w:color w:val="auto"/>
          <w:spacing w:val="8"/>
          <w:sz w:val="20"/>
          <w:szCs w:val="20"/>
          <w:lang w:eastAsia="zh-CN"/>
        </w:rPr>
        <w:t>工。发包</w:t>
      </w:r>
      <w:r>
        <w:rPr>
          <w:rFonts w:ascii="宋体" w:hAnsi="宋体" w:eastAsia="宋体" w:cs="宋体"/>
          <w:color w:val="auto"/>
          <w:spacing w:val="9"/>
          <w:sz w:val="20"/>
          <w:szCs w:val="20"/>
          <w:lang w:eastAsia="zh-CN"/>
        </w:rPr>
        <w:t>人因继续完成该工程的需要，有权扣留使用承包人在现场的材料、设备和临时设施。但</w:t>
      </w:r>
      <w:r>
        <w:rPr>
          <w:rFonts w:ascii="宋体" w:hAnsi="宋体" w:eastAsia="宋体" w:cs="宋体"/>
          <w:color w:val="auto"/>
          <w:spacing w:val="8"/>
          <w:sz w:val="20"/>
          <w:szCs w:val="20"/>
          <w:lang w:eastAsia="zh-CN"/>
        </w:rPr>
        <w:t>发包人的</w:t>
      </w:r>
      <w:r>
        <w:rPr>
          <w:rFonts w:ascii="宋体" w:hAnsi="宋体" w:eastAsia="宋体" w:cs="宋体"/>
          <w:color w:val="auto"/>
          <w:spacing w:val="9"/>
          <w:sz w:val="20"/>
          <w:szCs w:val="20"/>
          <w:lang w:eastAsia="zh-CN"/>
        </w:rPr>
        <w:t>这一行动不免除承包人应承担的违约责任，也不影响发包人根据合同约定享有的索赔权利。</w:t>
      </w:r>
    </w:p>
    <w:p>
      <w:pPr>
        <w:spacing w:before="33" w:line="226"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22.1.4 合同解除后的估价、付款和结清</w:t>
      </w:r>
    </w:p>
    <w:p>
      <w:pPr>
        <w:spacing w:before="155" w:line="297" w:lineRule="auto"/>
        <w:ind w:left="22" w:right="68" w:firstLine="4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（1）合同解除后，监理人按第3.5款商定或确定承包人实际完成工作的价值，以及承包人</w:t>
      </w:r>
      <w:r>
        <w:rPr>
          <w:rFonts w:ascii="宋体" w:hAnsi="宋体" w:eastAsia="宋体" w:cs="宋体"/>
          <w:color w:val="auto"/>
          <w:spacing w:val="8"/>
          <w:sz w:val="20"/>
          <w:szCs w:val="20"/>
          <w:lang w:eastAsia="zh-CN"/>
        </w:rPr>
        <w:t>已提供的材料、施工设备、工程设备和临时工程等的价值。</w:t>
      </w:r>
    </w:p>
    <w:p>
      <w:pPr>
        <w:spacing w:before="156" w:line="299" w:lineRule="auto"/>
        <w:ind w:right="71"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（2）合同解除后，发包人应暂停对承包人的一切付款，查清各项付款和已扣款金额，包括</w:t>
      </w:r>
      <w:r>
        <w:rPr>
          <w:rFonts w:ascii="宋体" w:hAnsi="宋体" w:eastAsia="宋体" w:cs="宋体"/>
          <w:color w:val="auto"/>
          <w:spacing w:val="8"/>
          <w:sz w:val="20"/>
          <w:szCs w:val="20"/>
          <w:lang w:eastAsia="zh-CN"/>
        </w:rPr>
        <w:t>承包人应支付的违约金。</w:t>
      </w:r>
    </w:p>
    <w:p>
      <w:pPr>
        <w:spacing w:before="151" w:line="300" w:lineRule="auto"/>
        <w:ind w:right="70" w:firstLine="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（3）合同解除后，发包人应按第23.4款的约定向承包</w:t>
      </w:r>
      <w:r>
        <w:rPr>
          <w:rFonts w:ascii="宋体" w:hAnsi="宋体" w:eastAsia="宋体" w:cs="宋体"/>
          <w:color w:val="auto"/>
          <w:spacing w:val="7"/>
          <w:sz w:val="20"/>
          <w:szCs w:val="20"/>
          <w:lang w:eastAsia="zh-CN"/>
        </w:rPr>
        <w:t>人索赔由于解除合同给发包人造成的</w:t>
      </w:r>
      <w:r>
        <w:rPr>
          <w:rFonts w:ascii="宋体" w:hAnsi="宋体" w:eastAsia="宋体" w:cs="宋体"/>
          <w:color w:val="auto"/>
          <w:spacing w:val="3"/>
          <w:sz w:val="20"/>
          <w:szCs w:val="20"/>
          <w:lang w:eastAsia="zh-CN"/>
        </w:rPr>
        <w:t>损失。</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（4）合同双方确认上述往来款项后，出具最终结清付款证书，结清全部合同款项。</w:t>
      </w:r>
    </w:p>
    <w:p>
      <w:pPr>
        <w:spacing w:before="152" w:line="304" w:lineRule="auto"/>
        <w:ind w:left="2" w:right="70" w:firstLine="42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（5）发包人和承包人未能就解除合同后的结清达成一致而形成争议</w:t>
      </w:r>
      <w:r>
        <w:rPr>
          <w:rFonts w:ascii="宋体" w:hAnsi="宋体" w:eastAsia="宋体" w:cs="宋体"/>
          <w:color w:val="auto"/>
          <w:spacing w:val="7"/>
          <w:sz w:val="20"/>
          <w:szCs w:val="20"/>
          <w:lang w:eastAsia="zh-CN"/>
        </w:rPr>
        <w:t>的，按第24条的约定办</w:t>
      </w:r>
      <w:r>
        <w:rPr>
          <w:rFonts w:ascii="宋体" w:hAnsi="宋体" w:eastAsia="宋体" w:cs="宋体"/>
          <w:color w:val="auto"/>
          <w:spacing w:val="-1"/>
          <w:sz w:val="20"/>
          <w:szCs w:val="20"/>
          <w:lang w:eastAsia="zh-CN"/>
        </w:rPr>
        <w:t>理。</w:t>
      </w:r>
    </w:p>
    <w:p>
      <w:pPr>
        <w:spacing w:before="14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22.1.5 协议利益的转让</w:t>
      </w:r>
    </w:p>
    <w:p>
      <w:pPr>
        <w:spacing w:before="151" w:line="355" w:lineRule="auto"/>
        <w:ind w:left="5" w:right="71" w:firstLine="43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因承包人违约解除合同的，发包人有权要求承包人将其为实施合同而签订的材料和设备的订货协议或任何服务协议利益转让给发包人，并在解除合同后的14天内，依法办理转让手续。</w:t>
      </w:r>
    </w:p>
    <w:p>
      <w:pPr>
        <w:spacing w:before="32"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22.1.6 紧急情况下无能力或不愿进行抢救</w:t>
      </w:r>
    </w:p>
    <w:p>
      <w:pPr>
        <w:spacing w:line="228" w:lineRule="auto"/>
        <w:rPr>
          <w:rFonts w:ascii="宋体" w:hAnsi="宋体" w:eastAsia="宋体" w:cs="宋体"/>
          <w:color w:val="auto"/>
          <w:sz w:val="20"/>
          <w:szCs w:val="20"/>
          <w:lang w:eastAsia="zh-CN"/>
        </w:rPr>
        <w:sectPr>
          <w:footerReference r:id="rId79" w:type="default"/>
          <w:pgSz w:w="11906" w:h="16839"/>
          <w:pgMar w:top="1431" w:right="146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60" w:lineRule="auto"/>
        <w:ind w:firstLine="419"/>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在工程实施期间或缺陷责任期内发生危及工程安全的事件，监理人通知承包人进</w:t>
      </w:r>
      <w:r>
        <w:rPr>
          <w:rFonts w:ascii="宋体" w:hAnsi="宋体" w:eastAsia="宋体" w:cs="宋体"/>
          <w:color w:val="auto"/>
          <w:spacing w:val="8"/>
          <w:sz w:val="20"/>
          <w:szCs w:val="20"/>
          <w:lang w:eastAsia="zh-CN"/>
        </w:rPr>
        <w:t>行抢救，承</w:t>
      </w:r>
      <w:r>
        <w:rPr>
          <w:rFonts w:ascii="宋体" w:hAnsi="宋体" w:eastAsia="宋体" w:cs="宋体"/>
          <w:color w:val="auto"/>
          <w:spacing w:val="9"/>
          <w:sz w:val="20"/>
          <w:szCs w:val="20"/>
          <w:lang w:eastAsia="zh-CN"/>
        </w:rPr>
        <w:t>包人声明无能力或不愿立即执行的，发包人有权雇佣其他人员进行抢救。此类抢救按合</w:t>
      </w:r>
      <w:r>
        <w:rPr>
          <w:rFonts w:ascii="宋体" w:hAnsi="宋体" w:eastAsia="宋体" w:cs="宋体"/>
          <w:color w:val="auto"/>
          <w:spacing w:val="8"/>
          <w:sz w:val="20"/>
          <w:szCs w:val="20"/>
          <w:lang w:eastAsia="zh-CN"/>
        </w:rPr>
        <w:t>同约定属于承包人义务的，由此发生的金额和（或）工期延误由承包人</w:t>
      </w:r>
      <w:r>
        <w:rPr>
          <w:rFonts w:ascii="宋体" w:hAnsi="宋体" w:eastAsia="宋体" w:cs="宋体"/>
          <w:color w:val="auto"/>
          <w:spacing w:val="7"/>
          <w:sz w:val="20"/>
          <w:szCs w:val="20"/>
          <w:lang w:eastAsia="zh-CN"/>
        </w:rPr>
        <w:t>承担。</w:t>
      </w:r>
    </w:p>
    <w:p>
      <w:pPr>
        <w:spacing w:before="125" w:line="222" w:lineRule="auto"/>
        <w:outlineLvl w:val="2"/>
        <w:rPr>
          <w:rFonts w:ascii="黑体" w:hAnsi="黑体" w:eastAsia="黑体" w:cs="黑体"/>
          <w:color w:val="auto"/>
          <w:sz w:val="28"/>
          <w:szCs w:val="28"/>
          <w:lang w:eastAsia="zh-CN"/>
        </w:rPr>
      </w:pPr>
      <w:bookmarkStart w:id="463" w:name="bookmark466"/>
      <w:bookmarkEnd w:id="463"/>
      <w:bookmarkStart w:id="464" w:name="bookmark465"/>
      <w:bookmarkEnd w:id="464"/>
      <w:r>
        <w:rPr>
          <w:rFonts w:ascii="黑体" w:hAnsi="黑体" w:eastAsia="黑体" w:cs="黑体"/>
          <w:color w:val="auto"/>
          <w:spacing w:val="-1"/>
          <w:sz w:val="28"/>
          <w:szCs w:val="28"/>
          <w:lang w:eastAsia="zh-CN"/>
        </w:rPr>
        <w:t>22.2 发包人违约</w:t>
      </w:r>
    </w:p>
    <w:p>
      <w:pPr>
        <w:spacing w:before="280"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22.2.1 发包人违约的情形</w:t>
      </w:r>
    </w:p>
    <w:p>
      <w:pPr>
        <w:spacing w:before="153" w:line="228" w:lineRule="auto"/>
        <w:ind w:left="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在履行合同过程中发生的下列情形，属发包人违约：</w:t>
      </w:r>
    </w:p>
    <w:p>
      <w:pPr>
        <w:spacing w:before="150" w:line="299" w:lineRule="auto"/>
        <w:ind w:firstLine="43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（1）发包人未能按合同约定支付预付款或合同价款，或拖延、拒绝批准付款申请和支付凭</w:t>
      </w:r>
      <w:r>
        <w:rPr>
          <w:rFonts w:ascii="宋体" w:hAnsi="宋体" w:eastAsia="宋体" w:cs="宋体"/>
          <w:color w:val="auto"/>
          <w:spacing w:val="8"/>
          <w:sz w:val="20"/>
          <w:szCs w:val="20"/>
          <w:lang w:eastAsia="zh-CN"/>
        </w:rPr>
        <w:t>证，导致付款延误的；</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（2）发包人原因造成停工的；</w:t>
      </w:r>
    </w:p>
    <w:p>
      <w:pPr>
        <w:spacing w:before="150"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（3）监理人无正当理由没有在约定期限内发出复工指示，导致承包人无法复工的；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（4）发包人无法继续履行或明确表示不履行或实质上已停止履</w:t>
      </w:r>
      <w:r>
        <w:rPr>
          <w:rFonts w:ascii="宋体" w:hAnsi="宋体" w:eastAsia="宋体" w:cs="宋体"/>
          <w:color w:val="auto"/>
          <w:spacing w:val="8"/>
          <w:sz w:val="20"/>
          <w:szCs w:val="20"/>
          <w:lang w:eastAsia="zh-CN"/>
        </w:rPr>
        <w:t>行合同的；</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（5）发包人不履行合同约定其他义务的。</w:t>
      </w:r>
    </w:p>
    <w:p>
      <w:pPr>
        <w:spacing w:before="15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22.2.2 承包人有权暂停施工</w:t>
      </w:r>
    </w:p>
    <w:p>
      <w:pPr>
        <w:spacing w:before="155" w:line="362" w:lineRule="auto"/>
        <w:ind w:firstLine="422"/>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发包人发生除第22.2.1（4）目以外的违约情况时，</w:t>
      </w:r>
      <w:r>
        <w:rPr>
          <w:rFonts w:ascii="宋体" w:hAnsi="宋体" w:eastAsia="宋体" w:cs="宋体"/>
          <w:color w:val="auto"/>
          <w:spacing w:val="7"/>
          <w:sz w:val="20"/>
          <w:szCs w:val="20"/>
          <w:lang w:eastAsia="zh-CN"/>
        </w:rPr>
        <w:t>承包人可向发包人发出通知，要求发包</w:t>
      </w:r>
      <w:r>
        <w:rPr>
          <w:rFonts w:ascii="宋体" w:hAnsi="宋体" w:eastAsia="宋体" w:cs="宋体"/>
          <w:color w:val="auto"/>
          <w:spacing w:val="11"/>
          <w:sz w:val="20"/>
          <w:szCs w:val="20"/>
          <w:lang w:eastAsia="zh-CN"/>
        </w:rPr>
        <w:t>人采取有效措施纠正违约行为。发包人收到承包</w:t>
      </w:r>
      <w:r>
        <w:rPr>
          <w:rFonts w:ascii="宋体" w:hAnsi="宋体" w:eastAsia="宋体" w:cs="宋体"/>
          <w:color w:val="auto"/>
          <w:spacing w:val="10"/>
          <w:sz w:val="20"/>
          <w:szCs w:val="20"/>
          <w:lang w:eastAsia="zh-CN"/>
        </w:rPr>
        <w:t>人通知后的28天内仍不履行合同义务，承包人</w:t>
      </w:r>
      <w:r>
        <w:rPr>
          <w:rFonts w:ascii="宋体" w:hAnsi="宋体" w:eastAsia="宋体" w:cs="宋体"/>
          <w:color w:val="auto"/>
          <w:spacing w:val="9"/>
          <w:sz w:val="20"/>
          <w:szCs w:val="20"/>
          <w:lang w:eastAsia="zh-CN"/>
        </w:rPr>
        <w:t>有权暂停施工，并通知监理人，发包人应承担由此增加的费用和（或）工期延误，并支</w:t>
      </w:r>
      <w:r>
        <w:rPr>
          <w:rFonts w:ascii="宋体" w:hAnsi="宋体" w:eastAsia="宋体" w:cs="宋体"/>
          <w:color w:val="auto"/>
          <w:spacing w:val="8"/>
          <w:sz w:val="20"/>
          <w:szCs w:val="20"/>
          <w:lang w:eastAsia="zh-CN"/>
        </w:rPr>
        <w:t>付承包人</w:t>
      </w:r>
      <w:r>
        <w:rPr>
          <w:rFonts w:ascii="宋体" w:hAnsi="宋体" w:eastAsia="宋体" w:cs="宋体"/>
          <w:color w:val="auto"/>
          <w:spacing w:val="5"/>
          <w:sz w:val="20"/>
          <w:szCs w:val="20"/>
          <w:lang w:eastAsia="zh-CN"/>
        </w:rPr>
        <w:t>合理利润。</w:t>
      </w:r>
    </w:p>
    <w:p>
      <w:pPr>
        <w:spacing w:before="31" w:line="228" w:lineRule="auto"/>
        <w:ind w:left="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22.2.3 发包人违约解除合同</w:t>
      </w:r>
    </w:p>
    <w:p>
      <w:pPr>
        <w:spacing w:before="152" w:line="227" w:lineRule="auto"/>
        <w:ind w:left="430"/>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（1）发生第22.2.1（4）目的违约情况时，承包人可书面通知发包人解除合同。</w:t>
      </w:r>
    </w:p>
    <w:p>
      <w:pPr>
        <w:spacing w:before="154" w:line="322" w:lineRule="auto"/>
        <w:ind w:firstLine="42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（2）承包人按22.2.2项暂停施工28天后，发包人仍不纠正违约行为的</w:t>
      </w:r>
      <w:r>
        <w:rPr>
          <w:rFonts w:ascii="宋体" w:hAnsi="宋体" w:eastAsia="宋体" w:cs="宋体"/>
          <w:color w:val="auto"/>
          <w:spacing w:val="8"/>
          <w:sz w:val="20"/>
          <w:szCs w:val="20"/>
          <w:lang w:eastAsia="zh-CN"/>
        </w:rPr>
        <w:t>，承包人可向发包</w:t>
      </w:r>
      <w:r>
        <w:rPr>
          <w:rFonts w:ascii="宋体" w:hAnsi="宋体" w:eastAsia="宋体" w:cs="宋体"/>
          <w:color w:val="auto"/>
          <w:spacing w:val="9"/>
          <w:sz w:val="20"/>
          <w:szCs w:val="20"/>
          <w:lang w:eastAsia="zh-CN"/>
        </w:rPr>
        <w:t>人发出解除合同通知。但承包人的这一行动不免除发包人承担的违约责任，也不影响承</w:t>
      </w:r>
      <w:r>
        <w:rPr>
          <w:rFonts w:ascii="宋体" w:hAnsi="宋体" w:eastAsia="宋体" w:cs="宋体"/>
          <w:color w:val="auto"/>
          <w:spacing w:val="8"/>
          <w:sz w:val="20"/>
          <w:szCs w:val="20"/>
          <w:lang w:eastAsia="zh-CN"/>
        </w:rPr>
        <w:t>包人根据合同约定享有的索赔权利。</w:t>
      </w:r>
    </w:p>
    <w:p>
      <w:pPr>
        <w:spacing w:before="154" w:line="228" w:lineRule="auto"/>
        <w:ind w:left="422"/>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22.2.4 解除合同后的付款</w:t>
      </w:r>
    </w:p>
    <w:p>
      <w:pPr>
        <w:spacing w:before="155" w:line="353" w:lineRule="auto"/>
        <w:ind w:firstLine="436"/>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因发包人违约解除合同的，发包人应在解除合同后28天内向承包人支付下列金额，承包人</w:t>
      </w:r>
      <w:r>
        <w:rPr>
          <w:rFonts w:ascii="宋体" w:hAnsi="宋体" w:eastAsia="宋体" w:cs="宋体"/>
          <w:color w:val="auto"/>
          <w:spacing w:val="9"/>
          <w:sz w:val="20"/>
          <w:szCs w:val="20"/>
          <w:lang w:eastAsia="zh-CN"/>
        </w:rPr>
        <w:t>应在此期限内及时向发包人提交要求支付下列金额的有关资料和凭证：</w:t>
      </w:r>
    </w:p>
    <w:p>
      <w:pPr>
        <w:spacing w:before="34" w:line="226"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（1）合同解除日以前所完成工作的价款；</w:t>
      </w:r>
    </w:p>
    <w:p>
      <w:pPr>
        <w:spacing w:before="156" w:line="297" w:lineRule="auto"/>
        <w:ind w:left="1" w:firstLine="42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（2）承包人为该工程施工订购并已付款的材料、工程设备和其他物品的金额。发包人付还</w:t>
      </w:r>
      <w:r>
        <w:rPr>
          <w:rFonts w:ascii="宋体" w:hAnsi="宋体" w:eastAsia="宋体" w:cs="宋体"/>
          <w:color w:val="auto"/>
          <w:spacing w:val="9"/>
          <w:sz w:val="20"/>
          <w:szCs w:val="20"/>
          <w:lang w:eastAsia="zh-CN"/>
        </w:rPr>
        <w:t>后，该材料、工程设备和其他物品归发包人所有；</w:t>
      </w:r>
    </w:p>
    <w:p>
      <w:pPr>
        <w:spacing w:before="155"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（3）承包人为完成工程所发生的，而发包人未支付的金额；</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（4）承包人撤离施工场地以及遣散承包人人员的金额；</w:t>
      </w:r>
    </w:p>
    <w:p>
      <w:pPr>
        <w:spacing w:before="151" w:line="228" w:lineRule="auto"/>
        <w:ind w:left="43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（5）由于解除合同应赔偿的承包人损失；</w:t>
      </w:r>
    </w:p>
    <w:p>
      <w:pPr>
        <w:spacing w:before="154" w:line="228" w:lineRule="auto"/>
        <w:ind w:left="43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（6）按合同约定在合同解除日前应支付给</w:t>
      </w:r>
      <w:r>
        <w:rPr>
          <w:rFonts w:ascii="宋体" w:hAnsi="宋体" w:eastAsia="宋体" w:cs="宋体"/>
          <w:color w:val="auto"/>
          <w:spacing w:val="8"/>
          <w:sz w:val="20"/>
          <w:szCs w:val="20"/>
          <w:lang w:eastAsia="zh-CN"/>
        </w:rPr>
        <w:t>承包人的其他金额。</w:t>
      </w:r>
    </w:p>
    <w:p>
      <w:pPr>
        <w:spacing w:line="228" w:lineRule="auto"/>
        <w:rPr>
          <w:rFonts w:ascii="宋体" w:hAnsi="宋体" w:eastAsia="宋体" w:cs="宋体"/>
          <w:color w:val="auto"/>
          <w:sz w:val="20"/>
          <w:szCs w:val="20"/>
          <w:lang w:eastAsia="zh-CN"/>
        </w:rPr>
        <w:sectPr>
          <w:footerReference r:id="rId80" w:type="default"/>
          <w:pgSz w:w="11906" w:h="16839"/>
          <w:pgMar w:top="1431" w:right="1532"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355" w:lineRule="auto"/>
        <w:ind w:right="57" w:firstLine="42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发包人应按本项约定支付上述金额并退还质量保证金和履约担保，但有</w:t>
      </w:r>
      <w:r>
        <w:rPr>
          <w:rFonts w:ascii="宋体" w:hAnsi="宋体" w:eastAsia="宋体" w:cs="宋体"/>
          <w:color w:val="auto"/>
          <w:spacing w:val="8"/>
          <w:sz w:val="20"/>
          <w:szCs w:val="20"/>
          <w:lang w:eastAsia="zh-CN"/>
        </w:rPr>
        <w:t>权要求承包人支付应偿还给发包人的各项金额。</w:t>
      </w:r>
    </w:p>
    <w:p>
      <w:pPr>
        <w:spacing w:before="31" w:line="228" w:lineRule="auto"/>
        <w:ind w:left="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22.2.5 解除合同后的承包人撤离</w:t>
      </w:r>
    </w:p>
    <w:p>
      <w:pPr>
        <w:spacing w:before="151" w:line="360" w:lineRule="auto"/>
        <w:ind w:left="3" w:right="55" w:firstLine="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因发包人违约而解除合同后，承包人应妥善做好已竣工工程和已购材料、设备的保护和移交</w:t>
      </w:r>
      <w:r>
        <w:rPr>
          <w:rFonts w:ascii="宋体" w:hAnsi="宋体" w:eastAsia="宋体" w:cs="宋体"/>
          <w:color w:val="auto"/>
          <w:spacing w:val="11"/>
          <w:sz w:val="20"/>
          <w:szCs w:val="20"/>
          <w:lang w:eastAsia="zh-CN"/>
        </w:rPr>
        <w:t>工作，按发包人要求将承包人设备和人员撤出施工场地。承包人撤出施工场地应遵守第18.7.1</w:t>
      </w:r>
      <w:r>
        <w:rPr>
          <w:rFonts w:ascii="宋体" w:hAnsi="宋体" w:eastAsia="宋体" w:cs="宋体"/>
          <w:color w:val="auto"/>
          <w:spacing w:val="9"/>
          <w:sz w:val="20"/>
          <w:szCs w:val="20"/>
          <w:lang w:eastAsia="zh-CN"/>
        </w:rPr>
        <w:t>项的约定，发包人应为承包人撤出提供必要条件。</w:t>
      </w:r>
    </w:p>
    <w:p>
      <w:pPr>
        <w:spacing w:before="127" w:line="222" w:lineRule="auto"/>
        <w:ind w:left="1"/>
        <w:outlineLvl w:val="2"/>
        <w:rPr>
          <w:rFonts w:ascii="黑体" w:hAnsi="黑体" w:eastAsia="黑体" w:cs="黑体"/>
          <w:color w:val="auto"/>
          <w:sz w:val="28"/>
          <w:szCs w:val="28"/>
          <w:lang w:eastAsia="zh-CN"/>
        </w:rPr>
      </w:pPr>
      <w:bookmarkStart w:id="465" w:name="bookmark468"/>
      <w:bookmarkEnd w:id="465"/>
      <w:bookmarkStart w:id="466" w:name="bookmark467"/>
      <w:bookmarkEnd w:id="466"/>
      <w:r>
        <w:rPr>
          <w:rFonts w:ascii="黑体" w:hAnsi="黑体" w:eastAsia="黑体" w:cs="黑体"/>
          <w:color w:val="auto"/>
          <w:spacing w:val="-1"/>
          <w:sz w:val="28"/>
          <w:szCs w:val="28"/>
          <w:lang w:eastAsia="zh-CN"/>
        </w:rPr>
        <w:t>22.3 第三人造成的违约</w:t>
      </w:r>
    </w:p>
    <w:p>
      <w:pPr>
        <w:spacing w:before="279" w:line="355" w:lineRule="auto"/>
        <w:ind w:right="57"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在履行合同过程中，一方当事人因第三人的原因造成违约的，应当向对方当事人</w:t>
      </w:r>
      <w:r>
        <w:rPr>
          <w:rFonts w:ascii="宋体" w:hAnsi="宋体" w:eastAsia="宋体" w:cs="宋体"/>
          <w:color w:val="auto"/>
          <w:spacing w:val="8"/>
          <w:sz w:val="20"/>
          <w:szCs w:val="20"/>
          <w:lang w:eastAsia="zh-CN"/>
        </w:rPr>
        <w:t>承担违约责</w:t>
      </w:r>
      <w:r>
        <w:rPr>
          <w:rFonts w:ascii="宋体" w:hAnsi="宋体" w:eastAsia="宋体" w:cs="宋体"/>
          <w:color w:val="auto"/>
          <w:spacing w:val="9"/>
          <w:sz w:val="20"/>
          <w:szCs w:val="20"/>
          <w:lang w:eastAsia="zh-CN"/>
        </w:rPr>
        <w:t>任。一方当事人和第三人之间的纠纷，依照法律规定或者按照约定解决。</w:t>
      </w:r>
    </w:p>
    <w:p>
      <w:pPr>
        <w:spacing w:before="250" w:line="227" w:lineRule="auto"/>
        <w:ind w:left="2"/>
        <w:outlineLvl w:val="1"/>
        <w:rPr>
          <w:rFonts w:ascii="黑体" w:hAnsi="黑体" w:eastAsia="黑体" w:cs="黑体"/>
          <w:color w:val="auto"/>
          <w:sz w:val="31"/>
          <w:szCs w:val="31"/>
          <w:lang w:eastAsia="zh-CN"/>
        </w:rPr>
      </w:pPr>
      <w:bookmarkStart w:id="467" w:name="bookmark472"/>
      <w:bookmarkEnd w:id="467"/>
      <w:bookmarkStart w:id="468" w:name="bookmark470"/>
      <w:bookmarkEnd w:id="468"/>
      <w:bookmarkStart w:id="469" w:name="bookmark469"/>
      <w:bookmarkEnd w:id="469"/>
      <w:r>
        <w:rPr>
          <w:rFonts w:ascii="黑体" w:hAnsi="黑体" w:eastAsia="黑体" w:cs="黑体"/>
          <w:b/>
          <w:bCs/>
          <w:color w:val="auto"/>
          <w:spacing w:val="-2"/>
          <w:sz w:val="31"/>
          <w:szCs w:val="31"/>
          <w:lang w:eastAsia="zh-CN"/>
        </w:rPr>
        <w:t>23.索赔</w:t>
      </w:r>
    </w:p>
    <w:p>
      <w:pPr>
        <w:pStyle w:val="3"/>
        <w:spacing w:line="271"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0" w:name="bookmark471"/>
      <w:bookmarkEnd w:id="470"/>
      <w:r>
        <w:rPr>
          <w:rFonts w:ascii="黑体" w:hAnsi="黑体" w:eastAsia="黑体" w:cs="黑体"/>
          <w:color w:val="auto"/>
          <w:spacing w:val="-1"/>
          <w:sz w:val="28"/>
          <w:szCs w:val="28"/>
          <w:lang w:eastAsia="zh-CN"/>
        </w:rPr>
        <w:t>23.1 承包人索赔的提出</w:t>
      </w:r>
    </w:p>
    <w:p>
      <w:pPr>
        <w:spacing w:before="280" w:line="353" w:lineRule="auto"/>
        <w:ind w:left="1" w:right="57" w:firstLine="419"/>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根据合同约定，承包人认为有权得到追加付款和（或）延长工期的，应按以下</w:t>
      </w:r>
      <w:r>
        <w:rPr>
          <w:rFonts w:ascii="宋体" w:hAnsi="宋体" w:eastAsia="宋体" w:cs="宋体"/>
          <w:color w:val="auto"/>
          <w:spacing w:val="8"/>
          <w:sz w:val="20"/>
          <w:szCs w:val="20"/>
          <w:lang w:eastAsia="zh-CN"/>
        </w:rPr>
        <w:t>程序向发包人</w:t>
      </w:r>
      <w:r>
        <w:rPr>
          <w:rFonts w:ascii="宋体" w:hAnsi="宋体" w:eastAsia="宋体" w:cs="宋体"/>
          <w:color w:val="auto"/>
          <w:spacing w:val="5"/>
          <w:sz w:val="20"/>
          <w:szCs w:val="20"/>
          <w:lang w:eastAsia="zh-CN"/>
        </w:rPr>
        <w:t>提出索赔：</w:t>
      </w:r>
    </w:p>
    <w:p>
      <w:pPr>
        <w:spacing w:before="33" w:line="322"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（1）承包人应在知道或应当知道索赔事件发生后28天内，向监理人递交索赔意向通知书，</w:t>
      </w:r>
      <w:r>
        <w:rPr>
          <w:rFonts w:ascii="宋体" w:hAnsi="宋体" w:eastAsia="宋体" w:cs="宋体"/>
          <w:color w:val="auto"/>
          <w:spacing w:val="11"/>
          <w:sz w:val="20"/>
          <w:szCs w:val="20"/>
          <w:lang w:eastAsia="zh-CN"/>
        </w:rPr>
        <w:t>并说明发生索赔事件的事由。承包人未在前述28天内</w:t>
      </w:r>
      <w:r>
        <w:rPr>
          <w:rFonts w:ascii="宋体" w:hAnsi="宋体" w:eastAsia="宋体" w:cs="宋体"/>
          <w:color w:val="auto"/>
          <w:spacing w:val="10"/>
          <w:sz w:val="20"/>
          <w:szCs w:val="20"/>
          <w:lang w:eastAsia="zh-CN"/>
        </w:rPr>
        <w:t>发出索赔意向通知书的，丧失要求追加付</w:t>
      </w:r>
      <w:r>
        <w:rPr>
          <w:rFonts w:ascii="宋体" w:hAnsi="宋体" w:eastAsia="宋体" w:cs="宋体"/>
          <w:color w:val="auto"/>
          <w:spacing w:val="8"/>
          <w:sz w:val="20"/>
          <w:szCs w:val="20"/>
          <w:lang w:eastAsia="zh-CN"/>
        </w:rPr>
        <w:t>款和（或）延长工期的权利；</w:t>
      </w:r>
    </w:p>
    <w:p>
      <w:pPr>
        <w:spacing w:before="155" w:line="298" w:lineRule="auto"/>
        <w:ind w:left="5" w:firstLine="363"/>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（2）承包人应在发出索赔意向通知书后28天内，向监理人正式递交索赔通知书。索赔通知</w:t>
      </w:r>
      <w:r>
        <w:rPr>
          <w:rFonts w:ascii="宋体" w:hAnsi="宋体" w:eastAsia="宋体" w:cs="宋体"/>
          <w:color w:val="auto"/>
          <w:spacing w:val="1"/>
          <w:sz w:val="20"/>
          <w:szCs w:val="20"/>
          <w:lang w:eastAsia="zh-CN"/>
        </w:rPr>
        <w:t>书应详细说明索赔理由以及要求追加的付款金额和（或）延长</w:t>
      </w:r>
      <w:r>
        <w:rPr>
          <w:rFonts w:ascii="宋体" w:hAnsi="宋体" w:eastAsia="宋体" w:cs="宋体"/>
          <w:color w:val="auto"/>
          <w:sz w:val="20"/>
          <w:szCs w:val="20"/>
          <w:lang w:eastAsia="zh-CN"/>
        </w:rPr>
        <w:t>的工期，并附必要的记录和证明材料；</w:t>
      </w:r>
    </w:p>
    <w:p>
      <w:pPr>
        <w:spacing w:before="152" w:line="299" w:lineRule="auto"/>
        <w:ind w:right="59" w:firstLine="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（3）索赔事件具有连续影响的，承包人应按合理时间间隔继续递交延续索赔通知，说明连续</w:t>
      </w:r>
      <w:r>
        <w:rPr>
          <w:rFonts w:ascii="宋体" w:hAnsi="宋体" w:eastAsia="宋体" w:cs="宋体"/>
          <w:color w:val="auto"/>
          <w:spacing w:val="9"/>
          <w:sz w:val="20"/>
          <w:szCs w:val="20"/>
          <w:lang w:eastAsia="zh-CN"/>
        </w:rPr>
        <w:t>影响的实际情况和记录，列出累计的追加付款金额和（或）工期延长天数；</w:t>
      </w:r>
    </w:p>
    <w:p>
      <w:pPr>
        <w:spacing w:before="155" w:line="297" w:lineRule="auto"/>
        <w:ind w:left="1" w:right="57" w:firstLine="366"/>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（4）在索赔事件影响结束后的28天内，承包人应向监理人递交最终索赔通知书，说明最终要求索赔的追加付款金额和延长的工期，并附必要的记录和证明材料。</w:t>
      </w:r>
    </w:p>
    <w:p>
      <w:pPr>
        <w:spacing w:before="252" w:line="222" w:lineRule="auto"/>
        <w:ind w:left="1"/>
        <w:outlineLvl w:val="2"/>
        <w:rPr>
          <w:rFonts w:ascii="黑体" w:hAnsi="黑体" w:eastAsia="黑体" w:cs="黑体"/>
          <w:color w:val="auto"/>
          <w:sz w:val="28"/>
          <w:szCs w:val="28"/>
          <w:lang w:eastAsia="zh-CN"/>
        </w:rPr>
      </w:pPr>
      <w:bookmarkStart w:id="471" w:name="bookmark474"/>
      <w:bookmarkEnd w:id="471"/>
      <w:bookmarkStart w:id="472" w:name="bookmark473"/>
      <w:bookmarkEnd w:id="472"/>
      <w:r>
        <w:rPr>
          <w:rFonts w:ascii="黑体" w:hAnsi="黑体" w:eastAsia="黑体" w:cs="黑体"/>
          <w:color w:val="auto"/>
          <w:spacing w:val="-1"/>
          <w:sz w:val="28"/>
          <w:szCs w:val="28"/>
          <w:lang w:eastAsia="zh-CN"/>
        </w:rPr>
        <w:t>23.2 承包人索赔处理程序</w:t>
      </w:r>
    </w:p>
    <w:p>
      <w:pPr>
        <w:spacing w:before="280" w:line="297" w:lineRule="auto"/>
        <w:ind w:right="59" w:firstLine="36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（1）监理人收到承包人提交的索赔通知书后，应及时审查索赔通知书的内容、查验承包人的</w:t>
      </w:r>
      <w:r>
        <w:rPr>
          <w:rFonts w:ascii="宋体" w:hAnsi="宋体" w:eastAsia="宋体" w:cs="宋体"/>
          <w:color w:val="auto"/>
          <w:spacing w:val="9"/>
          <w:sz w:val="20"/>
          <w:szCs w:val="20"/>
          <w:lang w:eastAsia="zh-CN"/>
        </w:rPr>
        <w:t>记录和证明材料，必要时监理人可要求承包人提交全部原始记录副本。</w:t>
      </w:r>
    </w:p>
    <w:p>
      <w:pPr>
        <w:spacing w:before="156" w:line="298" w:lineRule="auto"/>
        <w:ind w:left="5" w:right="57" w:firstLine="36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（2）监理人应按第3.5款商定或确定追加的付款和（或）</w:t>
      </w:r>
      <w:r>
        <w:rPr>
          <w:rFonts w:ascii="宋体" w:hAnsi="宋体" w:eastAsia="宋体" w:cs="宋体"/>
          <w:color w:val="auto"/>
          <w:spacing w:val="6"/>
          <w:sz w:val="20"/>
          <w:szCs w:val="20"/>
          <w:lang w:eastAsia="zh-CN"/>
        </w:rPr>
        <w:t>延长的工期，并在收到上述索赔通</w:t>
      </w:r>
      <w:r>
        <w:rPr>
          <w:rFonts w:ascii="宋体" w:hAnsi="宋体" w:eastAsia="宋体" w:cs="宋体"/>
          <w:color w:val="auto"/>
          <w:spacing w:val="8"/>
          <w:sz w:val="20"/>
          <w:szCs w:val="20"/>
          <w:lang w:eastAsia="zh-CN"/>
        </w:rPr>
        <w:t>知书或有关索赔的进一步证明材料后的42天内，将索赔处理结果答复承包人。</w:t>
      </w:r>
    </w:p>
    <w:p>
      <w:pPr>
        <w:spacing w:before="152" w:line="299" w:lineRule="auto"/>
        <w:ind w:right="91" w:firstLine="36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（3）承包人接受索赔处理结果的，发包人应在作出索赔处理结果答复后28天内完成赔付。承包人不接受索赔处理结果的，按第24条的</w:t>
      </w:r>
      <w:r>
        <w:rPr>
          <w:rFonts w:ascii="宋体" w:hAnsi="宋体" w:eastAsia="宋体" w:cs="宋体"/>
          <w:color w:val="auto"/>
          <w:spacing w:val="7"/>
          <w:sz w:val="20"/>
          <w:szCs w:val="20"/>
          <w:lang w:eastAsia="zh-CN"/>
        </w:rPr>
        <w:t>约定办理。</w:t>
      </w:r>
    </w:p>
    <w:p>
      <w:pPr>
        <w:spacing w:line="299" w:lineRule="auto"/>
        <w:rPr>
          <w:rFonts w:ascii="宋体" w:hAnsi="宋体" w:eastAsia="宋体" w:cs="宋体"/>
          <w:color w:val="auto"/>
          <w:sz w:val="20"/>
          <w:szCs w:val="20"/>
          <w:lang w:eastAsia="zh-CN"/>
        </w:rPr>
        <w:sectPr>
          <w:footerReference r:id="rId81" w:type="default"/>
          <w:pgSz w:w="11906" w:h="16839"/>
          <w:pgMar w:top="1431" w:right="1476" w:bottom="1468" w:left="1596" w:header="0" w:footer="1306" w:gutter="0"/>
          <w:cols w:space="720" w:num="1"/>
          <w:docGrid w:linePitch="0" w:charSpace="0"/>
        </w:sectPr>
      </w:pPr>
    </w:p>
    <w:p>
      <w:pPr>
        <w:pStyle w:val="3"/>
        <w:spacing w:line="426" w:lineRule="auto"/>
        <w:rPr>
          <w:color w:val="auto"/>
          <w:lang w:eastAsia="zh-CN"/>
        </w:rPr>
      </w:pPr>
    </w:p>
    <w:p>
      <w:pPr>
        <w:spacing w:before="91" w:line="222" w:lineRule="auto"/>
        <w:ind w:left="1"/>
        <w:outlineLvl w:val="2"/>
        <w:rPr>
          <w:rFonts w:ascii="黑体" w:hAnsi="黑体" w:eastAsia="黑体" w:cs="黑体"/>
          <w:color w:val="auto"/>
          <w:sz w:val="28"/>
          <w:szCs w:val="28"/>
          <w:lang w:eastAsia="zh-CN"/>
        </w:rPr>
      </w:pPr>
      <w:bookmarkStart w:id="473" w:name="bookmark476"/>
      <w:bookmarkEnd w:id="473"/>
      <w:bookmarkStart w:id="474" w:name="bookmark475"/>
      <w:bookmarkEnd w:id="474"/>
      <w:r>
        <w:rPr>
          <w:rFonts w:ascii="黑体" w:hAnsi="黑体" w:eastAsia="黑体" w:cs="黑体"/>
          <w:color w:val="auto"/>
          <w:spacing w:val="-1"/>
          <w:sz w:val="28"/>
          <w:szCs w:val="28"/>
          <w:lang w:eastAsia="zh-CN"/>
        </w:rPr>
        <w:t>23.3 承包人提出索赔的期限</w:t>
      </w:r>
    </w:p>
    <w:p>
      <w:pPr>
        <w:spacing w:before="280" w:line="298"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23.3.1 承包人按第17.5款的约定接受了竣工付款证书后，应被认为已无权再提出在合同工</w:t>
      </w:r>
      <w:r>
        <w:rPr>
          <w:rFonts w:ascii="宋体" w:hAnsi="宋体" w:eastAsia="宋体" w:cs="宋体"/>
          <w:color w:val="auto"/>
          <w:spacing w:val="8"/>
          <w:sz w:val="20"/>
          <w:szCs w:val="20"/>
          <w:lang w:eastAsia="zh-CN"/>
        </w:rPr>
        <w:t>程接收证书颁发前所发生的任何索赔。</w:t>
      </w:r>
    </w:p>
    <w:p>
      <w:pPr>
        <w:spacing w:before="153" w:line="298" w:lineRule="auto"/>
        <w:ind w:left="2" w:right="2" w:firstLine="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23.3.2 承包人按第17.6款的约定提交的最终结清申请单中，只限于提出工程接收证书颁发</w:t>
      </w:r>
      <w:r>
        <w:rPr>
          <w:rFonts w:ascii="宋体" w:hAnsi="宋体" w:eastAsia="宋体" w:cs="宋体"/>
          <w:color w:val="auto"/>
          <w:spacing w:val="9"/>
          <w:sz w:val="20"/>
          <w:szCs w:val="20"/>
          <w:lang w:eastAsia="zh-CN"/>
        </w:rPr>
        <w:t>后发生的索赔。提出索赔的期限自接受最终结清证书时终止。</w:t>
      </w:r>
    </w:p>
    <w:p>
      <w:pPr>
        <w:spacing w:before="248" w:line="222" w:lineRule="auto"/>
        <w:ind w:left="1"/>
        <w:outlineLvl w:val="2"/>
        <w:rPr>
          <w:rFonts w:ascii="黑体" w:hAnsi="黑体" w:eastAsia="黑体" w:cs="黑体"/>
          <w:color w:val="auto"/>
          <w:sz w:val="28"/>
          <w:szCs w:val="28"/>
          <w:lang w:eastAsia="zh-CN"/>
        </w:rPr>
      </w:pPr>
      <w:bookmarkStart w:id="475" w:name="bookmark477"/>
      <w:bookmarkEnd w:id="475"/>
      <w:bookmarkStart w:id="476" w:name="bookmark478"/>
      <w:bookmarkEnd w:id="476"/>
      <w:r>
        <w:rPr>
          <w:rFonts w:ascii="黑体" w:hAnsi="黑体" w:eastAsia="黑体" w:cs="黑体"/>
          <w:color w:val="auto"/>
          <w:spacing w:val="-1"/>
          <w:sz w:val="28"/>
          <w:szCs w:val="28"/>
          <w:lang w:eastAsia="zh-CN"/>
        </w:rPr>
        <w:t>23.4 发包人的索赔</w:t>
      </w:r>
    </w:p>
    <w:p>
      <w:pPr>
        <w:spacing w:before="278" w:line="323" w:lineRule="auto"/>
        <w:ind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23.4.1 发生索赔事件后，监理人应及时书面通</w:t>
      </w:r>
      <w:r>
        <w:rPr>
          <w:rFonts w:ascii="宋体" w:hAnsi="宋体" w:eastAsia="宋体" w:cs="宋体"/>
          <w:color w:val="auto"/>
          <w:spacing w:val="10"/>
          <w:sz w:val="20"/>
          <w:szCs w:val="20"/>
          <w:lang w:eastAsia="zh-CN"/>
        </w:rPr>
        <w:t>知承包人，详细说明发包人有权得到的索赔金额和（或）延长缺陷责任期的细节和依据。发包人提出索赔的期限和要求与第23.3款的约定</w:t>
      </w:r>
      <w:r>
        <w:rPr>
          <w:rFonts w:ascii="宋体" w:hAnsi="宋体" w:eastAsia="宋体" w:cs="宋体"/>
          <w:color w:val="auto"/>
          <w:spacing w:val="9"/>
          <w:sz w:val="20"/>
          <w:szCs w:val="20"/>
          <w:lang w:eastAsia="zh-CN"/>
        </w:rPr>
        <w:t>相同，延长缺陷责任期的通知应在缺陷责任期届满前发出。</w:t>
      </w:r>
    </w:p>
    <w:p>
      <w:pPr>
        <w:spacing w:before="150" w:line="323" w:lineRule="auto"/>
        <w:ind w:left="1" w:righ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23.4.2 监理人按第3.5款商定或确定发包人从</w:t>
      </w:r>
      <w:r>
        <w:rPr>
          <w:rFonts w:ascii="宋体" w:hAnsi="宋体" w:eastAsia="宋体" w:cs="宋体"/>
          <w:color w:val="auto"/>
          <w:spacing w:val="9"/>
          <w:sz w:val="20"/>
          <w:szCs w:val="20"/>
          <w:lang w:eastAsia="zh-CN"/>
        </w:rPr>
        <w:t>承包人处得到赔付的金额和（或）缺陷责任期的延长期。承包人应付给发包人的金额可从拟支付给承包人的合同价款中扣除，或由</w:t>
      </w:r>
      <w:r>
        <w:rPr>
          <w:rFonts w:ascii="宋体" w:hAnsi="宋体" w:eastAsia="宋体" w:cs="宋体"/>
          <w:color w:val="auto"/>
          <w:spacing w:val="8"/>
          <w:sz w:val="20"/>
          <w:szCs w:val="20"/>
          <w:lang w:eastAsia="zh-CN"/>
        </w:rPr>
        <w:t>承包人以其他方式支付给发包人。</w:t>
      </w:r>
    </w:p>
    <w:p>
      <w:pPr>
        <w:pStyle w:val="3"/>
        <w:spacing w:line="269" w:lineRule="auto"/>
        <w:rPr>
          <w:color w:val="auto"/>
          <w:lang w:eastAsia="zh-CN"/>
        </w:rPr>
      </w:pPr>
    </w:p>
    <w:p>
      <w:pPr>
        <w:spacing w:before="101" w:line="227" w:lineRule="auto"/>
        <w:ind w:left="2"/>
        <w:outlineLvl w:val="1"/>
        <w:rPr>
          <w:rFonts w:ascii="黑体" w:hAnsi="黑体" w:eastAsia="黑体" w:cs="黑体"/>
          <w:color w:val="auto"/>
          <w:sz w:val="31"/>
          <w:szCs w:val="31"/>
          <w:lang w:eastAsia="zh-CN"/>
        </w:rPr>
      </w:pPr>
      <w:bookmarkStart w:id="477" w:name="bookmark482"/>
      <w:bookmarkEnd w:id="477"/>
      <w:bookmarkStart w:id="478" w:name="bookmark480"/>
      <w:bookmarkEnd w:id="478"/>
      <w:bookmarkStart w:id="479" w:name="bookmark479"/>
      <w:bookmarkEnd w:id="479"/>
      <w:r>
        <w:rPr>
          <w:rFonts w:ascii="黑体" w:hAnsi="黑体" w:eastAsia="黑体" w:cs="黑体"/>
          <w:b/>
          <w:bCs/>
          <w:color w:val="auto"/>
          <w:spacing w:val="1"/>
          <w:sz w:val="31"/>
          <w:szCs w:val="31"/>
          <w:lang w:eastAsia="zh-CN"/>
        </w:rPr>
        <w:t>24.争议的解决</w:t>
      </w:r>
    </w:p>
    <w:p>
      <w:pPr>
        <w:pStyle w:val="3"/>
        <w:spacing w:line="270" w:lineRule="auto"/>
        <w:rPr>
          <w:color w:val="auto"/>
          <w:lang w:eastAsia="zh-CN"/>
        </w:rPr>
      </w:pPr>
    </w:p>
    <w:p>
      <w:pPr>
        <w:spacing w:before="92" w:line="222" w:lineRule="auto"/>
        <w:ind w:left="1"/>
        <w:outlineLvl w:val="2"/>
        <w:rPr>
          <w:rFonts w:ascii="黑体" w:hAnsi="黑体" w:eastAsia="黑体" w:cs="黑体"/>
          <w:color w:val="auto"/>
          <w:sz w:val="28"/>
          <w:szCs w:val="28"/>
          <w:lang w:eastAsia="zh-CN"/>
        </w:rPr>
      </w:pPr>
      <w:bookmarkStart w:id="480" w:name="bookmark481"/>
      <w:bookmarkEnd w:id="480"/>
      <w:r>
        <w:rPr>
          <w:rFonts w:ascii="黑体" w:hAnsi="黑体" w:eastAsia="黑体" w:cs="黑体"/>
          <w:color w:val="auto"/>
          <w:spacing w:val="-1"/>
          <w:sz w:val="28"/>
          <w:szCs w:val="28"/>
          <w:lang w:eastAsia="zh-CN"/>
        </w:rPr>
        <w:t>24.1 争议的解决方式</w:t>
      </w:r>
    </w:p>
    <w:p>
      <w:pPr>
        <w:spacing w:before="280" w:line="359" w:lineRule="auto"/>
        <w:ind w:left="1" w:right="2" w:firstLine="422"/>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发包人和承包人在履行合同中发生争议的，可以友好协商解决或者提请</w:t>
      </w:r>
      <w:r>
        <w:rPr>
          <w:rFonts w:ascii="宋体" w:hAnsi="宋体" w:eastAsia="宋体" w:cs="宋体"/>
          <w:color w:val="auto"/>
          <w:spacing w:val="8"/>
          <w:sz w:val="20"/>
          <w:szCs w:val="20"/>
          <w:lang w:eastAsia="zh-CN"/>
        </w:rPr>
        <w:t>争议评审组评审。合</w:t>
      </w:r>
      <w:r>
        <w:rPr>
          <w:rFonts w:ascii="宋体" w:hAnsi="宋体" w:eastAsia="宋体" w:cs="宋体"/>
          <w:color w:val="auto"/>
          <w:spacing w:val="9"/>
          <w:sz w:val="20"/>
          <w:szCs w:val="20"/>
          <w:lang w:eastAsia="zh-CN"/>
        </w:rPr>
        <w:t>同当事人友好协商解决不成、不愿提请争议评审或者不接受争议评审组意见的，可在专</w:t>
      </w:r>
      <w:r>
        <w:rPr>
          <w:rFonts w:ascii="宋体" w:hAnsi="宋体" w:eastAsia="宋体" w:cs="宋体"/>
          <w:color w:val="auto"/>
          <w:spacing w:val="8"/>
          <w:sz w:val="20"/>
          <w:szCs w:val="20"/>
          <w:lang w:eastAsia="zh-CN"/>
        </w:rPr>
        <w:t>用合同条款中约定下列一种方式解决。</w:t>
      </w:r>
    </w:p>
    <w:p>
      <w:pPr>
        <w:spacing w:before="33" w:line="227" w:lineRule="auto"/>
        <w:ind w:left="43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（1）向约定的仲裁委员会申请仲裁；</w:t>
      </w:r>
    </w:p>
    <w:p>
      <w:pPr>
        <w:spacing w:before="153" w:line="227" w:lineRule="auto"/>
        <w:ind w:left="430"/>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（2）向有管辖权的人民法院提起诉讼。</w:t>
      </w:r>
    </w:p>
    <w:p>
      <w:pPr>
        <w:spacing w:before="251" w:line="223" w:lineRule="auto"/>
        <w:ind w:left="1"/>
        <w:outlineLvl w:val="2"/>
        <w:rPr>
          <w:rFonts w:ascii="黑体" w:hAnsi="黑体" w:eastAsia="黑体" w:cs="黑体"/>
          <w:color w:val="auto"/>
          <w:sz w:val="28"/>
          <w:szCs w:val="28"/>
          <w:lang w:eastAsia="zh-CN"/>
        </w:rPr>
      </w:pPr>
      <w:bookmarkStart w:id="481" w:name="bookmark484"/>
      <w:bookmarkEnd w:id="481"/>
      <w:bookmarkStart w:id="482" w:name="bookmark483"/>
      <w:bookmarkEnd w:id="482"/>
      <w:r>
        <w:rPr>
          <w:rFonts w:ascii="黑体" w:hAnsi="黑体" w:eastAsia="黑体" w:cs="黑体"/>
          <w:color w:val="auto"/>
          <w:spacing w:val="-2"/>
          <w:sz w:val="28"/>
          <w:szCs w:val="28"/>
          <w:lang w:eastAsia="zh-CN"/>
        </w:rPr>
        <w:t>24.2 友好解决</w:t>
      </w:r>
    </w:p>
    <w:p>
      <w:pPr>
        <w:spacing w:before="278" w:line="353" w:lineRule="auto"/>
        <w:ind w:left="1" w:right="2" w:firstLine="41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在提请争议评审、仲裁或者诉讼前，以及在争议评审、仲裁或诉讼过程中，发包</w:t>
      </w:r>
      <w:r>
        <w:rPr>
          <w:rFonts w:ascii="宋体" w:hAnsi="宋体" w:eastAsia="宋体" w:cs="宋体"/>
          <w:color w:val="auto"/>
          <w:spacing w:val="8"/>
          <w:sz w:val="20"/>
          <w:szCs w:val="20"/>
          <w:lang w:eastAsia="zh-CN"/>
        </w:rPr>
        <w:t>人和承包人均可共同努力友好协商解决争议。</w:t>
      </w:r>
    </w:p>
    <w:p>
      <w:pPr>
        <w:spacing w:before="132" w:line="222" w:lineRule="auto"/>
        <w:ind w:left="1"/>
        <w:outlineLvl w:val="2"/>
        <w:rPr>
          <w:rFonts w:ascii="黑体" w:hAnsi="黑体" w:eastAsia="黑体" w:cs="黑体"/>
          <w:color w:val="auto"/>
          <w:sz w:val="28"/>
          <w:szCs w:val="28"/>
          <w:lang w:eastAsia="zh-CN"/>
        </w:rPr>
      </w:pPr>
      <w:bookmarkStart w:id="483" w:name="bookmark486"/>
      <w:bookmarkEnd w:id="483"/>
      <w:bookmarkStart w:id="484" w:name="bookmark485"/>
      <w:bookmarkEnd w:id="484"/>
      <w:r>
        <w:rPr>
          <w:rFonts w:ascii="黑体" w:hAnsi="黑体" w:eastAsia="黑体" w:cs="黑体"/>
          <w:color w:val="auto"/>
          <w:spacing w:val="-4"/>
          <w:sz w:val="28"/>
          <w:szCs w:val="28"/>
          <w:lang w:eastAsia="zh-CN"/>
        </w:rPr>
        <w:t>24.3争议评审</w:t>
      </w:r>
    </w:p>
    <w:p>
      <w:pPr>
        <w:spacing w:before="278" w:line="298" w:lineRule="auto"/>
        <w:ind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24.3.1 采用争议评审的，发包人和承包人应在开工日后的28天内或在争议发生后，协商成</w:t>
      </w:r>
      <w:r>
        <w:rPr>
          <w:rFonts w:ascii="宋体" w:hAnsi="宋体" w:eastAsia="宋体" w:cs="宋体"/>
          <w:color w:val="auto"/>
          <w:spacing w:val="9"/>
          <w:sz w:val="20"/>
          <w:szCs w:val="20"/>
          <w:lang w:eastAsia="zh-CN"/>
        </w:rPr>
        <w:t>立争议评审组。争议评审组由有合同管理和工程实践经验的专家组成。</w:t>
      </w:r>
    </w:p>
    <w:p>
      <w:pPr>
        <w:spacing w:before="154" w:line="298" w:lineRule="auto"/>
        <w:ind w:left="17" w:firstLine="406"/>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24.3.2 合同双方的争议，应首先由申请人向争</w:t>
      </w:r>
      <w:r>
        <w:rPr>
          <w:rFonts w:ascii="宋体" w:hAnsi="宋体" w:eastAsia="宋体" w:cs="宋体"/>
          <w:color w:val="auto"/>
          <w:spacing w:val="10"/>
          <w:sz w:val="20"/>
          <w:szCs w:val="20"/>
          <w:lang w:eastAsia="zh-CN"/>
        </w:rPr>
        <w:t>议评审组提交一份详细的评审申请报告，并</w:t>
      </w:r>
      <w:r>
        <w:rPr>
          <w:rFonts w:ascii="宋体" w:hAnsi="宋体" w:eastAsia="宋体" w:cs="宋体"/>
          <w:color w:val="auto"/>
          <w:spacing w:val="8"/>
          <w:sz w:val="20"/>
          <w:szCs w:val="20"/>
          <w:lang w:eastAsia="zh-CN"/>
        </w:rPr>
        <w:t>附必要的文件、图纸和证明材料，申请人还应将上</w:t>
      </w:r>
      <w:r>
        <w:rPr>
          <w:rFonts w:ascii="宋体" w:hAnsi="宋体" w:eastAsia="宋体" w:cs="宋体"/>
          <w:color w:val="auto"/>
          <w:spacing w:val="7"/>
          <w:sz w:val="20"/>
          <w:szCs w:val="20"/>
          <w:lang w:eastAsia="zh-CN"/>
        </w:rPr>
        <w:t>述报告的副本同时提交给被申请人和监理人。</w:t>
      </w:r>
    </w:p>
    <w:p>
      <w:pPr>
        <w:spacing w:before="154" w:line="226" w:lineRule="auto"/>
        <w:ind w:right="2"/>
        <w:jc w:val="right"/>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24.3.3 被申请人在收到申请人评审申请报告副本后的28天内，向争议评审组提交一份答辩</w:t>
      </w:r>
    </w:p>
    <w:p>
      <w:pPr>
        <w:spacing w:line="226" w:lineRule="auto"/>
        <w:rPr>
          <w:rFonts w:ascii="宋体" w:hAnsi="宋体" w:eastAsia="宋体" w:cs="宋体"/>
          <w:color w:val="auto"/>
          <w:sz w:val="20"/>
          <w:szCs w:val="20"/>
          <w:lang w:eastAsia="zh-CN"/>
        </w:rPr>
        <w:sectPr>
          <w:footerReference r:id="rId82" w:type="default"/>
          <w:pgSz w:w="11906" w:h="16839"/>
          <w:pgMar w:top="1431" w:right="1530" w:bottom="1468" w:left="1596" w:header="0" w:footer="1306" w:gutter="0"/>
          <w:cols w:space="720" w:num="1"/>
          <w:docGrid w:linePitch="0" w:charSpace="0"/>
        </w:sectPr>
      </w:pPr>
    </w:p>
    <w:p>
      <w:pPr>
        <w:pStyle w:val="3"/>
        <w:spacing w:line="255" w:lineRule="auto"/>
        <w:rPr>
          <w:color w:val="auto"/>
          <w:lang w:eastAsia="zh-CN"/>
        </w:rPr>
      </w:pPr>
    </w:p>
    <w:p>
      <w:pPr>
        <w:pStyle w:val="3"/>
        <w:spacing w:line="256" w:lineRule="auto"/>
        <w:rPr>
          <w:color w:val="auto"/>
          <w:lang w:eastAsia="zh-CN"/>
        </w:rPr>
      </w:pPr>
    </w:p>
    <w:p>
      <w:pPr>
        <w:spacing w:before="65" w:line="226" w:lineRule="auto"/>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报告，并附证明材料。被申请人应将答辩报告的副本同时提交给申请人和监理人。</w:t>
      </w:r>
    </w:p>
    <w:p>
      <w:pPr>
        <w:spacing w:before="154" w:line="322" w:lineRule="auto"/>
        <w:ind w:left="1" w:right="2" w:firstLine="42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24.3.4 除专用合同条款另有约定外，争议评审组在收到合同双方报告后的14天内，邀请双</w:t>
      </w:r>
      <w:r>
        <w:rPr>
          <w:rFonts w:ascii="宋体" w:hAnsi="宋体" w:eastAsia="宋体" w:cs="宋体"/>
          <w:color w:val="auto"/>
          <w:spacing w:val="9"/>
          <w:sz w:val="20"/>
          <w:szCs w:val="20"/>
          <w:lang w:eastAsia="zh-CN"/>
        </w:rPr>
        <w:t>方代表和有关人员举行调查会，向双方调查争议细节；必要时争议评审组可要求双方进</w:t>
      </w:r>
      <w:r>
        <w:rPr>
          <w:rFonts w:ascii="宋体" w:hAnsi="宋体" w:eastAsia="宋体" w:cs="宋体"/>
          <w:color w:val="auto"/>
          <w:spacing w:val="8"/>
          <w:sz w:val="20"/>
          <w:szCs w:val="20"/>
          <w:lang w:eastAsia="zh-CN"/>
        </w:rPr>
        <w:t>一步提供</w:t>
      </w:r>
      <w:r>
        <w:rPr>
          <w:rFonts w:ascii="宋体" w:hAnsi="宋体" w:eastAsia="宋体" w:cs="宋体"/>
          <w:color w:val="auto"/>
          <w:spacing w:val="5"/>
          <w:sz w:val="20"/>
          <w:szCs w:val="20"/>
          <w:lang w:eastAsia="zh-CN"/>
        </w:rPr>
        <w:t>补充材料。</w:t>
      </w:r>
    </w:p>
    <w:p>
      <w:pPr>
        <w:spacing w:before="154" w:line="322" w:lineRule="auto"/>
        <w:ind w:right="2" w:firstLine="42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24.3.5 除专用合同条款另有约定外，在调查会结束后的14天内，争议评审组应在不受任何</w:t>
      </w:r>
      <w:r>
        <w:rPr>
          <w:rFonts w:ascii="宋体" w:hAnsi="宋体" w:eastAsia="宋体" w:cs="宋体"/>
          <w:color w:val="auto"/>
          <w:spacing w:val="9"/>
          <w:sz w:val="20"/>
          <w:szCs w:val="20"/>
          <w:lang w:eastAsia="zh-CN"/>
        </w:rPr>
        <w:t>干扰的情况下进行独立、公正的评审，作出书面评审意见，并说明理由。在争议评审期间</w:t>
      </w:r>
      <w:r>
        <w:rPr>
          <w:rFonts w:ascii="宋体" w:hAnsi="宋体" w:eastAsia="宋体" w:cs="宋体"/>
          <w:color w:val="auto"/>
          <w:spacing w:val="8"/>
          <w:sz w:val="20"/>
          <w:szCs w:val="20"/>
          <w:lang w:eastAsia="zh-CN"/>
        </w:rPr>
        <w:t>，争议双方暂按总监理工程师的确定执行。</w:t>
      </w:r>
    </w:p>
    <w:p>
      <w:pPr>
        <w:spacing w:before="153" w:line="299" w:lineRule="auto"/>
        <w:ind w:left="2" w:firstLine="421"/>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24.3.6 发包人和承包人接受评审意见的，由监理</w:t>
      </w:r>
      <w:r>
        <w:rPr>
          <w:rFonts w:ascii="宋体" w:hAnsi="宋体" w:eastAsia="宋体" w:cs="宋体"/>
          <w:color w:val="auto"/>
          <w:spacing w:val="9"/>
          <w:sz w:val="20"/>
          <w:szCs w:val="20"/>
          <w:lang w:eastAsia="zh-CN"/>
        </w:rPr>
        <w:t>人根据评审意见拟定执行协议，经争议双</w:t>
      </w:r>
      <w:r>
        <w:rPr>
          <w:rFonts w:ascii="宋体" w:hAnsi="宋体" w:eastAsia="宋体" w:cs="宋体"/>
          <w:color w:val="auto"/>
          <w:spacing w:val="8"/>
          <w:sz w:val="20"/>
          <w:szCs w:val="20"/>
          <w:lang w:eastAsia="zh-CN"/>
        </w:rPr>
        <w:t>方签字后作为合同的补充文件，并遵照执行。</w:t>
      </w:r>
    </w:p>
    <w:p>
      <w:pPr>
        <w:spacing w:before="150" w:line="323" w:lineRule="auto"/>
        <w:ind w:left="3" w:firstLine="420"/>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24.3.7 发包人或承包人不接受评审意见，并要</w:t>
      </w:r>
      <w:r>
        <w:rPr>
          <w:rFonts w:ascii="宋体" w:hAnsi="宋体" w:eastAsia="宋体" w:cs="宋体"/>
          <w:color w:val="auto"/>
          <w:spacing w:val="10"/>
          <w:sz w:val="20"/>
          <w:szCs w:val="20"/>
          <w:lang w:eastAsia="zh-CN"/>
        </w:rPr>
        <w:t>求提交仲裁或提起诉讼的，应在收到评审意见后的14天内将仲裁或起诉意向书面通知另一方，并抄送监理人，但在仲裁或诉讼结束前应暂</w:t>
      </w:r>
      <w:r>
        <w:rPr>
          <w:rFonts w:ascii="宋体" w:hAnsi="宋体" w:eastAsia="宋体" w:cs="宋体"/>
          <w:color w:val="auto"/>
          <w:spacing w:val="8"/>
          <w:sz w:val="20"/>
          <w:szCs w:val="20"/>
          <w:lang w:eastAsia="zh-CN"/>
        </w:rPr>
        <w:t>按总监理工程师的确定执行。</w:t>
      </w:r>
    </w:p>
    <w:p>
      <w:pPr>
        <w:spacing w:line="323" w:lineRule="auto"/>
        <w:rPr>
          <w:rFonts w:ascii="宋体" w:hAnsi="宋体" w:eastAsia="宋体" w:cs="宋体"/>
          <w:color w:val="auto"/>
          <w:sz w:val="20"/>
          <w:szCs w:val="20"/>
          <w:lang w:eastAsia="zh-CN"/>
        </w:rPr>
        <w:sectPr>
          <w:footerReference r:id="rId83" w:type="default"/>
          <w:pgSz w:w="11906" w:h="16839"/>
          <w:pgMar w:top="1431" w:right="1530" w:bottom="1468" w:left="159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762"/>
        <w:outlineLvl w:val="1"/>
        <w:rPr>
          <w:rFonts w:ascii="黑体" w:hAnsi="黑体" w:eastAsia="黑体" w:cs="黑体"/>
          <w:color w:val="auto"/>
          <w:sz w:val="31"/>
          <w:szCs w:val="31"/>
          <w:lang w:eastAsia="zh-CN"/>
        </w:rPr>
      </w:pPr>
      <w:bookmarkStart w:id="485" w:name="bookmark487"/>
      <w:bookmarkEnd w:id="485"/>
      <w:bookmarkStart w:id="486" w:name="bookmark488"/>
      <w:bookmarkEnd w:id="486"/>
      <w:r>
        <w:rPr>
          <w:rFonts w:ascii="黑体" w:hAnsi="黑体" w:eastAsia="黑体" w:cs="黑体"/>
          <w:b/>
          <w:bCs/>
          <w:color w:val="auto"/>
          <w:spacing w:val="6"/>
          <w:sz w:val="31"/>
          <w:szCs w:val="31"/>
          <w:lang w:eastAsia="zh-CN"/>
        </w:rPr>
        <w:t>第二节专用合同条款</w:t>
      </w:r>
    </w:p>
    <w:p>
      <w:pPr>
        <w:spacing w:line="227" w:lineRule="auto"/>
        <w:rPr>
          <w:rFonts w:ascii="黑体" w:hAnsi="黑体" w:eastAsia="黑体" w:cs="黑体"/>
          <w:color w:val="auto"/>
          <w:sz w:val="31"/>
          <w:szCs w:val="31"/>
          <w:lang w:eastAsia="zh-CN"/>
        </w:rPr>
        <w:sectPr>
          <w:footerReference r:id="rId84" w:type="default"/>
          <w:pgSz w:w="11906" w:h="16839"/>
          <w:pgMar w:top="1431" w:right="1785" w:bottom="1468" w:left="1785" w:header="0" w:footer="1306" w:gutter="0"/>
          <w:cols w:space="720" w:num="1"/>
          <w:docGrid w:linePitch="0" w:charSpace="0"/>
        </w:sectPr>
      </w:pPr>
    </w:p>
    <w:p>
      <w:pPr>
        <w:pStyle w:val="3"/>
        <w:spacing w:line="293" w:lineRule="auto"/>
        <w:rPr>
          <w:color w:val="auto"/>
          <w:lang w:eastAsia="zh-CN"/>
        </w:rPr>
      </w:pPr>
    </w:p>
    <w:p>
      <w:pPr>
        <w:pStyle w:val="3"/>
        <w:spacing w:line="293" w:lineRule="auto"/>
        <w:rPr>
          <w:color w:val="auto"/>
          <w:lang w:eastAsia="zh-CN"/>
        </w:rPr>
      </w:pPr>
    </w:p>
    <w:p>
      <w:pPr>
        <w:pStyle w:val="3"/>
        <w:spacing w:line="293" w:lineRule="auto"/>
        <w:rPr>
          <w:color w:val="auto"/>
          <w:lang w:eastAsia="zh-CN"/>
        </w:rPr>
      </w:pPr>
    </w:p>
    <w:p>
      <w:pPr>
        <w:spacing w:before="101" w:line="227" w:lineRule="auto"/>
        <w:ind w:left="2960"/>
        <w:outlineLvl w:val="1"/>
        <w:rPr>
          <w:rFonts w:ascii="黑体" w:hAnsi="黑体" w:eastAsia="黑体" w:cs="黑体"/>
          <w:color w:val="auto"/>
          <w:sz w:val="31"/>
          <w:szCs w:val="31"/>
          <w:lang w:eastAsia="zh-CN"/>
        </w:rPr>
      </w:pPr>
      <w:bookmarkStart w:id="487" w:name="bookmark489"/>
      <w:bookmarkEnd w:id="487"/>
      <w:bookmarkStart w:id="488" w:name="bookmark490"/>
      <w:bookmarkEnd w:id="488"/>
      <w:bookmarkStart w:id="489" w:name="bookmark492"/>
      <w:bookmarkEnd w:id="489"/>
      <w:r>
        <w:rPr>
          <w:rFonts w:ascii="黑体" w:hAnsi="黑体" w:eastAsia="黑体" w:cs="黑体"/>
          <w:b/>
          <w:bCs/>
          <w:color w:val="auto"/>
          <w:spacing w:val="6"/>
          <w:sz w:val="31"/>
          <w:szCs w:val="31"/>
          <w:lang w:eastAsia="zh-CN"/>
        </w:rPr>
        <w:t>第三节合同附件格式</w:t>
      </w:r>
    </w:p>
    <w:p>
      <w:pPr>
        <w:spacing w:before="120" w:line="227" w:lineRule="auto"/>
        <w:ind w:left="30"/>
        <w:outlineLvl w:val="1"/>
        <w:rPr>
          <w:rFonts w:ascii="黑体" w:hAnsi="黑体" w:eastAsia="黑体" w:cs="黑体"/>
          <w:color w:val="auto"/>
          <w:sz w:val="31"/>
          <w:szCs w:val="31"/>
          <w:lang w:eastAsia="zh-CN"/>
        </w:rPr>
      </w:pPr>
      <w:bookmarkStart w:id="490" w:name="bookmark491"/>
      <w:bookmarkEnd w:id="490"/>
      <w:r>
        <w:rPr>
          <w:rFonts w:ascii="黑体" w:hAnsi="黑体" w:eastAsia="黑体" w:cs="黑体"/>
          <w:color w:val="auto"/>
          <w:spacing w:val="2"/>
          <w:sz w:val="31"/>
          <w:szCs w:val="31"/>
          <w:lang w:eastAsia="zh-CN"/>
        </w:rPr>
        <w:t>附件1：合同协议书</w:t>
      </w:r>
    </w:p>
    <w:p>
      <w:pPr>
        <w:pStyle w:val="3"/>
        <w:spacing w:line="448" w:lineRule="auto"/>
        <w:rPr>
          <w:color w:val="auto"/>
          <w:lang w:eastAsia="zh-CN"/>
        </w:rPr>
      </w:pPr>
    </w:p>
    <w:p>
      <w:pPr>
        <w:spacing w:before="91" w:line="222" w:lineRule="auto"/>
        <w:ind w:left="3704"/>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合同协议书</w:t>
      </w:r>
    </w:p>
    <w:p>
      <w:pPr>
        <w:pStyle w:val="3"/>
        <w:spacing w:line="314" w:lineRule="auto"/>
        <w:rPr>
          <w:color w:val="auto"/>
          <w:lang w:eastAsia="zh-CN"/>
        </w:rPr>
      </w:pPr>
    </w:p>
    <w:p>
      <w:pPr>
        <w:pStyle w:val="3"/>
        <w:spacing w:line="314" w:lineRule="auto"/>
        <w:rPr>
          <w:color w:val="auto"/>
          <w:lang w:eastAsia="zh-CN"/>
        </w:rPr>
      </w:pPr>
    </w:p>
    <w:p>
      <w:pPr>
        <w:tabs>
          <w:tab w:val="left" w:pos="1090"/>
        </w:tabs>
        <w:spacing w:before="65" w:line="359" w:lineRule="auto"/>
        <w:ind w:left="9" w:firstLine="348"/>
        <w:jc w:val="both"/>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
          <w:sz w:val="20"/>
          <w:szCs w:val="20"/>
          <w:lang w:eastAsia="zh-CN"/>
        </w:rPr>
        <w:t>（发包人名称，以下简称“发包人”）为实施（项目名称</w:t>
      </w:r>
      <w:r>
        <w:rPr>
          <w:rFonts w:ascii="宋体" w:hAnsi="宋体" w:eastAsia="宋体" w:cs="宋体"/>
          <w:color w:val="auto"/>
          <w:spacing w:val="-48"/>
          <w:w w:val="90"/>
          <w:sz w:val="20"/>
          <w:szCs w:val="20"/>
          <w:lang w:eastAsia="zh-CN"/>
        </w:rPr>
        <w:t>），</w:t>
      </w:r>
      <w:r>
        <w:rPr>
          <w:rFonts w:ascii="宋体" w:hAnsi="宋体" w:eastAsia="宋体" w:cs="宋体"/>
          <w:color w:val="auto"/>
          <w:spacing w:val="8"/>
          <w:sz w:val="20"/>
          <w:szCs w:val="20"/>
          <w:lang w:eastAsia="zh-CN"/>
        </w:rPr>
        <w:t>已接受（承包人名称，以下简称“承包人”）对该项目标段施工的投标。发包人和承包人共同达成如下协议。</w:t>
      </w:r>
    </w:p>
    <w:p>
      <w:pPr>
        <w:spacing w:before="32" w:line="227" w:lineRule="auto"/>
        <w:ind w:left="38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 本协议书与下列文件一起构成合同文件：</w:t>
      </w:r>
    </w:p>
    <w:p>
      <w:pPr>
        <w:spacing w:before="153" w:line="227" w:lineRule="auto"/>
        <w:ind w:left="439"/>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（1）中标通知书；</w:t>
      </w:r>
    </w:p>
    <w:p>
      <w:pPr>
        <w:spacing w:before="155" w:line="227" w:lineRule="auto"/>
        <w:ind w:left="43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（2）投标函及投标函附录；</w:t>
      </w:r>
    </w:p>
    <w:p>
      <w:pPr>
        <w:spacing w:before="154"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（3）专用合同条款；</w:t>
      </w:r>
    </w:p>
    <w:p>
      <w:pPr>
        <w:spacing w:before="152"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（4）通用合同条款；</w:t>
      </w:r>
    </w:p>
    <w:p>
      <w:pPr>
        <w:spacing w:before="153"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（5）技术标准和要求；</w:t>
      </w:r>
    </w:p>
    <w:p>
      <w:pPr>
        <w:spacing w:before="155" w:line="229" w:lineRule="auto"/>
        <w:ind w:left="439"/>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（6）图纸；</w:t>
      </w:r>
    </w:p>
    <w:p>
      <w:pPr>
        <w:spacing w:before="150" w:line="226" w:lineRule="auto"/>
        <w:ind w:left="439"/>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（7）已标价工程量清单；</w:t>
      </w:r>
    </w:p>
    <w:p>
      <w:pPr>
        <w:spacing w:before="155" w:line="228" w:lineRule="auto"/>
        <w:ind w:left="43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（8）其他合同文件。</w:t>
      </w:r>
    </w:p>
    <w:p>
      <w:pPr>
        <w:spacing w:before="154" w:line="228" w:lineRule="auto"/>
        <w:ind w:left="36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上述文件互相补充和解释，如有不明确或不一致之处，以合同约定次序在先者为准。</w:t>
      </w:r>
    </w:p>
    <w:p>
      <w:pPr>
        <w:spacing w:before="152" w:line="226" w:lineRule="auto"/>
        <w:ind w:left="370"/>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3. 签约合同价：人民币（大写）元(¥)。</w:t>
      </w:r>
    </w:p>
    <w:p>
      <w:pPr>
        <w:spacing w:before="156" w:line="228" w:lineRule="auto"/>
        <w:ind w:left="36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 承包人项目经理：</w:t>
      </w:r>
      <w:r>
        <w:rPr>
          <w:rFonts w:ascii="宋体" w:hAnsi="宋体" w:eastAsia="宋体" w:cs="宋体"/>
          <w:color w:val="auto"/>
          <w:spacing w:val="5"/>
          <w:sz w:val="20"/>
          <w:szCs w:val="20"/>
          <w:lang w:eastAsia="zh-CN"/>
        </w:rPr>
        <w:t>。</w:t>
      </w:r>
    </w:p>
    <w:p>
      <w:pPr>
        <w:spacing w:before="153" w:line="228" w:lineRule="auto"/>
        <w:ind w:left="370"/>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5. 工程质量符合标准。</w:t>
      </w:r>
    </w:p>
    <w:p>
      <w:pPr>
        <w:spacing w:before="152" w:line="228" w:lineRule="auto"/>
        <w:ind w:left="36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6. 承包人承诺按合同约定承担工程的实施</w:t>
      </w:r>
      <w:r>
        <w:rPr>
          <w:rFonts w:ascii="宋体" w:hAnsi="宋体" w:eastAsia="宋体" w:cs="宋体"/>
          <w:color w:val="auto"/>
          <w:spacing w:val="8"/>
          <w:sz w:val="20"/>
          <w:szCs w:val="20"/>
          <w:lang w:eastAsia="zh-CN"/>
        </w:rPr>
        <w:t>、完成及缺陷修复。</w:t>
      </w:r>
    </w:p>
    <w:p>
      <w:pPr>
        <w:spacing w:before="154" w:line="226" w:lineRule="auto"/>
        <w:ind w:left="371"/>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7. 发包人承诺按合同约定的条件、时间和方式向承包</w:t>
      </w:r>
      <w:r>
        <w:rPr>
          <w:rFonts w:ascii="宋体" w:hAnsi="宋体" w:eastAsia="宋体" w:cs="宋体"/>
          <w:color w:val="auto"/>
          <w:spacing w:val="8"/>
          <w:sz w:val="20"/>
          <w:szCs w:val="20"/>
          <w:lang w:eastAsia="zh-CN"/>
        </w:rPr>
        <w:t>人支付合同价款。</w:t>
      </w:r>
    </w:p>
    <w:p>
      <w:pPr>
        <w:spacing w:before="156" w:line="228" w:lineRule="auto"/>
        <w:ind w:left="367"/>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8. 承包人应按照监理人指示开工，工期为日历天。</w:t>
      </w:r>
    </w:p>
    <w:p>
      <w:pPr>
        <w:spacing w:before="151" w:line="227" w:lineRule="auto"/>
        <w:ind w:left="36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9. 本协议书一式份，合同双方各执一份。</w:t>
      </w:r>
    </w:p>
    <w:p>
      <w:pPr>
        <w:spacing w:before="155" w:line="228" w:lineRule="auto"/>
        <w:ind w:left="38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10. 合同未尽事宜，双方另行签订补充协议。补充协议是合同的组成部分。</w:t>
      </w:r>
    </w:p>
    <w:p>
      <w:pPr>
        <w:pStyle w:val="3"/>
        <w:spacing w:line="242" w:lineRule="auto"/>
        <w:rPr>
          <w:color w:val="auto"/>
          <w:lang w:eastAsia="zh-CN"/>
        </w:rPr>
      </w:pPr>
    </w:p>
    <w:p>
      <w:pPr>
        <w:pStyle w:val="3"/>
        <w:spacing w:line="242" w:lineRule="auto"/>
        <w:rPr>
          <w:color w:val="auto"/>
          <w:lang w:eastAsia="zh-CN"/>
        </w:rPr>
      </w:pPr>
    </w:p>
    <w:p>
      <w:pPr>
        <w:spacing w:before="65" w:line="227" w:lineRule="auto"/>
        <w:ind w:left="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发包人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      承包人</w:t>
      </w:r>
      <w:r>
        <w:rPr>
          <w:rFonts w:ascii="宋体" w:hAnsi="宋体" w:eastAsia="宋体" w:cs="宋体"/>
          <w:color w:val="auto"/>
          <w:spacing w:val="-4"/>
          <w:sz w:val="20"/>
          <w:szCs w:val="20"/>
          <w:lang w:eastAsia="zh-CN"/>
        </w:rPr>
        <w:t>：（</w:t>
      </w:r>
      <w:r>
        <w:rPr>
          <w:rFonts w:ascii="宋体" w:hAnsi="宋体" w:eastAsia="宋体" w:cs="宋体"/>
          <w:color w:val="auto"/>
          <w:spacing w:val="10"/>
          <w:sz w:val="20"/>
          <w:szCs w:val="20"/>
          <w:lang w:eastAsia="zh-CN"/>
        </w:rPr>
        <w:t>盖章）</w:t>
      </w:r>
    </w:p>
    <w:p>
      <w:pPr>
        <w:spacing w:before="155" w:line="228" w:lineRule="auto"/>
        <w:ind w:left="9"/>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    法定代表人或其委托代理人</w:t>
      </w:r>
      <w:r>
        <w:rPr>
          <w:rFonts w:ascii="宋体" w:hAnsi="宋体" w:eastAsia="宋体" w:cs="宋体"/>
          <w:color w:val="auto"/>
          <w:spacing w:val="-1"/>
          <w:sz w:val="20"/>
          <w:szCs w:val="20"/>
          <w:lang w:eastAsia="zh-CN"/>
        </w:rPr>
        <w:t>：（</w:t>
      </w:r>
      <w:r>
        <w:rPr>
          <w:rFonts w:ascii="宋体" w:hAnsi="宋体" w:eastAsia="宋体" w:cs="宋体"/>
          <w:color w:val="auto"/>
          <w:spacing w:val="10"/>
          <w:sz w:val="20"/>
          <w:szCs w:val="20"/>
          <w:lang w:eastAsia="zh-CN"/>
        </w:rPr>
        <w:t>签字）</w:t>
      </w:r>
    </w:p>
    <w:p>
      <w:pPr>
        <w:tabs>
          <w:tab w:val="left" w:pos="943"/>
        </w:tabs>
        <w:spacing w:before="154"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6"/>
          <w:sz w:val="20"/>
          <w:szCs w:val="20"/>
          <w:lang w:eastAsia="zh-CN"/>
        </w:rPr>
        <w:t>年月 日年月日</w:t>
      </w:r>
    </w:p>
    <w:p>
      <w:pPr>
        <w:spacing w:line="228" w:lineRule="auto"/>
        <w:rPr>
          <w:rFonts w:ascii="宋体" w:hAnsi="宋体" w:eastAsia="宋体" w:cs="宋体"/>
          <w:color w:val="auto"/>
          <w:sz w:val="20"/>
          <w:szCs w:val="20"/>
          <w:lang w:eastAsia="zh-CN"/>
        </w:rPr>
        <w:sectPr>
          <w:footerReference r:id="rId85" w:type="default"/>
          <w:pgSz w:w="11906" w:h="16839"/>
          <w:pgMar w:top="1431" w:right="1478" w:bottom="1468" w:left="1588" w:header="0" w:footer="1306" w:gutter="0"/>
          <w:cols w:space="720" w:num="1"/>
          <w:docGrid w:linePitch="0" w:charSpace="0"/>
        </w:sectPr>
      </w:pPr>
    </w:p>
    <w:p>
      <w:pPr>
        <w:pStyle w:val="3"/>
        <w:spacing w:line="383" w:lineRule="auto"/>
        <w:rPr>
          <w:color w:val="auto"/>
          <w:lang w:eastAsia="zh-CN"/>
        </w:rPr>
      </w:pPr>
    </w:p>
    <w:p>
      <w:pPr>
        <w:spacing w:before="101" w:line="227" w:lineRule="auto"/>
        <w:ind w:left="20"/>
        <w:outlineLvl w:val="1"/>
        <w:rPr>
          <w:rFonts w:ascii="黑体" w:hAnsi="黑体" w:eastAsia="黑体" w:cs="黑体"/>
          <w:color w:val="auto"/>
          <w:sz w:val="31"/>
          <w:szCs w:val="31"/>
          <w:lang w:eastAsia="zh-CN"/>
        </w:rPr>
      </w:pPr>
      <w:bookmarkStart w:id="491" w:name="bookmark493"/>
      <w:bookmarkEnd w:id="491"/>
      <w:bookmarkStart w:id="492" w:name="bookmark494"/>
      <w:bookmarkEnd w:id="492"/>
      <w:r>
        <w:rPr>
          <w:rFonts w:ascii="黑体" w:hAnsi="黑体" w:eastAsia="黑体" w:cs="黑体"/>
          <w:color w:val="auto"/>
          <w:spacing w:val="3"/>
          <w:sz w:val="31"/>
          <w:szCs w:val="31"/>
          <w:lang w:eastAsia="zh-CN"/>
        </w:rPr>
        <w:t>附件2：履约担保</w:t>
      </w:r>
    </w:p>
    <w:p>
      <w:pPr>
        <w:spacing w:before="160" w:line="410" w:lineRule="auto"/>
        <w:ind w:right="3948" w:firstLine="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如采用银行保函，格式以出具银行官方范本为准。</w:t>
      </w:r>
      <w:r>
        <w:rPr>
          <w:rFonts w:ascii="宋体" w:hAnsi="宋体" w:eastAsia="宋体" w:cs="宋体"/>
          <w:color w:val="auto"/>
          <w:spacing w:val="4"/>
          <w:sz w:val="20"/>
          <w:szCs w:val="20"/>
          <w:lang w:eastAsia="zh-CN"/>
        </w:rPr>
        <w:t>盖章</w:t>
      </w:r>
    </w:p>
    <w:p>
      <w:pPr>
        <w:spacing w:line="410" w:lineRule="auto"/>
        <w:rPr>
          <w:rFonts w:ascii="宋体" w:hAnsi="宋体" w:eastAsia="宋体" w:cs="宋体"/>
          <w:color w:val="auto"/>
          <w:sz w:val="20"/>
          <w:szCs w:val="20"/>
          <w:lang w:eastAsia="zh-CN"/>
        </w:rPr>
        <w:sectPr>
          <w:footerReference r:id="rId86" w:type="default"/>
          <w:pgSz w:w="11906" w:h="16839"/>
          <w:pgMar w:top="1431" w:right="1785" w:bottom="1468" w:left="1597" w:header="0" w:footer="1306" w:gutter="0"/>
          <w:cols w:space="720" w:num="1"/>
          <w:docGrid w:linePitch="0" w:charSpace="0"/>
        </w:sectPr>
      </w:pPr>
    </w:p>
    <w:p>
      <w:pPr>
        <w:pStyle w:val="3"/>
        <w:spacing w:line="383" w:lineRule="auto"/>
        <w:rPr>
          <w:color w:val="auto"/>
          <w:lang w:eastAsia="zh-CN"/>
        </w:rPr>
      </w:pPr>
    </w:p>
    <w:p>
      <w:pPr>
        <w:spacing w:before="101" w:line="227" w:lineRule="auto"/>
        <w:ind w:left="30"/>
        <w:outlineLvl w:val="1"/>
        <w:rPr>
          <w:rFonts w:ascii="黑体" w:hAnsi="黑体" w:eastAsia="黑体" w:cs="黑体"/>
          <w:color w:val="auto"/>
          <w:sz w:val="31"/>
          <w:szCs w:val="31"/>
          <w:lang w:eastAsia="zh-CN"/>
        </w:rPr>
      </w:pPr>
      <w:bookmarkStart w:id="493" w:name="bookmark496"/>
      <w:bookmarkEnd w:id="493"/>
      <w:bookmarkStart w:id="494" w:name="bookmark495"/>
      <w:bookmarkEnd w:id="494"/>
      <w:r>
        <w:rPr>
          <w:rFonts w:ascii="黑体" w:hAnsi="黑体" w:eastAsia="黑体" w:cs="黑体"/>
          <w:color w:val="auto"/>
          <w:spacing w:val="5"/>
          <w:sz w:val="31"/>
          <w:szCs w:val="31"/>
          <w:lang w:eastAsia="zh-CN"/>
        </w:rPr>
        <w:t>附件3：预付款担保格式</w:t>
      </w:r>
    </w:p>
    <w:p>
      <w:pPr>
        <w:pStyle w:val="3"/>
        <w:spacing w:line="357" w:lineRule="auto"/>
        <w:rPr>
          <w:color w:val="auto"/>
          <w:lang w:eastAsia="zh-CN"/>
        </w:rPr>
      </w:pPr>
    </w:p>
    <w:p>
      <w:pPr>
        <w:spacing w:before="91" w:line="222" w:lineRule="auto"/>
        <w:ind w:left="3707"/>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预付款担保</w:t>
      </w:r>
    </w:p>
    <w:p>
      <w:pPr>
        <w:pStyle w:val="3"/>
        <w:spacing w:line="456" w:lineRule="auto"/>
        <w:rPr>
          <w:color w:val="auto"/>
          <w:lang w:eastAsia="zh-CN"/>
        </w:rPr>
      </w:pPr>
    </w:p>
    <w:p>
      <w:pPr>
        <w:tabs>
          <w:tab w:val="left" w:pos="2203"/>
        </w:tabs>
        <w:spacing w:before="65" w:line="228" w:lineRule="auto"/>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（发包人名称</w:t>
      </w:r>
      <w:r>
        <w:rPr>
          <w:rFonts w:ascii="宋体" w:hAnsi="宋体" w:eastAsia="宋体" w:cs="宋体"/>
          <w:color w:val="auto"/>
          <w:spacing w:val="1"/>
          <w:sz w:val="20"/>
          <w:szCs w:val="20"/>
          <w:lang w:eastAsia="zh-CN"/>
        </w:rPr>
        <w:t>）：</w:t>
      </w:r>
    </w:p>
    <w:p>
      <w:pPr>
        <w:pStyle w:val="3"/>
        <w:spacing w:line="241" w:lineRule="auto"/>
        <w:rPr>
          <w:color w:val="auto"/>
          <w:lang w:eastAsia="zh-CN"/>
        </w:rPr>
      </w:pPr>
    </w:p>
    <w:p>
      <w:pPr>
        <w:pStyle w:val="3"/>
        <w:spacing w:line="241" w:lineRule="auto"/>
        <w:rPr>
          <w:color w:val="auto"/>
          <w:lang w:eastAsia="zh-CN"/>
        </w:rPr>
      </w:pPr>
    </w:p>
    <w:p>
      <w:pPr>
        <w:spacing w:before="65" w:line="362" w:lineRule="auto"/>
        <w:ind w:left="9"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根据（承包人名称</w:t>
      </w:r>
      <w:r>
        <w:rPr>
          <w:rFonts w:ascii="宋体" w:hAnsi="宋体" w:eastAsia="宋体" w:cs="宋体"/>
          <w:color w:val="auto"/>
          <w:spacing w:val="-7"/>
          <w:sz w:val="20"/>
          <w:szCs w:val="20"/>
          <w:lang w:eastAsia="zh-CN"/>
        </w:rPr>
        <w:t>）（</w:t>
      </w:r>
      <w:r>
        <w:rPr>
          <w:rFonts w:ascii="宋体" w:hAnsi="宋体" w:eastAsia="宋体" w:cs="宋体"/>
          <w:color w:val="auto"/>
          <w:spacing w:val="8"/>
          <w:sz w:val="20"/>
          <w:szCs w:val="20"/>
          <w:lang w:eastAsia="zh-CN"/>
        </w:rPr>
        <w:t>以下称“承包人”）与（发包人名称）</w:t>
      </w:r>
      <w:r>
        <w:rPr>
          <w:rFonts w:ascii="宋体" w:hAnsi="宋体" w:eastAsia="宋体" w:cs="宋体"/>
          <w:color w:val="auto"/>
          <w:spacing w:val="6"/>
          <w:sz w:val="20"/>
          <w:szCs w:val="20"/>
          <w:lang w:eastAsia="zh-CN"/>
        </w:rPr>
        <w:t>（以下简称“发包人”）于 年月日签订的（项目名称）标</w:t>
      </w:r>
      <w:r>
        <w:rPr>
          <w:rFonts w:ascii="宋体" w:hAnsi="宋体" w:eastAsia="宋体" w:cs="宋体"/>
          <w:color w:val="auto"/>
          <w:spacing w:val="9"/>
          <w:sz w:val="20"/>
          <w:szCs w:val="20"/>
          <w:lang w:eastAsia="zh-CN"/>
        </w:rPr>
        <w:t>段施工承包合同，承包人按约定的金额向发包人提交一份预付款担保，即有权得到发包</w:t>
      </w:r>
      <w:r>
        <w:rPr>
          <w:rFonts w:ascii="宋体" w:hAnsi="宋体" w:eastAsia="宋体" w:cs="宋体"/>
          <w:color w:val="auto"/>
          <w:spacing w:val="8"/>
          <w:sz w:val="20"/>
          <w:szCs w:val="20"/>
          <w:lang w:eastAsia="zh-CN"/>
        </w:rPr>
        <w:t>人支付相</w:t>
      </w:r>
      <w:r>
        <w:rPr>
          <w:rFonts w:ascii="宋体" w:hAnsi="宋体" w:eastAsia="宋体" w:cs="宋体"/>
          <w:color w:val="auto"/>
          <w:spacing w:val="9"/>
          <w:sz w:val="20"/>
          <w:szCs w:val="20"/>
          <w:lang w:eastAsia="zh-CN"/>
        </w:rPr>
        <w:t>等金额的预付款。我方愿意就你方提供给承包人的预付款提供担保。</w:t>
      </w:r>
    </w:p>
    <w:p>
      <w:pPr>
        <w:spacing w:before="33" w:line="227" w:lineRule="auto"/>
        <w:ind w:left="444"/>
        <w:rPr>
          <w:rFonts w:ascii="宋体" w:hAnsi="宋体" w:eastAsia="宋体" w:cs="宋体"/>
          <w:color w:val="auto"/>
          <w:sz w:val="20"/>
          <w:szCs w:val="20"/>
          <w:lang w:eastAsia="zh-CN"/>
        </w:rPr>
      </w:pPr>
      <w:r>
        <w:rPr>
          <w:rFonts w:ascii="宋体" w:hAnsi="宋体" w:eastAsia="宋体" w:cs="宋体"/>
          <w:color w:val="auto"/>
          <w:spacing w:val="3"/>
          <w:sz w:val="20"/>
          <w:szCs w:val="20"/>
          <w:lang w:eastAsia="zh-CN"/>
        </w:rPr>
        <w:t>1. 担保金额人民币（大写） 元(¥)。</w:t>
      </w:r>
    </w:p>
    <w:p>
      <w:pPr>
        <w:spacing w:before="155" w:line="298" w:lineRule="auto"/>
        <w:ind w:left="8" w:firstLine="422"/>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 担保有效期自预付款支付给承包人起生效，至发包人签发的进度付款证书说明已完全扣</w:t>
      </w:r>
      <w:r>
        <w:rPr>
          <w:rFonts w:ascii="宋体" w:hAnsi="宋体" w:eastAsia="宋体" w:cs="宋体"/>
          <w:color w:val="auto"/>
          <w:spacing w:val="3"/>
          <w:sz w:val="20"/>
          <w:szCs w:val="20"/>
          <w:lang w:eastAsia="zh-CN"/>
        </w:rPr>
        <w:t>清止。</w:t>
      </w:r>
    </w:p>
    <w:p>
      <w:pPr>
        <w:spacing w:before="155" w:line="298" w:lineRule="auto"/>
        <w:ind w:left="9" w:firstLine="423"/>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 在本保函有效期内，因承包人违反合同约定的义务而要求收回预付款时，我方在收到你方的书面通知后，在7天内无条件支付。但本保函的担保金额，在任何时候不应超过预付款金额</w:t>
      </w:r>
    </w:p>
    <w:p>
      <w:pPr>
        <w:spacing w:before="152" w:line="227" w:lineRule="auto"/>
        <w:ind w:left="8"/>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减去发包人按合同约定在向承包人签发的进度付款证书中扣除的金额。</w:t>
      </w:r>
    </w:p>
    <w:p>
      <w:pPr>
        <w:spacing w:before="155" w:line="356" w:lineRule="auto"/>
        <w:ind w:left="8" w:firstLine="419"/>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4. 发包人和承包人按《通用合同条款》第15条变</w:t>
      </w:r>
      <w:r>
        <w:rPr>
          <w:rFonts w:ascii="宋体" w:hAnsi="宋体" w:eastAsia="宋体" w:cs="宋体"/>
          <w:color w:val="auto"/>
          <w:spacing w:val="7"/>
          <w:sz w:val="20"/>
          <w:szCs w:val="20"/>
          <w:lang w:eastAsia="zh-CN"/>
        </w:rPr>
        <w:t>更合同时，我方承担本保函规定的义务不</w:t>
      </w:r>
      <w:r>
        <w:rPr>
          <w:rFonts w:ascii="宋体" w:hAnsi="宋体" w:eastAsia="宋体" w:cs="宋体"/>
          <w:color w:val="auto"/>
          <w:sz w:val="20"/>
          <w:szCs w:val="20"/>
          <w:lang w:eastAsia="zh-CN"/>
        </w:rPr>
        <w:t xml:space="preserve"> 变。</w:t>
      </w:r>
    </w:p>
    <w:p>
      <w:pPr>
        <w:pStyle w:val="3"/>
        <w:spacing w:line="361" w:lineRule="auto"/>
        <w:rPr>
          <w:color w:val="auto"/>
          <w:lang w:eastAsia="zh-CN"/>
        </w:rPr>
      </w:pPr>
    </w:p>
    <w:p>
      <w:pPr>
        <w:spacing w:before="66" w:line="227" w:lineRule="auto"/>
        <w:ind w:left="3607"/>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担保人</w:t>
      </w:r>
      <w:r>
        <w:rPr>
          <w:rFonts w:ascii="宋体" w:hAnsi="宋体" w:eastAsia="宋体" w:cs="宋体"/>
          <w:color w:val="auto"/>
          <w:spacing w:val="-4"/>
          <w:sz w:val="20"/>
          <w:szCs w:val="20"/>
          <w:lang w:eastAsia="zh-CN"/>
        </w:rPr>
        <w:t>：（</w:t>
      </w:r>
      <w:r>
        <w:rPr>
          <w:rFonts w:ascii="宋体" w:hAnsi="宋体" w:eastAsia="宋体" w:cs="宋体"/>
          <w:color w:val="auto"/>
          <w:spacing w:val="11"/>
          <w:sz w:val="20"/>
          <w:szCs w:val="20"/>
          <w:lang w:eastAsia="zh-CN"/>
        </w:rPr>
        <w:t>盖章）</w:t>
      </w:r>
    </w:p>
    <w:p>
      <w:pPr>
        <w:spacing w:before="154" w:line="358" w:lineRule="auto"/>
        <w:ind w:left="3606" w:right="1112"/>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3"/>
          <w:sz w:val="20"/>
          <w:szCs w:val="20"/>
          <w:lang w:eastAsia="zh-CN"/>
        </w:rPr>
        <w:t>地址：</w:t>
      </w:r>
    </w:p>
    <w:p>
      <w:pPr>
        <w:tabs>
          <w:tab w:val="left" w:pos="7559"/>
          <w:tab w:val="left" w:pos="7587"/>
        </w:tabs>
        <w:spacing w:before="24" w:line="359" w:lineRule="auto"/>
        <w:ind w:left="3604" w:right="1196" w:firstLine="17"/>
        <w:jc w:val="both"/>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邮政编码：</w:t>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z w:val="20"/>
          <w:szCs w:val="20"/>
          <w:u w:val="single"/>
          <w:lang w:eastAsia="zh-CN"/>
        </w:rPr>
        <w:tab/>
      </w:r>
      <w:r>
        <w:rPr>
          <w:rFonts w:ascii="宋体" w:hAnsi="宋体" w:eastAsia="宋体" w:cs="宋体"/>
          <w:color w:val="auto"/>
          <w:spacing w:val="-5"/>
          <w:sz w:val="20"/>
          <w:szCs w:val="20"/>
          <w:lang w:eastAsia="zh-CN"/>
        </w:rPr>
        <w:t>传真：</w:t>
      </w:r>
    </w:p>
    <w:p>
      <w:pPr>
        <w:pStyle w:val="3"/>
        <w:spacing w:line="366" w:lineRule="auto"/>
        <w:rPr>
          <w:color w:val="auto"/>
          <w:lang w:eastAsia="zh-CN"/>
        </w:rPr>
      </w:pPr>
    </w:p>
    <w:p>
      <w:pPr>
        <w:tabs>
          <w:tab w:val="left" w:pos="5690"/>
        </w:tabs>
        <w:spacing w:before="66" w:line="228" w:lineRule="auto"/>
        <w:ind w:left="4325"/>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87" w:type="default"/>
          <w:pgSz w:w="11906" w:h="16839"/>
          <w:pgMar w:top="1431" w:right="1532" w:bottom="1468" w:left="1588" w:header="0" w:footer="1306" w:gutter="0"/>
          <w:cols w:space="720" w:num="1"/>
          <w:docGrid w:linePitch="0" w:charSpace="0"/>
        </w:sectPr>
      </w:pPr>
    </w:p>
    <w:p>
      <w:pPr>
        <w:pStyle w:val="3"/>
        <w:spacing w:line="286" w:lineRule="auto"/>
        <w:rPr>
          <w:color w:val="auto"/>
          <w:lang w:eastAsia="zh-CN"/>
        </w:rPr>
      </w:pPr>
    </w:p>
    <w:p>
      <w:pPr>
        <w:pStyle w:val="3"/>
        <w:spacing w:line="286" w:lineRule="auto"/>
        <w:rPr>
          <w:color w:val="auto"/>
          <w:lang w:eastAsia="zh-CN"/>
        </w:rPr>
      </w:pPr>
    </w:p>
    <w:p>
      <w:pPr>
        <w:pStyle w:val="3"/>
        <w:spacing w:line="286" w:lineRule="auto"/>
        <w:rPr>
          <w:color w:val="auto"/>
          <w:lang w:eastAsia="zh-CN"/>
        </w:rPr>
      </w:pPr>
    </w:p>
    <w:p>
      <w:pPr>
        <w:spacing w:before="159" w:line="196" w:lineRule="auto"/>
        <w:ind w:left="2453"/>
        <w:outlineLvl w:val="0"/>
        <w:rPr>
          <w:rFonts w:ascii="华文中宋" w:hAnsi="华文中宋" w:eastAsia="华文中宋" w:cs="华文中宋"/>
          <w:color w:val="auto"/>
          <w:sz w:val="43"/>
          <w:szCs w:val="43"/>
          <w:lang w:eastAsia="zh-CN"/>
        </w:rPr>
      </w:pPr>
      <w:bookmarkStart w:id="495" w:name="bookmark500"/>
      <w:bookmarkEnd w:id="495"/>
      <w:bookmarkStart w:id="496" w:name="bookmark498"/>
      <w:bookmarkEnd w:id="496"/>
      <w:r>
        <w:rPr>
          <w:rFonts w:ascii="华文中宋" w:hAnsi="华文中宋" w:eastAsia="华文中宋" w:cs="华文中宋"/>
          <w:color w:val="auto"/>
          <w:spacing w:val="7"/>
          <w:sz w:val="43"/>
          <w:szCs w:val="43"/>
          <w:lang w:eastAsia="zh-CN"/>
        </w:rPr>
        <w:t>第五章工程量清单</w:t>
      </w:r>
    </w:p>
    <w:p>
      <w:pPr>
        <w:pStyle w:val="3"/>
        <w:spacing w:line="288" w:lineRule="auto"/>
        <w:rPr>
          <w:color w:val="auto"/>
          <w:lang w:eastAsia="zh-CN"/>
        </w:rPr>
      </w:pPr>
    </w:p>
    <w:p>
      <w:pPr>
        <w:spacing w:before="91" w:line="222" w:lineRule="auto"/>
        <w:ind w:left="39"/>
        <w:outlineLvl w:val="1"/>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1. 工程量清单说明</w:t>
      </w:r>
    </w:p>
    <w:p>
      <w:pPr>
        <w:spacing w:before="280" w:line="334" w:lineRule="auto"/>
        <w:ind w:left="39" w:right="58" w:firstLine="418"/>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1.1 本工程量清单是根据招标文件中包</w:t>
      </w:r>
      <w:r>
        <w:rPr>
          <w:rFonts w:ascii="宋体" w:hAnsi="宋体" w:eastAsia="宋体" w:cs="宋体"/>
          <w:color w:val="auto"/>
          <w:spacing w:val="6"/>
          <w:sz w:val="20"/>
          <w:szCs w:val="20"/>
          <w:lang w:eastAsia="zh-CN"/>
        </w:rPr>
        <w:t>括的、有合同约束力的图纸以及有关工程量清单</w:t>
      </w:r>
      <w:r>
        <w:rPr>
          <w:rFonts w:ascii="宋体" w:hAnsi="宋体" w:eastAsia="宋体" w:cs="宋体"/>
          <w:color w:val="auto"/>
          <w:spacing w:val="7"/>
          <w:sz w:val="20"/>
          <w:szCs w:val="20"/>
          <w:lang w:eastAsia="zh-CN"/>
        </w:rPr>
        <w:t>的国家标准、行业标准、合同条款中约定的工程量计算规则编制。约定计量规则中没</w:t>
      </w:r>
      <w:r>
        <w:rPr>
          <w:rFonts w:ascii="宋体" w:hAnsi="宋体" w:eastAsia="宋体" w:cs="宋体"/>
          <w:color w:val="auto"/>
          <w:spacing w:val="6"/>
          <w:sz w:val="20"/>
          <w:szCs w:val="20"/>
          <w:lang w:eastAsia="zh-CN"/>
        </w:rPr>
        <w:t>有的子</w:t>
      </w:r>
      <w:r>
        <w:rPr>
          <w:rFonts w:ascii="宋体" w:hAnsi="宋体" w:eastAsia="宋体" w:cs="宋体"/>
          <w:color w:val="auto"/>
          <w:spacing w:val="7"/>
          <w:sz w:val="20"/>
          <w:szCs w:val="20"/>
          <w:lang w:eastAsia="zh-CN"/>
        </w:rPr>
        <w:t>目，其工程量按照有合同约束力的图纸所标示尺寸的理论净量计算。计量采用中华人</w:t>
      </w:r>
      <w:r>
        <w:rPr>
          <w:rFonts w:ascii="宋体" w:hAnsi="宋体" w:eastAsia="宋体" w:cs="宋体"/>
          <w:color w:val="auto"/>
          <w:spacing w:val="6"/>
          <w:sz w:val="20"/>
          <w:szCs w:val="20"/>
          <w:lang w:eastAsia="zh-CN"/>
        </w:rPr>
        <w:t>民共和</w:t>
      </w:r>
      <w:r>
        <w:rPr>
          <w:rFonts w:ascii="宋体" w:hAnsi="宋体" w:eastAsia="宋体" w:cs="宋体"/>
          <w:color w:val="auto"/>
          <w:spacing w:val="5"/>
          <w:sz w:val="20"/>
          <w:szCs w:val="20"/>
          <w:lang w:eastAsia="zh-CN"/>
        </w:rPr>
        <w:t>国法定计量单位。</w:t>
      </w:r>
    </w:p>
    <w:p>
      <w:pPr>
        <w:spacing w:before="152" w:line="298" w:lineRule="auto"/>
        <w:ind w:left="23" w:right="58"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1.2 本工程量清单应与招标文件中的投</w:t>
      </w:r>
      <w:r>
        <w:rPr>
          <w:rFonts w:ascii="宋体" w:hAnsi="宋体" w:eastAsia="宋体" w:cs="宋体"/>
          <w:color w:val="auto"/>
          <w:spacing w:val="6"/>
          <w:sz w:val="20"/>
          <w:szCs w:val="20"/>
          <w:lang w:eastAsia="zh-CN"/>
        </w:rPr>
        <w:t>标人须知、通用合同条款、专用合同条款、技术</w:t>
      </w:r>
      <w:r>
        <w:rPr>
          <w:rFonts w:ascii="宋体" w:hAnsi="宋体" w:eastAsia="宋体" w:cs="宋体"/>
          <w:color w:val="auto"/>
          <w:spacing w:val="8"/>
          <w:sz w:val="20"/>
          <w:szCs w:val="20"/>
          <w:lang w:eastAsia="zh-CN"/>
        </w:rPr>
        <w:t>标准和要求及图纸等一起阅读和理解。</w:t>
      </w:r>
    </w:p>
    <w:p>
      <w:pPr>
        <w:spacing w:before="155" w:line="298" w:lineRule="auto"/>
        <w:ind w:left="42" w:right="58" w:firstLine="41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1.3 本工程量清单仅是投标报价的共同</w:t>
      </w:r>
      <w:r>
        <w:rPr>
          <w:rFonts w:ascii="宋体" w:hAnsi="宋体" w:eastAsia="宋体" w:cs="宋体"/>
          <w:color w:val="auto"/>
          <w:spacing w:val="6"/>
          <w:sz w:val="20"/>
          <w:szCs w:val="20"/>
          <w:lang w:eastAsia="zh-CN"/>
        </w:rPr>
        <w:t>基础，实际工程计量和工程价款的支付应遵循合</w:t>
      </w:r>
      <w:r>
        <w:rPr>
          <w:rFonts w:ascii="宋体" w:hAnsi="宋体" w:eastAsia="宋体" w:cs="宋体"/>
          <w:color w:val="auto"/>
          <w:spacing w:val="7"/>
          <w:sz w:val="20"/>
          <w:szCs w:val="20"/>
          <w:lang w:eastAsia="zh-CN"/>
        </w:rPr>
        <w:t>同条款的约定和第七章“技术标准和要求”的有关规定。</w:t>
      </w:r>
    </w:p>
    <w:p>
      <w:pPr>
        <w:spacing w:before="152" w:line="228" w:lineRule="auto"/>
        <w:ind w:left="457"/>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1.4 补充子目工程量计算规则及子目工作内容说</w:t>
      </w:r>
      <w:r>
        <w:rPr>
          <w:rFonts w:ascii="宋体" w:hAnsi="宋体" w:eastAsia="宋体" w:cs="宋体"/>
          <w:color w:val="auto"/>
          <w:spacing w:val="6"/>
          <w:sz w:val="20"/>
          <w:szCs w:val="20"/>
          <w:lang w:eastAsia="zh-CN"/>
        </w:rPr>
        <w:t>明：。</w:t>
      </w:r>
    </w:p>
    <w:p>
      <w:pPr>
        <w:spacing w:before="250" w:line="222" w:lineRule="auto"/>
        <w:ind w:left="22"/>
        <w:outlineLvl w:val="1"/>
        <w:rPr>
          <w:rFonts w:ascii="黑体" w:hAnsi="黑体" w:eastAsia="黑体" w:cs="黑体"/>
          <w:color w:val="auto"/>
          <w:sz w:val="28"/>
          <w:szCs w:val="28"/>
          <w:lang w:eastAsia="zh-CN"/>
        </w:rPr>
      </w:pPr>
      <w:bookmarkStart w:id="497" w:name="bookmark502"/>
      <w:bookmarkEnd w:id="497"/>
      <w:r>
        <w:rPr>
          <w:rFonts w:ascii="黑体" w:hAnsi="黑体" w:eastAsia="黑体" w:cs="黑体"/>
          <w:color w:val="auto"/>
          <w:spacing w:val="-1"/>
          <w:sz w:val="28"/>
          <w:szCs w:val="28"/>
          <w:lang w:eastAsia="zh-CN"/>
        </w:rPr>
        <w:t>2. 投标报价说明</w:t>
      </w:r>
    </w:p>
    <w:p>
      <w:pPr>
        <w:spacing w:before="280" w:line="226" w:lineRule="auto"/>
        <w:ind w:left="444"/>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2.1 工程量清单中的每一子目须填入单价或价格，且</w:t>
      </w:r>
      <w:r>
        <w:rPr>
          <w:rFonts w:ascii="宋体" w:hAnsi="宋体" w:eastAsia="宋体" w:cs="宋体"/>
          <w:color w:val="auto"/>
          <w:spacing w:val="8"/>
          <w:sz w:val="20"/>
          <w:szCs w:val="20"/>
          <w:lang w:eastAsia="zh-CN"/>
        </w:rPr>
        <w:t>只允许有一个报价。</w:t>
      </w:r>
    </w:p>
    <w:p>
      <w:pPr>
        <w:spacing w:before="152" w:line="323" w:lineRule="auto"/>
        <w:ind w:left="23" w:firstLine="421"/>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2.2 工程量清单中标价的单价或金额，应包括所需人工费、施工机械使用费、材料费、</w:t>
      </w:r>
      <w:r>
        <w:rPr>
          <w:rFonts w:ascii="宋体" w:hAnsi="宋体" w:eastAsia="宋体" w:cs="宋体"/>
          <w:color w:val="auto"/>
          <w:spacing w:val="7"/>
          <w:sz w:val="20"/>
          <w:szCs w:val="20"/>
          <w:lang w:eastAsia="zh-CN"/>
        </w:rPr>
        <w:t>其他（运杂费、质检费、安装费、缺陷修复费、保险费，以及合同明示或暗示的风险、责任</w:t>
      </w:r>
      <w:r>
        <w:rPr>
          <w:rFonts w:ascii="宋体" w:hAnsi="宋体" w:eastAsia="宋体" w:cs="宋体"/>
          <w:color w:val="auto"/>
          <w:spacing w:val="6"/>
          <w:sz w:val="20"/>
          <w:szCs w:val="20"/>
          <w:lang w:eastAsia="zh-CN"/>
        </w:rPr>
        <w:t>和义务等</w:t>
      </w:r>
      <w:r>
        <w:rPr>
          <w:rFonts w:ascii="宋体" w:hAnsi="宋体" w:eastAsia="宋体" w:cs="宋体"/>
          <w:color w:val="auto"/>
          <w:spacing w:val="7"/>
          <w:sz w:val="20"/>
          <w:szCs w:val="20"/>
          <w:lang w:eastAsia="zh-CN"/>
        </w:rPr>
        <w:t>），</w:t>
      </w:r>
      <w:r>
        <w:rPr>
          <w:rFonts w:ascii="宋体" w:hAnsi="宋体" w:eastAsia="宋体" w:cs="宋体"/>
          <w:color w:val="auto"/>
          <w:spacing w:val="6"/>
          <w:sz w:val="20"/>
          <w:szCs w:val="20"/>
          <w:lang w:eastAsia="zh-CN"/>
        </w:rPr>
        <w:t>以及管理费、利润等。</w:t>
      </w:r>
    </w:p>
    <w:p>
      <w:pPr>
        <w:spacing w:before="152" w:line="298" w:lineRule="auto"/>
        <w:ind w:left="41" w:right="58" w:firstLine="402"/>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2.3 工程量清单中投标人没有填入单价或价格的子目，其费用视为已</w:t>
      </w:r>
      <w:r>
        <w:rPr>
          <w:rFonts w:ascii="宋体" w:hAnsi="宋体" w:eastAsia="宋体" w:cs="宋体"/>
          <w:color w:val="auto"/>
          <w:spacing w:val="6"/>
          <w:sz w:val="20"/>
          <w:szCs w:val="20"/>
          <w:lang w:eastAsia="zh-CN"/>
        </w:rPr>
        <w:t>分摊在工程量清单</w:t>
      </w:r>
      <w:r>
        <w:rPr>
          <w:rFonts w:ascii="宋体" w:hAnsi="宋体" w:eastAsia="宋体" w:cs="宋体"/>
          <w:color w:val="auto"/>
          <w:spacing w:val="7"/>
          <w:sz w:val="20"/>
          <w:szCs w:val="20"/>
          <w:lang w:eastAsia="zh-CN"/>
        </w:rPr>
        <w:t>中其他相关子目的单价或价格之中。</w:t>
      </w:r>
    </w:p>
    <w:p>
      <w:pPr>
        <w:spacing w:before="156" w:line="227"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2.4 暂列金额的数量及拟用子目的说明：</w:t>
      </w:r>
    </w:p>
    <w:p>
      <w:pPr>
        <w:spacing w:before="152" w:line="226" w:lineRule="auto"/>
        <w:ind w:left="44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2.5暂估价的数量及拟用子目的说明：</w:t>
      </w:r>
    </w:p>
    <w:p>
      <w:pPr>
        <w:spacing w:before="252" w:line="222" w:lineRule="auto"/>
        <w:ind w:left="25"/>
        <w:outlineLvl w:val="1"/>
        <w:rPr>
          <w:rFonts w:ascii="黑体" w:hAnsi="黑体" w:eastAsia="黑体" w:cs="黑体"/>
          <w:color w:val="auto"/>
          <w:sz w:val="28"/>
          <w:szCs w:val="28"/>
          <w:lang w:eastAsia="zh-CN"/>
        </w:rPr>
      </w:pPr>
      <w:bookmarkStart w:id="498" w:name="bookmark504"/>
      <w:bookmarkEnd w:id="498"/>
      <w:r>
        <w:rPr>
          <w:rFonts w:ascii="黑体" w:hAnsi="黑体" w:eastAsia="黑体" w:cs="黑体"/>
          <w:color w:val="auto"/>
          <w:spacing w:val="-4"/>
          <w:sz w:val="28"/>
          <w:szCs w:val="28"/>
          <w:lang w:eastAsia="zh-CN"/>
        </w:rPr>
        <w:t>3.其他说明</w:t>
      </w:r>
    </w:p>
    <w:p>
      <w:pPr>
        <w:spacing w:before="219" w:line="222" w:lineRule="auto"/>
        <w:ind w:left="17"/>
        <w:outlineLvl w:val="1"/>
        <w:rPr>
          <w:rFonts w:ascii="黑体" w:hAnsi="黑体" w:eastAsia="黑体" w:cs="黑体"/>
          <w:color w:val="auto"/>
          <w:sz w:val="28"/>
          <w:szCs w:val="28"/>
          <w:lang w:eastAsia="zh-CN"/>
        </w:rPr>
        <w:sectPr>
          <w:footerReference r:id="rId88" w:type="default"/>
          <w:pgSz w:w="11906" w:h="16839"/>
          <w:pgMar w:top="1431" w:right="1743" w:bottom="1355" w:left="1785" w:header="0" w:footer="1193" w:gutter="0"/>
          <w:cols w:space="720" w:num="1"/>
          <w:docGrid w:linePitch="0" w:charSpace="0"/>
        </w:sectPr>
      </w:pPr>
      <w:bookmarkStart w:id="499" w:name="bookmark506"/>
      <w:bookmarkEnd w:id="499"/>
      <w:r>
        <w:rPr>
          <w:rFonts w:ascii="黑体" w:hAnsi="黑体" w:eastAsia="黑体" w:cs="黑体"/>
          <w:color w:val="auto"/>
          <w:spacing w:val="-1"/>
          <w:sz w:val="28"/>
          <w:szCs w:val="28"/>
          <w:lang w:eastAsia="zh-CN"/>
        </w:rPr>
        <w:t>4. 工程量清单</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782"/>
        <w:outlineLvl w:val="0"/>
        <w:rPr>
          <w:rFonts w:ascii="华文中宋" w:hAnsi="华文中宋" w:eastAsia="华文中宋" w:cs="华文中宋"/>
          <w:color w:val="auto"/>
          <w:sz w:val="43"/>
          <w:szCs w:val="43"/>
          <w:lang w:eastAsia="zh-CN"/>
        </w:rPr>
      </w:pPr>
      <w:bookmarkStart w:id="500" w:name="bookmark510"/>
      <w:bookmarkEnd w:id="500"/>
      <w:r>
        <w:rPr>
          <w:rFonts w:ascii="华文中宋" w:hAnsi="华文中宋" w:eastAsia="华文中宋" w:cs="华文中宋"/>
          <w:color w:val="auto"/>
          <w:spacing w:val="-6"/>
          <w:sz w:val="43"/>
          <w:szCs w:val="43"/>
          <w:lang w:eastAsia="zh-CN"/>
        </w:rPr>
        <w:t>第六章图纸</w:t>
      </w:r>
    </w:p>
    <w:p>
      <w:pPr>
        <w:spacing w:line="196" w:lineRule="auto"/>
        <w:rPr>
          <w:rFonts w:ascii="华文中宋" w:hAnsi="华文中宋" w:eastAsia="华文中宋" w:cs="华文中宋"/>
          <w:color w:val="auto"/>
          <w:sz w:val="43"/>
          <w:szCs w:val="43"/>
          <w:lang w:eastAsia="zh-CN"/>
        </w:rPr>
        <w:sectPr>
          <w:footerReference r:id="rId89" w:type="default"/>
          <w:pgSz w:w="11906" w:h="16839"/>
          <w:pgMar w:top="1431" w:right="1785" w:bottom="1468" w:left="1785" w:header="0" w:footer="1304" w:gutter="0"/>
          <w:cols w:space="720" w:num="1"/>
          <w:docGrid w:linePitch="0" w:charSpace="0"/>
        </w:sectPr>
      </w:pPr>
    </w:p>
    <w:p>
      <w:pPr>
        <w:pStyle w:val="3"/>
        <w:spacing w:line="287" w:lineRule="auto"/>
        <w:rPr>
          <w:color w:val="auto"/>
          <w:lang w:eastAsia="zh-CN"/>
        </w:rPr>
      </w:pPr>
    </w:p>
    <w:p>
      <w:pPr>
        <w:pStyle w:val="3"/>
        <w:spacing w:line="287" w:lineRule="auto"/>
        <w:rPr>
          <w:color w:val="auto"/>
          <w:lang w:eastAsia="zh-CN"/>
        </w:rPr>
      </w:pPr>
    </w:p>
    <w:p>
      <w:pPr>
        <w:spacing w:before="101" w:line="227" w:lineRule="auto"/>
        <w:ind w:left="7"/>
        <w:rPr>
          <w:rFonts w:ascii="黑体" w:hAnsi="黑体" w:eastAsia="黑体" w:cs="黑体"/>
          <w:color w:val="auto"/>
          <w:sz w:val="31"/>
          <w:szCs w:val="31"/>
        </w:rPr>
      </w:pPr>
      <w:r>
        <w:rPr>
          <w:rFonts w:ascii="黑体" w:hAnsi="黑体" w:eastAsia="黑体" w:cs="黑体"/>
          <w:color w:val="auto"/>
          <w:spacing w:val="-2"/>
          <w:sz w:val="31"/>
          <w:szCs w:val="31"/>
        </w:rPr>
        <w:t>1.图纸目录</w:t>
      </w:r>
    </w:p>
    <w:p>
      <w:pPr>
        <w:spacing w:before="42"/>
        <w:rPr>
          <w:color w:val="auto"/>
        </w:rPr>
      </w:pPr>
    </w:p>
    <w:tbl>
      <w:tblPr>
        <w:tblStyle w:val="14"/>
        <w:tblW w:w="873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8"/>
        <w:gridCol w:w="1303"/>
        <w:gridCol w:w="1303"/>
        <w:gridCol w:w="1303"/>
        <w:gridCol w:w="1303"/>
        <w:gridCol w:w="22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pStyle w:val="15"/>
              <w:spacing w:before="178" w:line="229" w:lineRule="auto"/>
              <w:ind w:left="448"/>
              <w:rPr>
                <w:color w:val="auto"/>
              </w:rPr>
            </w:pPr>
            <w:r>
              <w:rPr>
                <w:b/>
                <w:bCs/>
                <w:color w:val="auto"/>
                <w:spacing w:val="4"/>
              </w:rPr>
              <w:t>序号</w:t>
            </w:r>
          </w:p>
        </w:tc>
        <w:tc>
          <w:tcPr>
            <w:tcW w:w="1303" w:type="dxa"/>
          </w:tcPr>
          <w:p>
            <w:pPr>
              <w:pStyle w:val="15"/>
              <w:spacing w:before="178" w:line="229" w:lineRule="auto"/>
              <w:ind w:left="465"/>
              <w:rPr>
                <w:color w:val="auto"/>
              </w:rPr>
            </w:pPr>
            <w:r>
              <w:rPr>
                <w:b/>
                <w:bCs/>
                <w:color w:val="auto"/>
                <w:spacing w:val="-7"/>
              </w:rPr>
              <w:t>图名</w:t>
            </w:r>
          </w:p>
        </w:tc>
        <w:tc>
          <w:tcPr>
            <w:tcW w:w="1303" w:type="dxa"/>
          </w:tcPr>
          <w:p>
            <w:pPr>
              <w:pStyle w:val="15"/>
              <w:spacing w:before="178" w:line="229" w:lineRule="auto"/>
              <w:ind w:left="465"/>
              <w:rPr>
                <w:color w:val="auto"/>
              </w:rPr>
            </w:pPr>
            <w:r>
              <w:rPr>
                <w:b/>
                <w:bCs/>
                <w:color w:val="auto"/>
                <w:spacing w:val="-7"/>
              </w:rPr>
              <w:t>图号</w:t>
            </w:r>
          </w:p>
        </w:tc>
        <w:tc>
          <w:tcPr>
            <w:tcW w:w="1303" w:type="dxa"/>
          </w:tcPr>
          <w:p>
            <w:pPr>
              <w:pStyle w:val="15"/>
              <w:spacing w:before="178" w:line="227" w:lineRule="auto"/>
              <w:ind w:left="448"/>
              <w:rPr>
                <w:color w:val="auto"/>
              </w:rPr>
            </w:pPr>
            <w:r>
              <w:rPr>
                <w:b/>
                <w:bCs/>
                <w:color w:val="auto"/>
                <w:spacing w:val="3"/>
              </w:rPr>
              <w:t>版本</w:t>
            </w:r>
          </w:p>
        </w:tc>
        <w:tc>
          <w:tcPr>
            <w:tcW w:w="1303" w:type="dxa"/>
          </w:tcPr>
          <w:p>
            <w:pPr>
              <w:pStyle w:val="15"/>
              <w:spacing w:before="178" w:line="228" w:lineRule="auto"/>
              <w:ind w:left="254"/>
              <w:rPr>
                <w:color w:val="auto"/>
              </w:rPr>
            </w:pPr>
            <w:r>
              <w:rPr>
                <w:b/>
                <w:bCs/>
                <w:color w:val="auto"/>
                <w:spacing w:val="2"/>
              </w:rPr>
              <w:t>出图日期</w:t>
            </w:r>
          </w:p>
        </w:tc>
        <w:tc>
          <w:tcPr>
            <w:tcW w:w="2216" w:type="dxa"/>
          </w:tcPr>
          <w:p>
            <w:pPr>
              <w:pStyle w:val="15"/>
              <w:spacing w:before="178" w:line="229" w:lineRule="auto"/>
              <w:ind w:left="904"/>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308"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1303" w:type="dxa"/>
          </w:tcPr>
          <w:p>
            <w:pPr>
              <w:rPr>
                <w:color w:val="auto"/>
              </w:rPr>
            </w:pPr>
          </w:p>
        </w:tc>
        <w:tc>
          <w:tcPr>
            <w:tcW w:w="2216" w:type="dxa"/>
          </w:tcPr>
          <w:p>
            <w:pPr>
              <w:rPr>
                <w:color w:val="auto"/>
              </w:rPr>
            </w:pPr>
          </w:p>
        </w:tc>
      </w:tr>
    </w:tbl>
    <w:p>
      <w:pPr>
        <w:pStyle w:val="3"/>
        <w:rPr>
          <w:color w:val="auto"/>
        </w:rPr>
      </w:pPr>
    </w:p>
    <w:p>
      <w:pPr>
        <w:rPr>
          <w:color w:val="auto"/>
        </w:rPr>
        <w:sectPr>
          <w:footerReference r:id="rId90" w:type="default"/>
          <w:pgSz w:w="11906" w:h="16839"/>
          <w:pgMar w:top="1431" w:right="1554" w:bottom="1467" w:left="1610" w:header="0" w:footer="1304" w:gutter="0"/>
          <w:cols w:space="720" w:num="1"/>
          <w:docGrid w:linePitch="0" w:charSpace="0"/>
        </w:sectPr>
      </w:pPr>
    </w:p>
    <w:p>
      <w:pPr>
        <w:pStyle w:val="3"/>
        <w:spacing w:line="346" w:lineRule="auto"/>
        <w:rPr>
          <w:color w:val="auto"/>
        </w:rPr>
      </w:pPr>
    </w:p>
    <w:p>
      <w:pPr>
        <w:pStyle w:val="3"/>
        <w:spacing w:line="347" w:lineRule="auto"/>
        <w:rPr>
          <w:color w:val="auto"/>
        </w:rPr>
      </w:pPr>
    </w:p>
    <w:p>
      <w:pPr>
        <w:spacing w:before="101" w:line="228" w:lineRule="auto"/>
        <w:rPr>
          <w:rFonts w:ascii="黑体" w:hAnsi="黑体" w:eastAsia="黑体" w:cs="黑体"/>
          <w:color w:val="auto"/>
          <w:sz w:val="31"/>
          <w:szCs w:val="31"/>
        </w:rPr>
      </w:pPr>
      <w:r>
        <w:rPr>
          <w:rFonts w:ascii="黑体" w:hAnsi="黑体" w:eastAsia="黑体" w:cs="黑体"/>
          <w:color w:val="auto"/>
          <w:spacing w:val="-4"/>
          <w:sz w:val="31"/>
          <w:szCs w:val="31"/>
        </w:rPr>
        <w:t>2.图纸</w:t>
      </w:r>
    </w:p>
    <w:p>
      <w:pPr>
        <w:spacing w:line="228" w:lineRule="auto"/>
        <w:rPr>
          <w:rFonts w:ascii="黑体" w:hAnsi="黑体" w:eastAsia="黑体" w:cs="黑体"/>
          <w:color w:val="auto"/>
          <w:sz w:val="31"/>
          <w:szCs w:val="31"/>
        </w:rPr>
        <w:sectPr>
          <w:footerReference r:id="rId91" w:type="default"/>
          <w:pgSz w:w="11906" w:h="16839"/>
          <w:pgMar w:top="1431" w:right="1785" w:bottom="1469" w:left="1598" w:header="0" w:footer="1304" w:gutter="0"/>
          <w:cols w:space="720" w:num="1"/>
          <w:docGrid w:linePitch="0" w:charSpace="0"/>
        </w:sectPr>
      </w:pPr>
    </w:p>
    <w:p>
      <w:pPr>
        <w:pStyle w:val="3"/>
        <w:spacing w:line="255" w:lineRule="auto"/>
        <w:rPr>
          <w:color w:val="auto"/>
        </w:rPr>
      </w:pPr>
    </w:p>
    <w:p>
      <w:pPr>
        <w:pStyle w:val="3"/>
        <w:spacing w:line="256" w:lineRule="auto"/>
        <w:rPr>
          <w:color w:val="auto"/>
        </w:rPr>
      </w:pPr>
    </w:p>
    <w:p>
      <w:pPr>
        <w:pStyle w:val="3"/>
        <w:spacing w:line="255" w:lineRule="auto"/>
        <w:rPr>
          <w:color w:val="auto"/>
        </w:rPr>
      </w:pPr>
    </w:p>
    <w:p>
      <w:pPr>
        <w:pStyle w:val="3"/>
        <w:spacing w:line="256" w:lineRule="auto"/>
        <w:rPr>
          <w:color w:val="auto"/>
        </w:rPr>
      </w:pPr>
    </w:p>
    <w:p>
      <w:pPr>
        <w:pStyle w:val="3"/>
        <w:spacing w:line="256" w:lineRule="auto"/>
        <w:rPr>
          <w:color w:val="auto"/>
        </w:rPr>
      </w:pPr>
    </w:p>
    <w:p>
      <w:pPr>
        <w:spacing w:before="159" w:line="196" w:lineRule="auto"/>
        <w:ind w:left="1903"/>
        <w:outlineLvl w:val="0"/>
        <w:rPr>
          <w:rFonts w:ascii="华文中宋" w:hAnsi="华文中宋" w:eastAsia="华文中宋" w:cs="华文中宋"/>
          <w:color w:val="auto"/>
          <w:sz w:val="43"/>
          <w:szCs w:val="43"/>
          <w:lang w:eastAsia="zh-CN"/>
        </w:rPr>
        <w:sectPr>
          <w:footerReference r:id="rId92" w:type="default"/>
          <w:pgSz w:w="11906" w:h="16839"/>
          <w:pgMar w:top="1431" w:right="1785" w:bottom="1469" w:left="1785" w:header="0" w:footer="1304" w:gutter="0"/>
          <w:cols w:space="720" w:num="1"/>
          <w:docGrid w:linePitch="0" w:charSpace="0"/>
        </w:sectPr>
      </w:pPr>
      <w:bookmarkStart w:id="501" w:name="bookmark514"/>
      <w:bookmarkEnd w:id="501"/>
      <w:r>
        <w:rPr>
          <w:rFonts w:ascii="华文中宋" w:hAnsi="华文中宋" w:eastAsia="华文中宋" w:cs="华文中宋"/>
          <w:color w:val="auto"/>
          <w:spacing w:val="7"/>
          <w:sz w:val="43"/>
          <w:szCs w:val="43"/>
          <w:lang w:eastAsia="zh-CN"/>
        </w:rPr>
        <w:t>第七章技术标准和要求</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159" w:line="196" w:lineRule="auto"/>
        <w:ind w:left="2122"/>
        <w:outlineLvl w:val="0"/>
        <w:rPr>
          <w:rFonts w:ascii="华文中宋" w:hAnsi="华文中宋" w:eastAsia="华文中宋" w:cs="华文中宋"/>
          <w:color w:val="auto"/>
          <w:sz w:val="43"/>
          <w:szCs w:val="43"/>
          <w:lang w:eastAsia="zh-CN"/>
        </w:rPr>
      </w:pPr>
      <w:bookmarkStart w:id="502" w:name="bookmark518"/>
      <w:bookmarkEnd w:id="502"/>
      <w:r>
        <w:rPr>
          <w:rFonts w:ascii="华文中宋" w:hAnsi="华文中宋" w:eastAsia="华文中宋" w:cs="华文中宋"/>
          <w:color w:val="auto"/>
          <w:spacing w:val="6"/>
          <w:sz w:val="43"/>
          <w:szCs w:val="43"/>
          <w:lang w:eastAsia="zh-CN"/>
        </w:rPr>
        <w:t>第八章投标文件格式</w:t>
      </w:r>
    </w:p>
    <w:p>
      <w:pPr>
        <w:spacing w:line="196" w:lineRule="auto"/>
        <w:rPr>
          <w:rFonts w:ascii="华文中宋" w:hAnsi="华文中宋" w:eastAsia="华文中宋" w:cs="华文中宋"/>
          <w:color w:val="auto"/>
          <w:sz w:val="43"/>
          <w:szCs w:val="43"/>
          <w:lang w:eastAsia="zh-CN"/>
        </w:rPr>
        <w:sectPr>
          <w:footerReference r:id="rId93" w:type="default"/>
          <w:pgSz w:w="11906" w:h="16839"/>
          <w:pgMar w:top="1431" w:right="1785" w:bottom="1469" w:left="1785"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03" w:name="bookmark520"/>
      <w:bookmarkEnd w:id="503"/>
      <w:r>
        <w:rPr>
          <w:rFonts w:ascii="仿宋" w:hAnsi="仿宋" w:eastAsia="仿宋" w:cs="仿宋"/>
          <w:b/>
          <w:bCs/>
          <w:color w:val="auto"/>
          <w:spacing w:val="1"/>
          <w:sz w:val="31"/>
          <w:szCs w:val="31"/>
          <w:lang w:eastAsia="zh-CN"/>
        </w:rPr>
        <w:t>第一节商务投标文件格式</w:t>
      </w:r>
    </w:p>
    <w:p>
      <w:pPr>
        <w:spacing w:line="227" w:lineRule="auto"/>
        <w:rPr>
          <w:rFonts w:ascii="仿宋" w:hAnsi="仿宋" w:eastAsia="仿宋" w:cs="仿宋"/>
          <w:color w:val="auto"/>
          <w:sz w:val="31"/>
          <w:szCs w:val="31"/>
          <w:lang w:eastAsia="zh-CN"/>
        </w:rPr>
        <w:sectPr>
          <w:footerReference r:id="rId94" w:type="default"/>
          <w:pgSz w:w="11906" w:h="16839"/>
          <w:pgMar w:top="1431" w:right="1785" w:bottom="1468" w:left="1623" w:header="0" w:footer="1303" w:gutter="0"/>
          <w:cols w:space="720" w:num="1"/>
          <w:docGrid w:linePitch="0" w:charSpace="0"/>
        </w:sectPr>
      </w:pPr>
    </w:p>
    <w:p>
      <w:pPr>
        <w:pStyle w:val="3"/>
        <w:spacing w:line="275" w:lineRule="auto"/>
        <w:rPr>
          <w:color w:val="auto"/>
          <w:lang w:eastAsia="zh-CN"/>
        </w:rPr>
      </w:pPr>
    </w:p>
    <w:p>
      <w:pPr>
        <w:pStyle w:val="3"/>
        <w:spacing w:line="276" w:lineRule="auto"/>
        <w:rPr>
          <w:color w:val="auto"/>
          <w:lang w:eastAsia="zh-CN"/>
        </w:rPr>
      </w:pPr>
    </w:p>
    <w:p>
      <w:pPr>
        <w:pStyle w:val="3"/>
        <w:spacing w:line="276" w:lineRule="auto"/>
        <w:rPr>
          <w:color w:val="auto"/>
          <w:lang w:eastAsia="zh-CN"/>
        </w:rPr>
      </w:pPr>
    </w:p>
    <w:p>
      <w:pPr>
        <w:tabs>
          <w:tab w:val="left" w:pos="2513"/>
        </w:tabs>
        <w:spacing w:before="91" w:line="222" w:lineRule="auto"/>
        <w:ind w:left="83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z w:val="28"/>
          <w:szCs w:val="28"/>
          <w:lang w:eastAsia="zh-CN"/>
        </w:rPr>
        <w:t>（项目名称）标</w:t>
      </w:r>
      <w:r>
        <w:rPr>
          <w:rFonts w:ascii="黑体" w:hAnsi="黑体" w:eastAsia="黑体" w:cs="黑体"/>
          <w:color w:val="auto"/>
          <w:spacing w:val="-1"/>
          <w:sz w:val="28"/>
          <w:szCs w:val="28"/>
          <w:lang w:eastAsia="zh-CN"/>
        </w:rPr>
        <w:t>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spacing w:before="140" w:line="225" w:lineRule="auto"/>
        <w:ind w:left="2907"/>
        <w:rPr>
          <w:rFonts w:ascii="黑体" w:hAnsi="黑体" w:eastAsia="黑体" w:cs="黑体"/>
          <w:color w:val="auto"/>
          <w:sz w:val="43"/>
          <w:szCs w:val="43"/>
          <w:lang w:eastAsia="zh-CN"/>
        </w:rPr>
      </w:pPr>
      <w:r>
        <w:rPr>
          <w:rFonts w:ascii="黑体" w:hAnsi="黑体" w:eastAsia="黑体" w:cs="黑体"/>
          <w:color w:val="auto"/>
          <w:spacing w:val="4"/>
          <w:sz w:val="43"/>
          <w:szCs w:val="43"/>
          <w:lang w:eastAsia="zh-CN"/>
        </w:rPr>
        <w:t>商务投标文件</w:t>
      </w: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2882"/>
        </w:tabs>
        <w:spacing w:before="286" w:line="224" w:lineRule="auto"/>
        <w:ind w:left="1761"/>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95" w:type="default"/>
          <w:pgSz w:w="11906" w:h="16839"/>
          <w:pgMar w:top="1431" w:right="1785" w:bottom="1469" w:left="1785" w:header="0" w:footer="1303"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rPr>
          <w:rFonts w:ascii="仿宋" w:hAnsi="仿宋" w:eastAsia="仿宋" w:cs="仿宋"/>
          <w:color w:val="auto"/>
          <w:sz w:val="24"/>
          <w:szCs w:val="24"/>
          <w:lang w:eastAsia="zh-CN"/>
        </w:rPr>
      </w:pPr>
      <w:r>
        <w:rPr>
          <w:rFonts w:ascii="仿宋" w:hAnsi="仿宋" w:eastAsia="仿宋" w:cs="仿宋"/>
          <w:color w:val="auto"/>
          <w:spacing w:val="-4"/>
          <w:sz w:val="24"/>
          <w:szCs w:val="24"/>
          <w:lang w:eastAsia="zh-CN"/>
        </w:rPr>
        <w:t>（一）投标函</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（二）投标函附录</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（三）法定代表人身份证明</w:t>
      </w:r>
    </w:p>
    <w:p>
      <w:pPr>
        <w:spacing w:before="23"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（四）授权委托书</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（五）联合体协议书</w:t>
      </w:r>
    </w:p>
    <w:p>
      <w:pPr>
        <w:spacing w:before="22" w:line="221"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（六）投标保证金</w:t>
      </w:r>
    </w:p>
    <w:p>
      <w:pPr>
        <w:spacing w:before="25" w:line="221"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（七）已标价工程量清单</w:t>
      </w:r>
    </w:p>
    <w:p>
      <w:pPr>
        <w:spacing w:before="25" w:line="222"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（八）项目管理机构</w:t>
      </w:r>
    </w:p>
    <w:p>
      <w:pPr>
        <w:spacing w:before="24" w:line="222" w:lineRule="auto"/>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（九）拟分包项目情况表</w:t>
      </w:r>
    </w:p>
    <w:p>
      <w:pPr>
        <w:spacing w:before="23" w:line="220" w:lineRule="auto"/>
        <w:rPr>
          <w:rFonts w:ascii="仿宋" w:hAnsi="仿宋" w:eastAsia="仿宋" w:cs="仿宋"/>
          <w:color w:val="auto"/>
          <w:sz w:val="24"/>
          <w:szCs w:val="24"/>
          <w:lang w:eastAsia="zh-CN"/>
        </w:rPr>
      </w:pPr>
      <w:r>
        <w:rPr>
          <w:rFonts w:ascii="仿宋" w:hAnsi="仿宋" w:eastAsia="仿宋" w:cs="仿宋"/>
          <w:color w:val="auto"/>
          <w:spacing w:val="-3"/>
          <w:sz w:val="24"/>
          <w:szCs w:val="24"/>
          <w:lang w:eastAsia="zh-CN"/>
        </w:rPr>
        <w:t>（十）资格审查等资料</w:t>
      </w:r>
    </w:p>
    <w:p>
      <w:pPr>
        <w:spacing w:before="26" w:line="220"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（十一）奖惩情况及其他材料</w:t>
      </w:r>
    </w:p>
    <w:p>
      <w:pPr>
        <w:spacing w:line="220" w:lineRule="auto"/>
        <w:rPr>
          <w:rFonts w:ascii="仿宋" w:hAnsi="仿宋" w:eastAsia="仿宋" w:cs="仿宋"/>
          <w:color w:val="auto"/>
          <w:sz w:val="24"/>
          <w:szCs w:val="24"/>
          <w:lang w:eastAsia="zh-CN"/>
        </w:rPr>
        <w:sectPr>
          <w:footerReference r:id="rId96"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28"/>
        <w:rPr>
          <w:rFonts w:ascii="仿宋" w:hAnsi="仿宋" w:eastAsia="仿宋" w:cs="仿宋"/>
          <w:color w:val="auto"/>
          <w:sz w:val="31"/>
          <w:szCs w:val="31"/>
          <w:lang w:eastAsia="zh-CN"/>
        </w:rPr>
      </w:pPr>
      <w:bookmarkStart w:id="504" w:name="bookmark522"/>
      <w:bookmarkEnd w:id="504"/>
      <w:r>
        <w:rPr>
          <w:rFonts w:ascii="仿宋" w:hAnsi="仿宋" w:eastAsia="仿宋" w:cs="仿宋"/>
          <w:b/>
          <w:bCs/>
          <w:color w:val="auto"/>
          <w:spacing w:val="2"/>
          <w:sz w:val="31"/>
          <w:szCs w:val="31"/>
          <w:lang w:eastAsia="zh-CN"/>
        </w:rPr>
        <w:t>一、投标函</w:t>
      </w:r>
    </w:p>
    <w:p>
      <w:pPr>
        <w:tabs>
          <w:tab w:val="left" w:pos="2521"/>
        </w:tabs>
        <w:spacing w:before="228" w:line="228" w:lineRule="auto"/>
        <w:ind w:left="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9"/>
          <w:sz w:val="20"/>
          <w:szCs w:val="20"/>
          <w:lang w:eastAsia="zh-CN"/>
        </w:rPr>
        <w:t>（招标人名称</w:t>
      </w:r>
      <w:r>
        <w:rPr>
          <w:rFonts w:ascii="宋体" w:hAnsi="宋体" w:eastAsia="宋体" w:cs="宋体"/>
          <w:color w:val="auto"/>
          <w:spacing w:val="1"/>
          <w:sz w:val="20"/>
          <w:szCs w:val="20"/>
          <w:lang w:eastAsia="zh-CN"/>
        </w:rPr>
        <w:t>）：</w:t>
      </w:r>
    </w:p>
    <w:p>
      <w:pPr>
        <w:pStyle w:val="3"/>
        <w:spacing w:line="242" w:lineRule="auto"/>
        <w:rPr>
          <w:color w:val="auto"/>
          <w:lang w:eastAsia="zh-CN"/>
        </w:rPr>
      </w:pPr>
    </w:p>
    <w:p>
      <w:pPr>
        <w:pStyle w:val="3"/>
        <w:spacing w:line="243" w:lineRule="auto"/>
        <w:rPr>
          <w:color w:val="auto"/>
          <w:lang w:eastAsia="zh-CN"/>
        </w:rPr>
      </w:pPr>
    </w:p>
    <w:p>
      <w:pPr>
        <w:spacing w:before="65" w:line="322" w:lineRule="auto"/>
        <w:ind w:left="10" w:firstLine="434"/>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1．我方已仔细研究了（项目名称）标段施工招标文件的</w:t>
      </w:r>
      <w:r>
        <w:rPr>
          <w:rFonts w:ascii="宋体" w:hAnsi="宋体" w:eastAsia="宋体" w:cs="宋体"/>
          <w:color w:val="auto"/>
          <w:spacing w:val="6"/>
          <w:sz w:val="20"/>
          <w:szCs w:val="20"/>
          <w:lang w:eastAsia="zh-CN"/>
        </w:rPr>
        <w:t>全部内容，愿意以人民币（大写） (¥元）的投</w:t>
      </w:r>
      <w:r>
        <w:rPr>
          <w:rFonts w:ascii="宋体" w:hAnsi="宋体" w:eastAsia="宋体" w:cs="宋体"/>
          <w:color w:val="auto"/>
          <w:spacing w:val="5"/>
          <w:sz w:val="20"/>
          <w:szCs w:val="20"/>
          <w:lang w:eastAsia="zh-CN"/>
        </w:rPr>
        <w:t>标含税总报价，工期日历天，按</w:t>
      </w:r>
      <w:r>
        <w:rPr>
          <w:rFonts w:ascii="宋体" w:hAnsi="宋体" w:eastAsia="宋体" w:cs="宋体"/>
          <w:color w:val="auto"/>
          <w:spacing w:val="8"/>
          <w:sz w:val="20"/>
          <w:szCs w:val="20"/>
          <w:lang w:eastAsia="zh-CN"/>
        </w:rPr>
        <w:t>合同约定实施和完成承包工程，修补工程中的任何缺陷，工程质量达到 。</w:t>
      </w:r>
    </w:p>
    <w:p>
      <w:pPr>
        <w:spacing w:before="153" w:line="228" w:lineRule="auto"/>
        <w:ind w:left="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2．我方承诺在投标有效期内不修改、撤销投标文件。</w:t>
      </w:r>
    </w:p>
    <w:p>
      <w:pPr>
        <w:spacing w:before="151" w:line="227" w:lineRule="auto"/>
        <w:ind w:left="434"/>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3．随同本投标函提交投标保证金一份，金</w:t>
      </w:r>
      <w:r>
        <w:rPr>
          <w:rFonts w:ascii="宋体" w:hAnsi="宋体" w:eastAsia="宋体" w:cs="宋体"/>
          <w:color w:val="auto"/>
          <w:spacing w:val="7"/>
          <w:sz w:val="20"/>
          <w:szCs w:val="20"/>
          <w:lang w:eastAsia="zh-CN"/>
        </w:rPr>
        <w:t>额为人民币（大写） (¥元）。</w:t>
      </w:r>
    </w:p>
    <w:p>
      <w:pPr>
        <w:spacing w:before="155" w:line="228" w:lineRule="auto"/>
        <w:ind w:left="429"/>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4．如我方中标：</w:t>
      </w:r>
    </w:p>
    <w:p>
      <w:pPr>
        <w:spacing w:before="154"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（1）我方承诺在收到中标通知书后，在中标通知书规定的期限内与你方签订合同。</w:t>
      </w:r>
    </w:p>
    <w:p>
      <w:pPr>
        <w:spacing w:before="152" w:line="227"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（2）随同本投标函递交的投标函附录属于合</w:t>
      </w:r>
      <w:r>
        <w:rPr>
          <w:rFonts w:ascii="宋体" w:hAnsi="宋体" w:eastAsia="宋体" w:cs="宋体"/>
          <w:color w:val="auto"/>
          <w:spacing w:val="8"/>
          <w:sz w:val="20"/>
          <w:szCs w:val="20"/>
          <w:lang w:eastAsia="zh-CN"/>
        </w:rPr>
        <w:t>同文件的组成部分。</w:t>
      </w:r>
    </w:p>
    <w:p>
      <w:pPr>
        <w:spacing w:before="155" w:line="228" w:lineRule="auto"/>
        <w:ind w:left="737"/>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（3）我方承诺按照招标文件规定向你方递交履约担保。</w:t>
      </w:r>
    </w:p>
    <w:p>
      <w:pPr>
        <w:spacing w:before="154" w:line="228" w:lineRule="auto"/>
        <w:ind w:left="73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（4）我方承诺在合同约定的期限内完成并</w:t>
      </w:r>
      <w:r>
        <w:rPr>
          <w:rFonts w:ascii="宋体" w:hAnsi="宋体" w:eastAsia="宋体" w:cs="宋体"/>
          <w:color w:val="auto"/>
          <w:spacing w:val="8"/>
          <w:sz w:val="20"/>
          <w:szCs w:val="20"/>
          <w:lang w:eastAsia="zh-CN"/>
        </w:rPr>
        <w:t>移交全部合同工程。</w:t>
      </w:r>
    </w:p>
    <w:p>
      <w:pPr>
        <w:spacing w:before="150" w:line="334" w:lineRule="auto"/>
        <w:ind w:firstLine="434"/>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5．我方在此声明，所递交的投标文件及有关资料内容完整、真实和准确，且不存在第二章</w:t>
      </w:r>
      <w:r>
        <w:rPr>
          <w:rFonts w:ascii="宋体" w:hAnsi="宋体" w:eastAsia="宋体" w:cs="宋体"/>
          <w:color w:val="auto"/>
          <w:spacing w:val="7"/>
          <w:sz w:val="20"/>
          <w:szCs w:val="20"/>
          <w:lang w:eastAsia="zh-CN"/>
        </w:rPr>
        <w:t>“投标人须知”第1.4.3项规定的任何一种情形，不存在生产经营方面未申报的行政处罚记录和</w:t>
      </w:r>
      <w:r>
        <w:rPr>
          <w:rFonts w:ascii="宋体" w:hAnsi="宋体" w:eastAsia="宋体" w:cs="宋体"/>
          <w:color w:val="auto"/>
          <w:spacing w:val="9"/>
          <w:sz w:val="20"/>
          <w:szCs w:val="20"/>
          <w:lang w:eastAsia="zh-CN"/>
        </w:rPr>
        <w:t>不良行为记录，不存在拖欠农民工工资情形，如果被查出存在未申报的上述情形，愿意接受行政</w:t>
      </w:r>
      <w:r>
        <w:rPr>
          <w:rFonts w:ascii="宋体" w:hAnsi="宋体" w:eastAsia="宋体" w:cs="宋体"/>
          <w:color w:val="auto"/>
          <w:spacing w:val="10"/>
          <w:sz w:val="20"/>
          <w:szCs w:val="20"/>
          <w:lang w:eastAsia="zh-CN"/>
        </w:rPr>
        <w:t>监管部门取消中标资格、没收投标保证金及其他</w:t>
      </w:r>
      <w:r>
        <w:rPr>
          <w:rFonts w:ascii="宋体" w:hAnsi="宋体" w:eastAsia="宋体" w:cs="宋体"/>
          <w:color w:val="auto"/>
          <w:spacing w:val="9"/>
          <w:sz w:val="20"/>
          <w:szCs w:val="20"/>
          <w:lang w:eastAsia="zh-CN"/>
        </w:rPr>
        <w:t>依法作出的行政处罚结果。</w:t>
      </w:r>
    </w:p>
    <w:p>
      <w:pPr>
        <w:spacing w:before="155" w:line="228" w:lineRule="auto"/>
        <w:ind w:left="431"/>
        <w:rPr>
          <w:rFonts w:ascii="宋体" w:hAnsi="宋体" w:eastAsia="宋体" w:cs="宋体"/>
          <w:color w:val="auto"/>
          <w:sz w:val="20"/>
          <w:szCs w:val="20"/>
          <w:lang w:eastAsia="zh-CN"/>
        </w:rPr>
      </w:pPr>
      <w:r>
        <w:rPr>
          <w:rFonts w:ascii="宋体" w:hAnsi="宋体" w:eastAsia="宋体" w:cs="宋体"/>
          <w:color w:val="auto"/>
          <w:spacing w:val="12"/>
          <w:sz w:val="20"/>
          <w:szCs w:val="20"/>
          <w:lang w:eastAsia="zh-CN"/>
        </w:rPr>
        <w:t>6</w:t>
      </w:r>
      <w:r>
        <w:rPr>
          <w:rFonts w:ascii="宋体" w:hAnsi="宋体" w:eastAsia="宋体" w:cs="宋体"/>
          <w:color w:val="auto"/>
          <w:spacing w:val="-18"/>
          <w:sz w:val="20"/>
          <w:szCs w:val="20"/>
          <w:lang w:eastAsia="zh-CN"/>
        </w:rPr>
        <w:t>．（</w:t>
      </w:r>
      <w:r>
        <w:rPr>
          <w:rFonts w:ascii="宋体" w:hAnsi="宋体" w:eastAsia="宋体" w:cs="宋体"/>
          <w:color w:val="auto"/>
          <w:spacing w:val="12"/>
          <w:sz w:val="20"/>
          <w:szCs w:val="20"/>
          <w:lang w:eastAsia="zh-CN"/>
        </w:rPr>
        <w:t>其他补充说明）。</w:t>
      </w:r>
    </w:p>
    <w:p>
      <w:pPr>
        <w:pStyle w:val="3"/>
        <w:spacing w:line="242" w:lineRule="auto"/>
        <w:rPr>
          <w:color w:val="auto"/>
          <w:lang w:eastAsia="zh-CN"/>
        </w:rPr>
      </w:pPr>
    </w:p>
    <w:p>
      <w:pPr>
        <w:pStyle w:val="3"/>
        <w:spacing w:line="243" w:lineRule="auto"/>
        <w:rPr>
          <w:color w:val="auto"/>
          <w:lang w:eastAsia="zh-CN"/>
        </w:rPr>
      </w:pPr>
    </w:p>
    <w:p>
      <w:pPr>
        <w:spacing w:before="65" w:line="363" w:lineRule="auto"/>
        <w:ind w:left="10" w:right="3553" w:firstLine="2"/>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 标人</w:t>
      </w:r>
      <w:r>
        <w:rPr>
          <w:rFonts w:ascii="宋体" w:hAnsi="宋体" w:eastAsia="宋体" w:cs="宋体"/>
          <w:color w:val="auto"/>
          <w:spacing w:val="-17"/>
          <w:sz w:val="20"/>
          <w:szCs w:val="20"/>
          <w:lang w:eastAsia="zh-CN"/>
        </w:rPr>
        <w:t>：（</w:t>
      </w:r>
      <w:r>
        <w:rPr>
          <w:rFonts w:ascii="宋体" w:hAnsi="宋体" w:eastAsia="宋体" w:cs="宋体"/>
          <w:color w:val="auto"/>
          <w:spacing w:val="11"/>
          <w:sz w:val="20"/>
          <w:szCs w:val="20"/>
          <w:lang w:eastAsia="zh-CN"/>
        </w:rPr>
        <w:t>盖章）</w:t>
      </w:r>
      <w:r>
        <w:rPr>
          <w:rFonts w:ascii="宋体" w:hAnsi="宋体" w:eastAsia="宋体" w:cs="宋体"/>
          <w:color w:val="auto"/>
          <w:spacing w:val="10"/>
          <w:sz w:val="20"/>
          <w:szCs w:val="20"/>
          <w:lang w:eastAsia="zh-CN"/>
        </w:rPr>
        <w:t>法定代表人或其委托代理人</w:t>
      </w:r>
      <w:r>
        <w:rPr>
          <w:rFonts w:ascii="宋体" w:hAnsi="宋体" w:eastAsia="宋体" w:cs="宋体"/>
          <w:color w:val="auto"/>
          <w:spacing w:val="-6"/>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6"/>
          <w:sz w:val="20"/>
          <w:szCs w:val="20"/>
          <w:lang w:eastAsia="zh-CN"/>
        </w:rPr>
        <w:t>地址：</w:t>
      </w:r>
    </w:p>
    <w:p>
      <w:pPr>
        <w:tabs>
          <w:tab w:val="left" w:pos="4516"/>
        </w:tabs>
        <w:spacing w:before="19" w:line="362" w:lineRule="auto"/>
        <w:ind w:left="8" w:right="4270" w:firstLine="17"/>
        <w:jc w:val="both"/>
        <w:rPr>
          <w:rFonts w:ascii="宋体" w:hAnsi="宋体" w:eastAsia="宋体" w:cs="宋体"/>
          <w:color w:val="auto"/>
          <w:sz w:val="20"/>
          <w:szCs w:val="20"/>
          <w:lang w:eastAsia="zh-CN"/>
        </w:rPr>
      </w:pPr>
      <w:r>
        <w:rPr>
          <w:rFonts w:ascii="宋体" w:hAnsi="宋体" w:eastAsia="宋体" w:cs="宋体"/>
          <w:color w:val="auto"/>
          <w:spacing w:val="1"/>
          <w:sz w:val="20"/>
          <w:szCs w:val="20"/>
          <w:lang w:eastAsia="zh-CN"/>
        </w:rPr>
        <w:t>网址：</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电话：</w:t>
      </w: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传真：</w:t>
      </w:r>
      <w:r>
        <w:rPr>
          <w:rFonts w:ascii="宋体" w:hAnsi="宋体" w:eastAsia="宋体" w:cs="宋体"/>
          <w:color w:val="auto"/>
          <w:sz w:val="20"/>
          <w:szCs w:val="20"/>
          <w:u w:val="single"/>
          <w:lang w:eastAsia="zh-CN"/>
        </w:rPr>
        <w:tab/>
      </w:r>
      <w:r>
        <w:rPr>
          <w:rFonts w:ascii="宋体" w:hAnsi="宋体" w:eastAsia="宋体" w:cs="宋体"/>
          <w:color w:val="auto"/>
          <w:spacing w:val="8"/>
          <w:sz w:val="20"/>
          <w:szCs w:val="20"/>
          <w:lang w:eastAsia="zh-CN"/>
        </w:rPr>
        <w:t>邮政编码：</w:t>
      </w:r>
    </w:p>
    <w:p>
      <w:pPr>
        <w:pStyle w:val="3"/>
        <w:spacing w:line="365" w:lineRule="auto"/>
        <w:rPr>
          <w:color w:val="auto"/>
          <w:lang w:eastAsia="zh-CN"/>
        </w:rPr>
      </w:pPr>
    </w:p>
    <w:p>
      <w:pPr>
        <w:tabs>
          <w:tab w:val="left" w:pos="5880"/>
        </w:tabs>
        <w:spacing w:before="66" w:line="228" w:lineRule="auto"/>
        <w:ind w:left="5041"/>
        <w:outlineLvl w:val="1"/>
        <w:rPr>
          <w:rFonts w:ascii="宋体" w:hAnsi="宋体" w:eastAsia="宋体" w:cs="宋体"/>
          <w:color w:val="auto"/>
          <w:sz w:val="20"/>
          <w:szCs w:val="20"/>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rPr>
        <w:t>年月日</w:t>
      </w:r>
    </w:p>
    <w:p>
      <w:pPr>
        <w:spacing w:line="228" w:lineRule="auto"/>
        <w:rPr>
          <w:rFonts w:ascii="宋体" w:hAnsi="宋体" w:eastAsia="宋体" w:cs="宋体"/>
          <w:color w:val="auto"/>
          <w:sz w:val="20"/>
          <w:szCs w:val="20"/>
        </w:rPr>
        <w:sectPr>
          <w:footerReference r:id="rId97" w:type="default"/>
          <w:pgSz w:w="11906" w:h="16839"/>
          <w:pgMar w:top="1431" w:right="1532" w:bottom="1468" w:left="1586"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4"/>
        <w:rPr>
          <w:rFonts w:ascii="仿宋" w:hAnsi="仿宋" w:eastAsia="仿宋" w:cs="仿宋"/>
          <w:color w:val="auto"/>
          <w:sz w:val="31"/>
          <w:szCs w:val="31"/>
        </w:rPr>
      </w:pPr>
      <w:bookmarkStart w:id="505" w:name="bookmark524"/>
      <w:bookmarkEnd w:id="505"/>
      <w:r>
        <w:rPr>
          <w:rFonts w:ascii="仿宋" w:hAnsi="仿宋" w:eastAsia="仿宋" w:cs="仿宋"/>
          <w:b/>
          <w:bCs/>
          <w:color w:val="auto"/>
          <w:spacing w:val="3"/>
          <w:sz w:val="31"/>
          <w:szCs w:val="31"/>
        </w:rPr>
        <w:t>二、投标函附录</w:t>
      </w:r>
    </w:p>
    <w:p>
      <w:pPr>
        <w:spacing w:before="23"/>
        <w:rPr>
          <w:color w:val="auto"/>
        </w:rPr>
      </w:pPr>
    </w:p>
    <w:p>
      <w:pPr>
        <w:spacing w:before="22"/>
        <w:rPr>
          <w:color w:val="auto"/>
        </w:rPr>
      </w:pPr>
    </w:p>
    <w:tbl>
      <w:tblPr>
        <w:tblStyle w:val="14"/>
        <w:tblW w:w="90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0"/>
        <w:gridCol w:w="2468"/>
        <w:gridCol w:w="2282"/>
        <w:gridCol w:w="2853"/>
        <w:gridCol w:w="7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59" w:line="229" w:lineRule="auto"/>
              <w:ind w:left="139"/>
              <w:rPr>
                <w:color w:val="auto"/>
              </w:rPr>
            </w:pPr>
            <w:r>
              <w:rPr>
                <w:b/>
                <w:bCs/>
                <w:color w:val="auto"/>
                <w:spacing w:val="4"/>
              </w:rPr>
              <w:t>序号</w:t>
            </w:r>
          </w:p>
        </w:tc>
        <w:tc>
          <w:tcPr>
            <w:tcW w:w="2468" w:type="dxa"/>
          </w:tcPr>
          <w:p>
            <w:pPr>
              <w:pStyle w:val="15"/>
              <w:spacing w:before="159" w:line="228" w:lineRule="auto"/>
              <w:ind w:left="818"/>
              <w:rPr>
                <w:color w:val="auto"/>
              </w:rPr>
            </w:pPr>
            <w:r>
              <w:rPr>
                <w:b/>
                <w:bCs/>
                <w:color w:val="auto"/>
                <w:spacing w:val="6"/>
              </w:rPr>
              <w:t>条款名称</w:t>
            </w:r>
          </w:p>
        </w:tc>
        <w:tc>
          <w:tcPr>
            <w:tcW w:w="2282" w:type="dxa"/>
          </w:tcPr>
          <w:p>
            <w:pPr>
              <w:pStyle w:val="15"/>
              <w:spacing w:before="159" w:line="228" w:lineRule="auto"/>
              <w:ind w:left="619"/>
              <w:rPr>
                <w:color w:val="auto"/>
              </w:rPr>
            </w:pPr>
            <w:r>
              <w:rPr>
                <w:b/>
                <w:bCs/>
                <w:color w:val="auto"/>
                <w:spacing w:val="6"/>
              </w:rPr>
              <w:t>合同条款号</w:t>
            </w:r>
          </w:p>
        </w:tc>
        <w:tc>
          <w:tcPr>
            <w:tcW w:w="2853" w:type="dxa"/>
          </w:tcPr>
          <w:p>
            <w:pPr>
              <w:pStyle w:val="15"/>
              <w:spacing w:before="159" w:line="228" w:lineRule="auto"/>
              <w:ind w:left="1017"/>
              <w:rPr>
                <w:color w:val="auto"/>
              </w:rPr>
            </w:pPr>
            <w:r>
              <w:rPr>
                <w:b/>
                <w:bCs/>
                <w:color w:val="auto"/>
                <w:spacing w:val="4"/>
              </w:rPr>
              <w:t>约定内容</w:t>
            </w:r>
          </w:p>
        </w:tc>
        <w:tc>
          <w:tcPr>
            <w:tcW w:w="763" w:type="dxa"/>
          </w:tcPr>
          <w:p>
            <w:pPr>
              <w:pStyle w:val="15"/>
              <w:spacing w:before="159" w:line="229" w:lineRule="auto"/>
              <w:ind w:left="178"/>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87" w:line="189" w:lineRule="auto"/>
              <w:ind w:left="312"/>
              <w:rPr>
                <w:color w:val="auto"/>
              </w:rPr>
            </w:pPr>
            <w:r>
              <w:rPr>
                <w:color w:val="auto"/>
              </w:rPr>
              <w:t>1</w:t>
            </w:r>
          </w:p>
        </w:tc>
        <w:tc>
          <w:tcPr>
            <w:tcW w:w="2468" w:type="dxa"/>
          </w:tcPr>
          <w:p>
            <w:pPr>
              <w:pStyle w:val="15"/>
              <w:spacing w:before="155" w:line="228" w:lineRule="auto"/>
              <w:ind w:left="822"/>
              <w:rPr>
                <w:color w:val="auto"/>
              </w:rPr>
            </w:pPr>
            <w:r>
              <w:rPr>
                <w:color w:val="auto"/>
                <w:spacing w:val="6"/>
              </w:rPr>
              <w:t>项目经理</w:t>
            </w:r>
          </w:p>
        </w:tc>
        <w:tc>
          <w:tcPr>
            <w:tcW w:w="2282" w:type="dxa"/>
          </w:tcPr>
          <w:p>
            <w:pPr>
              <w:pStyle w:val="15"/>
              <w:spacing w:before="187" w:line="190" w:lineRule="auto"/>
              <w:ind w:left="795"/>
              <w:rPr>
                <w:color w:val="auto"/>
              </w:rPr>
            </w:pPr>
            <w:r>
              <w:rPr>
                <w:color w:val="auto"/>
              </w:rPr>
              <w:fldChar w:fldCharType="begin"/>
            </w:r>
            <w:r>
              <w:rPr>
                <w:color w:val="auto"/>
              </w:rPr>
              <w:instrText xml:space="preserve"> HYPERLINK "1.1.2.4" </w:instrText>
            </w:r>
            <w:r>
              <w:rPr>
                <w:color w:val="auto"/>
              </w:rPr>
              <w:fldChar w:fldCharType="separate"/>
            </w:r>
            <w:r>
              <w:rPr>
                <w:color w:val="auto"/>
                <w:spacing w:val="1"/>
              </w:rPr>
              <w:t>1.1.2.4</w:t>
            </w:r>
            <w:r>
              <w:rPr>
                <w:color w:val="auto"/>
                <w:spacing w:val="1"/>
              </w:rPr>
              <w:fldChar w:fldCharType="end"/>
            </w:r>
          </w:p>
        </w:tc>
        <w:tc>
          <w:tcPr>
            <w:tcW w:w="2853" w:type="dxa"/>
          </w:tcPr>
          <w:p>
            <w:pPr>
              <w:pStyle w:val="15"/>
              <w:spacing w:before="154" w:line="228" w:lineRule="auto"/>
              <w:ind w:left="323"/>
              <w:rPr>
                <w:color w:val="auto"/>
              </w:rPr>
            </w:pPr>
            <w:r>
              <w:rPr>
                <w:color w:val="auto"/>
                <w:spacing w:val="6"/>
              </w:rPr>
              <w:t>姓名：</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690" w:type="dxa"/>
          </w:tcPr>
          <w:p>
            <w:pPr>
              <w:pStyle w:val="15"/>
              <w:spacing w:before="190" w:line="189" w:lineRule="auto"/>
              <w:ind w:left="299"/>
              <w:rPr>
                <w:color w:val="auto"/>
              </w:rPr>
            </w:pPr>
            <w:r>
              <w:rPr>
                <w:color w:val="auto"/>
              </w:rPr>
              <w:t>2</w:t>
            </w:r>
          </w:p>
        </w:tc>
        <w:tc>
          <w:tcPr>
            <w:tcW w:w="2468" w:type="dxa"/>
          </w:tcPr>
          <w:p>
            <w:pPr>
              <w:pStyle w:val="15"/>
              <w:spacing w:before="158" w:line="228" w:lineRule="auto"/>
              <w:ind w:left="1030"/>
              <w:rPr>
                <w:color w:val="auto"/>
              </w:rPr>
            </w:pPr>
            <w:r>
              <w:rPr>
                <w:color w:val="auto"/>
                <w:spacing w:val="3"/>
              </w:rPr>
              <w:t>工期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"1.1.4.3" </w:instrText>
            </w:r>
            <w:r>
              <w:rPr>
                <w:color w:val="auto"/>
              </w:rPr>
              <w:fldChar w:fldCharType="separate"/>
            </w:r>
            <w:r>
              <w:rPr>
                <w:color w:val="auto"/>
                <w:spacing w:val="1"/>
              </w:rPr>
              <w:t>1.1.4.3</w:t>
            </w:r>
            <w:r>
              <w:rPr>
                <w:color w:val="auto"/>
                <w:spacing w:val="1"/>
              </w:rPr>
              <w:fldChar w:fldCharType="end"/>
            </w:r>
          </w:p>
        </w:tc>
        <w:tc>
          <w:tcPr>
            <w:tcW w:w="2853" w:type="dxa"/>
          </w:tcPr>
          <w:p>
            <w:pPr>
              <w:pStyle w:val="15"/>
              <w:spacing w:before="157" w:line="228" w:lineRule="auto"/>
              <w:ind w:left="388"/>
              <w:rPr>
                <w:color w:val="auto"/>
              </w:rPr>
            </w:pPr>
            <w:r>
              <w:rPr>
                <w:color w:val="auto"/>
              </w:rPr>
              <w:t>天数：日历天</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690" w:type="dxa"/>
          </w:tcPr>
          <w:p>
            <w:pPr>
              <w:pStyle w:val="15"/>
              <w:spacing w:before="190" w:line="189" w:lineRule="auto"/>
              <w:ind w:left="300"/>
              <w:rPr>
                <w:color w:val="auto"/>
              </w:rPr>
            </w:pPr>
            <w:r>
              <w:rPr>
                <w:color w:val="auto"/>
              </w:rPr>
              <w:t>3</w:t>
            </w:r>
          </w:p>
        </w:tc>
        <w:tc>
          <w:tcPr>
            <w:tcW w:w="2468" w:type="dxa"/>
          </w:tcPr>
          <w:p>
            <w:pPr>
              <w:pStyle w:val="15"/>
              <w:spacing w:before="157" w:line="228" w:lineRule="auto"/>
              <w:ind w:left="713"/>
              <w:rPr>
                <w:color w:val="auto"/>
              </w:rPr>
            </w:pPr>
            <w:r>
              <w:rPr>
                <w:color w:val="auto"/>
                <w:spacing w:val="8"/>
              </w:rPr>
              <w:t>缺陷责任期</w:t>
            </w:r>
          </w:p>
        </w:tc>
        <w:tc>
          <w:tcPr>
            <w:tcW w:w="2282" w:type="dxa"/>
          </w:tcPr>
          <w:p>
            <w:pPr>
              <w:pStyle w:val="15"/>
              <w:spacing w:before="189" w:line="190" w:lineRule="auto"/>
              <w:ind w:left="795"/>
              <w:rPr>
                <w:color w:val="auto"/>
              </w:rPr>
            </w:pPr>
            <w:r>
              <w:rPr>
                <w:color w:val="auto"/>
              </w:rPr>
              <w:fldChar w:fldCharType="begin"/>
            </w:r>
            <w:r>
              <w:rPr>
                <w:color w:val="auto"/>
              </w:rPr>
              <w:instrText xml:space="preserve"> HYPERLINK "1.1.4.5" </w:instrText>
            </w:r>
            <w:r>
              <w:rPr>
                <w:color w:val="auto"/>
              </w:rPr>
              <w:fldChar w:fldCharType="separate"/>
            </w:r>
            <w:r>
              <w:rPr>
                <w:color w:val="auto"/>
                <w:spacing w:val="1"/>
              </w:rPr>
              <w:t>1.1.4.5</w:t>
            </w:r>
            <w:r>
              <w:rPr>
                <w:color w:val="auto"/>
                <w:spacing w:val="1"/>
              </w:rPr>
              <w:fldChar w:fldCharType="end"/>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90" w:line="189" w:lineRule="auto"/>
              <w:ind w:left="295"/>
              <w:rPr>
                <w:color w:val="auto"/>
              </w:rPr>
            </w:pPr>
            <w:r>
              <w:rPr>
                <w:color w:val="auto"/>
              </w:rPr>
              <w:t>4</w:t>
            </w:r>
          </w:p>
        </w:tc>
        <w:tc>
          <w:tcPr>
            <w:tcW w:w="2468" w:type="dxa"/>
          </w:tcPr>
          <w:p>
            <w:pPr>
              <w:pStyle w:val="15"/>
              <w:spacing w:before="158" w:line="228" w:lineRule="auto"/>
              <w:ind w:left="1030"/>
              <w:rPr>
                <w:color w:val="auto"/>
              </w:rPr>
            </w:pPr>
            <w:r>
              <w:rPr>
                <w:color w:val="auto"/>
                <w:spacing w:val="3"/>
              </w:rPr>
              <w:t>分包</w:t>
            </w:r>
          </w:p>
        </w:tc>
        <w:tc>
          <w:tcPr>
            <w:tcW w:w="2282" w:type="dxa"/>
          </w:tcPr>
          <w:p>
            <w:pPr>
              <w:pStyle w:val="15"/>
              <w:spacing w:before="190" w:line="189" w:lineRule="auto"/>
              <w:ind w:left="881"/>
              <w:rPr>
                <w:color w:val="auto"/>
              </w:rPr>
            </w:pPr>
            <w:r>
              <w:rPr>
                <w:color w:val="auto"/>
                <w:spacing w:val="3"/>
              </w:rPr>
              <w:t>4.3.4</w:t>
            </w: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 w:hRule="atLeast"/>
        </w:trPr>
        <w:tc>
          <w:tcPr>
            <w:tcW w:w="690" w:type="dxa"/>
          </w:tcPr>
          <w:p>
            <w:pPr>
              <w:pStyle w:val="15"/>
              <w:spacing w:before="193" w:line="187" w:lineRule="auto"/>
              <w:ind w:left="300"/>
              <w:rPr>
                <w:color w:val="auto"/>
              </w:rPr>
            </w:pPr>
            <w:r>
              <w:rPr>
                <w:color w:val="auto"/>
              </w:rPr>
              <w:t>5</w:t>
            </w:r>
          </w:p>
        </w:tc>
        <w:tc>
          <w:tcPr>
            <w:tcW w:w="2468" w:type="dxa"/>
          </w:tcPr>
          <w:p>
            <w:pPr>
              <w:pStyle w:val="15"/>
              <w:spacing w:before="158" w:line="228" w:lineRule="auto"/>
              <w:ind w:left="715"/>
              <w:rPr>
                <w:color w:val="auto"/>
              </w:rPr>
            </w:pPr>
            <w:r>
              <w:rPr>
                <w:color w:val="auto"/>
                <w:spacing w:val="7"/>
              </w:rPr>
              <w:t>投标有效期</w:t>
            </w:r>
          </w:p>
        </w:tc>
        <w:tc>
          <w:tcPr>
            <w:tcW w:w="2282" w:type="dxa"/>
          </w:tcPr>
          <w:p>
            <w:pPr>
              <w:rPr>
                <w:color w:val="auto"/>
              </w:rPr>
            </w:pPr>
          </w:p>
        </w:tc>
        <w:tc>
          <w:tcPr>
            <w:tcW w:w="2853" w:type="dxa"/>
          </w:tcPr>
          <w:p>
            <w:pPr>
              <w:rPr>
                <w:color w:val="auto"/>
              </w:rPr>
            </w:pP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690" w:type="dxa"/>
          </w:tcPr>
          <w:p>
            <w:pPr>
              <w:pStyle w:val="15"/>
              <w:spacing w:before="160" w:line="324" w:lineRule="exact"/>
              <w:ind w:left="153"/>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0" w:hRule="atLeast"/>
        </w:trPr>
        <w:tc>
          <w:tcPr>
            <w:tcW w:w="690" w:type="dxa"/>
          </w:tcPr>
          <w:p>
            <w:pPr>
              <w:pStyle w:val="15"/>
              <w:spacing w:before="160" w:line="324" w:lineRule="exact"/>
              <w:ind w:left="153"/>
              <w:outlineLvl w:val="1"/>
              <w:rPr>
                <w:color w:val="auto"/>
              </w:rPr>
            </w:pPr>
            <w:r>
              <w:rPr>
                <w:color w:val="auto"/>
                <w:spacing w:val="-2"/>
                <w:position w:val="2"/>
              </w:rPr>
              <w:t>……</w:t>
            </w:r>
          </w:p>
        </w:tc>
        <w:tc>
          <w:tcPr>
            <w:tcW w:w="2468" w:type="dxa"/>
          </w:tcPr>
          <w:p>
            <w:pPr>
              <w:pStyle w:val="15"/>
              <w:spacing w:before="160" w:line="324" w:lineRule="exact"/>
              <w:ind w:left="1040"/>
              <w:rPr>
                <w:color w:val="auto"/>
              </w:rPr>
            </w:pPr>
            <w:r>
              <w:rPr>
                <w:color w:val="auto"/>
                <w:spacing w:val="-2"/>
                <w:position w:val="2"/>
              </w:rPr>
              <w:t>……</w:t>
            </w:r>
          </w:p>
        </w:tc>
        <w:tc>
          <w:tcPr>
            <w:tcW w:w="2282" w:type="dxa"/>
          </w:tcPr>
          <w:p>
            <w:pPr>
              <w:pStyle w:val="15"/>
              <w:spacing w:before="160" w:line="324" w:lineRule="exact"/>
              <w:ind w:left="948"/>
              <w:rPr>
                <w:color w:val="auto"/>
              </w:rPr>
            </w:pPr>
            <w:r>
              <w:rPr>
                <w:color w:val="auto"/>
                <w:spacing w:val="-2"/>
                <w:position w:val="2"/>
              </w:rPr>
              <w:t>……</w:t>
            </w:r>
          </w:p>
        </w:tc>
        <w:tc>
          <w:tcPr>
            <w:tcW w:w="2853" w:type="dxa"/>
          </w:tcPr>
          <w:p>
            <w:pPr>
              <w:pStyle w:val="15"/>
              <w:spacing w:before="160" w:line="324" w:lineRule="exact"/>
              <w:ind w:left="1237"/>
              <w:rPr>
                <w:color w:val="auto"/>
              </w:rPr>
            </w:pPr>
            <w:r>
              <w:rPr>
                <w:color w:val="auto"/>
                <w:spacing w:val="-2"/>
                <w:position w:val="2"/>
              </w:rPr>
              <w:t>……</w:t>
            </w:r>
          </w:p>
        </w:tc>
        <w:tc>
          <w:tcPr>
            <w:tcW w:w="763" w:type="dxa"/>
          </w:tcPr>
          <w:p>
            <w:pPr>
              <w:rPr>
                <w:color w:val="auto"/>
              </w:rPr>
            </w:pPr>
          </w:p>
        </w:tc>
      </w:tr>
    </w:tbl>
    <w:p>
      <w:pPr>
        <w:pStyle w:val="3"/>
        <w:rPr>
          <w:color w:val="auto"/>
        </w:rPr>
      </w:pPr>
    </w:p>
    <w:p>
      <w:pPr>
        <w:rPr>
          <w:color w:val="auto"/>
        </w:rPr>
        <w:sectPr>
          <w:footerReference r:id="rId98" w:type="default"/>
          <w:pgSz w:w="11906" w:h="16839"/>
          <w:pgMar w:top="1431" w:right="1369" w:bottom="1468"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21"/>
        <w:rPr>
          <w:rFonts w:ascii="仿宋" w:hAnsi="仿宋" w:eastAsia="仿宋" w:cs="仿宋"/>
          <w:color w:val="auto"/>
          <w:sz w:val="31"/>
          <w:szCs w:val="31"/>
          <w:lang w:eastAsia="zh-CN"/>
        </w:rPr>
      </w:pPr>
      <w:bookmarkStart w:id="506" w:name="bookmark526"/>
      <w:bookmarkEnd w:id="506"/>
      <w:r>
        <w:rPr>
          <w:rFonts w:ascii="仿宋" w:hAnsi="仿宋" w:eastAsia="仿宋" w:cs="仿宋"/>
          <w:b/>
          <w:bCs/>
          <w:color w:val="auto"/>
          <w:spacing w:val="5"/>
          <w:sz w:val="31"/>
          <w:szCs w:val="31"/>
          <w:lang w:eastAsia="zh-CN"/>
        </w:rPr>
        <w:t>三、法定代表人身份证明</w:t>
      </w:r>
    </w:p>
    <w:p>
      <w:pPr>
        <w:pStyle w:val="3"/>
        <w:spacing w:line="300" w:lineRule="auto"/>
        <w:rPr>
          <w:color w:val="auto"/>
          <w:lang w:eastAsia="zh-CN"/>
        </w:rPr>
      </w:pPr>
    </w:p>
    <w:p>
      <w:pPr>
        <w:pStyle w:val="3"/>
        <w:spacing w:line="301" w:lineRule="auto"/>
        <w:rPr>
          <w:color w:val="auto"/>
          <w:lang w:eastAsia="zh-CN"/>
        </w:rPr>
      </w:pPr>
    </w:p>
    <w:p>
      <w:pPr>
        <w:spacing w:before="65" w:line="228" w:lineRule="auto"/>
        <w:ind w:left="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投标人名称：</w:t>
      </w:r>
    </w:p>
    <w:p>
      <w:pPr>
        <w:spacing w:before="151" w:line="362" w:lineRule="auto"/>
        <w:ind w:right="4375" w:firstLine="1"/>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单位性质：</w:t>
      </w:r>
      <w:r>
        <w:rPr>
          <w:rFonts w:ascii="宋体" w:hAnsi="宋体" w:eastAsia="宋体" w:cs="宋体"/>
          <w:color w:val="auto"/>
          <w:spacing w:val="6"/>
          <w:sz w:val="20"/>
          <w:szCs w:val="20"/>
          <w:lang w:eastAsia="zh-CN"/>
        </w:rPr>
        <w:t xml:space="preserve">  地址：</w:t>
      </w:r>
      <w:r>
        <w:rPr>
          <w:rFonts w:ascii="宋体" w:hAnsi="宋体" w:eastAsia="宋体" w:cs="宋体"/>
          <w:color w:val="auto"/>
          <w:spacing w:val="1"/>
          <w:sz w:val="20"/>
          <w:szCs w:val="20"/>
          <w:lang w:eastAsia="zh-CN"/>
        </w:rPr>
        <w:t>成立时间： 年月日</w:t>
      </w:r>
      <w:r>
        <w:rPr>
          <w:rFonts w:ascii="宋体" w:hAnsi="宋体" w:eastAsia="宋体" w:cs="宋体"/>
          <w:color w:val="auto"/>
          <w:spacing w:val="8"/>
          <w:sz w:val="20"/>
          <w:szCs w:val="20"/>
          <w:lang w:eastAsia="zh-CN"/>
        </w:rPr>
        <w:t>经营期限：</w:t>
      </w:r>
    </w:p>
    <w:p>
      <w:pPr>
        <w:spacing w:before="31" w:line="228" w:lineRule="auto"/>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姓名： 性别：年龄：职务：</w:t>
      </w:r>
    </w:p>
    <w:p>
      <w:pPr>
        <w:spacing w:before="154" w:line="353" w:lineRule="auto"/>
        <w:ind w:left="419" w:right="2521" w:hanging="415"/>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系 （投标人名称）的法定代表人。</w:t>
      </w:r>
      <w:r>
        <w:rPr>
          <w:rFonts w:ascii="宋体" w:hAnsi="宋体" w:eastAsia="宋体" w:cs="宋体"/>
          <w:color w:val="auto"/>
          <w:spacing w:val="5"/>
          <w:sz w:val="20"/>
          <w:szCs w:val="20"/>
          <w:lang w:eastAsia="zh-CN"/>
        </w:rPr>
        <w:t>特此证明。</w:t>
      </w:r>
    </w:p>
    <w:p>
      <w:pPr>
        <w:pStyle w:val="3"/>
        <w:spacing w:line="367" w:lineRule="auto"/>
        <w:rPr>
          <w:color w:val="auto"/>
          <w:lang w:eastAsia="zh-CN"/>
        </w:rPr>
      </w:pPr>
    </w:p>
    <w:p>
      <w:pPr>
        <w:spacing w:before="65" w:line="227" w:lineRule="auto"/>
        <w:ind w:left="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w:t>
      </w:r>
    </w:p>
    <w:p>
      <w:pPr>
        <w:pStyle w:val="3"/>
        <w:spacing w:line="255"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pStyle w:val="3"/>
        <w:spacing w:line="256" w:lineRule="auto"/>
        <w:rPr>
          <w:color w:val="auto"/>
          <w:lang w:eastAsia="zh-CN"/>
        </w:rPr>
      </w:pPr>
    </w:p>
    <w:p>
      <w:pPr>
        <w:spacing w:before="65" w:line="227" w:lineRule="auto"/>
        <w:ind w:right="11"/>
        <w:jc w:val="right"/>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投标人</w:t>
      </w:r>
      <w:r>
        <w:rPr>
          <w:rFonts w:ascii="宋体" w:hAnsi="宋体" w:eastAsia="宋体" w:cs="宋体"/>
          <w:color w:val="auto"/>
          <w:spacing w:val="-6"/>
          <w:sz w:val="20"/>
          <w:szCs w:val="20"/>
          <w:lang w:eastAsia="zh-CN"/>
        </w:rPr>
        <w:t>：（</w:t>
      </w:r>
      <w:r>
        <w:rPr>
          <w:rFonts w:ascii="宋体" w:hAnsi="宋体" w:eastAsia="宋体" w:cs="宋体"/>
          <w:color w:val="auto"/>
          <w:spacing w:val="11"/>
          <w:sz w:val="20"/>
          <w:szCs w:val="20"/>
          <w:lang w:eastAsia="zh-CN"/>
        </w:rPr>
        <w:t>盖章）</w:t>
      </w:r>
    </w:p>
    <w:p>
      <w:pPr>
        <w:pStyle w:val="3"/>
        <w:spacing w:line="243" w:lineRule="auto"/>
        <w:rPr>
          <w:color w:val="auto"/>
          <w:lang w:eastAsia="zh-CN"/>
        </w:rPr>
      </w:pPr>
    </w:p>
    <w:p>
      <w:pPr>
        <w:pStyle w:val="3"/>
        <w:spacing w:line="244" w:lineRule="auto"/>
        <w:rPr>
          <w:color w:val="auto"/>
          <w:lang w:eastAsia="zh-CN"/>
        </w:rPr>
      </w:pPr>
    </w:p>
    <w:p>
      <w:pPr>
        <w:tabs>
          <w:tab w:val="left" w:pos="6677"/>
        </w:tabs>
        <w:spacing w:before="66" w:line="228" w:lineRule="auto"/>
        <w:ind w:left="5943"/>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14"/>
          <w:sz w:val="20"/>
          <w:szCs w:val="20"/>
          <w:lang w:eastAsia="zh-CN"/>
        </w:rPr>
        <w:t>年月日</w:t>
      </w:r>
    </w:p>
    <w:p>
      <w:pPr>
        <w:spacing w:line="228" w:lineRule="auto"/>
        <w:rPr>
          <w:rFonts w:ascii="宋体" w:hAnsi="宋体" w:eastAsia="宋体" w:cs="宋体"/>
          <w:color w:val="auto"/>
          <w:sz w:val="20"/>
          <w:szCs w:val="20"/>
          <w:lang w:eastAsia="zh-CN"/>
        </w:rPr>
        <w:sectPr>
          <w:footerReference r:id="rId99"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46"/>
        <w:rPr>
          <w:rFonts w:ascii="仿宋" w:hAnsi="仿宋" w:eastAsia="仿宋" w:cs="仿宋"/>
          <w:color w:val="auto"/>
          <w:sz w:val="31"/>
          <w:szCs w:val="31"/>
          <w:lang w:eastAsia="zh-CN"/>
        </w:rPr>
      </w:pPr>
      <w:bookmarkStart w:id="507" w:name="bookmark528"/>
      <w:bookmarkEnd w:id="507"/>
      <w:r>
        <w:rPr>
          <w:rFonts w:ascii="仿宋" w:hAnsi="仿宋" w:eastAsia="仿宋" w:cs="仿宋"/>
          <w:b/>
          <w:bCs/>
          <w:color w:val="auto"/>
          <w:spacing w:val="-1"/>
          <w:sz w:val="31"/>
          <w:szCs w:val="31"/>
          <w:lang w:eastAsia="zh-CN"/>
        </w:rPr>
        <w:t>四、授权委托书</w:t>
      </w:r>
    </w:p>
    <w:p>
      <w:pPr>
        <w:pStyle w:val="3"/>
        <w:spacing w:line="300" w:lineRule="auto"/>
        <w:rPr>
          <w:color w:val="auto"/>
          <w:lang w:eastAsia="zh-CN"/>
        </w:rPr>
      </w:pPr>
    </w:p>
    <w:p>
      <w:pPr>
        <w:pStyle w:val="3"/>
        <w:spacing w:line="301" w:lineRule="auto"/>
        <w:rPr>
          <w:color w:val="auto"/>
          <w:lang w:eastAsia="zh-CN"/>
        </w:rPr>
      </w:pPr>
    </w:p>
    <w:p>
      <w:pPr>
        <w:spacing w:before="65" w:line="359" w:lineRule="auto"/>
        <w:ind w:firstLine="516"/>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本人（姓名）系（投标人名称）的法</w:t>
      </w:r>
      <w:r>
        <w:rPr>
          <w:rFonts w:ascii="宋体" w:hAnsi="宋体" w:eastAsia="宋体" w:cs="宋体"/>
          <w:color w:val="auto"/>
          <w:spacing w:val="7"/>
          <w:sz w:val="20"/>
          <w:szCs w:val="20"/>
          <w:lang w:eastAsia="zh-CN"/>
        </w:rPr>
        <w:t>定代表人，现委托（姓名）</w:t>
      </w:r>
      <w:r>
        <w:rPr>
          <w:rFonts w:ascii="宋体" w:hAnsi="宋体" w:eastAsia="宋体" w:cs="宋体"/>
          <w:color w:val="auto"/>
          <w:spacing w:val="20"/>
          <w:sz w:val="20"/>
          <w:szCs w:val="20"/>
          <w:lang w:eastAsia="zh-CN"/>
        </w:rPr>
        <w:t>为我方代理人。代理人根据授权，以我方名</w:t>
      </w:r>
      <w:r>
        <w:rPr>
          <w:rFonts w:ascii="宋体" w:hAnsi="宋体" w:eastAsia="宋体" w:cs="宋体"/>
          <w:color w:val="auto"/>
          <w:spacing w:val="19"/>
          <w:sz w:val="20"/>
          <w:szCs w:val="20"/>
          <w:lang w:eastAsia="zh-CN"/>
        </w:rPr>
        <w:t>义签署、澄清、说明、补正、递交、撤回、修改</w:t>
      </w:r>
      <w:r>
        <w:rPr>
          <w:rFonts w:ascii="宋体" w:hAnsi="宋体" w:eastAsia="宋体" w:cs="宋体"/>
          <w:color w:val="auto"/>
          <w:spacing w:val="5"/>
          <w:sz w:val="20"/>
          <w:szCs w:val="20"/>
          <w:lang w:eastAsia="zh-CN"/>
        </w:rPr>
        <w:t>（项目名称）标段施工投标文件、签订合同和处理有关事</w:t>
      </w:r>
      <w:r>
        <w:rPr>
          <w:rFonts w:ascii="宋体" w:hAnsi="宋体" w:eastAsia="宋体" w:cs="宋体"/>
          <w:color w:val="auto"/>
          <w:spacing w:val="4"/>
          <w:sz w:val="20"/>
          <w:szCs w:val="20"/>
          <w:lang w:eastAsia="zh-CN"/>
        </w:rPr>
        <w:t>宜，其法律后果由我方承担。</w:t>
      </w:r>
    </w:p>
    <w:p>
      <w:pPr>
        <w:spacing w:before="33" w:line="353" w:lineRule="auto"/>
        <w:ind w:left="514" w:right="5846"/>
        <w:rPr>
          <w:rFonts w:ascii="宋体" w:hAnsi="宋体" w:eastAsia="宋体" w:cs="宋体"/>
          <w:color w:val="auto"/>
          <w:sz w:val="20"/>
          <w:szCs w:val="20"/>
          <w:lang w:eastAsia="zh-CN"/>
        </w:rPr>
      </w:pPr>
      <w:r>
        <w:rPr>
          <w:rFonts w:ascii="宋体" w:hAnsi="宋体" w:eastAsia="宋体" w:cs="宋体"/>
          <w:color w:val="auto"/>
          <w:spacing w:val="2"/>
          <w:sz w:val="20"/>
          <w:szCs w:val="20"/>
          <w:lang w:eastAsia="zh-CN"/>
        </w:rPr>
        <w:t>委托期限：。</w:t>
      </w:r>
      <w:r>
        <w:rPr>
          <w:rFonts w:ascii="宋体" w:hAnsi="宋体" w:eastAsia="宋体" w:cs="宋体"/>
          <w:color w:val="auto"/>
          <w:spacing w:val="7"/>
          <w:sz w:val="20"/>
          <w:szCs w:val="20"/>
          <w:lang w:eastAsia="zh-CN"/>
        </w:rPr>
        <w:t>代理人无转委托权。</w:t>
      </w:r>
    </w:p>
    <w:p>
      <w:pPr>
        <w:spacing w:before="34" w:line="355" w:lineRule="auto"/>
        <w:ind w:left="96" w:right="70" w:firstLine="43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附：法定代表人（单位负责人）身份证复印件及委托代理人身份证复印件、聘任合同复印件</w:t>
      </w:r>
      <w:r>
        <w:rPr>
          <w:rFonts w:ascii="宋体" w:hAnsi="宋体" w:eastAsia="宋体" w:cs="宋体"/>
          <w:color w:val="auto"/>
          <w:spacing w:val="7"/>
          <w:sz w:val="20"/>
          <w:szCs w:val="20"/>
          <w:lang w:eastAsia="zh-CN"/>
        </w:rPr>
        <w:t>和社保证明复印件。</w:t>
      </w:r>
    </w:p>
    <w:p>
      <w:pPr>
        <w:pStyle w:val="3"/>
        <w:spacing w:line="301" w:lineRule="auto"/>
        <w:rPr>
          <w:color w:val="auto"/>
          <w:lang w:eastAsia="zh-CN"/>
        </w:rPr>
      </w:pPr>
    </w:p>
    <w:p>
      <w:pPr>
        <w:pStyle w:val="3"/>
        <w:spacing w:line="301" w:lineRule="auto"/>
        <w:rPr>
          <w:color w:val="auto"/>
          <w:lang w:eastAsia="zh-CN"/>
        </w:rPr>
      </w:pPr>
    </w:p>
    <w:p>
      <w:pPr>
        <w:pStyle w:val="3"/>
        <w:spacing w:line="302" w:lineRule="auto"/>
        <w:rPr>
          <w:color w:val="auto"/>
          <w:lang w:eastAsia="zh-CN"/>
        </w:rPr>
      </w:pPr>
    </w:p>
    <w:p>
      <w:pPr>
        <w:spacing w:before="65" w:line="519" w:lineRule="auto"/>
        <w:ind w:left="3842" w:right="89" w:firstLine="107"/>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投标人</w:t>
      </w:r>
      <w:r>
        <w:rPr>
          <w:rFonts w:ascii="宋体" w:hAnsi="宋体" w:eastAsia="宋体" w:cs="宋体"/>
          <w:color w:val="auto"/>
          <w:spacing w:val="-4"/>
          <w:sz w:val="20"/>
          <w:szCs w:val="20"/>
          <w:lang w:eastAsia="zh-CN"/>
        </w:rPr>
        <w:t>：（</w:t>
      </w:r>
      <w:r>
        <w:rPr>
          <w:rFonts w:ascii="宋体" w:hAnsi="宋体" w:eastAsia="宋体" w:cs="宋体"/>
          <w:color w:val="auto"/>
          <w:spacing w:val="9"/>
          <w:sz w:val="20"/>
          <w:szCs w:val="20"/>
          <w:lang w:eastAsia="zh-CN"/>
        </w:rPr>
        <w:t>盖章）</w:t>
      </w:r>
      <w:r>
        <w:rPr>
          <w:rFonts w:ascii="宋体" w:hAnsi="宋体" w:eastAsia="宋体" w:cs="宋体"/>
          <w:color w:val="auto"/>
          <w:spacing w:val="11"/>
          <w:sz w:val="20"/>
          <w:szCs w:val="20"/>
          <w:lang w:eastAsia="zh-CN"/>
        </w:rPr>
        <w:t>法定代表人（单位负责人</w:t>
      </w:r>
      <w:r>
        <w:rPr>
          <w:rFonts w:ascii="宋体" w:hAnsi="宋体" w:eastAsia="宋体" w:cs="宋体"/>
          <w:color w:val="auto"/>
          <w:spacing w:val="-2"/>
          <w:sz w:val="20"/>
          <w:szCs w:val="20"/>
          <w:lang w:eastAsia="zh-CN"/>
        </w:rPr>
        <w:t>）：</w:t>
      </w:r>
      <w:r>
        <w:rPr>
          <w:rFonts w:ascii="宋体" w:hAnsi="宋体" w:eastAsia="宋体" w:cs="宋体"/>
          <w:color w:val="auto"/>
          <w:spacing w:val="-2"/>
          <w:sz w:val="20"/>
          <w:szCs w:val="20"/>
          <w:u w:val="single"/>
          <w:lang w:eastAsia="zh-CN"/>
        </w:rPr>
        <w:t>（</w:t>
      </w:r>
      <w:r>
        <w:rPr>
          <w:rFonts w:ascii="宋体" w:hAnsi="宋体" w:eastAsia="宋体" w:cs="宋体"/>
          <w:color w:val="auto"/>
          <w:spacing w:val="11"/>
          <w:sz w:val="20"/>
          <w:szCs w:val="20"/>
          <w:u w:val="single"/>
          <w:lang w:eastAsia="zh-CN"/>
        </w:rPr>
        <w:t>签字或签章）</w:t>
      </w:r>
    </w:p>
    <w:p>
      <w:pPr>
        <w:spacing w:before="34" w:line="228" w:lineRule="auto"/>
        <w:ind w:left="3249"/>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身份证号码：</w:t>
      </w:r>
    </w:p>
    <w:p>
      <w:pPr>
        <w:pStyle w:val="3"/>
        <w:spacing w:line="268" w:lineRule="auto"/>
        <w:rPr>
          <w:color w:val="auto"/>
          <w:lang w:eastAsia="zh-CN"/>
        </w:rPr>
      </w:pPr>
    </w:p>
    <w:p>
      <w:pPr>
        <w:spacing w:before="65" w:line="519" w:lineRule="auto"/>
        <w:ind w:left="3629" w:right="89"/>
        <w:jc w:val="right"/>
        <w:rPr>
          <w:rFonts w:ascii="宋体" w:hAnsi="宋体" w:eastAsia="宋体" w:cs="宋体"/>
          <w:color w:val="auto"/>
          <w:sz w:val="20"/>
          <w:szCs w:val="20"/>
          <w:lang w:eastAsia="zh-CN"/>
        </w:rPr>
      </w:pPr>
      <w:r>
        <w:rPr>
          <w:rFonts w:ascii="宋体" w:hAnsi="宋体" w:eastAsia="宋体" w:cs="宋体"/>
          <w:color w:val="auto"/>
          <w:spacing w:val="10"/>
          <w:sz w:val="20"/>
          <w:szCs w:val="20"/>
          <w:lang w:eastAsia="zh-CN"/>
        </w:rPr>
        <w:t>委托代理人</w:t>
      </w:r>
      <w:r>
        <w:rPr>
          <w:rFonts w:ascii="宋体" w:hAnsi="宋体" w:eastAsia="宋体" w:cs="宋体"/>
          <w:color w:val="auto"/>
          <w:spacing w:val="-5"/>
          <w:sz w:val="20"/>
          <w:szCs w:val="20"/>
          <w:lang w:eastAsia="zh-CN"/>
        </w:rPr>
        <w:t>：（</w:t>
      </w:r>
      <w:r>
        <w:rPr>
          <w:rFonts w:ascii="宋体" w:hAnsi="宋体" w:eastAsia="宋体" w:cs="宋体"/>
          <w:color w:val="auto"/>
          <w:spacing w:val="10"/>
          <w:sz w:val="20"/>
          <w:szCs w:val="20"/>
          <w:lang w:eastAsia="zh-CN"/>
        </w:rPr>
        <w:t>签字）</w:t>
      </w:r>
      <w:r>
        <w:rPr>
          <w:rFonts w:ascii="宋体" w:hAnsi="宋体" w:eastAsia="宋体" w:cs="宋体"/>
          <w:color w:val="auto"/>
          <w:spacing w:val="5"/>
          <w:sz w:val="20"/>
          <w:szCs w:val="20"/>
          <w:lang w:eastAsia="zh-CN"/>
        </w:rPr>
        <w:t>身份证号码：</w:t>
      </w:r>
    </w:p>
    <w:p>
      <w:pPr>
        <w:pStyle w:val="3"/>
        <w:spacing w:line="290" w:lineRule="auto"/>
        <w:rPr>
          <w:color w:val="auto"/>
          <w:lang w:eastAsia="zh-CN"/>
        </w:rPr>
      </w:pPr>
    </w:p>
    <w:p>
      <w:pPr>
        <w:pStyle w:val="3"/>
        <w:spacing w:line="290" w:lineRule="auto"/>
        <w:rPr>
          <w:color w:val="auto"/>
          <w:lang w:eastAsia="zh-CN"/>
        </w:rPr>
      </w:pPr>
    </w:p>
    <w:p>
      <w:pPr>
        <w:pStyle w:val="3"/>
        <w:spacing w:line="290" w:lineRule="auto"/>
        <w:rPr>
          <w:color w:val="auto"/>
          <w:lang w:eastAsia="zh-CN"/>
        </w:rPr>
      </w:pPr>
    </w:p>
    <w:p>
      <w:pPr>
        <w:tabs>
          <w:tab w:val="left" w:pos="6067"/>
        </w:tabs>
        <w:spacing w:before="65" w:line="228" w:lineRule="auto"/>
        <w:ind w:left="5330"/>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0" w:type="default"/>
          <w:pgSz w:w="11906" w:h="16839"/>
          <w:pgMar w:top="1431" w:right="1462" w:bottom="1468" w:left="1501"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8"/>
        <w:rPr>
          <w:rFonts w:ascii="仿宋" w:hAnsi="仿宋" w:eastAsia="仿宋" w:cs="仿宋"/>
          <w:color w:val="auto"/>
          <w:sz w:val="31"/>
          <w:szCs w:val="31"/>
          <w:lang w:eastAsia="zh-CN"/>
        </w:rPr>
      </w:pPr>
      <w:bookmarkStart w:id="508" w:name="bookmark530"/>
      <w:bookmarkEnd w:id="508"/>
      <w:r>
        <w:rPr>
          <w:rFonts w:ascii="仿宋" w:hAnsi="仿宋" w:eastAsia="仿宋" w:cs="仿宋"/>
          <w:b/>
          <w:bCs/>
          <w:color w:val="auto"/>
          <w:spacing w:val="4"/>
          <w:sz w:val="31"/>
          <w:szCs w:val="31"/>
          <w:lang w:eastAsia="zh-CN"/>
        </w:rPr>
        <w:t>五、联合体协议书</w:t>
      </w:r>
    </w:p>
    <w:p>
      <w:pPr>
        <w:pStyle w:val="3"/>
        <w:spacing w:line="279" w:lineRule="auto"/>
        <w:rPr>
          <w:color w:val="auto"/>
          <w:lang w:eastAsia="zh-CN"/>
        </w:rPr>
      </w:pPr>
    </w:p>
    <w:p>
      <w:pPr>
        <w:pStyle w:val="3"/>
        <w:spacing w:line="280" w:lineRule="auto"/>
        <w:rPr>
          <w:color w:val="auto"/>
          <w:lang w:eastAsia="zh-CN"/>
        </w:rPr>
      </w:pPr>
    </w:p>
    <w:p>
      <w:pPr>
        <w:tabs>
          <w:tab w:val="left" w:pos="1145"/>
        </w:tabs>
        <w:spacing w:before="65" w:line="356" w:lineRule="auto"/>
        <w:ind w:left="40" w:firstLine="37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7"/>
          <w:sz w:val="20"/>
          <w:szCs w:val="20"/>
          <w:lang w:eastAsia="zh-CN"/>
        </w:rPr>
        <w:t>（所有成员单位名称）自愿组成（联合体名称）</w:t>
      </w:r>
      <w:r>
        <w:rPr>
          <w:rFonts w:ascii="宋体" w:hAnsi="宋体" w:eastAsia="宋体" w:cs="宋体"/>
          <w:color w:val="auto"/>
          <w:spacing w:val="6"/>
          <w:sz w:val="20"/>
          <w:szCs w:val="20"/>
          <w:lang w:eastAsia="zh-CN"/>
        </w:rPr>
        <w:t>联合体，共同参加（项</w:t>
      </w:r>
      <w:r>
        <w:rPr>
          <w:rFonts w:ascii="宋体" w:hAnsi="宋体" w:eastAsia="宋体" w:cs="宋体"/>
          <w:color w:val="auto"/>
          <w:spacing w:val="7"/>
          <w:sz w:val="20"/>
          <w:szCs w:val="20"/>
          <w:lang w:eastAsia="zh-CN"/>
        </w:rPr>
        <w:t>目名称）标段施工投标。现就联合体投标事宜订立如</w:t>
      </w:r>
      <w:r>
        <w:rPr>
          <w:rFonts w:ascii="宋体" w:hAnsi="宋体" w:eastAsia="宋体" w:cs="宋体"/>
          <w:color w:val="auto"/>
          <w:spacing w:val="6"/>
          <w:sz w:val="20"/>
          <w:szCs w:val="20"/>
          <w:lang w:eastAsia="zh-CN"/>
        </w:rPr>
        <w:t>下协议。</w:t>
      </w:r>
    </w:p>
    <w:p>
      <w:pPr>
        <w:spacing w:before="28" w:line="227" w:lineRule="auto"/>
        <w:ind w:left="436"/>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1、（某成员单位名称）为（联合体名称）牵头人。</w:t>
      </w:r>
    </w:p>
    <w:p>
      <w:pPr>
        <w:spacing w:before="155" w:line="359" w:lineRule="auto"/>
        <w:ind w:firstLine="423"/>
        <w:jc w:val="both"/>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2、联合体牵头人合法代表联合体各成员负责本招标项目投标文件编制和合同谈判活动，并</w:t>
      </w:r>
      <w:r>
        <w:rPr>
          <w:rFonts w:ascii="宋体" w:hAnsi="宋体" w:eastAsia="宋体" w:cs="宋体"/>
          <w:color w:val="auto"/>
          <w:spacing w:val="9"/>
          <w:sz w:val="20"/>
          <w:szCs w:val="20"/>
          <w:lang w:eastAsia="zh-CN"/>
        </w:rPr>
        <w:t>代表联合体提交和接收相关的资料、信息及指示，并处理与之有关的一切事务，负责合同</w:t>
      </w:r>
      <w:r>
        <w:rPr>
          <w:rFonts w:ascii="宋体" w:hAnsi="宋体" w:eastAsia="宋体" w:cs="宋体"/>
          <w:color w:val="auto"/>
          <w:spacing w:val="8"/>
          <w:sz w:val="20"/>
          <w:szCs w:val="20"/>
          <w:lang w:eastAsia="zh-CN"/>
        </w:rPr>
        <w:t>实施阶段的主办、组织和协调工作。</w:t>
      </w:r>
    </w:p>
    <w:p>
      <w:pPr>
        <w:spacing w:before="32" w:line="299" w:lineRule="auto"/>
        <w:ind w:firstLine="425"/>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3、联合体将严格按照招标文件的各项要求，递交投标文件，履行合同，并对外承担连带责</w:t>
      </w:r>
      <w:r>
        <w:rPr>
          <w:rFonts w:ascii="宋体" w:hAnsi="宋体" w:eastAsia="宋体" w:cs="宋体"/>
          <w:color w:val="auto"/>
          <w:sz w:val="20"/>
          <w:szCs w:val="20"/>
          <w:lang w:eastAsia="zh-CN"/>
        </w:rPr>
        <w:t>任。</w:t>
      </w:r>
    </w:p>
    <w:p>
      <w:pPr>
        <w:spacing w:before="151" w:line="228" w:lineRule="auto"/>
        <w:ind w:left="420"/>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4、联合体各成员单位内部的职责分工如下： 。</w:t>
      </w:r>
    </w:p>
    <w:p>
      <w:pPr>
        <w:spacing w:before="154" w:line="227" w:lineRule="auto"/>
        <w:ind w:left="425"/>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5、本协议书自签署之日起生效，合同履行完毕后</w:t>
      </w:r>
      <w:r>
        <w:rPr>
          <w:rFonts w:ascii="宋体" w:hAnsi="宋体" w:eastAsia="宋体" w:cs="宋体"/>
          <w:color w:val="auto"/>
          <w:spacing w:val="8"/>
          <w:sz w:val="20"/>
          <w:szCs w:val="20"/>
          <w:lang w:eastAsia="zh-CN"/>
        </w:rPr>
        <w:t>自动失效。</w:t>
      </w:r>
    </w:p>
    <w:p>
      <w:pPr>
        <w:spacing w:before="155" w:line="227" w:lineRule="auto"/>
        <w:ind w:left="42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6、本协议书一式份，联合体成员和招标人各执一份。</w:t>
      </w:r>
    </w:p>
    <w:p>
      <w:pPr>
        <w:pStyle w:val="3"/>
        <w:spacing w:line="242" w:lineRule="auto"/>
        <w:rPr>
          <w:color w:val="auto"/>
          <w:lang w:eastAsia="zh-CN"/>
        </w:rPr>
      </w:pPr>
    </w:p>
    <w:p>
      <w:pPr>
        <w:pStyle w:val="3"/>
        <w:spacing w:line="243" w:lineRule="auto"/>
        <w:rPr>
          <w:color w:val="auto"/>
          <w:lang w:eastAsia="zh-CN"/>
        </w:rPr>
      </w:pPr>
    </w:p>
    <w:p>
      <w:pPr>
        <w:spacing w:before="65" w:line="227" w:lineRule="auto"/>
        <w:ind w:left="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注：本协议书由委托代理人签字的，应附法定代表人签字的授权委托书。</w:t>
      </w:r>
    </w:p>
    <w:p>
      <w:pPr>
        <w:pStyle w:val="3"/>
        <w:spacing w:line="243" w:lineRule="auto"/>
        <w:rPr>
          <w:color w:val="auto"/>
          <w:lang w:eastAsia="zh-CN"/>
        </w:rPr>
      </w:pPr>
    </w:p>
    <w:p>
      <w:pPr>
        <w:pStyle w:val="3"/>
        <w:spacing w:line="243" w:lineRule="auto"/>
        <w:rPr>
          <w:color w:val="auto"/>
          <w:lang w:eastAsia="zh-CN"/>
        </w:rPr>
      </w:pPr>
    </w:p>
    <w:p>
      <w:pPr>
        <w:spacing w:before="65"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牵头人名称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3" w:lineRule="auto"/>
        <w:rPr>
          <w:color w:val="auto"/>
          <w:lang w:eastAsia="zh-CN"/>
        </w:rPr>
      </w:pPr>
    </w:p>
    <w:p>
      <w:pPr>
        <w:spacing w:before="66" w:line="355" w:lineRule="auto"/>
        <w:ind w:left="2802" w:right="18" w:firstLine="420"/>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成员一名称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p>
    <w:p>
      <w:pPr>
        <w:pStyle w:val="3"/>
        <w:spacing w:line="362" w:lineRule="auto"/>
        <w:rPr>
          <w:color w:val="auto"/>
          <w:lang w:eastAsia="zh-CN"/>
        </w:rPr>
      </w:pPr>
    </w:p>
    <w:p>
      <w:pPr>
        <w:spacing w:before="66" w:line="384" w:lineRule="auto"/>
        <w:ind w:left="2802" w:right="18" w:firstLine="420"/>
        <w:jc w:val="both"/>
        <w:rPr>
          <w:rFonts w:ascii="宋体" w:hAnsi="宋体" w:eastAsia="宋体" w:cs="宋体"/>
          <w:color w:val="auto"/>
          <w:sz w:val="20"/>
          <w:szCs w:val="20"/>
          <w:lang w:eastAsia="zh-CN"/>
        </w:rPr>
      </w:pPr>
      <w:r>
        <w:rPr>
          <w:rFonts w:ascii="宋体" w:hAnsi="宋体" w:eastAsia="宋体" w:cs="宋体"/>
          <w:color w:val="auto"/>
          <w:spacing w:val="9"/>
          <w:sz w:val="20"/>
          <w:szCs w:val="20"/>
          <w:lang w:eastAsia="zh-CN"/>
        </w:rPr>
        <w:t>成员二名称</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盖章）法定代表人或其委托代理人</w:t>
      </w:r>
      <w:r>
        <w:rPr>
          <w:rFonts w:ascii="宋体" w:hAnsi="宋体" w:eastAsia="宋体" w:cs="宋体"/>
          <w:color w:val="auto"/>
          <w:spacing w:val="2"/>
          <w:sz w:val="20"/>
          <w:szCs w:val="20"/>
          <w:lang w:eastAsia="zh-CN"/>
        </w:rPr>
        <w:t>：（</w:t>
      </w:r>
      <w:r>
        <w:rPr>
          <w:rFonts w:ascii="宋体" w:hAnsi="宋体" w:eastAsia="宋体" w:cs="宋体"/>
          <w:color w:val="auto"/>
          <w:spacing w:val="9"/>
          <w:sz w:val="20"/>
          <w:szCs w:val="20"/>
          <w:lang w:eastAsia="zh-CN"/>
        </w:rPr>
        <w:t>签字）</w:t>
      </w:r>
      <w:r>
        <w:rPr>
          <w:rFonts w:ascii="宋体" w:hAnsi="宋体" w:eastAsia="宋体" w:cs="宋体"/>
          <w:color w:val="auto"/>
          <w:spacing w:val="21"/>
          <w:sz w:val="20"/>
          <w:szCs w:val="20"/>
          <w:lang w:eastAsia="zh-CN"/>
        </w:rPr>
        <w:t>……</w:t>
      </w:r>
    </w:p>
    <w:p>
      <w:pPr>
        <w:pStyle w:val="3"/>
        <w:spacing w:line="285" w:lineRule="auto"/>
        <w:rPr>
          <w:color w:val="auto"/>
          <w:lang w:eastAsia="zh-CN"/>
        </w:rPr>
      </w:pPr>
    </w:p>
    <w:p>
      <w:pPr>
        <w:tabs>
          <w:tab w:val="left" w:pos="6075"/>
        </w:tabs>
        <w:spacing w:before="66" w:line="228" w:lineRule="auto"/>
        <w:ind w:left="5235"/>
        <w:outlineLvl w:val="1"/>
        <w:rPr>
          <w:rFonts w:ascii="宋体" w:hAnsi="宋体" w:eastAsia="宋体" w:cs="宋体"/>
          <w:color w:val="auto"/>
          <w:sz w:val="20"/>
          <w:szCs w:val="20"/>
          <w:lang w:eastAsia="zh-CN"/>
        </w:rPr>
      </w:pPr>
      <w:r>
        <w:rPr>
          <w:rFonts w:ascii="宋体" w:hAnsi="宋体" w:eastAsia="宋体" w:cs="宋体"/>
          <w:color w:val="auto"/>
          <w:sz w:val="20"/>
          <w:szCs w:val="20"/>
          <w:u w:val="single"/>
          <w:lang w:eastAsia="zh-CN"/>
        </w:rPr>
        <w:tab/>
      </w:r>
      <w:r>
        <w:rPr>
          <w:rFonts w:ascii="宋体" w:hAnsi="宋体" w:eastAsia="宋体" w:cs="宋体"/>
          <w:color w:val="auto"/>
          <w:spacing w:val="-2"/>
          <w:sz w:val="20"/>
          <w:szCs w:val="20"/>
          <w:lang w:eastAsia="zh-CN"/>
        </w:rPr>
        <w:t>年月日</w:t>
      </w:r>
    </w:p>
    <w:p>
      <w:pPr>
        <w:spacing w:line="228" w:lineRule="auto"/>
        <w:rPr>
          <w:rFonts w:ascii="宋体" w:hAnsi="宋体" w:eastAsia="宋体" w:cs="宋体"/>
          <w:color w:val="auto"/>
          <w:sz w:val="20"/>
          <w:szCs w:val="20"/>
          <w:lang w:eastAsia="zh-CN"/>
        </w:rPr>
        <w:sectPr>
          <w:footerReference r:id="rId101" w:type="default"/>
          <w:pgSz w:w="11906" w:h="16839"/>
          <w:pgMar w:top="1431" w:right="1532" w:bottom="1469" w:left="1596"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09" w:name="bookmark532"/>
      <w:bookmarkEnd w:id="509"/>
      <w:r>
        <w:rPr>
          <w:rFonts w:ascii="仿宋" w:hAnsi="仿宋" w:eastAsia="仿宋" w:cs="仿宋"/>
          <w:b/>
          <w:bCs/>
          <w:color w:val="auto"/>
          <w:spacing w:val="4"/>
          <w:sz w:val="31"/>
          <w:szCs w:val="31"/>
          <w:lang w:eastAsia="zh-CN"/>
        </w:rPr>
        <w:t>六、投标保证金</w:t>
      </w:r>
    </w:p>
    <w:p>
      <w:pPr>
        <w:pStyle w:val="3"/>
        <w:spacing w:line="281" w:lineRule="auto"/>
        <w:rPr>
          <w:color w:val="auto"/>
          <w:lang w:eastAsia="zh-CN"/>
        </w:rPr>
      </w:pPr>
    </w:p>
    <w:p>
      <w:pPr>
        <w:pStyle w:val="3"/>
        <w:spacing w:line="281" w:lineRule="auto"/>
        <w:rPr>
          <w:color w:val="auto"/>
          <w:lang w:eastAsia="zh-CN"/>
        </w:rPr>
      </w:pPr>
    </w:p>
    <w:p>
      <w:pPr>
        <w:spacing w:before="65" w:line="355" w:lineRule="auto"/>
        <w:ind w:left="407" w:right="2688" w:hanging="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若采用现金或支票，投标人应在此提供汇款凭证的复印件。</w:t>
      </w:r>
      <w:r>
        <w:rPr>
          <w:rFonts w:ascii="宋体" w:hAnsi="宋体" w:eastAsia="宋体" w:cs="宋体"/>
          <w:color w:val="auto"/>
          <w:spacing w:val="9"/>
          <w:sz w:val="20"/>
          <w:szCs w:val="20"/>
          <w:lang w:eastAsia="zh-CN"/>
        </w:rPr>
        <w:t>如采用银行保函，格式以出具银行官方范本为</w:t>
      </w:r>
      <w:r>
        <w:rPr>
          <w:rFonts w:ascii="宋体" w:hAnsi="宋体" w:eastAsia="宋体" w:cs="宋体"/>
          <w:color w:val="auto"/>
          <w:spacing w:val="8"/>
          <w:sz w:val="20"/>
          <w:szCs w:val="20"/>
          <w:lang w:eastAsia="zh-CN"/>
        </w:rPr>
        <w:t>准。</w:t>
      </w:r>
    </w:p>
    <w:p>
      <w:pPr>
        <w:spacing w:line="355" w:lineRule="auto"/>
        <w:rPr>
          <w:rFonts w:ascii="宋体" w:hAnsi="宋体" w:eastAsia="宋体" w:cs="宋体"/>
          <w:color w:val="auto"/>
          <w:sz w:val="20"/>
          <w:szCs w:val="20"/>
          <w:lang w:eastAsia="zh-CN"/>
        </w:rPr>
        <w:sectPr>
          <w:footerReference r:id="rId102" w:type="default"/>
          <w:pgSz w:w="11906" w:h="16839"/>
          <w:pgMar w:top="1431" w:right="1785" w:bottom="1469" w:left="1612" w:header="0" w:footer="1304" w:gutter="0"/>
          <w:cols w:space="720" w:num="1"/>
          <w:docGrid w:linePitch="0" w:charSpace="0"/>
        </w:sectPr>
      </w:pPr>
    </w:p>
    <w:p>
      <w:pPr>
        <w:pStyle w:val="3"/>
        <w:spacing w:line="244" w:lineRule="auto"/>
        <w:rPr>
          <w:color w:val="auto"/>
          <w:lang w:eastAsia="zh-CN"/>
        </w:rPr>
      </w:pPr>
    </w:p>
    <w:p>
      <w:pPr>
        <w:pStyle w:val="3"/>
        <w:spacing w:line="245" w:lineRule="auto"/>
        <w:rPr>
          <w:color w:val="auto"/>
          <w:lang w:eastAsia="zh-CN"/>
        </w:rPr>
      </w:pPr>
    </w:p>
    <w:p>
      <w:pPr>
        <w:spacing w:before="101" w:line="226" w:lineRule="auto"/>
        <w:outlineLvl w:val="1"/>
        <w:rPr>
          <w:rFonts w:ascii="仿宋" w:hAnsi="仿宋" w:eastAsia="仿宋" w:cs="仿宋"/>
          <w:color w:val="auto"/>
          <w:sz w:val="31"/>
          <w:szCs w:val="31"/>
          <w:lang w:eastAsia="zh-CN"/>
        </w:rPr>
      </w:pPr>
      <w:bookmarkStart w:id="510" w:name="bookmark534"/>
      <w:bookmarkEnd w:id="510"/>
      <w:r>
        <w:rPr>
          <w:rFonts w:ascii="仿宋" w:hAnsi="仿宋" w:eastAsia="仿宋" w:cs="仿宋"/>
          <w:b/>
          <w:bCs/>
          <w:color w:val="auto"/>
          <w:spacing w:val="-2"/>
          <w:sz w:val="31"/>
          <w:szCs w:val="31"/>
          <w:lang w:eastAsia="zh-CN"/>
        </w:rPr>
        <w:t>七、已标价工程量清单</w:t>
      </w:r>
    </w:p>
    <w:p>
      <w:pPr>
        <w:spacing w:before="169" w:line="223" w:lineRule="auto"/>
        <w:ind w:left="3127"/>
        <w:rPr>
          <w:rFonts w:ascii="宋体" w:hAnsi="宋体" w:eastAsia="宋体" w:cs="宋体"/>
          <w:color w:val="auto"/>
          <w:sz w:val="31"/>
          <w:szCs w:val="31"/>
          <w:lang w:eastAsia="zh-CN"/>
        </w:rPr>
      </w:pPr>
      <w:r>
        <w:rPr>
          <w:rFonts w:ascii="宋体" w:hAnsi="宋体" w:eastAsia="宋体" w:cs="宋体"/>
          <w:b/>
          <w:bCs/>
          <w:color w:val="auto"/>
          <w:spacing w:val="1"/>
          <w:sz w:val="31"/>
          <w:szCs w:val="31"/>
          <w:lang w:eastAsia="zh-CN"/>
        </w:rPr>
        <w:t>已标价工程量清单</w:t>
      </w:r>
    </w:p>
    <w:p>
      <w:pPr>
        <w:spacing w:line="223" w:lineRule="auto"/>
        <w:rPr>
          <w:rFonts w:ascii="宋体" w:hAnsi="宋体" w:eastAsia="宋体" w:cs="宋体"/>
          <w:color w:val="auto"/>
          <w:sz w:val="31"/>
          <w:szCs w:val="31"/>
          <w:lang w:eastAsia="zh-CN"/>
        </w:rPr>
        <w:sectPr>
          <w:footerReference r:id="rId103" w:type="default"/>
          <w:pgSz w:w="11906" w:h="16839"/>
          <w:pgMar w:top="1431" w:right="1785" w:bottom="1469" w:left="1616"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33"/>
        <w:rPr>
          <w:rFonts w:ascii="仿宋" w:hAnsi="仿宋" w:eastAsia="仿宋" w:cs="仿宋"/>
          <w:color w:val="auto"/>
          <w:sz w:val="31"/>
          <w:szCs w:val="31"/>
          <w:lang w:eastAsia="zh-CN"/>
        </w:rPr>
      </w:pPr>
      <w:bookmarkStart w:id="511" w:name="bookmark536"/>
      <w:bookmarkEnd w:id="511"/>
      <w:r>
        <w:rPr>
          <w:rFonts w:ascii="仿宋" w:hAnsi="仿宋" w:eastAsia="仿宋" w:cs="仿宋"/>
          <w:b/>
          <w:bCs/>
          <w:color w:val="auto"/>
          <w:spacing w:val="5"/>
          <w:sz w:val="31"/>
          <w:szCs w:val="31"/>
          <w:lang w:eastAsia="zh-CN"/>
        </w:rPr>
        <w:t>八、项目管理机构</w:t>
      </w:r>
    </w:p>
    <w:p>
      <w:pPr>
        <w:spacing w:before="260" w:line="222"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（一）项目管理机构组成表</w:t>
      </w:r>
    </w:p>
    <w:p>
      <w:pPr>
        <w:spacing w:line="115" w:lineRule="exact"/>
        <w:rPr>
          <w:color w:val="auto"/>
          <w:lang w:eastAsia="zh-CN"/>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762"/>
        <w:gridCol w:w="760"/>
        <w:gridCol w:w="1141"/>
        <w:gridCol w:w="760"/>
        <w:gridCol w:w="761"/>
        <w:gridCol w:w="760"/>
        <w:gridCol w:w="2666"/>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vMerge w:val="restart"/>
            <w:tcBorders>
              <w:bottom w:val="nil"/>
            </w:tcBorders>
          </w:tcPr>
          <w:p>
            <w:pPr>
              <w:spacing w:line="335" w:lineRule="auto"/>
              <w:rPr>
                <w:color w:val="auto"/>
                <w:lang w:eastAsia="zh-CN"/>
              </w:rPr>
            </w:pPr>
          </w:p>
          <w:p>
            <w:pPr>
              <w:pStyle w:val="15"/>
              <w:spacing w:before="65" w:line="228" w:lineRule="auto"/>
              <w:ind w:left="136"/>
              <w:rPr>
                <w:color w:val="auto"/>
              </w:rPr>
            </w:pPr>
            <w:r>
              <w:rPr>
                <w:b/>
                <w:bCs/>
                <w:color w:val="auto"/>
                <w:spacing w:val="3"/>
              </w:rPr>
              <w:t>职务</w:t>
            </w:r>
          </w:p>
        </w:tc>
        <w:tc>
          <w:tcPr>
            <w:tcW w:w="762" w:type="dxa"/>
            <w:vMerge w:val="restart"/>
            <w:tcBorders>
              <w:bottom w:val="nil"/>
            </w:tcBorders>
          </w:tcPr>
          <w:p>
            <w:pPr>
              <w:spacing w:line="335" w:lineRule="auto"/>
              <w:rPr>
                <w:color w:val="auto"/>
              </w:rPr>
            </w:pPr>
          </w:p>
          <w:p>
            <w:pPr>
              <w:pStyle w:val="15"/>
              <w:spacing w:before="65" w:line="228" w:lineRule="auto"/>
              <w:ind w:left="174"/>
              <w:rPr>
                <w:color w:val="auto"/>
              </w:rPr>
            </w:pPr>
            <w:r>
              <w:rPr>
                <w:b/>
                <w:bCs/>
                <w:color w:val="auto"/>
                <w:spacing w:val="3"/>
              </w:rPr>
              <w:t>姓名</w:t>
            </w:r>
          </w:p>
        </w:tc>
        <w:tc>
          <w:tcPr>
            <w:tcW w:w="760" w:type="dxa"/>
            <w:vMerge w:val="restart"/>
            <w:tcBorders>
              <w:bottom w:val="nil"/>
            </w:tcBorders>
          </w:tcPr>
          <w:p>
            <w:pPr>
              <w:spacing w:line="335" w:lineRule="auto"/>
              <w:rPr>
                <w:color w:val="auto"/>
              </w:rPr>
            </w:pPr>
          </w:p>
          <w:p>
            <w:pPr>
              <w:pStyle w:val="15"/>
              <w:spacing w:before="65" w:line="230" w:lineRule="auto"/>
              <w:ind w:left="173"/>
              <w:rPr>
                <w:color w:val="auto"/>
              </w:rPr>
            </w:pPr>
            <w:r>
              <w:rPr>
                <w:b/>
                <w:bCs/>
                <w:color w:val="auto"/>
                <w:spacing w:val="3"/>
              </w:rPr>
              <w:t>职称</w:t>
            </w:r>
          </w:p>
        </w:tc>
        <w:tc>
          <w:tcPr>
            <w:tcW w:w="6088" w:type="dxa"/>
            <w:gridSpan w:val="5"/>
          </w:tcPr>
          <w:p>
            <w:pPr>
              <w:pStyle w:val="15"/>
              <w:spacing w:before="177" w:line="228" w:lineRule="auto"/>
              <w:ind w:left="2101"/>
              <w:rPr>
                <w:color w:val="auto"/>
              </w:rPr>
            </w:pPr>
            <w:r>
              <w:rPr>
                <w:b/>
                <w:bCs/>
                <w:color w:val="auto"/>
                <w:spacing w:val="7"/>
              </w:rPr>
              <w:t>执业或职业资格证明</w:t>
            </w:r>
          </w:p>
        </w:tc>
        <w:tc>
          <w:tcPr>
            <w:tcW w:w="713" w:type="dxa"/>
            <w:vMerge w:val="restart"/>
            <w:tcBorders>
              <w:bottom w:val="nil"/>
            </w:tcBorders>
          </w:tcPr>
          <w:p>
            <w:pPr>
              <w:spacing w:line="336" w:lineRule="auto"/>
              <w:rPr>
                <w:color w:val="auto"/>
              </w:rPr>
            </w:pPr>
          </w:p>
          <w:p>
            <w:pPr>
              <w:pStyle w:val="15"/>
              <w:spacing w:before="65" w:line="229" w:lineRule="auto"/>
              <w:ind w:left="15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vMerge w:val="continue"/>
            <w:tcBorders>
              <w:top w:val="nil"/>
            </w:tcBorders>
          </w:tcPr>
          <w:p>
            <w:pPr>
              <w:rPr>
                <w:color w:val="auto"/>
              </w:rPr>
            </w:pPr>
          </w:p>
        </w:tc>
        <w:tc>
          <w:tcPr>
            <w:tcW w:w="762" w:type="dxa"/>
            <w:vMerge w:val="continue"/>
            <w:tcBorders>
              <w:top w:val="nil"/>
            </w:tcBorders>
          </w:tcPr>
          <w:p>
            <w:pPr>
              <w:rPr>
                <w:color w:val="auto"/>
              </w:rPr>
            </w:pPr>
          </w:p>
        </w:tc>
        <w:tc>
          <w:tcPr>
            <w:tcW w:w="760" w:type="dxa"/>
            <w:vMerge w:val="continue"/>
            <w:tcBorders>
              <w:top w:val="nil"/>
            </w:tcBorders>
          </w:tcPr>
          <w:p>
            <w:pPr>
              <w:rPr>
                <w:color w:val="auto"/>
              </w:rPr>
            </w:pPr>
          </w:p>
        </w:tc>
        <w:tc>
          <w:tcPr>
            <w:tcW w:w="1141" w:type="dxa"/>
          </w:tcPr>
          <w:p>
            <w:pPr>
              <w:pStyle w:val="15"/>
              <w:spacing w:before="172" w:line="227" w:lineRule="auto"/>
              <w:ind w:left="152"/>
              <w:rPr>
                <w:color w:val="auto"/>
              </w:rPr>
            </w:pPr>
            <w:r>
              <w:rPr>
                <w:b/>
                <w:bCs/>
                <w:color w:val="auto"/>
                <w:spacing w:val="6"/>
              </w:rPr>
              <w:t>证书名称</w:t>
            </w:r>
          </w:p>
        </w:tc>
        <w:tc>
          <w:tcPr>
            <w:tcW w:w="760" w:type="dxa"/>
          </w:tcPr>
          <w:p>
            <w:pPr>
              <w:pStyle w:val="15"/>
              <w:spacing w:before="172" w:line="228" w:lineRule="auto"/>
              <w:ind w:left="176"/>
              <w:rPr>
                <w:color w:val="auto"/>
              </w:rPr>
            </w:pPr>
            <w:r>
              <w:rPr>
                <w:b/>
                <w:bCs/>
                <w:color w:val="auto"/>
                <w:spacing w:val="2"/>
              </w:rPr>
              <w:t>级别</w:t>
            </w:r>
          </w:p>
        </w:tc>
        <w:tc>
          <w:tcPr>
            <w:tcW w:w="761" w:type="dxa"/>
          </w:tcPr>
          <w:p>
            <w:pPr>
              <w:pStyle w:val="15"/>
              <w:spacing w:before="172" w:line="229" w:lineRule="auto"/>
              <w:ind w:left="173"/>
              <w:rPr>
                <w:color w:val="auto"/>
              </w:rPr>
            </w:pPr>
            <w:r>
              <w:rPr>
                <w:b/>
                <w:bCs/>
                <w:color w:val="auto"/>
                <w:spacing w:val="3"/>
              </w:rPr>
              <w:t>证号</w:t>
            </w:r>
          </w:p>
        </w:tc>
        <w:tc>
          <w:tcPr>
            <w:tcW w:w="760" w:type="dxa"/>
          </w:tcPr>
          <w:p>
            <w:pPr>
              <w:pStyle w:val="15"/>
              <w:spacing w:before="172" w:line="228" w:lineRule="auto"/>
              <w:ind w:left="176"/>
              <w:rPr>
                <w:color w:val="auto"/>
              </w:rPr>
            </w:pPr>
            <w:r>
              <w:rPr>
                <w:b/>
                <w:bCs/>
                <w:color w:val="auto"/>
                <w:spacing w:val="3"/>
              </w:rPr>
              <w:t>专业</w:t>
            </w:r>
          </w:p>
        </w:tc>
        <w:tc>
          <w:tcPr>
            <w:tcW w:w="2666" w:type="dxa"/>
          </w:tcPr>
          <w:p>
            <w:pPr>
              <w:pStyle w:val="15"/>
              <w:spacing w:before="172" w:line="227" w:lineRule="auto"/>
              <w:ind w:left="920"/>
              <w:rPr>
                <w:color w:val="auto"/>
              </w:rPr>
            </w:pPr>
            <w:r>
              <w:rPr>
                <w:b/>
                <w:bCs/>
                <w:color w:val="auto"/>
                <w:spacing w:val="6"/>
              </w:rPr>
              <w:t>社会保险</w:t>
            </w:r>
          </w:p>
        </w:tc>
        <w:tc>
          <w:tcPr>
            <w:tcW w:w="713" w:type="dxa"/>
            <w:vMerge w:val="continue"/>
            <w:tcBorders>
              <w:top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684" w:type="dxa"/>
          </w:tcPr>
          <w:p>
            <w:pPr>
              <w:rPr>
                <w:color w:val="auto"/>
              </w:rPr>
            </w:pPr>
          </w:p>
        </w:tc>
        <w:tc>
          <w:tcPr>
            <w:tcW w:w="762" w:type="dxa"/>
          </w:tcPr>
          <w:p>
            <w:pPr>
              <w:rPr>
                <w:color w:val="auto"/>
              </w:rPr>
            </w:pPr>
          </w:p>
        </w:tc>
        <w:tc>
          <w:tcPr>
            <w:tcW w:w="760" w:type="dxa"/>
          </w:tcPr>
          <w:p>
            <w:pPr>
              <w:rPr>
                <w:color w:val="auto"/>
              </w:rPr>
            </w:pPr>
          </w:p>
        </w:tc>
        <w:tc>
          <w:tcPr>
            <w:tcW w:w="1141" w:type="dxa"/>
          </w:tcPr>
          <w:p>
            <w:pPr>
              <w:rPr>
                <w:color w:val="auto"/>
              </w:rPr>
            </w:pPr>
          </w:p>
        </w:tc>
        <w:tc>
          <w:tcPr>
            <w:tcW w:w="760" w:type="dxa"/>
          </w:tcPr>
          <w:p>
            <w:pPr>
              <w:rPr>
                <w:color w:val="auto"/>
              </w:rPr>
            </w:pPr>
          </w:p>
        </w:tc>
        <w:tc>
          <w:tcPr>
            <w:tcW w:w="761" w:type="dxa"/>
          </w:tcPr>
          <w:p>
            <w:pPr>
              <w:rPr>
                <w:color w:val="auto"/>
              </w:rPr>
            </w:pPr>
          </w:p>
        </w:tc>
        <w:tc>
          <w:tcPr>
            <w:tcW w:w="760" w:type="dxa"/>
          </w:tcPr>
          <w:p>
            <w:pPr>
              <w:rPr>
                <w:color w:val="auto"/>
              </w:rPr>
            </w:pPr>
          </w:p>
        </w:tc>
        <w:tc>
          <w:tcPr>
            <w:tcW w:w="2666" w:type="dxa"/>
          </w:tcPr>
          <w:p>
            <w:pPr>
              <w:rPr>
                <w:color w:val="auto"/>
              </w:rPr>
            </w:pPr>
          </w:p>
        </w:tc>
        <w:tc>
          <w:tcPr>
            <w:tcW w:w="713" w:type="dxa"/>
          </w:tcPr>
          <w:p>
            <w:pPr>
              <w:rPr>
                <w:color w:val="auto"/>
              </w:rPr>
            </w:pPr>
          </w:p>
        </w:tc>
      </w:tr>
    </w:tbl>
    <w:p>
      <w:pPr>
        <w:pStyle w:val="3"/>
        <w:rPr>
          <w:color w:val="auto"/>
        </w:rPr>
      </w:pPr>
    </w:p>
    <w:p>
      <w:pPr>
        <w:rPr>
          <w:color w:val="auto"/>
        </w:rPr>
        <w:sectPr>
          <w:footerReference r:id="rId104" w:type="default"/>
          <w:pgSz w:w="11906" w:h="16839"/>
          <w:pgMar w:top="1431" w:right="1418" w:bottom="1469" w:left="1475" w:header="0" w:footer="1303" w:gutter="0"/>
          <w:cols w:space="720" w:num="1"/>
          <w:docGrid w:linePitch="0" w:charSpace="0"/>
        </w:sectPr>
      </w:pPr>
    </w:p>
    <w:p>
      <w:pPr>
        <w:pStyle w:val="3"/>
        <w:spacing w:line="257" w:lineRule="auto"/>
        <w:rPr>
          <w:color w:val="auto"/>
        </w:rPr>
      </w:pPr>
    </w:p>
    <w:p>
      <w:pPr>
        <w:pStyle w:val="3"/>
        <w:spacing w:line="258" w:lineRule="auto"/>
        <w:rPr>
          <w:color w:val="auto"/>
        </w:rPr>
      </w:pPr>
    </w:p>
    <w:p>
      <w:pPr>
        <w:spacing w:before="91" w:line="222" w:lineRule="auto"/>
        <w:ind w:left="21"/>
        <w:rPr>
          <w:rFonts w:ascii="黑体" w:hAnsi="黑体" w:eastAsia="黑体" w:cs="黑体"/>
          <w:color w:val="auto"/>
          <w:sz w:val="28"/>
          <w:szCs w:val="28"/>
        </w:rPr>
      </w:pPr>
      <w:r>
        <w:rPr>
          <w:rFonts w:ascii="黑体" w:hAnsi="黑体" w:eastAsia="黑体" w:cs="黑体"/>
          <w:color w:val="auto"/>
          <w:spacing w:val="-3"/>
          <w:sz w:val="28"/>
          <w:szCs w:val="28"/>
        </w:rPr>
        <w:t>（二）主要人员简历表</w:t>
      </w:r>
    </w:p>
    <w:p>
      <w:pPr>
        <w:spacing w:before="258" w:line="363" w:lineRule="auto"/>
        <w:ind w:firstLine="409"/>
        <w:jc w:val="both"/>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“主要人员简历表”中的项目经理应附建造师注册证、身份证、职称证、学历证、养老保险</w:t>
      </w:r>
      <w:r>
        <w:rPr>
          <w:rFonts w:ascii="宋体" w:hAnsi="宋体" w:eastAsia="宋体" w:cs="宋体"/>
          <w:color w:val="auto"/>
          <w:spacing w:val="9"/>
          <w:sz w:val="20"/>
          <w:szCs w:val="20"/>
          <w:lang w:eastAsia="zh-CN"/>
        </w:rPr>
        <w:t>复印件，管理过的项目业绩须附中标通知书和（或）合同协议书、工程接收证书（工程</w:t>
      </w:r>
      <w:r>
        <w:rPr>
          <w:rFonts w:ascii="宋体" w:hAnsi="宋体" w:eastAsia="宋体" w:cs="宋体"/>
          <w:color w:val="auto"/>
          <w:spacing w:val="8"/>
          <w:sz w:val="20"/>
          <w:szCs w:val="20"/>
          <w:lang w:eastAsia="zh-CN"/>
        </w:rPr>
        <w:t>竣工验收</w:t>
      </w:r>
      <w:r>
        <w:rPr>
          <w:rFonts w:ascii="宋体" w:hAnsi="宋体" w:eastAsia="宋体" w:cs="宋体"/>
          <w:color w:val="auto"/>
          <w:spacing w:val="9"/>
          <w:sz w:val="20"/>
          <w:szCs w:val="20"/>
          <w:lang w:eastAsia="zh-CN"/>
        </w:rPr>
        <w:t>证书）复印件；技术负责人应附身份证、职称证、学历证、社会保险复印件，管理过的</w:t>
      </w:r>
      <w:r>
        <w:rPr>
          <w:rFonts w:ascii="宋体" w:hAnsi="宋体" w:eastAsia="宋体" w:cs="宋体"/>
          <w:color w:val="auto"/>
          <w:spacing w:val="8"/>
          <w:sz w:val="20"/>
          <w:szCs w:val="20"/>
          <w:lang w:eastAsia="zh-CN"/>
        </w:rPr>
        <w:t>项目业绩</w:t>
      </w:r>
      <w:r>
        <w:rPr>
          <w:rFonts w:ascii="宋体" w:hAnsi="宋体" w:eastAsia="宋体" w:cs="宋体"/>
          <w:color w:val="auto"/>
          <w:spacing w:val="14"/>
          <w:sz w:val="20"/>
          <w:szCs w:val="20"/>
          <w:lang w:eastAsia="zh-CN"/>
        </w:rPr>
        <w:t>须附证明其所任技术职务的企业文件或用户证明；其他主要人员应附职称证（执业证或上岗证</w:t>
      </w:r>
      <w:r>
        <w:rPr>
          <w:rFonts w:ascii="宋体" w:hAnsi="宋体" w:eastAsia="宋体" w:cs="宋体"/>
          <w:color w:val="auto"/>
          <w:spacing w:val="8"/>
          <w:sz w:val="20"/>
          <w:szCs w:val="20"/>
          <w:lang w:eastAsia="zh-CN"/>
        </w:rPr>
        <w:t>书）、社会保险复印件。</w:t>
      </w:r>
    </w:p>
    <w:p>
      <w:pPr>
        <w:spacing w:before="50"/>
        <w:rPr>
          <w:color w:val="auto"/>
          <w:lang w:eastAsia="zh-CN"/>
        </w:rPr>
      </w:pPr>
    </w:p>
    <w:tbl>
      <w:tblPr>
        <w:tblStyle w:val="14"/>
        <w:tblW w:w="8526"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359"/>
        <w:gridCol w:w="720"/>
        <w:gridCol w:w="926"/>
        <w:gridCol w:w="1064"/>
        <w:gridCol w:w="708"/>
        <w:gridCol w:w="1260"/>
        <w:gridCol w:w="161"/>
        <w:gridCol w:w="2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1190" w:type="dxa"/>
          </w:tcPr>
          <w:p>
            <w:pPr>
              <w:pStyle w:val="15"/>
              <w:spacing w:before="177" w:line="228" w:lineRule="auto"/>
              <w:ind w:left="116"/>
              <w:rPr>
                <w:color w:val="auto"/>
              </w:rPr>
            </w:pPr>
            <w:r>
              <w:rPr>
                <w:color w:val="auto"/>
              </w:rPr>
              <w:t>姓名</w:t>
            </w:r>
          </w:p>
        </w:tc>
        <w:tc>
          <w:tcPr>
            <w:tcW w:w="1079" w:type="dxa"/>
            <w:gridSpan w:val="2"/>
          </w:tcPr>
          <w:p>
            <w:pPr>
              <w:rPr>
                <w:color w:val="auto"/>
              </w:rPr>
            </w:pPr>
          </w:p>
        </w:tc>
        <w:tc>
          <w:tcPr>
            <w:tcW w:w="926" w:type="dxa"/>
          </w:tcPr>
          <w:p>
            <w:pPr>
              <w:pStyle w:val="15"/>
              <w:spacing w:before="177" w:line="228" w:lineRule="auto"/>
              <w:ind w:left="111"/>
              <w:rPr>
                <w:color w:val="auto"/>
              </w:rPr>
            </w:pPr>
            <w:r>
              <w:rPr>
                <w:color w:val="auto"/>
              </w:rPr>
              <w:t>年龄</w:t>
            </w:r>
          </w:p>
        </w:tc>
        <w:tc>
          <w:tcPr>
            <w:tcW w:w="1064" w:type="dxa"/>
          </w:tcPr>
          <w:p>
            <w:pPr>
              <w:rPr>
                <w:color w:val="auto"/>
              </w:rPr>
            </w:pPr>
          </w:p>
        </w:tc>
        <w:tc>
          <w:tcPr>
            <w:tcW w:w="2129" w:type="dxa"/>
            <w:gridSpan w:val="3"/>
          </w:tcPr>
          <w:p>
            <w:pPr>
              <w:pStyle w:val="15"/>
              <w:spacing w:before="177" w:line="229" w:lineRule="auto"/>
              <w:ind w:left="117"/>
              <w:rPr>
                <w:color w:val="auto"/>
              </w:rPr>
            </w:pPr>
            <w:r>
              <w:rPr>
                <w:color w:val="auto"/>
                <w:spacing w:val="2"/>
              </w:rPr>
              <w:t>学历</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2" w:line="230" w:lineRule="auto"/>
              <w:ind w:left="117"/>
              <w:rPr>
                <w:color w:val="auto"/>
              </w:rPr>
            </w:pPr>
            <w:r>
              <w:rPr>
                <w:color w:val="auto"/>
              </w:rPr>
              <w:t>职称</w:t>
            </w:r>
          </w:p>
        </w:tc>
        <w:tc>
          <w:tcPr>
            <w:tcW w:w="1079" w:type="dxa"/>
            <w:gridSpan w:val="2"/>
          </w:tcPr>
          <w:p>
            <w:pPr>
              <w:rPr>
                <w:color w:val="auto"/>
              </w:rPr>
            </w:pPr>
          </w:p>
        </w:tc>
        <w:tc>
          <w:tcPr>
            <w:tcW w:w="926" w:type="dxa"/>
          </w:tcPr>
          <w:p>
            <w:pPr>
              <w:pStyle w:val="15"/>
              <w:spacing w:before="171" w:line="228" w:lineRule="auto"/>
              <w:ind w:left="111"/>
              <w:rPr>
                <w:color w:val="auto"/>
              </w:rPr>
            </w:pPr>
            <w:r>
              <w:rPr>
                <w:color w:val="auto"/>
              </w:rPr>
              <w:t>职务</w:t>
            </w:r>
          </w:p>
        </w:tc>
        <w:tc>
          <w:tcPr>
            <w:tcW w:w="1064" w:type="dxa"/>
          </w:tcPr>
          <w:p>
            <w:pPr>
              <w:rPr>
                <w:color w:val="auto"/>
              </w:rPr>
            </w:pPr>
          </w:p>
        </w:tc>
        <w:tc>
          <w:tcPr>
            <w:tcW w:w="2129" w:type="dxa"/>
            <w:gridSpan w:val="3"/>
          </w:tcPr>
          <w:p>
            <w:pPr>
              <w:pStyle w:val="15"/>
              <w:spacing w:before="172" w:line="227" w:lineRule="auto"/>
              <w:ind w:left="112"/>
              <w:rPr>
                <w:color w:val="auto"/>
              </w:rPr>
            </w:pPr>
            <w:r>
              <w:rPr>
                <w:color w:val="auto"/>
                <w:spacing w:val="8"/>
              </w:rPr>
              <w:t>拟在本合同任职</w:t>
            </w:r>
          </w:p>
        </w:tc>
        <w:tc>
          <w:tcPr>
            <w:tcW w:w="2138"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90" w:type="dxa"/>
          </w:tcPr>
          <w:p>
            <w:pPr>
              <w:pStyle w:val="15"/>
              <w:spacing w:before="173" w:line="228" w:lineRule="auto"/>
              <w:ind w:left="120"/>
              <w:rPr>
                <w:color w:val="auto"/>
              </w:rPr>
            </w:pPr>
            <w:r>
              <w:rPr>
                <w:color w:val="auto"/>
                <w:spacing w:val="6"/>
              </w:rPr>
              <w:t>毕业学校</w:t>
            </w:r>
          </w:p>
        </w:tc>
        <w:tc>
          <w:tcPr>
            <w:tcW w:w="7336" w:type="dxa"/>
            <w:gridSpan w:val="8"/>
          </w:tcPr>
          <w:p>
            <w:pPr>
              <w:pStyle w:val="15"/>
              <w:spacing w:before="173" w:line="228" w:lineRule="auto"/>
              <w:ind w:left="741"/>
              <w:rPr>
                <w:color w:val="auto"/>
              </w:rPr>
            </w:pPr>
            <w:r>
              <w:rPr>
                <w:color w:val="auto"/>
                <w:spacing w:val="5"/>
              </w:rPr>
              <w:t>年毕业于学校专业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526" w:type="dxa"/>
            <w:gridSpan w:val="9"/>
          </w:tcPr>
          <w:p>
            <w:pPr>
              <w:pStyle w:val="15"/>
              <w:spacing w:before="172" w:line="228" w:lineRule="auto"/>
              <w:ind w:left="118"/>
              <w:rPr>
                <w:color w:val="auto"/>
              </w:rPr>
            </w:pPr>
            <w:r>
              <w:rPr>
                <w:color w:val="auto"/>
                <w:spacing w:val="7"/>
              </w:rPr>
              <w:t>主要工作经历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549" w:type="dxa"/>
            <w:gridSpan w:val="2"/>
          </w:tcPr>
          <w:p>
            <w:pPr>
              <w:pStyle w:val="15"/>
              <w:spacing w:before="173" w:line="230" w:lineRule="auto"/>
              <w:ind w:left="126"/>
              <w:outlineLvl w:val="1"/>
              <w:rPr>
                <w:color w:val="auto"/>
              </w:rPr>
            </w:pPr>
            <w:r>
              <w:rPr>
                <w:color w:val="auto"/>
                <w:spacing w:val="-5"/>
              </w:rPr>
              <w:t>时间</w:t>
            </w:r>
          </w:p>
        </w:tc>
        <w:tc>
          <w:tcPr>
            <w:tcW w:w="3418" w:type="dxa"/>
            <w:gridSpan w:val="4"/>
          </w:tcPr>
          <w:p>
            <w:pPr>
              <w:pStyle w:val="15"/>
              <w:spacing w:before="173" w:line="228" w:lineRule="auto"/>
              <w:ind w:left="112"/>
              <w:rPr>
                <w:color w:val="auto"/>
              </w:rPr>
            </w:pPr>
            <w:r>
              <w:rPr>
                <w:color w:val="auto"/>
                <w:spacing w:val="8"/>
              </w:rPr>
              <w:t>参加过的类似项目</w:t>
            </w:r>
          </w:p>
        </w:tc>
        <w:tc>
          <w:tcPr>
            <w:tcW w:w="1260" w:type="dxa"/>
          </w:tcPr>
          <w:p>
            <w:pPr>
              <w:pStyle w:val="15"/>
              <w:spacing w:before="173" w:line="228" w:lineRule="auto"/>
              <w:ind w:left="113"/>
              <w:rPr>
                <w:color w:val="auto"/>
              </w:rPr>
            </w:pPr>
            <w:r>
              <w:rPr>
                <w:color w:val="auto"/>
                <w:spacing w:val="7"/>
              </w:rPr>
              <w:t>担任职务</w:t>
            </w:r>
          </w:p>
        </w:tc>
        <w:tc>
          <w:tcPr>
            <w:tcW w:w="2299" w:type="dxa"/>
            <w:gridSpan w:val="2"/>
          </w:tcPr>
          <w:p>
            <w:pPr>
              <w:pStyle w:val="15"/>
              <w:spacing w:before="173" w:line="228" w:lineRule="auto"/>
              <w:ind w:left="118"/>
              <w:rPr>
                <w:color w:val="auto"/>
              </w:rPr>
            </w:pPr>
            <w:r>
              <w:rPr>
                <w:color w:val="auto"/>
                <w:spacing w:val="8"/>
              </w:rPr>
              <w:t>发包人及联系电话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5"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9" w:hRule="atLeast"/>
        </w:trPr>
        <w:tc>
          <w:tcPr>
            <w:tcW w:w="1549" w:type="dxa"/>
            <w:gridSpan w:val="2"/>
          </w:tcPr>
          <w:p>
            <w:pPr>
              <w:rPr>
                <w:color w:val="auto"/>
              </w:rPr>
            </w:pPr>
          </w:p>
        </w:tc>
        <w:tc>
          <w:tcPr>
            <w:tcW w:w="3418" w:type="dxa"/>
            <w:gridSpan w:val="4"/>
          </w:tcPr>
          <w:p>
            <w:pPr>
              <w:rPr>
                <w:color w:val="auto"/>
              </w:rPr>
            </w:pPr>
          </w:p>
        </w:tc>
        <w:tc>
          <w:tcPr>
            <w:tcW w:w="1260" w:type="dxa"/>
          </w:tcPr>
          <w:p>
            <w:pPr>
              <w:rPr>
                <w:color w:val="auto"/>
              </w:rPr>
            </w:pPr>
          </w:p>
        </w:tc>
        <w:tc>
          <w:tcPr>
            <w:tcW w:w="2299" w:type="dxa"/>
            <w:gridSpan w:val="2"/>
          </w:tcPr>
          <w:p>
            <w:pPr>
              <w:rPr>
                <w:color w:val="auto"/>
              </w:rPr>
            </w:pPr>
          </w:p>
        </w:tc>
      </w:tr>
    </w:tbl>
    <w:p>
      <w:pPr>
        <w:pStyle w:val="3"/>
        <w:rPr>
          <w:color w:val="auto"/>
        </w:rPr>
      </w:pPr>
    </w:p>
    <w:p>
      <w:pPr>
        <w:rPr>
          <w:color w:val="auto"/>
        </w:rPr>
        <w:sectPr>
          <w:footerReference r:id="rId105" w:type="default"/>
          <w:pgSz w:w="11906" w:h="16839"/>
          <w:pgMar w:top="1431" w:right="1530" w:bottom="1469" w:left="1596" w:header="0" w:footer="1303"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1" w:line="228" w:lineRule="auto"/>
        <w:ind w:left="146"/>
        <w:outlineLvl w:val="1"/>
        <w:rPr>
          <w:rFonts w:ascii="仿宋" w:hAnsi="仿宋" w:eastAsia="仿宋" w:cs="仿宋"/>
          <w:color w:val="auto"/>
          <w:sz w:val="31"/>
          <w:szCs w:val="31"/>
        </w:rPr>
      </w:pPr>
      <w:bookmarkStart w:id="512" w:name="bookmark538"/>
      <w:bookmarkEnd w:id="512"/>
      <w:r>
        <w:rPr>
          <w:rFonts w:ascii="仿宋" w:hAnsi="仿宋" w:eastAsia="仿宋" w:cs="仿宋"/>
          <w:b/>
          <w:bCs/>
          <w:color w:val="auto"/>
          <w:spacing w:val="4"/>
          <w:sz w:val="31"/>
          <w:szCs w:val="31"/>
        </w:rPr>
        <w:t>九、拟分包项目情况表</w:t>
      </w:r>
    </w:p>
    <w:p>
      <w:pPr>
        <w:spacing w:before="23"/>
        <w:rPr>
          <w:color w:val="auto"/>
        </w:rPr>
      </w:pPr>
    </w:p>
    <w:p>
      <w:pPr>
        <w:spacing w:before="22"/>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485"/>
        <w:gridCol w:w="1886"/>
        <w:gridCol w:w="2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019" w:type="dxa"/>
          </w:tcPr>
          <w:p>
            <w:pPr>
              <w:pStyle w:val="15"/>
              <w:spacing w:before="177" w:line="228" w:lineRule="auto"/>
              <w:ind w:left="491"/>
              <w:rPr>
                <w:color w:val="auto"/>
              </w:rPr>
            </w:pPr>
            <w:r>
              <w:rPr>
                <w:color w:val="auto"/>
                <w:spacing w:val="7"/>
              </w:rPr>
              <w:t>分包人名称</w:t>
            </w:r>
          </w:p>
        </w:tc>
        <w:tc>
          <w:tcPr>
            <w:tcW w:w="2485" w:type="dxa"/>
          </w:tcPr>
          <w:p>
            <w:pPr>
              <w:rPr>
                <w:color w:val="auto"/>
              </w:rPr>
            </w:pPr>
          </w:p>
        </w:tc>
        <w:tc>
          <w:tcPr>
            <w:tcW w:w="1886" w:type="dxa"/>
          </w:tcPr>
          <w:p>
            <w:pPr>
              <w:pStyle w:val="15"/>
              <w:spacing w:before="176" w:line="237" w:lineRule="auto"/>
              <w:ind w:left="686"/>
              <w:rPr>
                <w:color w:val="auto"/>
              </w:rPr>
            </w:pPr>
            <w:r>
              <w:rPr>
                <w:color w:val="auto"/>
              </w:rPr>
              <w:t>地址</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8" w:lineRule="auto"/>
              <w:ind w:left="489"/>
              <w:rPr>
                <w:color w:val="auto"/>
              </w:rPr>
            </w:pPr>
            <w:r>
              <w:rPr>
                <w:color w:val="auto"/>
                <w:spacing w:val="7"/>
              </w:rPr>
              <w:t>法定代表人</w:t>
            </w:r>
          </w:p>
        </w:tc>
        <w:tc>
          <w:tcPr>
            <w:tcW w:w="2485" w:type="dxa"/>
          </w:tcPr>
          <w:p>
            <w:pPr>
              <w:rPr>
                <w:color w:val="auto"/>
              </w:rPr>
            </w:pPr>
          </w:p>
        </w:tc>
        <w:tc>
          <w:tcPr>
            <w:tcW w:w="1886" w:type="dxa"/>
          </w:tcPr>
          <w:p>
            <w:pPr>
              <w:pStyle w:val="15"/>
              <w:spacing w:before="173" w:line="230" w:lineRule="auto"/>
              <w:ind w:left="710"/>
              <w:rPr>
                <w:color w:val="auto"/>
              </w:rPr>
            </w:pPr>
            <w:r>
              <w:rPr>
                <w:color w:val="auto"/>
                <w:spacing w:val="-12"/>
              </w:rPr>
              <w:t>电话</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2" w:line="228" w:lineRule="auto"/>
              <w:ind w:left="392"/>
              <w:rPr>
                <w:color w:val="auto"/>
              </w:rPr>
            </w:pPr>
            <w:r>
              <w:rPr>
                <w:color w:val="auto"/>
                <w:spacing w:val="7"/>
              </w:rPr>
              <w:t>营业执照号码</w:t>
            </w:r>
          </w:p>
        </w:tc>
        <w:tc>
          <w:tcPr>
            <w:tcW w:w="2485" w:type="dxa"/>
          </w:tcPr>
          <w:p>
            <w:pPr>
              <w:rPr>
                <w:color w:val="auto"/>
              </w:rPr>
            </w:pPr>
          </w:p>
        </w:tc>
        <w:tc>
          <w:tcPr>
            <w:tcW w:w="1886" w:type="dxa"/>
          </w:tcPr>
          <w:p>
            <w:pPr>
              <w:pStyle w:val="15"/>
              <w:spacing w:before="172" w:line="228" w:lineRule="auto"/>
              <w:ind w:left="536"/>
              <w:rPr>
                <w:color w:val="auto"/>
              </w:rPr>
            </w:pPr>
            <w:r>
              <w:rPr>
                <w:color w:val="auto"/>
                <w:spacing w:val="5"/>
              </w:rPr>
              <w:t>资质等级</w:t>
            </w:r>
          </w:p>
        </w:tc>
        <w:tc>
          <w:tcPr>
            <w:tcW w:w="261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19" w:type="dxa"/>
          </w:tcPr>
          <w:p>
            <w:pPr>
              <w:pStyle w:val="15"/>
              <w:spacing w:before="173" w:line="227" w:lineRule="auto"/>
              <w:ind w:left="174"/>
              <w:rPr>
                <w:color w:val="auto"/>
              </w:rPr>
            </w:pPr>
            <w:r>
              <w:rPr>
                <w:color w:val="auto"/>
                <w:spacing w:val="8"/>
              </w:rPr>
              <w:t>拟分包的工程项目</w:t>
            </w:r>
          </w:p>
        </w:tc>
        <w:tc>
          <w:tcPr>
            <w:tcW w:w="2485" w:type="dxa"/>
          </w:tcPr>
          <w:p>
            <w:pPr>
              <w:pStyle w:val="15"/>
              <w:spacing w:before="173" w:line="228" w:lineRule="auto"/>
              <w:ind w:left="672"/>
              <w:rPr>
                <w:color w:val="auto"/>
              </w:rPr>
            </w:pPr>
            <w:r>
              <w:rPr>
                <w:color w:val="auto"/>
                <w:spacing w:val="-7"/>
              </w:rPr>
              <w:t>主要内容</w:t>
            </w:r>
          </w:p>
        </w:tc>
        <w:tc>
          <w:tcPr>
            <w:tcW w:w="1886" w:type="dxa"/>
          </w:tcPr>
          <w:p>
            <w:pPr>
              <w:pStyle w:val="15"/>
              <w:spacing w:before="174" w:line="226" w:lineRule="auto"/>
              <w:ind w:left="114"/>
              <w:rPr>
                <w:color w:val="auto"/>
              </w:rPr>
            </w:pPr>
            <w:r>
              <w:rPr>
                <w:color w:val="auto"/>
                <w:spacing w:val="7"/>
              </w:rPr>
              <w:t>预计造价（万元）</w:t>
            </w:r>
          </w:p>
        </w:tc>
        <w:tc>
          <w:tcPr>
            <w:tcW w:w="2617" w:type="dxa"/>
          </w:tcPr>
          <w:p>
            <w:pPr>
              <w:pStyle w:val="15"/>
              <w:spacing w:before="173" w:line="228" w:lineRule="auto"/>
              <w:ind w:left="392"/>
              <w:rPr>
                <w:color w:val="auto"/>
              </w:rPr>
            </w:pPr>
            <w:r>
              <w:rPr>
                <w:color w:val="auto"/>
                <w:spacing w:val="6"/>
              </w:rPr>
              <w:t>已经做过的类似工程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restart"/>
            <w:tcBorders>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5"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bottom w:val="nil"/>
            </w:tcBorders>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9" w:hRule="atLeast"/>
        </w:trPr>
        <w:tc>
          <w:tcPr>
            <w:tcW w:w="2019" w:type="dxa"/>
          </w:tcPr>
          <w:p>
            <w:pPr>
              <w:rPr>
                <w:color w:val="auto"/>
              </w:rPr>
            </w:pPr>
          </w:p>
        </w:tc>
        <w:tc>
          <w:tcPr>
            <w:tcW w:w="2485" w:type="dxa"/>
          </w:tcPr>
          <w:p>
            <w:pPr>
              <w:rPr>
                <w:color w:val="auto"/>
              </w:rPr>
            </w:pPr>
          </w:p>
        </w:tc>
        <w:tc>
          <w:tcPr>
            <w:tcW w:w="1886" w:type="dxa"/>
          </w:tcPr>
          <w:p>
            <w:pPr>
              <w:rPr>
                <w:color w:val="auto"/>
              </w:rPr>
            </w:pPr>
          </w:p>
        </w:tc>
        <w:tc>
          <w:tcPr>
            <w:tcW w:w="2617" w:type="dxa"/>
            <w:vMerge w:val="continue"/>
            <w:tcBorders>
              <w:top w:val="nil"/>
            </w:tcBorders>
          </w:tcPr>
          <w:p>
            <w:pPr>
              <w:rPr>
                <w:color w:val="auto"/>
              </w:rPr>
            </w:pPr>
          </w:p>
        </w:tc>
      </w:tr>
    </w:tbl>
    <w:p>
      <w:pPr>
        <w:pStyle w:val="3"/>
        <w:rPr>
          <w:color w:val="auto"/>
        </w:rPr>
      </w:pPr>
    </w:p>
    <w:p>
      <w:pPr>
        <w:rPr>
          <w:color w:val="auto"/>
        </w:rPr>
        <w:sectPr>
          <w:footerReference r:id="rId106" w:type="default"/>
          <w:pgSz w:w="11906" w:h="16839"/>
          <w:pgMar w:top="1431" w:right="1418" w:bottom="1469" w:left="1475" w:header="0" w:footer="1304" w:gutter="0"/>
          <w:cols w:space="720" w:num="1"/>
          <w:docGrid w:linePitch="0" w:charSpace="0"/>
        </w:sectPr>
      </w:pPr>
    </w:p>
    <w:p>
      <w:pPr>
        <w:pStyle w:val="3"/>
        <w:spacing w:line="244" w:lineRule="auto"/>
        <w:rPr>
          <w:color w:val="auto"/>
        </w:rPr>
      </w:pPr>
    </w:p>
    <w:p>
      <w:pPr>
        <w:pStyle w:val="3"/>
        <w:spacing w:line="244" w:lineRule="auto"/>
        <w:rPr>
          <w:color w:val="auto"/>
        </w:rPr>
      </w:pPr>
    </w:p>
    <w:p>
      <w:pPr>
        <w:spacing w:before="100" w:line="226" w:lineRule="auto"/>
        <w:outlineLvl w:val="2"/>
        <w:rPr>
          <w:rFonts w:ascii="仿宋" w:hAnsi="仿宋" w:eastAsia="仿宋" w:cs="仿宋"/>
          <w:color w:val="auto"/>
          <w:sz w:val="31"/>
          <w:szCs w:val="31"/>
        </w:rPr>
      </w:pPr>
      <w:bookmarkStart w:id="513" w:name="bookmark540"/>
      <w:bookmarkEnd w:id="513"/>
      <w:r>
        <w:rPr>
          <w:rFonts w:ascii="仿宋" w:hAnsi="仿宋" w:eastAsia="仿宋" w:cs="仿宋"/>
          <w:b/>
          <w:bCs/>
          <w:color w:val="auto"/>
          <w:spacing w:val="4"/>
          <w:sz w:val="31"/>
          <w:szCs w:val="31"/>
        </w:rPr>
        <w:t>十、资格审查等资料</w:t>
      </w:r>
    </w:p>
    <w:p>
      <w:pPr>
        <w:spacing w:line="226" w:lineRule="auto"/>
        <w:rPr>
          <w:rFonts w:ascii="仿宋" w:hAnsi="仿宋" w:eastAsia="仿宋" w:cs="仿宋"/>
          <w:color w:val="auto"/>
          <w:sz w:val="31"/>
          <w:szCs w:val="31"/>
        </w:rPr>
        <w:sectPr>
          <w:footerReference r:id="rId107" w:type="default"/>
          <w:pgSz w:w="11906" w:h="16839"/>
          <w:pgMar w:top="1431" w:right="1785" w:bottom="1469" w:left="1618" w:header="0" w:footer="1304" w:gutter="0"/>
          <w:cols w:space="720" w:num="1"/>
          <w:docGrid w:linePitch="0" w:charSpace="0"/>
        </w:sectPr>
      </w:pPr>
    </w:p>
    <w:p>
      <w:pPr>
        <w:pStyle w:val="3"/>
        <w:spacing w:line="258" w:lineRule="auto"/>
        <w:rPr>
          <w:color w:val="auto"/>
        </w:rPr>
      </w:pPr>
    </w:p>
    <w:p>
      <w:pPr>
        <w:pStyle w:val="3"/>
        <w:spacing w:line="258" w:lineRule="auto"/>
        <w:rPr>
          <w:color w:val="auto"/>
        </w:rPr>
      </w:pPr>
    </w:p>
    <w:p>
      <w:pPr>
        <w:spacing w:before="91" w:line="221" w:lineRule="auto"/>
        <w:ind w:left="172"/>
        <w:rPr>
          <w:rFonts w:ascii="仿宋" w:hAnsi="仿宋" w:eastAsia="仿宋" w:cs="仿宋"/>
          <w:color w:val="auto"/>
          <w:sz w:val="28"/>
          <w:szCs w:val="28"/>
        </w:rPr>
      </w:pPr>
      <w:bookmarkStart w:id="514" w:name="bookmark542"/>
      <w:bookmarkEnd w:id="514"/>
      <w:r>
        <w:rPr>
          <w:rFonts w:ascii="仿宋" w:hAnsi="仿宋" w:eastAsia="仿宋" w:cs="仿宋"/>
          <w:b/>
          <w:bCs/>
          <w:color w:val="auto"/>
          <w:spacing w:val="-9"/>
          <w:sz w:val="28"/>
          <w:szCs w:val="28"/>
        </w:rPr>
        <w:t>(一)资格审查资料</w:t>
      </w:r>
    </w:p>
    <w:p>
      <w:pPr>
        <w:spacing w:before="289" w:line="223"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（一）投标人基本情况表</w:t>
      </w:r>
    </w:p>
    <w:p>
      <w:pPr>
        <w:spacing w:line="114" w:lineRule="exact"/>
        <w:rPr>
          <w:color w:val="auto"/>
          <w:lang w:eastAsia="zh-CN"/>
        </w:rPr>
      </w:pPr>
    </w:p>
    <w:tbl>
      <w:tblPr>
        <w:tblStyle w:val="14"/>
        <w:tblW w:w="85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950"/>
        <w:gridCol w:w="840"/>
        <w:gridCol w:w="420"/>
        <w:gridCol w:w="311"/>
        <w:gridCol w:w="1077"/>
        <w:gridCol w:w="490"/>
        <w:gridCol w:w="859"/>
        <w:gridCol w:w="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 w:hRule="atLeast"/>
        </w:trPr>
        <w:tc>
          <w:tcPr>
            <w:tcW w:w="1732" w:type="dxa"/>
          </w:tcPr>
          <w:p>
            <w:pPr>
              <w:pStyle w:val="15"/>
              <w:spacing w:before="237" w:line="228" w:lineRule="auto"/>
              <w:ind w:left="349"/>
              <w:rPr>
                <w:color w:val="auto"/>
              </w:rPr>
            </w:pPr>
            <w:r>
              <w:rPr>
                <w:color w:val="auto"/>
                <w:spacing w:val="7"/>
              </w:rPr>
              <w:t>投标人名称</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tcPr>
          <w:p>
            <w:pPr>
              <w:pStyle w:val="15"/>
              <w:spacing w:before="257" w:line="229" w:lineRule="auto"/>
              <w:ind w:left="452"/>
              <w:rPr>
                <w:color w:val="auto"/>
              </w:rPr>
            </w:pPr>
            <w:r>
              <w:rPr>
                <w:color w:val="auto"/>
                <w:spacing w:val="7"/>
              </w:rPr>
              <w:t>注册地址</w:t>
            </w:r>
          </w:p>
        </w:tc>
        <w:tc>
          <w:tcPr>
            <w:tcW w:w="3418" w:type="dxa"/>
            <w:gridSpan w:val="5"/>
          </w:tcPr>
          <w:p>
            <w:pPr>
              <w:rPr>
                <w:color w:val="auto"/>
              </w:rPr>
            </w:pPr>
          </w:p>
        </w:tc>
        <w:tc>
          <w:tcPr>
            <w:tcW w:w="1077" w:type="dxa"/>
          </w:tcPr>
          <w:p>
            <w:pPr>
              <w:pStyle w:val="15"/>
              <w:spacing w:before="257" w:line="228" w:lineRule="auto"/>
              <w:ind w:left="139"/>
              <w:rPr>
                <w:color w:val="auto"/>
              </w:rPr>
            </w:pPr>
            <w:r>
              <w:rPr>
                <w:color w:val="auto"/>
                <w:spacing w:val="3"/>
              </w:rPr>
              <w:t>邮政编码</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tcPr>
          <w:p>
            <w:pPr>
              <w:spacing w:line="249" w:lineRule="auto"/>
              <w:rPr>
                <w:color w:val="auto"/>
              </w:rPr>
            </w:pPr>
          </w:p>
          <w:p>
            <w:pPr>
              <w:spacing w:line="250" w:lineRule="auto"/>
              <w:rPr>
                <w:color w:val="auto"/>
              </w:rPr>
            </w:pPr>
          </w:p>
          <w:p>
            <w:pPr>
              <w:pStyle w:val="15"/>
              <w:spacing w:before="65" w:line="229" w:lineRule="auto"/>
              <w:ind w:left="453"/>
              <w:rPr>
                <w:color w:val="auto"/>
              </w:rPr>
            </w:pPr>
            <w:r>
              <w:rPr>
                <w:color w:val="auto"/>
                <w:spacing w:val="7"/>
              </w:rPr>
              <w:t>联系方式</w:t>
            </w:r>
          </w:p>
        </w:tc>
        <w:tc>
          <w:tcPr>
            <w:tcW w:w="897" w:type="dxa"/>
          </w:tcPr>
          <w:p>
            <w:pPr>
              <w:pStyle w:val="15"/>
              <w:spacing w:before="255" w:line="230" w:lineRule="auto"/>
              <w:ind w:left="137"/>
              <w:rPr>
                <w:color w:val="auto"/>
              </w:rPr>
            </w:pPr>
            <w:r>
              <w:rPr>
                <w:color w:val="auto"/>
                <w:spacing w:val="6"/>
              </w:rPr>
              <w:t>联系人</w:t>
            </w:r>
          </w:p>
        </w:tc>
        <w:tc>
          <w:tcPr>
            <w:tcW w:w="2521" w:type="dxa"/>
            <w:gridSpan w:val="4"/>
          </w:tcPr>
          <w:p>
            <w:pPr>
              <w:rPr>
                <w:color w:val="auto"/>
              </w:rPr>
            </w:pPr>
          </w:p>
        </w:tc>
        <w:tc>
          <w:tcPr>
            <w:tcW w:w="1077" w:type="dxa"/>
          </w:tcPr>
          <w:p>
            <w:pPr>
              <w:pStyle w:val="15"/>
              <w:spacing w:before="255" w:line="230" w:lineRule="auto"/>
              <w:ind w:left="307"/>
              <w:rPr>
                <w:color w:val="auto"/>
              </w:rPr>
            </w:pPr>
            <w:r>
              <w:rPr>
                <w:color w:val="auto"/>
                <w:spacing w:val="-12"/>
              </w:rPr>
              <w:t>电话</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tcPr>
          <w:p>
            <w:pPr>
              <w:rPr>
                <w:color w:val="auto"/>
              </w:rPr>
            </w:pPr>
          </w:p>
        </w:tc>
        <w:tc>
          <w:tcPr>
            <w:tcW w:w="897" w:type="dxa"/>
          </w:tcPr>
          <w:p>
            <w:pPr>
              <w:pStyle w:val="15"/>
              <w:spacing w:before="259" w:line="227" w:lineRule="auto"/>
              <w:ind w:left="135"/>
              <w:rPr>
                <w:color w:val="auto"/>
              </w:rPr>
            </w:pPr>
            <w:r>
              <w:rPr>
                <w:color w:val="auto"/>
                <w:spacing w:val="1"/>
              </w:rPr>
              <w:t>传真</w:t>
            </w:r>
          </w:p>
        </w:tc>
        <w:tc>
          <w:tcPr>
            <w:tcW w:w="2521" w:type="dxa"/>
            <w:gridSpan w:val="4"/>
          </w:tcPr>
          <w:p>
            <w:pPr>
              <w:rPr>
                <w:color w:val="auto"/>
              </w:rPr>
            </w:pPr>
          </w:p>
        </w:tc>
        <w:tc>
          <w:tcPr>
            <w:tcW w:w="1077" w:type="dxa"/>
          </w:tcPr>
          <w:p>
            <w:pPr>
              <w:pStyle w:val="15"/>
              <w:spacing w:before="259" w:line="233" w:lineRule="auto"/>
              <w:ind w:left="299"/>
              <w:rPr>
                <w:color w:val="auto"/>
              </w:rPr>
            </w:pPr>
            <w:r>
              <w:rPr>
                <w:color w:val="auto"/>
                <w:spacing w:val="-8"/>
              </w:rPr>
              <w:t>网址</w:t>
            </w:r>
          </w:p>
        </w:tc>
        <w:tc>
          <w:tcPr>
            <w:tcW w:w="2345" w:type="dxa"/>
            <w:gridSpan w:val="3"/>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1732" w:type="dxa"/>
          </w:tcPr>
          <w:p>
            <w:pPr>
              <w:pStyle w:val="15"/>
              <w:spacing w:before="261" w:line="228" w:lineRule="auto"/>
              <w:ind w:left="455"/>
              <w:rPr>
                <w:color w:val="auto"/>
              </w:rPr>
            </w:pPr>
            <w:r>
              <w:rPr>
                <w:color w:val="auto"/>
                <w:spacing w:val="6"/>
              </w:rPr>
              <w:t>组织结构</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3" w:hRule="atLeast"/>
        </w:trPr>
        <w:tc>
          <w:tcPr>
            <w:tcW w:w="1732" w:type="dxa"/>
          </w:tcPr>
          <w:p>
            <w:pPr>
              <w:pStyle w:val="15"/>
              <w:spacing w:before="255" w:line="228" w:lineRule="auto"/>
              <w:ind w:left="347"/>
              <w:rPr>
                <w:color w:val="auto"/>
              </w:rPr>
            </w:pPr>
            <w:r>
              <w:rPr>
                <w:color w:val="auto"/>
                <w:spacing w:val="7"/>
              </w:rPr>
              <w:t>法定代表人</w:t>
            </w:r>
          </w:p>
        </w:tc>
        <w:tc>
          <w:tcPr>
            <w:tcW w:w="897" w:type="dxa"/>
          </w:tcPr>
          <w:p>
            <w:pPr>
              <w:pStyle w:val="15"/>
              <w:spacing w:before="255"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5"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6"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7" w:hRule="atLeast"/>
        </w:trPr>
        <w:tc>
          <w:tcPr>
            <w:tcW w:w="1732" w:type="dxa"/>
          </w:tcPr>
          <w:p>
            <w:pPr>
              <w:pStyle w:val="15"/>
              <w:spacing w:before="254" w:line="228" w:lineRule="auto"/>
              <w:ind w:left="347"/>
              <w:rPr>
                <w:color w:val="auto"/>
              </w:rPr>
            </w:pPr>
            <w:r>
              <w:rPr>
                <w:color w:val="auto"/>
                <w:spacing w:val="7"/>
              </w:rPr>
              <w:t>技术负责人</w:t>
            </w:r>
          </w:p>
        </w:tc>
        <w:tc>
          <w:tcPr>
            <w:tcW w:w="897" w:type="dxa"/>
          </w:tcPr>
          <w:p>
            <w:pPr>
              <w:pStyle w:val="15"/>
              <w:spacing w:before="254" w:line="228" w:lineRule="auto"/>
              <w:ind w:left="242"/>
              <w:rPr>
                <w:color w:val="auto"/>
              </w:rPr>
            </w:pPr>
            <w:r>
              <w:rPr>
                <w:color w:val="auto"/>
                <w:spacing w:val="4"/>
              </w:rPr>
              <w:t>姓名</w:t>
            </w:r>
          </w:p>
        </w:tc>
        <w:tc>
          <w:tcPr>
            <w:tcW w:w="950" w:type="dxa"/>
          </w:tcPr>
          <w:p>
            <w:pPr>
              <w:rPr>
                <w:color w:val="auto"/>
              </w:rPr>
            </w:pPr>
          </w:p>
        </w:tc>
        <w:tc>
          <w:tcPr>
            <w:tcW w:w="1260" w:type="dxa"/>
            <w:gridSpan w:val="2"/>
          </w:tcPr>
          <w:p>
            <w:pPr>
              <w:pStyle w:val="15"/>
              <w:spacing w:before="254" w:line="228" w:lineRule="auto"/>
              <w:ind w:left="217"/>
              <w:rPr>
                <w:color w:val="auto"/>
              </w:rPr>
            </w:pPr>
            <w:r>
              <w:rPr>
                <w:color w:val="auto"/>
                <w:spacing w:val="7"/>
              </w:rPr>
              <w:t>技术职称</w:t>
            </w:r>
          </w:p>
        </w:tc>
        <w:tc>
          <w:tcPr>
            <w:tcW w:w="1878" w:type="dxa"/>
            <w:gridSpan w:val="3"/>
          </w:tcPr>
          <w:p>
            <w:pPr>
              <w:rPr>
                <w:color w:val="auto"/>
              </w:rPr>
            </w:pPr>
          </w:p>
        </w:tc>
        <w:tc>
          <w:tcPr>
            <w:tcW w:w="859" w:type="dxa"/>
          </w:tcPr>
          <w:p>
            <w:pPr>
              <w:pStyle w:val="15"/>
              <w:spacing w:before="254" w:line="230" w:lineRule="auto"/>
              <w:ind w:left="252"/>
              <w:rPr>
                <w:color w:val="auto"/>
              </w:rPr>
            </w:pPr>
            <w:r>
              <w:rPr>
                <w:color w:val="auto"/>
                <w:spacing w:val="-8"/>
              </w:rPr>
              <w:t>电话</w:t>
            </w:r>
          </w:p>
        </w:tc>
        <w:tc>
          <w:tcPr>
            <w:tcW w:w="996"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732" w:type="dxa"/>
          </w:tcPr>
          <w:p>
            <w:pPr>
              <w:pStyle w:val="15"/>
              <w:spacing w:before="264" w:line="229" w:lineRule="auto"/>
              <w:ind w:left="454"/>
              <w:rPr>
                <w:color w:val="auto"/>
              </w:rPr>
            </w:pPr>
            <w:r>
              <w:rPr>
                <w:color w:val="auto"/>
                <w:spacing w:val="6"/>
              </w:rPr>
              <w:t>成立时间</w:t>
            </w:r>
          </w:p>
        </w:tc>
        <w:tc>
          <w:tcPr>
            <w:tcW w:w="1847" w:type="dxa"/>
            <w:gridSpan w:val="2"/>
          </w:tcPr>
          <w:p>
            <w:pPr>
              <w:rPr>
                <w:color w:val="auto"/>
              </w:rPr>
            </w:pPr>
          </w:p>
        </w:tc>
        <w:tc>
          <w:tcPr>
            <w:tcW w:w="4993" w:type="dxa"/>
            <w:gridSpan w:val="7"/>
          </w:tcPr>
          <w:p>
            <w:pPr>
              <w:pStyle w:val="15"/>
              <w:spacing w:before="264" w:line="228" w:lineRule="auto"/>
              <w:ind w:left="1931"/>
              <w:rPr>
                <w:color w:val="auto"/>
              </w:rPr>
            </w:pPr>
            <w:r>
              <w:rPr>
                <w:color w:val="auto"/>
                <w:spacing w:val="5"/>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2" w:hRule="atLeast"/>
        </w:trPr>
        <w:tc>
          <w:tcPr>
            <w:tcW w:w="1732" w:type="dxa"/>
          </w:tcPr>
          <w:p>
            <w:pPr>
              <w:pStyle w:val="15"/>
              <w:spacing w:before="284" w:line="228" w:lineRule="auto"/>
              <w:ind w:left="244"/>
              <w:rPr>
                <w:color w:val="auto"/>
              </w:rPr>
            </w:pPr>
            <w:r>
              <w:rPr>
                <w:color w:val="auto"/>
                <w:spacing w:val="7"/>
              </w:rPr>
              <w:t>企业资质等级</w:t>
            </w:r>
          </w:p>
        </w:tc>
        <w:tc>
          <w:tcPr>
            <w:tcW w:w="1847" w:type="dxa"/>
            <w:gridSpan w:val="2"/>
          </w:tcPr>
          <w:p>
            <w:pPr>
              <w:rPr>
                <w:color w:val="auto"/>
              </w:rPr>
            </w:pPr>
          </w:p>
        </w:tc>
        <w:tc>
          <w:tcPr>
            <w:tcW w:w="840" w:type="dxa"/>
            <w:vMerge w:val="restart"/>
            <w:tcBorders>
              <w:bottom w:val="nil"/>
            </w:tcBorders>
          </w:tcPr>
          <w:p>
            <w:pPr>
              <w:spacing w:line="241"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spacing w:line="242" w:lineRule="auto"/>
              <w:rPr>
                <w:color w:val="auto"/>
              </w:rPr>
            </w:pPr>
          </w:p>
          <w:p>
            <w:pPr>
              <w:pStyle w:val="15"/>
              <w:spacing w:before="65" w:line="228" w:lineRule="auto"/>
              <w:ind w:left="217"/>
              <w:rPr>
                <w:color w:val="auto"/>
              </w:rPr>
            </w:pPr>
            <w:r>
              <w:rPr>
                <w:color w:val="auto"/>
                <w:spacing w:val="4"/>
              </w:rPr>
              <w:t>其中</w:t>
            </w:r>
          </w:p>
        </w:tc>
        <w:tc>
          <w:tcPr>
            <w:tcW w:w="2298" w:type="dxa"/>
            <w:gridSpan w:val="4"/>
          </w:tcPr>
          <w:p>
            <w:pPr>
              <w:pStyle w:val="15"/>
              <w:spacing w:before="284" w:line="228" w:lineRule="auto"/>
              <w:ind w:left="738"/>
              <w:rPr>
                <w:color w:val="auto"/>
              </w:rPr>
            </w:pPr>
            <w:r>
              <w:rPr>
                <w:color w:val="auto"/>
                <w:spacing w:val="6"/>
              </w:rPr>
              <w:t>项目经理</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tcPr>
          <w:p>
            <w:pPr>
              <w:pStyle w:val="15"/>
              <w:spacing w:before="260" w:line="228" w:lineRule="auto"/>
              <w:ind w:left="353"/>
              <w:rPr>
                <w:color w:val="auto"/>
              </w:rPr>
            </w:pPr>
            <w:r>
              <w:rPr>
                <w:color w:val="auto"/>
                <w:spacing w:val="6"/>
              </w:rPr>
              <w:t>营业执照号</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0" w:line="228" w:lineRule="auto"/>
              <w:ind w:left="529"/>
              <w:rPr>
                <w:color w:val="auto"/>
              </w:rPr>
            </w:pPr>
            <w:r>
              <w:rPr>
                <w:color w:val="auto"/>
                <w:spacing w:val="7"/>
              </w:rPr>
              <w:t>高级职称人员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tcPr>
          <w:p>
            <w:pPr>
              <w:pStyle w:val="15"/>
              <w:spacing w:before="257" w:line="229" w:lineRule="auto"/>
              <w:ind w:left="452"/>
              <w:rPr>
                <w:color w:val="auto"/>
              </w:rPr>
            </w:pPr>
            <w:r>
              <w:rPr>
                <w:color w:val="auto"/>
                <w:spacing w:val="7"/>
              </w:rPr>
              <w:t>注册资金</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57" w:line="228" w:lineRule="auto"/>
              <w:ind w:left="543"/>
              <w:rPr>
                <w:color w:val="auto"/>
              </w:rPr>
            </w:pPr>
            <w:r>
              <w:rPr>
                <w:color w:val="auto"/>
                <w:spacing w:val="4"/>
              </w:rPr>
              <w:t>中级职称人员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tcPr>
          <w:p>
            <w:pPr>
              <w:pStyle w:val="15"/>
              <w:spacing w:before="267" w:line="228" w:lineRule="auto"/>
              <w:ind w:left="453"/>
              <w:rPr>
                <w:color w:val="auto"/>
              </w:rPr>
            </w:pPr>
            <w:r>
              <w:rPr>
                <w:color w:val="auto"/>
                <w:spacing w:val="7"/>
              </w:rPr>
              <w:t>开户银行</w:t>
            </w:r>
          </w:p>
        </w:tc>
        <w:tc>
          <w:tcPr>
            <w:tcW w:w="1847" w:type="dxa"/>
            <w:gridSpan w:val="2"/>
          </w:tcPr>
          <w:p>
            <w:pPr>
              <w:rPr>
                <w:color w:val="auto"/>
              </w:rPr>
            </w:pPr>
          </w:p>
        </w:tc>
        <w:tc>
          <w:tcPr>
            <w:tcW w:w="840" w:type="dxa"/>
            <w:vMerge w:val="continue"/>
            <w:tcBorders>
              <w:top w:val="nil"/>
              <w:bottom w:val="nil"/>
            </w:tcBorders>
          </w:tcPr>
          <w:p>
            <w:pPr>
              <w:rPr>
                <w:color w:val="auto"/>
              </w:rPr>
            </w:pPr>
          </w:p>
        </w:tc>
        <w:tc>
          <w:tcPr>
            <w:tcW w:w="2298" w:type="dxa"/>
            <w:gridSpan w:val="4"/>
          </w:tcPr>
          <w:p>
            <w:pPr>
              <w:pStyle w:val="15"/>
              <w:spacing w:before="267" w:line="229" w:lineRule="auto"/>
              <w:ind w:left="523"/>
              <w:rPr>
                <w:color w:val="auto"/>
              </w:rPr>
            </w:pPr>
            <w:r>
              <w:rPr>
                <w:color w:val="auto"/>
                <w:spacing w:val="8"/>
              </w:rPr>
              <w:t>初级职称人员</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1" w:hRule="atLeast"/>
        </w:trPr>
        <w:tc>
          <w:tcPr>
            <w:tcW w:w="1732" w:type="dxa"/>
          </w:tcPr>
          <w:p>
            <w:pPr>
              <w:pStyle w:val="15"/>
              <w:spacing w:before="258" w:line="229" w:lineRule="auto"/>
              <w:ind w:left="664"/>
              <w:rPr>
                <w:color w:val="auto"/>
              </w:rPr>
            </w:pPr>
            <w:r>
              <w:rPr>
                <w:color w:val="auto"/>
                <w:spacing w:val="3"/>
              </w:rPr>
              <w:t>账号</w:t>
            </w:r>
          </w:p>
        </w:tc>
        <w:tc>
          <w:tcPr>
            <w:tcW w:w="1847" w:type="dxa"/>
            <w:gridSpan w:val="2"/>
          </w:tcPr>
          <w:p>
            <w:pPr>
              <w:rPr>
                <w:color w:val="auto"/>
              </w:rPr>
            </w:pPr>
          </w:p>
        </w:tc>
        <w:tc>
          <w:tcPr>
            <w:tcW w:w="840" w:type="dxa"/>
            <w:vMerge w:val="continue"/>
            <w:tcBorders>
              <w:top w:val="nil"/>
            </w:tcBorders>
          </w:tcPr>
          <w:p>
            <w:pPr>
              <w:rPr>
                <w:color w:val="auto"/>
              </w:rPr>
            </w:pPr>
          </w:p>
        </w:tc>
        <w:tc>
          <w:tcPr>
            <w:tcW w:w="2298" w:type="dxa"/>
            <w:gridSpan w:val="4"/>
          </w:tcPr>
          <w:p>
            <w:pPr>
              <w:pStyle w:val="15"/>
              <w:spacing w:before="258" w:line="229" w:lineRule="auto"/>
              <w:ind w:left="841"/>
              <w:rPr>
                <w:color w:val="auto"/>
              </w:rPr>
            </w:pPr>
            <w:r>
              <w:rPr>
                <w:color w:val="auto"/>
              </w:rPr>
              <w:t>技工</w:t>
            </w:r>
          </w:p>
        </w:tc>
        <w:tc>
          <w:tcPr>
            <w:tcW w:w="1855" w:type="dxa"/>
            <w:gridSpan w:val="2"/>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04" w:hRule="atLeast"/>
        </w:trPr>
        <w:tc>
          <w:tcPr>
            <w:tcW w:w="1732" w:type="dxa"/>
          </w:tcPr>
          <w:p>
            <w:pPr>
              <w:spacing w:line="246" w:lineRule="auto"/>
              <w:rPr>
                <w:color w:val="auto"/>
              </w:rPr>
            </w:pPr>
          </w:p>
          <w:p>
            <w:pPr>
              <w:spacing w:line="246" w:lineRule="auto"/>
              <w:rPr>
                <w:color w:val="auto"/>
              </w:rPr>
            </w:pPr>
          </w:p>
          <w:p>
            <w:pPr>
              <w:spacing w:line="246" w:lineRule="auto"/>
              <w:rPr>
                <w:color w:val="auto"/>
              </w:rPr>
            </w:pPr>
          </w:p>
          <w:p>
            <w:pPr>
              <w:spacing w:line="247" w:lineRule="auto"/>
              <w:rPr>
                <w:color w:val="auto"/>
              </w:rPr>
            </w:pPr>
          </w:p>
          <w:p>
            <w:pPr>
              <w:pStyle w:val="15"/>
              <w:spacing w:before="65" w:line="228" w:lineRule="auto"/>
              <w:ind w:left="557"/>
              <w:rPr>
                <w:color w:val="auto"/>
              </w:rPr>
            </w:pPr>
            <w:r>
              <w:rPr>
                <w:color w:val="auto"/>
                <w:spacing w:val="6"/>
              </w:rPr>
              <w:t>经营范围</w:t>
            </w:r>
          </w:p>
        </w:tc>
        <w:tc>
          <w:tcPr>
            <w:tcW w:w="6840" w:type="dxa"/>
            <w:gridSpan w:val="9"/>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4" w:hRule="atLeast"/>
        </w:trPr>
        <w:tc>
          <w:tcPr>
            <w:tcW w:w="1732" w:type="dxa"/>
          </w:tcPr>
          <w:p>
            <w:pPr>
              <w:pStyle w:val="15"/>
              <w:spacing w:before="263" w:line="229" w:lineRule="auto"/>
              <w:ind w:left="664"/>
              <w:rPr>
                <w:color w:val="auto"/>
              </w:rPr>
            </w:pPr>
            <w:r>
              <w:rPr>
                <w:color w:val="auto"/>
                <w:spacing w:val="3"/>
              </w:rPr>
              <w:t>备注</w:t>
            </w:r>
          </w:p>
        </w:tc>
        <w:tc>
          <w:tcPr>
            <w:tcW w:w="6840" w:type="dxa"/>
            <w:gridSpan w:val="9"/>
          </w:tcPr>
          <w:p>
            <w:pPr>
              <w:rPr>
                <w:color w:val="auto"/>
              </w:rPr>
            </w:pPr>
          </w:p>
        </w:tc>
      </w:tr>
    </w:tbl>
    <w:p>
      <w:pPr>
        <w:spacing w:before="173" w:line="227" w:lineRule="auto"/>
        <w:ind w:left="89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注：1. 投标人应根据投标人须知第3.5.1项的要求</w:t>
      </w:r>
      <w:r>
        <w:rPr>
          <w:rFonts w:ascii="宋体" w:hAnsi="宋体" w:eastAsia="宋体" w:cs="宋体"/>
          <w:color w:val="auto"/>
          <w:spacing w:val="7"/>
          <w:sz w:val="20"/>
          <w:szCs w:val="20"/>
          <w:lang w:eastAsia="zh-CN"/>
        </w:rPr>
        <w:t>在本表后附相关证明材料。</w:t>
      </w:r>
    </w:p>
    <w:p>
      <w:pPr>
        <w:spacing w:line="227" w:lineRule="auto"/>
        <w:rPr>
          <w:rFonts w:ascii="宋体" w:hAnsi="宋体" w:eastAsia="宋体" w:cs="宋体"/>
          <w:color w:val="auto"/>
          <w:sz w:val="20"/>
          <w:szCs w:val="20"/>
          <w:lang w:eastAsia="zh-CN"/>
        </w:rPr>
        <w:sectPr>
          <w:footerReference r:id="rId108" w:type="default"/>
          <w:pgSz w:w="11906" w:h="16839"/>
          <w:pgMar w:top="1431" w:right="1785" w:bottom="1469" w:left="1475" w:header="0" w:footer="1304" w:gutter="0"/>
          <w:cols w:space="720" w:num="1"/>
          <w:docGrid w:linePitch="0" w:charSpace="0"/>
        </w:sectPr>
      </w:pPr>
    </w:p>
    <w:p>
      <w:pPr>
        <w:pStyle w:val="3"/>
        <w:spacing w:line="257" w:lineRule="auto"/>
        <w:rPr>
          <w:color w:val="auto"/>
          <w:lang w:eastAsia="zh-CN"/>
        </w:rPr>
      </w:pPr>
    </w:p>
    <w:p>
      <w:pPr>
        <w:pStyle w:val="3"/>
        <w:spacing w:line="258" w:lineRule="auto"/>
        <w:rPr>
          <w:color w:val="auto"/>
          <w:lang w:eastAsia="zh-CN"/>
        </w:rPr>
      </w:pPr>
    </w:p>
    <w:p>
      <w:pPr>
        <w:spacing w:before="91" w:line="222" w:lineRule="auto"/>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（二）近年财务状况表</w:t>
      </w:r>
    </w:p>
    <w:p>
      <w:pPr>
        <w:spacing w:before="289" w:line="227" w:lineRule="auto"/>
        <w:ind w:left="403"/>
        <w:rPr>
          <w:rFonts w:ascii="宋体" w:hAnsi="宋体" w:eastAsia="宋体" w:cs="宋体"/>
          <w:color w:val="auto"/>
          <w:sz w:val="20"/>
          <w:szCs w:val="20"/>
          <w:lang w:eastAsia="zh-CN"/>
        </w:rPr>
      </w:pPr>
      <w:r>
        <w:rPr>
          <w:rFonts w:ascii="宋体" w:hAnsi="宋体" w:eastAsia="宋体" w:cs="宋体"/>
          <w:color w:val="auto"/>
          <w:spacing w:val="7"/>
          <w:sz w:val="20"/>
          <w:szCs w:val="20"/>
          <w:lang w:eastAsia="zh-CN"/>
        </w:rPr>
        <w:t>.投标人应根据投标人须知第3.5.2项的要求在本表后附相关证明材料。</w:t>
      </w:r>
    </w:p>
    <w:p>
      <w:pPr>
        <w:spacing w:line="227" w:lineRule="auto"/>
        <w:rPr>
          <w:rFonts w:ascii="宋体" w:hAnsi="宋体" w:eastAsia="宋体" w:cs="宋体"/>
          <w:color w:val="auto"/>
          <w:sz w:val="20"/>
          <w:szCs w:val="20"/>
          <w:lang w:eastAsia="zh-CN"/>
        </w:rPr>
        <w:sectPr>
          <w:footerReference r:id="rId109" w:type="default"/>
          <w:pgSz w:w="11906" w:h="16839"/>
          <w:pgMar w:top="1431" w:right="1785" w:bottom="1469" w:left="1618" w:header="0" w:footer="1304" w:gutter="0"/>
          <w:cols w:space="720" w:num="1"/>
          <w:docGrid w:linePitch="0" w:charSpace="0"/>
        </w:sectPr>
      </w:pPr>
    </w:p>
    <w:p>
      <w:pPr>
        <w:pStyle w:val="3"/>
        <w:spacing w:line="456" w:lineRule="auto"/>
        <w:rPr>
          <w:color w:val="auto"/>
          <w:lang w:eastAsia="zh-CN"/>
        </w:rPr>
      </w:pPr>
    </w:p>
    <w:p>
      <w:pPr>
        <w:spacing w:before="91" w:line="217" w:lineRule="auto"/>
        <w:ind w:left="143"/>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（三）近年完成的类似项目情况表</w:t>
      </w: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0"/>
        <w:gridCol w:w="66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9" w:hRule="atLeast"/>
        </w:trPr>
        <w:tc>
          <w:tcPr>
            <w:tcW w:w="2400" w:type="dxa"/>
          </w:tcPr>
          <w:p>
            <w:pPr>
              <w:pStyle w:val="15"/>
              <w:spacing w:before="292" w:line="228" w:lineRule="auto"/>
              <w:ind w:left="789"/>
              <w:rPr>
                <w:color w:val="auto"/>
              </w:rPr>
            </w:pPr>
            <w:r>
              <w:rPr>
                <w:color w:val="auto"/>
                <w:spacing w:val="6"/>
              </w:rPr>
              <w:t>项目名称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400" w:type="dxa"/>
          </w:tcPr>
          <w:p>
            <w:pPr>
              <w:pStyle w:val="15"/>
              <w:spacing w:before="256" w:line="228" w:lineRule="auto"/>
              <w:ind w:left="684"/>
              <w:rPr>
                <w:color w:val="auto"/>
              </w:rPr>
            </w:pPr>
            <w:r>
              <w:rPr>
                <w:color w:val="auto"/>
                <w:spacing w:val="7"/>
              </w:rPr>
              <w:t>项目所在地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400" w:type="dxa"/>
          </w:tcPr>
          <w:p>
            <w:pPr>
              <w:pStyle w:val="15"/>
              <w:spacing w:before="261" w:line="228" w:lineRule="auto"/>
              <w:ind w:left="684"/>
              <w:rPr>
                <w:color w:val="auto"/>
              </w:rPr>
            </w:pPr>
            <w:r>
              <w:rPr>
                <w:color w:val="auto"/>
                <w:spacing w:val="7"/>
              </w:rPr>
              <w:t>发包人名称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400" w:type="dxa"/>
          </w:tcPr>
          <w:p>
            <w:pPr>
              <w:pStyle w:val="15"/>
              <w:spacing w:before="257" w:line="228" w:lineRule="auto"/>
              <w:ind w:left="684"/>
              <w:rPr>
                <w:color w:val="auto"/>
              </w:rPr>
            </w:pPr>
            <w:r>
              <w:rPr>
                <w:color w:val="auto"/>
                <w:spacing w:val="7"/>
              </w:rPr>
              <w:t>发包人地址</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0" w:line="228" w:lineRule="auto"/>
              <w:ind w:left="684"/>
              <w:rPr>
                <w:color w:val="auto"/>
              </w:rPr>
            </w:pPr>
            <w:r>
              <w:rPr>
                <w:color w:val="auto"/>
                <w:spacing w:val="7"/>
              </w:rPr>
              <w:t>发包人电话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59" w:line="226" w:lineRule="auto"/>
              <w:ind w:left="787"/>
              <w:rPr>
                <w:color w:val="auto"/>
              </w:rPr>
            </w:pPr>
            <w:r>
              <w:rPr>
                <w:color w:val="auto"/>
                <w:spacing w:val="7"/>
              </w:rPr>
              <w:t>合同价格</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9" w:hRule="atLeast"/>
        </w:trPr>
        <w:tc>
          <w:tcPr>
            <w:tcW w:w="2400" w:type="dxa"/>
          </w:tcPr>
          <w:p>
            <w:pPr>
              <w:pStyle w:val="15"/>
              <w:spacing w:before="256" w:line="228" w:lineRule="auto"/>
              <w:ind w:left="787"/>
              <w:rPr>
                <w:color w:val="auto"/>
              </w:rPr>
            </w:pPr>
            <w:r>
              <w:rPr>
                <w:color w:val="auto"/>
                <w:spacing w:val="7"/>
              </w:rPr>
              <w:t>开工日期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2400" w:type="dxa"/>
          </w:tcPr>
          <w:p>
            <w:pPr>
              <w:pStyle w:val="15"/>
              <w:spacing w:before="268" w:line="228" w:lineRule="auto"/>
              <w:ind w:left="787"/>
              <w:rPr>
                <w:color w:val="auto"/>
              </w:rPr>
            </w:pPr>
            <w:r>
              <w:rPr>
                <w:color w:val="auto"/>
                <w:spacing w:val="7"/>
              </w:rPr>
              <w:t>竣工日期</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2" w:hRule="atLeast"/>
        </w:trPr>
        <w:tc>
          <w:tcPr>
            <w:tcW w:w="2400" w:type="dxa"/>
          </w:tcPr>
          <w:p>
            <w:pPr>
              <w:pStyle w:val="15"/>
              <w:spacing w:before="258" w:line="228" w:lineRule="auto"/>
              <w:ind w:left="680"/>
              <w:rPr>
                <w:color w:val="auto"/>
              </w:rPr>
            </w:pPr>
            <w:r>
              <w:rPr>
                <w:color w:val="auto"/>
                <w:spacing w:val="8"/>
              </w:rPr>
              <w:t>承担的工作</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0" w:hRule="atLeast"/>
        </w:trPr>
        <w:tc>
          <w:tcPr>
            <w:tcW w:w="2400" w:type="dxa"/>
          </w:tcPr>
          <w:p>
            <w:pPr>
              <w:pStyle w:val="15"/>
              <w:spacing w:before="263" w:line="228" w:lineRule="auto"/>
              <w:ind w:left="788"/>
              <w:rPr>
                <w:color w:val="auto"/>
              </w:rPr>
            </w:pPr>
            <w:r>
              <w:rPr>
                <w:color w:val="auto"/>
                <w:spacing w:val="6"/>
              </w:rPr>
              <w:t>工程质量</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4" w:hRule="atLeast"/>
        </w:trPr>
        <w:tc>
          <w:tcPr>
            <w:tcW w:w="2400" w:type="dxa"/>
          </w:tcPr>
          <w:p>
            <w:pPr>
              <w:pStyle w:val="15"/>
              <w:spacing w:before="260" w:line="228" w:lineRule="auto"/>
              <w:ind w:left="789"/>
              <w:rPr>
                <w:color w:val="auto"/>
              </w:rPr>
            </w:pPr>
            <w:r>
              <w:rPr>
                <w:color w:val="auto"/>
                <w:spacing w:val="6"/>
              </w:rPr>
              <w:t>项目经理</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1" w:hRule="atLeast"/>
        </w:trPr>
        <w:tc>
          <w:tcPr>
            <w:tcW w:w="2400" w:type="dxa"/>
          </w:tcPr>
          <w:p>
            <w:pPr>
              <w:pStyle w:val="15"/>
              <w:spacing w:before="262" w:line="228" w:lineRule="auto"/>
              <w:ind w:left="681"/>
              <w:rPr>
                <w:color w:val="auto"/>
              </w:rPr>
            </w:pPr>
            <w:r>
              <w:rPr>
                <w:color w:val="auto"/>
                <w:spacing w:val="7"/>
              </w:rPr>
              <w:t>技术负责人</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5" w:hRule="atLeast"/>
        </w:trPr>
        <w:tc>
          <w:tcPr>
            <w:tcW w:w="2400" w:type="dxa"/>
          </w:tcPr>
          <w:p>
            <w:pPr>
              <w:pStyle w:val="15"/>
              <w:spacing w:before="260" w:line="228" w:lineRule="auto"/>
              <w:ind w:left="266"/>
              <w:rPr>
                <w:color w:val="auto"/>
              </w:rPr>
            </w:pPr>
            <w:r>
              <w:rPr>
                <w:color w:val="auto"/>
                <w:spacing w:val="8"/>
              </w:rPr>
              <w:t>总监理工程师及电话</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4" w:hRule="atLeast"/>
        </w:trPr>
        <w:tc>
          <w:tcPr>
            <w:tcW w:w="2400" w:type="dxa"/>
          </w:tcPr>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pStyle w:val="15"/>
              <w:spacing w:before="65" w:line="228" w:lineRule="auto"/>
              <w:ind w:left="789"/>
              <w:rPr>
                <w:color w:val="auto"/>
              </w:rPr>
            </w:pPr>
            <w:r>
              <w:rPr>
                <w:color w:val="auto"/>
                <w:spacing w:val="6"/>
              </w:rPr>
              <w:t>项目描述</w:t>
            </w:r>
          </w:p>
        </w:tc>
        <w:tc>
          <w:tcPr>
            <w:tcW w:w="6607"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 w:hRule="atLeast"/>
        </w:trPr>
        <w:tc>
          <w:tcPr>
            <w:tcW w:w="2400" w:type="dxa"/>
          </w:tcPr>
          <w:p>
            <w:pPr>
              <w:pStyle w:val="15"/>
              <w:spacing w:before="270" w:line="229" w:lineRule="auto"/>
              <w:ind w:left="997"/>
              <w:rPr>
                <w:color w:val="auto"/>
              </w:rPr>
            </w:pPr>
            <w:r>
              <w:rPr>
                <w:color w:val="auto"/>
                <w:spacing w:val="3"/>
              </w:rPr>
              <w:t>备注</w:t>
            </w:r>
          </w:p>
        </w:tc>
        <w:tc>
          <w:tcPr>
            <w:tcW w:w="6607" w:type="dxa"/>
          </w:tcPr>
          <w:p>
            <w:pPr>
              <w:rPr>
                <w:color w:val="auto"/>
              </w:rPr>
            </w:pPr>
          </w:p>
        </w:tc>
      </w:tr>
    </w:tbl>
    <w:p>
      <w:pPr>
        <w:spacing w:before="173" w:line="227" w:lineRule="auto"/>
        <w:ind w:left="121"/>
        <w:outlineLvl w:val="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注： 投标人应根据投标人须知第3.5.3项的要求在本表后附</w:t>
      </w:r>
      <w:r>
        <w:rPr>
          <w:rFonts w:ascii="宋体" w:hAnsi="宋体" w:eastAsia="宋体" w:cs="宋体"/>
          <w:color w:val="auto"/>
          <w:spacing w:val="7"/>
          <w:sz w:val="20"/>
          <w:szCs w:val="20"/>
          <w:lang w:eastAsia="zh-CN"/>
        </w:rPr>
        <w:t>相关证明材料。</w:t>
      </w:r>
    </w:p>
    <w:p>
      <w:pPr>
        <w:spacing w:line="227" w:lineRule="auto"/>
        <w:rPr>
          <w:rFonts w:ascii="宋体" w:hAnsi="宋体" w:eastAsia="宋体" w:cs="宋体"/>
          <w:color w:val="auto"/>
          <w:sz w:val="20"/>
          <w:szCs w:val="20"/>
          <w:lang w:eastAsia="zh-CN"/>
        </w:rPr>
        <w:sectPr>
          <w:footerReference r:id="rId110" w:type="default"/>
          <w:pgSz w:w="11906" w:h="16839"/>
          <w:pgMar w:top="1431" w:right="1418" w:bottom="1469" w:left="1475"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5" w:name="bookmark544"/>
      <w:bookmarkEnd w:id="515"/>
      <w:r>
        <w:rPr>
          <w:rFonts w:ascii="仿宋" w:hAnsi="仿宋" w:eastAsia="仿宋" w:cs="仿宋"/>
          <w:b/>
          <w:bCs/>
          <w:color w:val="auto"/>
          <w:spacing w:val="-6"/>
          <w:sz w:val="28"/>
          <w:szCs w:val="28"/>
          <w:lang w:eastAsia="zh-CN"/>
        </w:rPr>
        <w:t>(二)营业执照（全部内容）复印件</w:t>
      </w:r>
    </w:p>
    <w:p>
      <w:pPr>
        <w:spacing w:line="222" w:lineRule="auto"/>
        <w:rPr>
          <w:rFonts w:ascii="仿宋" w:hAnsi="仿宋" w:eastAsia="仿宋" w:cs="仿宋"/>
          <w:color w:val="auto"/>
          <w:sz w:val="28"/>
          <w:szCs w:val="28"/>
          <w:lang w:eastAsia="zh-CN"/>
        </w:rPr>
        <w:sectPr>
          <w:footerReference r:id="rId111"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6" w:name="bookmark546"/>
      <w:bookmarkEnd w:id="516"/>
      <w:r>
        <w:rPr>
          <w:rFonts w:ascii="仿宋" w:hAnsi="仿宋" w:eastAsia="仿宋" w:cs="仿宋"/>
          <w:b/>
          <w:bCs/>
          <w:color w:val="auto"/>
          <w:spacing w:val="-5"/>
          <w:sz w:val="28"/>
          <w:szCs w:val="28"/>
          <w:lang w:eastAsia="zh-CN"/>
        </w:rPr>
        <w:t>(三)企业安全生产许可证（全部内容）复印件</w:t>
      </w:r>
    </w:p>
    <w:p>
      <w:pPr>
        <w:spacing w:line="222" w:lineRule="auto"/>
        <w:rPr>
          <w:rFonts w:ascii="仿宋" w:hAnsi="仿宋" w:eastAsia="仿宋" w:cs="仿宋"/>
          <w:color w:val="auto"/>
          <w:sz w:val="28"/>
          <w:szCs w:val="28"/>
          <w:lang w:eastAsia="zh-CN"/>
        </w:rPr>
        <w:sectPr>
          <w:footerReference r:id="rId112"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2"/>
        <w:rPr>
          <w:rFonts w:ascii="仿宋" w:hAnsi="仿宋" w:eastAsia="仿宋" w:cs="仿宋"/>
          <w:color w:val="auto"/>
          <w:sz w:val="28"/>
          <w:szCs w:val="28"/>
          <w:lang w:eastAsia="zh-CN"/>
        </w:rPr>
      </w:pPr>
      <w:bookmarkStart w:id="517" w:name="bookmark548"/>
      <w:bookmarkEnd w:id="517"/>
      <w:r>
        <w:rPr>
          <w:rFonts w:ascii="仿宋" w:hAnsi="仿宋" w:eastAsia="仿宋" w:cs="仿宋"/>
          <w:b/>
          <w:bCs/>
          <w:color w:val="auto"/>
          <w:spacing w:val="-6"/>
          <w:sz w:val="28"/>
          <w:szCs w:val="28"/>
          <w:lang w:eastAsia="zh-CN"/>
        </w:rPr>
        <w:t>(四)企业资质证书（全部内容）复印件</w:t>
      </w:r>
    </w:p>
    <w:p>
      <w:pPr>
        <w:spacing w:line="222" w:lineRule="auto"/>
        <w:rPr>
          <w:rFonts w:ascii="仿宋" w:hAnsi="仿宋" w:eastAsia="仿宋" w:cs="仿宋"/>
          <w:color w:val="auto"/>
          <w:sz w:val="28"/>
          <w:szCs w:val="28"/>
          <w:lang w:eastAsia="zh-CN"/>
        </w:rPr>
        <w:sectPr>
          <w:footerReference r:id="rId113" w:type="default"/>
          <w:pgSz w:w="11906" w:h="16839"/>
          <w:pgMar w:top="1431" w:right="1785" w:bottom="1469" w:left="1648" w:header="0" w:footer="1304" w:gutter="0"/>
          <w:cols w:space="720" w:num="1"/>
          <w:docGrid w:linePitch="0" w:charSpace="0"/>
        </w:sectPr>
      </w:pPr>
    </w:p>
    <w:p>
      <w:pPr>
        <w:pStyle w:val="3"/>
        <w:spacing w:line="258" w:lineRule="auto"/>
        <w:rPr>
          <w:color w:val="auto"/>
          <w:lang w:eastAsia="zh-CN"/>
        </w:rPr>
      </w:pPr>
    </w:p>
    <w:p>
      <w:pPr>
        <w:pStyle w:val="3"/>
        <w:spacing w:line="259" w:lineRule="auto"/>
        <w:rPr>
          <w:color w:val="auto"/>
          <w:lang w:eastAsia="zh-CN"/>
        </w:rPr>
      </w:pPr>
    </w:p>
    <w:p>
      <w:pPr>
        <w:spacing w:before="91" w:line="222" w:lineRule="auto"/>
        <w:outlineLvl w:val="1"/>
        <w:rPr>
          <w:rFonts w:ascii="仿宋" w:hAnsi="仿宋" w:eastAsia="仿宋" w:cs="仿宋"/>
          <w:color w:val="auto"/>
          <w:sz w:val="28"/>
          <w:szCs w:val="28"/>
          <w:lang w:eastAsia="zh-CN"/>
        </w:rPr>
      </w:pPr>
      <w:bookmarkStart w:id="518" w:name="bookmark550"/>
      <w:bookmarkEnd w:id="518"/>
      <w:r>
        <w:rPr>
          <w:rFonts w:ascii="仿宋" w:hAnsi="仿宋" w:eastAsia="仿宋" w:cs="仿宋"/>
          <w:b/>
          <w:bCs/>
          <w:color w:val="auto"/>
          <w:spacing w:val="-5"/>
          <w:sz w:val="28"/>
          <w:szCs w:val="28"/>
          <w:lang w:eastAsia="zh-CN"/>
        </w:rPr>
        <w:t>(五)项目经理建造师证书（全部内容）复印件</w:t>
      </w:r>
    </w:p>
    <w:p>
      <w:pPr>
        <w:spacing w:line="222" w:lineRule="auto"/>
        <w:rPr>
          <w:rFonts w:ascii="仿宋" w:hAnsi="仿宋" w:eastAsia="仿宋" w:cs="仿宋"/>
          <w:color w:val="auto"/>
          <w:sz w:val="28"/>
          <w:szCs w:val="28"/>
          <w:lang w:eastAsia="zh-CN"/>
        </w:rPr>
        <w:sectPr>
          <w:footerReference r:id="rId114" w:type="default"/>
          <w:pgSz w:w="11906" w:h="16839"/>
          <w:pgMar w:top="1431" w:right="1785" w:bottom="1469" w:left="164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0" w:line="226" w:lineRule="auto"/>
        <w:outlineLvl w:val="0"/>
        <w:rPr>
          <w:rFonts w:ascii="仿宋" w:hAnsi="仿宋" w:eastAsia="仿宋" w:cs="仿宋"/>
          <w:color w:val="auto"/>
          <w:sz w:val="31"/>
          <w:szCs w:val="31"/>
          <w:lang w:eastAsia="zh-CN"/>
        </w:rPr>
      </w:pPr>
      <w:bookmarkStart w:id="519" w:name="bookmark552"/>
      <w:bookmarkEnd w:id="519"/>
      <w:r>
        <w:rPr>
          <w:rFonts w:ascii="仿宋" w:hAnsi="仿宋" w:eastAsia="仿宋" w:cs="仿宋"/>
          <w:b/>
          <w:bCs/>
          <w:color w:val="auto"/>
          <w:spacing w:val="5"/>
          <w:sz w:val="31"/>
          <w:szCs w:val="31"/>
          <w:lang w:eastAsia="zh-CN"/>
        </w:rPr>
        <w:t>十一、奖惩情况及其他材料</w:t>
      </w:r>
    </w:p>
    <w:p>
      <w:pPr>
        <w:spacing w:before="139" w:line="224" w:lineRule="auto"/>
        <w:ind w:left="2932"/>
        <w:rPr>
          <w:rFonts w:ascii="宋体" w:hAnsi="宋体" w:eastAsia="宋体" w:cs="宋体"/>
          <w:color w:val="auto"/>
          <w:sz w:val="31"/>
          <w:szCs w:val="31"/>
          <w:lang w:eastAsia="zh-CN"/>
        </w:rPr>
      </w:pPr>
      <w:r>
        <w:rPr>
          <w:rFonts w:ascii="宋体" w:hAnsi="宋体" w:eastAsia="宋体" w:cs="宋体"/>
          <w:b/>
          <w:bCs/>
          <w:color w:val="auto"/>
          <w:spacing w:val="6"/>
          <w:sz w:val="31"/>
          <w:szCs w:val="31"/>
          <w:lang w:eastAsia="zh-CN"/>
        </w:rPr>
        <w:t>奖惩情况及其他材料</w:t>
      </w:r>
    </w:p>
    <w:p>
      <w:pPr>
        <w:spacing w:line="224" w:lineRule="auto"/>
        <w:rPr>
          <w:rFonts w:ascii="宋体" w:hAnsi="宋体" w:eastAsia="宋体" w:cs="宋体"/>
          <w:color w:val="auto"/>
          <w:sz w:val="31"/>
          <w:szCs w:val="31"/>
          <w:lang w:eastAsia="zh-CN"/>
        </w:rPr>
        <w:sectPr>
          <w:footerReference r:id="rId115" w:type="default"/>
          <w:pgSz w:w="11906" w:h="16839"/>
          <w:pgMar w:top="1431" w:right="1785" w:bottom="1469" w:left="1618"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7" w:lineRule="auto"/>
        <w:rPr>
          <w:rFonts w:ascii="仿宋" w:hAnsi="仿宋" w:eastAsia="仿宋" w:cs="仿宋"/>
          <w:color w:val="auto"/>
          <w:sz w:val="31"/>
          <w:szCs w:val="31"/>
          <w:lang w:eastAsia="zh-CN"/>
        </w:rPr>
      </w:pPr>
      <w:bookmarkStart w:id="520" w:name="bookmark554"/>
      <w:bookmarkEnd w:id="520"/>
      <w:r>
        <w:rPr>
          <w:rFonts w:ascii="仿宋" w:hAnsi="仿宋" w:eastAsia="仿宋" w:cs="仿宋"/>
          <w:b/>
          <w:bCs/>
          <w:color w:val="auto"/>
          <w:spacing w:val="4"/>
          <w:sz w:val="31"/>
          <w:szCs w:val="31"/>
          <w:lang w:eastAsia="zh-CN"/>
        </w:rPr>
        <w:t>第二节技术投标文件格式（明标）</w:t>
      </w:r>
    </w:p>
    <w:p>
      <w:pPr>
        <w:spacing w:line="227" w:lineRule="auto"/>
        <w:rPr>
          <w:rFonts w:ascii="仿宋" w:hAnsi="仿宋" w:eastAsia="仿宋" w:cs="仿宋"/>
          <w:color w:val="auto"/>
          <w:sz w:val="31"/>
          <w:szCs w:val="31"/>
          <w:lang w:eastAsia="zh-CN"/>
        </w:rPr>
        <w:sectPr>
          <w:footerReference r:id="rId116" w:type="default"/>
          <w:pgSz w:w="11906" w:h="16839"/>
          <w:pgMar w:top="1431" w:right="1785" w:bottom="1469" w:left="1623" w:header="0" w:footer="1304" w:gutter="0"/>
          <w:cols w:space="720" w:num="1"/>
          <w:docGrid w:linePitch="0" w:charSpace="0"/>
        </w:sect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tabs>
          <w:tab w:val="left" w:pos="2513"/>
        </w:tabs>
        <w:spacing w:before="91" w:line="221" w:lineRule="auto"/>
        <w:ind w:left="834"/>
        <w:rPr>
          <w:rFonts w:ascii="宋体" w:hAnsi="宋体" w:eastAsia="宋体" w:cs="宋体"/>
          <w:color w:val="auto"/>
          <w:sz w:val="28"/>
          <w:szCs w:val="28"/>
          <w:lang w:eastAsia="zh-CN"/>
        </w:rPr>
      </w:pPr>
      <w:r>
        <w:rPr>
          <w:rFonts w:ascii="宋体" w:hAnsi="宋体" w:eastAsia="宋体" w:cs="宋体"/>
          <w:color w:val="auto"/>
          <w:sz w:val="28"/>
          <w:szCs w:val="28"/>
          <w:u w:val="single"/>
          <w:lang w:eastAsia="zh-CN"/>
        </w:rPr>
        <w:tab/>
      </w:r>
      <w:r>
        <w:rPr>
          <w:rFonts w:ascii="宋体" w:hAnsi="宋体" w:eastAsia="宋体" w:cs="宋体"/>
          <w:color w:val="auto"/>
          <w:spacing w:val="-1"/>
          <w:sz w:val="28"/>
          <w:szCs w:val="28"/>
          <w:lang w:eastAsia="zh-CN"/>
        </w:rPr>
        <w:t>（项目名称）标段施工招标</w:t>
      </w: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1"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pStyle w:val="3"/>
        <w:spacing w:line="242" w:lineRule="auto"/>
        <w:rPr>
          <w:color w:val="auto"/>
          <w:lang w:eastAsia="zh-CN"/>
        </w:rPr>
      </w:pPr>
    </w:p>
    <w:p>
      <w:pPr>
        <w:spacing w:before="140" w:line="225" w:lineRule="auto"/>
        <w:ind w:left="2892"/>
        <w:rPr>
          <w:rFonts w:ascii="黑体" w:hAnsi="黑体" w:eastAsia="黑体" w:cs="黑体"/>
          <w:color w:val="auto"/>
          <w:sz w:val="43"/>
          <w:szCs w:val="43"/>
          <w:lang w:eastAsia="zh-CN"/>
        </w:rPr>
      </w:pPr>
      <w:r>
        <w:rPr>
          <w:rFonts w:ascii="黑体" w:hAnsi="黑体" w:eastAsia="黑体" w:cs="黑体"/>
          <w:color w:val="auto"/>
          <w:spacing w:val="7"/>
          <w:sz w:val="43"/>
          <w:szCs w:val="43"/>
          <w:lang w:eastAsia="zh-CN"/>
        </w:rPr>
        <w:t>技术投标文件</w:t>
      </w:r>
    </w:p>
    <w:p>
      <w:pPr>
        <w:pStyle w:val="3"/>
        <w:spacing w:line="245" w:lineRule="auto"/>
        <w:rPr>
          <w:color w:val="auto"/>
          <w:lang w:eastAsia="zh-CN"/>
        </w:rPr>
      </w:pPr>
    </w:p>
    <w:p>
      <w:pPr>
        <w:pStyle w:val="3"/>
        <w:spacing w:line="245"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pStyle w:val="3"/>
        <w:spacing w:line="246" w:lineRule="auto"/>
        <w:rPr>
          <w:color w:val="auto"/>
          <w:lang w:eastAsia="zh-CN"/>
        </w:rPr>
      </w:pPr>
    </w:p>
    <w:p>
      <w:pPr>
        <w:spacing w:before="91" w:line="222" w:lineRule="auto"/>
        <w:ind w:left="982"/>
        <w:rPr>
          <w:rFonts w:ascii="黑体" w:hAnsi="黑体" w:eastAsia="黑体" w:cs="黑体"/>
          <w:color w:val="auto"/>
          <w:sz w:val="28"/>
          <w:szCs w:val="28"/>
          <w:lang w:eastAsia="zh-CN"/>
        </w:rPr>
      </w:pPr>
      <w:r>
        <w:rPr>
          <w:rFonts w:ascii="黑体" w:hAnsi="黑体" w:eastAsia="黑体" w:cs="黑体"/>
          <w:color w:val="auto"/>
          <w:spacing w:val="3"/>
          <w:sz w:val="28"/>
          <w:szCs w:val="28"/>
          <w:lang w:eastAsia="zh-CN"/>
        </w:rPr>
        <w:t>投标人</w:t>
      </w:r>
      <w:r>
        <w:rPr>
          <w:rFonts w:ascii="黑体" w:hAnsi="黑体" w:eastAsia="黑体" w:cs="黑体"/>
          <w:color w:val="auto"/>
          <w:spacing w:val="-13"/>
          <w:sz w:val="28"/>
          <w:szCs w:val="28"/>
          <w:lang w:eastAsia="zh-CN"/>
        </w:rPr>
        <w:t>：（</w:t>
      </w:r>
      <w:r>
        <w:rPr>
          <w:rFonts w:ascii="黑体" w:hAnsi="黑体" w:eastAsia="黑体" w:cs="黑体"/>
          <w:color w:val="auto"/>
          <w:spacing w:val="3"/>
          <w:sz w:val="28"/>
          <w:szCs w:val="28"/>
          <w:lang w:eastAsia="zh-CN"/>
        </w:rPr>
        <w:t>盖章）</w:t>
      </w:r>
    </w:p>
    <w:p>
      <w:pPr>
        <w:spacing w:before="287" w:line="222" w:lineRule="auto"/>
        <w:ind w:left="708"/>
        <w:rPr>
          <w:rFonts w:ascii="黑体" w:hAnsi="黑体" w:eastAsia="黑体" w:cs="黑体"/>
          <w:color w:val="auto"/>
          <w:sz w:val="28"/>
          <w:szCs w:val="28"/>
          <w:lang w:eastAsia="zh-CN"/>
        </w:rPr>
      </w:pPr>
      <w:r>
        <w:rPr>
          <w:rFonts w:ascii="黑体" w:hAnsi="黑体" w:eastAsia="黑体" w:cs="黑体"/>
          <w:color w:val="auto"/>
          <w:spacing w:val="1"/>
          <w:sz w:val="28"/>
          <w:szCs w:val="28"/>
          <w:lang w:eastAsia="zh-CN"/>
        </w:rPr>
        <w:t>法定代表人或其委托代理人</w:t>
      </w:r>
      <w:r>
        <w:rPr>
          <w:rFonts w:ascii="黑体" w:hAnsi="黑体" w:eastAsia="黑体" w:cs="黑体"/>
          <w:color w:val="auto"/>
          <w:spacing w:val="-16"/>
          <w:sz w:val="28"/>
          <w:szCs w:val="28"/>
          <w:lang w:eastAsia="zh-CN"/>
        </w:rPr>
        <w:t>：（</w:t>
      </w:r>
      <w:r>
        <w:rPr>
          <w:rFonts w:ascii="黑体" w:hAnsi="黑体" w:eastAsia="黑体" w:cs="黑体"/>
          <w:color w:val="auto"/>
          <w:spacing w:val="1"/>
          <w:sz w:val="28"/>
          <w:szCs w:val="28"/>
          <w:lang w:eastAsia="zh-CN"/>
        </w:rPr>
        <w:t>签字）</w:t>
      </w:r>
    </w:p>
    <w:p>
      <w:pPr>
        <w:tabs>
          <w:tab w:val="left" w:pos="3215"/>
        </w:tabs>
        <w:spacing w:before="286" w:line="224" w:lineRule="auto"/>
        <w:ind w:left="2094"/>
        <w:rPr>
          <w:rFonts w:ascii="黑体" w:hAnsi="黑体" w:eastAsia="黑体" w:cs="黑体"/>
          <w:color w:val="auto"/>
          <w:sz w:val="28"/>
          <w:szCs w:val="28"/>
          <w:lang w:eastAsia="zh-CN"/>
        </w:rPr>
      </w:pPr>
      <w:r>
        <w:rPr>
          <w:rFonts w:ascii="黑体" w:hAnsi="黑体" w:eastAsia="黑体" w:cs="黑体"/>
          <w:color w:val="auto"/>
          <w:sz w:val="28"/>
          <w:szCs w:val="28"/>
          <w:u w:val="single"/>
          <w:lang w:eastAsia="zh-CN"/>
        </w:rPr>
        <w:tab/>
      </w:r>
      <w:r>
        <w:rPr>
          <w:rFonts w:ascii="黑体" w:hAnsi="黑体" w:eastAsia="黑体" w:cs="黑体"/>
          <w:color w:val="auto"/>
          <w:spacing w:val="-10"/>
          <w:sz w:val="28"/>
          <w:szCs w:val="28"/>
          <w:lang w:eastAsia="zh-CN"/>
        </w:rPr>
        <w:t>年月日</w:t>
      </w:r>
    </w:p>
    <w:p>
      <w:pPr>
        <w:spacing w:line="224" w:lineRule="auto"/>
        <w:rPr>
          <w:rFonts w:ascii="黑体" w:hAnsi="黑体" w:eastAsia="黑体" w:cs="黑体"/>
          <w:color w:val="auto"/>
          <w:sz w:val="28"/>
          <w:szCs w:val="28"/>
          <w:lang w:eastAsia="zh-CN"/>
        </w:rPr>
        <w:sectPr>
          <w:footerReference r:id="rId117" w:type="default"/>
          <w:pgSz w:w="11906" w:h="16839"/>
          <w:pgMar w:top="1431" w:right="1785" w:bottom="1469" w:left="1785" w:header="0" w:footer="1304" w:gutter="0"/>
          <w:cols w:space="720" w:num="1"/>
          <w:docGrid w:linePitch="0" w:charSpace="0"/>
        </w:sectPr>
      </w:pPr>
    </w:p>
    <w:p>
      <w:pPr>
        <w:pStyle w:val="3"/>
        <w:spacing w:line="243" w:lineRule="auto"/>
        <w:rPr>
          <w:color w:val="auto"/>
          <w:lang w:eastAsia="zh-CN"/>
        </w:rPr>
      </w:pPr>
    </w:p>
    <w:p>
      <w:pPr>
        <w:pStyle w:val="3"/>
        <w:spacing w:line="244" w:lineRule="auto"/>
        <w:rPr>
          <w:color w:val="auto"/>
          <w:lang w:eastAsia="zh-CN"/>
        </w:rPr>
      </w:pPr>
    </w:p>
    <w:p>
      <w:pPr>
        <w:spacing w:before="101" w:line="229" w:lineRule="auto"/>
        <w:ind w:left="3565"/>
        <w:rPr>
          <w:rFonts w:ascii="仿宋" w:hAnsi="仿宋" w:eastAsia="仿宋" w:cs="仿宋"/>
          <w:color w:val="auto"/>
          <w:sz w:val="31"/>
          <w:szCs w:val="31"/>
          <w:lang w:eastAsia="zh-CN"/>
        </w:rPr>
      </w:pPr>
      <w:r>
        <w:rPr>
          <w:rFonts w:ascii="仿宋" w:hAnsi="仿宋" w:eastAsia="仿宋" w:cs="仿宋"/>
          <w:b/>
          <w:bCs/>
          <w:color w:val="auto"/>
          <w:spacing w:val="-38"/>
          <w:sz w:val="31"/>
          <w:szCs w:val="31"/>
          <w:lang w:eastAsia="zh-CN"/>
        </w:rPr>
        <w:t>目录</w:t>
      </w:r>
    </w:p>
    <w:p>
      <w:pPr>
        <w:spacing w:before="123" w:line="222" w:lineRule="auto"/>
        <w:outlineLvl w:val="1"/>
        <w:rPr>
          <w:rFonts w:ascii="仿宋" w:hAnsi="仿宋" w:eastAsia="仿宋" w:cs="仿宋"/>
          <w:color w:val="auto"/>
          <w:sz w:val="24"/>
          <w:szCs w:val="24"/>
          <w:lang w:eastAsia="zh-CN"/>
        </w:rPr>
      </w:pPr>
      <w:r>
        <w:rPr>
          <w:rFonts w:ascii="仿宋" w:hAnsi="仿宋" w:eastAsia="仿宋" w:cs="仿宋"/>
          <w:color w:val="auto"/>
          <w:spacing w:val="-2"/>
          <w:sz w:val="24"/>
          <w:szCs w:val="24"/>
          <w:lang w:eastAsia="zh-CN"/>
        </w:rPr>
        <w:t>（一）施工组织设计（明标）</w:t>
      </w:r>
    </w:p>
    <w:p>
      <w:pPr>
        <w:spacing w:line="222" w:lineRule="auto"/>
        <w:rPr>
          <w:rFonts w:ascii="仿宋" w:hAnsi="仿宋" w:eastAsia="仿宋" w:cs="仿宋"/>
          <w:color w:val="auto"/>
          <w:sz w:val="24"/>
          <w:szCs w:val="24"/>
          <w:lang w:eastAsia="zh-CN"/>
        </w:rPr>
        <w:sectPr>
          <w:footerReference r:id="rId118" w:type="default"/>
          <w:pgSz w:w="11906" w:h="16839"/>
          <w:pgMar w:top="1431" w:right="1785" w:bottom="1469" w:left="1609" w:header="0" w:footer="1304" w:gutter="0"/>
          <w:cols w:space="720" w:num="1"/>
          <w:docGrid w:linePitch="0" w:charSpace="0"/>
        </w:sectPr>
      </w:pPr>
    </w:p>
    <w:p>
      <w:pPr>
        <w:pStyle w:val="3"/>
        <w:spacing w:line="244" w:lineRule="auto"/>
        <w:rPr>
          <w:color w:val="auto"/>
          <w:lang w:eastAsia="zh-CN"/>
        </w:rPr>
      </w:pPr>
    </w:p>
    <w:p>
      <w:pPr>
        <w:pStyle w:val="3"/>
        <w:spacing w:line="244" w:lineRule="auto"/>
        <w:rPr>
          <w:color w:val="auto"/>
          <w:lang w:eastAsia="zh-CN"/>
        </w:rPr>
      </w:pPr>
    </w:p>
    <w:p>
      <w:pPr>
        <w:spacing w:before="101" w:line="228" w:lineRule="auto"/>
        <w:ind w:left="15"/>
        <w:rPr>
          <w:rFonts w:ascii="仿宋" w:hAnsi="仿宋" w:eastAsia="仿宋" w:cs="仿宋"/>
          <w:color w:val="auto"/>
          <w:sz w:val="31"/>
          <w:szCs w:val="31"/>
          <w:lang w:eastAsia="zh-CN"/>
        </w:rPr>
      </w:pPr>
      <w:bookmarkStart w:id="521" w:name="bookmark556"/>
      <w:bookmarkEnd w:id="521"/>
      <w:r>
        <w:rPr>
          <w:rFonts w:ascii="仿宋" w:hAnsi="仿宋" w:eastAsia="仿宋" w:cs="仿宋"/>
          <w:b/>
          <w:bCs/>
          <w:color w:val="auto"/>
          <w:spacing w:val="4"/>
          <w:sz w:val="31"/>
          <w:szCs w:val="31"/>
          <w:lang w:eastAsia="zh-CN"/>
        </w:rPr>
        <w:t>一、施工组织设计（明标）</w:t>
      </w:r>
    </w:p>
    <w:p>
      <w:pPr>
        <w:spacing w:before="228" w:line="341" w:lineRule="auto"/>
        <w:ind w:firstLine="432"/>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1.  投标人编制技术投标文件（施工组织设计）的要求：编制时应采用文字并结合图表形式</w:t>
      </w:r>
      <w:r>
        <w:rPr>
          <w:rFonts w:ascii="宋体" w:hAnsi="宋体" w:eastAsia="宋体" w:cs="宋体"/>
          <w:color w:val="auto"/>
          <w:spacing w:val="10"/>
          <w:sz w:val="20"/>
          <w:szCs w:val="20"/>
          <w:lang w:eastAsia="zh-CN"/>
        </w:rPr>
        <w:t>说明施工方法；拟投入本标段的主要施工设备情况、拟配备本标段的试验和检测仪器设备情况、</w:t>
      </w:r>
      <w:r>
        <w:rPr>
          <w:rFonts w:ascii="宋体" w:hAnsi="宋体" w:eastAsia="宋体" w:cs="宋体"/>
          <w:color w:val="auto"/>
          <w:spacing w:val="9"/>
          <w:sz w:val="20"/>
          <w:szCs w:val="20"/>
          <w:lang w:eastAsia="zh-CN"/>
        </w:rPr>
        <w:t>劳动力计划等；结合工程特点提出切实可行的工程质量、安全生产、文明施工、工</w:t>
      </w:r>
      <w:r>
        <w:rPr>
          <w:rFonts w:ascii="宋体" w:hAnsi="宋体" w:eastAsia="宋体" w:cs="宋体"/>
          <w:color w:val="auto"/>
          <w:spacing w:val="8"/>
          <w:sz w:val="20"/>
          <w:szCs w:val="20"/>
          <w:lang w:eastAsia="zh-CN"/>
        </w:rPr>
        <w:t>程进度、技术</w:t>
      </w:r>
      <w:r>
        <w:rPr>
          <w:rFonts w:ascii="宋体" w:hAnsi="宋体" w:eastAsia="宋体" w:cs="宋体"/>
          <w:color w:val="auto"/>
          <w:spacing w:val="6"/>
          <w:sz w:val="20"/>
          <w:szCs w:val="20"/>
          <w:lang w:eastAsia="zh-CN"/>
        </w:rPr>
        <w:t>组织措施，同时应对关键工序、复杂环节重点提出相应技术措施</w:t>
      </w:r>
      <w:r>
        <w:rPr>
          <w:rFonts w:ascii="宋体" w:hAnsi="宋体" w:eastAsia="宋体" w:cs="宋体"/>
          <w:color w:val="auto"/>
          <w:spacing w:val="5"/>
          <w:sz w:val="20"/>
          <w:szCs w:val="20"/>
          <w:lang w:eastAsia="zh-CN"/>
        </w:rPr>
        <w:t>，如冬雨季施工技术、减少噪音、</w:t>
      </w:r>
      <w:r>
        <w:rPr>
          <w:rFonts w:ascii="宋体" w:hAnsi="宋体" w:eastAsia="宋体" w:cs="宋体"/>
          <w:color w:val="auto"/>
          <w:spacing w:val="9"/>
          <w:sz w:val="20"/>
          <w:szCs w:val="20"/>
          <w:lang w:eastAsia="zh-CN"/>
        </w:rPr>
        <w:t>降低环境污染、地下管线及其他地上地下设施的保护加固措施等。</w:t>
      </w:r>
    </w:p>
    <w:p>
      <w:pPr>
        <w:spacing w:before="154" w:line="297" w:lineRule="auto"/>
        <w:ind w:left="432" w:right="1541" w:hanging="1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施工组织设计除采用文字表述外可附下列图表，图表及格式要求附后。附表一  拟投入本标段的主要施工设备表</w:t>
      </w:r>
    </w:p>
    <w:p>
      <w:pPr>
        <w:spacing w:before="154"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附表二  拟配备本标段的试验和检测仪器设备表</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附表三劳动力计划表</w:t>
      </w:r>
    </w:p>
    <w:p>
      <w:pPr>
        <w:spacing w:before="152" w:line="227" w:lineRule="auto"/>
        <w:ind w:left="433"/>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附表四  计划开、竣工日期和施工进度网络图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6"/>
          <w:sz w:val="20"/>
          <w:szCs w:val="20"/>
          <w:lang w:eastAsia="zh-CN"/>
        </w:rPr>
        <w:t>附表五  施工总平面图</w:t>
      </w:r>
    </w:p>
    <w:p>
      <w:pPr>
        <w:spacing w:before="155" w:line="227" w:lineRule="auto"/>
        <w:ind w:left="433"/>
        <w:rPr>
          <w:rFonts w:ascii="宋体" w:hAnsi="宋体" w:eastAsia="宋体" w:cs="宋体"/>
          <w:color w:val="auto"/>
          <w:sz w:val="20"/>
          <w:szCs w:val="20"/>
          <w:lang w:eastAsia="zh-CN"/>
        </w:rPr>
      </w:pPr>
      <w:r>
        <w:rPr>
          <w:rFonts w:ascii="宋体" w:hAnsi="宋体" w:eastAsia="宋体" w:cs="宋体"/>
          <w:color w:val="auto"/>
          <w:spacing w:val="4"/>
          <w:sz w:val="20"/>
          <w:szCs w:val="20"/>
          <w:lang w:eastAsia="zh-CN"/>
        </w:rPr>
        <w:t>附表六临时用地表</w:t>
      </w:r>
    </w:p>
    <w:p>
      <w:pPr>
        <w:spacing w:line="227" w:lineRule="auto"/>
        <w:rPr>
          <w:rFonts w:ascii="宋体" w:hAnsi="宋体" w:eastAsia="宋体" w:cs="宋体"/>
          <w:color w:val="auto"/>
          <w:sz w:val="20"/>
          <w:szCs w:val="20"/>
          <w:lang w:eastAsia="zh-CN"/>
        </w:rPr>
        <w:sectPr>
          <w:footerReference r:id="rId119" w:type="default"/>
          <w:pgSz w:w="11906" w:h="16839"/>
          <w:pgMar w:top="1431" w:right="1462" w:bottom="1469" w:left="1599" w:header="0" w:footer="1304" w:gutter="0"/>
          <w:cols w:space="720" w:num="1"/>
          <w:docGrid w:linePitch="0" w:charSpace="0"/>
        </w:sectPr>
      </w:pPr>
    </w:p>
    <w:p>
      <w:pPr>
        <w:pStyle w:val="3"/>
        <w:spacing w:line="414" w:lineRule="auto"/>
        <w:rPr>
          <w:color w:val="auto"/>
          <w:lang w:eastAsia="zh-CN"/>
        </w:rPr>
      </w:pPr>
    </w:p>
    <w:p>
      <w:pPr>
        <w:spacing w:before="101" w:line="227"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附表一：拟投入本标段的主要施工设备表</w:t>
      </w:r>
    </w:p>
    <w:p>
      <w:pPr>
        <w:spacing w:before="178"/>
        <w:rPr>
          <w:color w:val="auto"/>
          <w:lang w:eastAsia="zh-CN"/>
        </w:rPr>
      </w:pPr>
    </w:p>
    <w:tbl>
      <w:tblPr>
        <w:tblStyle w:val="14"/>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6"/>
        <w:gridCol w:w="804"/>
        <w:gridCol w:w="1045"/>
        <w:gridCol w:w="709"/>
        <w:gridCol w:w="780"/>
        <w:gridCol w:w="1279"/>
        <w:gridCol w:w="924"/>
        <w:gridCol w:w="1113"/>
        <w:gridCol w:w="7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6" w:type="dxa"/>
          </w:tcPr>
          <w:p>
            <w:pPr>
              <w:spacing w:line="329" w:lineRule="auto"/>
              <w:rPr>
                <w:color w:val="auto"/>
              </w:rPr>
            </w:pPr>
          </w:p>
          <w:p>
            <w:pPr>
              <w:pStyle w:val="15"/>
              <w:spacing w:before="65" w:line="229" w:lineRule="auto"/>
              <w:ind w:left="159"/>
              <w:rPr>
                <w:color w:val="auto"/>
              </w:rPr>
            </w:pPr>
            <w:r>
              <w:rPr>
                <w:b/>
                <w:bCs/>
                <w:color w:val="auto"/>
                <w:spacing w:val="5"/>
              </w:rPr>
              <w:t>设备名称</w:t>
            </w:r>
          </w:p>
        </w:tc>
        <w:tc>
          <w:tcPr>
            <w:tcW w:w="804" w:type="dxa"/>
          </w:tcPr>
          <w:p>
            <w:pPr>
              <w:pStyle w:val="15"/>
              <w:spacing w:before="179" w:line="323" w:lineRule="auto"/>
              <w:ind w:left="196" w:right="191" w:firstLine="5"/>
              <w:rPr>
                <w:color w:val="auto"/>
              </w:rPr>
            </w:pPr>
            <w:r>
              <w:rPr>
                <w:b/>
                <w:bCs/>
                <w:color w:val="auto"/>
              </w:rPr>
              <w:t>型号</w:t>
            </w:r>
            <w:r>
              <w:rPr>
                <w:b/>
                <w:bCs/>
                <w:color w:val="auto"/>
                <w:spacing w:val="3"/>
              </w:rPr>
              <w:t>规格</w:t>
            </w:r>
          </w:p>
        </w:tc>
        <w:tc>
          <w:tcPr>
            <w:tcW w:w="1045" w:type="dxa"/>
          </w:tcPr>
          <w:p>
            <w:pPr>
              <w:spacing w:line="329" w:lineRule="auto"/>
              <w:rPr>
                <w:color w:val="auto"/>
              </w:rPr>
            </w:pPr>
          </w:p>
          <w:p>
            <w:pPr>
              <w:pStyle w:val="15"/>
              <w:spacing w:before="65" w:line="228" w:lineRule="auto"/>
              <w:ind w:left="317"/>
              <w:rPr>
                <w:color w:val="auto"/>
              </w:rPr>
            </w:pPr>
            <w:r>
              <w:rPr>
                <w:b/>
                <w:bCs/>
                <w:color w:val="auto"/>
                <w:spacing w:val="3"/>
              </w:rPr>
              <w:t>数量</w:t>
            </w:r>
          </w:p>
        </w:tc>
        <w:tc>
          <w:tcPr>
            <w:tcW w:w="709" w:type="dxa"/>
          </w:tcPr>
          <w:p>
            <w:pPr>
              <w:pStyle w:val="15"/>
              <w:spacing w:before="179" w:line="323" w:lineRule="auto"/>
              <w:ind w:left="149" w:right="142"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4" w:right="178"/>
              <w:rPr>
                <w:color w:val="auto"/>
              </w:rPr>
            </w:pPr>
            <w:r>
              <w:rPr>
                <w:b/>
                <w:bCs/>
                <w:color w:val="auto"/>
                <w:spacing w:val="3"/>
              </w:rPr>
              <w:t>制造年份</w:t>
            </w:r>
          </w:p>
        </w:tc>
        <w:tc>
          <w:tcPr>
            <w:tcW w:w="1279" w:type="dxa"/>
          </w:tcPr>
          <w:p>
            <w:pPr>
              <w:pStyle w:val="15"/>
              <w:spacing w:before="179" w:line="323" w:lineRule="auto"/>
              <w:ind w:left="337" w:right="214" w:hanging="113"/>
              <w:rPr>
                <w:color w:val="auto"/>
              </w:rPr>
            </w:pPr>
            <w:r>
              <w:rPr>
                <w:b/>
                <w:bCs/>
                <w:color w:val="auto"/>
                <w:spacing w:val="6"/>
              </w:rPr>
              <w:t>额定功率</w:t>
            </w:r>
            <w:r>
              <w:rPr>
                <w:b/>
                <w:bCs/>
                <w:color w:val="auto"/>
                <w:spacing w:val="-2"/>
              </w:rPr>
              <w:t>（KW）</w:t>
            </w:r>
          </w:p>
        </w:tc>
        <w:tc>
          <w:tcPr>
            <w:tcW w:w="924" w:type="dxa"/>
          </w:tcPr>
          <w:p>
            <w:pPr>
              <w:pStyle w:val="15"/>
              <w:spacing w:before="179" w:line="323" w:lineRule="auto"/>
              <w:ind w:left="266" w:right="248" w:hanging="6"/>
              <w:rPr>
                <w:color w:val="auto"/>
              </w:rPr>
            </w:pPr>
            <w:r>
              <w:rPr>
                <w:b/>
                <w:bCs/>
                <w:color w:val="auto"/>
                <w:spacing w:val="3"/>
              </w:rPr>
              <w:t>生产</w:t>
            </w:r>
            <w:r>
              <w:rPr>
                <w:b/>
                <w:bCs/>
                <w:color w:val="auto"/>
                <w:spacing w:val="-1"/>
              </w:rPr>
              <w:t>能力</w:t>
            </w:r>
          </w:p>
        </w:tc>
        <w:tc>
          <w:tcPr>
            <w:tcW w:w="1113" w:type="dxa"/>
          </w:tcPr>
          <w:p>
            <w:pPr>
              <w:pStyle w:val="15"/>
              <w:spacing w:before="179" w:line="323" w:lineRule="auto"/>
              <w:ind w:left="354" w:right="132" w:hanging="212"/>
              <w:rPr>
                <w:color w:val="auto"/>
              </w:rPr>
            </w:pPr>
            <w:r>
              <w:rPr>
                <w:b/>
                <w:bCs/>
                <w:color w:val="auto"/>
                <w:spacing w:val="6"/>
              </w:rPr>
              <w:t>用于施工</w:t>
            </w:r>
            <w:r>
              <w:rPr>
                <w:b/>
                <w:bCs/>
                <w:color w:val="auto"/>
                <w:spacing w:val="2"/>
              </w:rPr>
              <w:t>部位</w:t>
            </w:r>
          </w:p>
        </w:tc>
        <w:tc>
          <w:tcPr>
            <w:tcW w:w="734"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6" w:type="dxa"/>
          </w:tcPr>
          <w:p>
            <w:pPr>
              <w:rPr>
                <w:color w:val="auto"/>
              </w:rPr>
            </w:pPr>
          </w:p>
        </w:tc>
        <w:tc>
          <w:tcPr>
            <w:tcW w:w="804" w:type="dxa"/>
          </w:tcPr>
          <w:p>
            <w:pPr>
              <w:rPr>
                <w:color w:val="auto"/>
              </w:rPr>
            </w:pPr>
          </w:p>
        </w:tc>
        <w:tc>
          <w:tcPr>
            <w:tcW w:w="1045" w:type="dxa"/>
          </w:tcPr>
          <w:p>
            <w:pPr>
              <w:rPr>
                <w:color w:val="auto"/>
              </w:rPr>
            </w:pPr>
          </w:p>
        </w:tc>
        <w:tc>
          <w:tcPr>
            <w:tcW w:w="709" w:type="dxa"/>
          </w:tcPr>
          <w:p>
            <w:pPr>
              <w:rPr>
                <w:color w:val="auto"/>
              </w:rPr>
            </w:pPr>
          </w:p>
        </w:tc>
        <w:tc>
          <w:tcPr>
            <w:tcW w:w="780" w:type="dxa"/>
          </w:tcPr>
          <w:p>
            <w:pPr>
              <w:rPr>
                <w:color w:val="auto"/>
              </w:rPr>
            </w:pPr>
          </w:p>
        </w:tc>
        <w:tc>
          <w:tcPr>
            <w:tcW w:w="1279" w:type="dxa"/>
          </w:tcPr>
          <w:p>
            <w:pPr>
              <w:rPr>
                <w:color w:val="auto"/>
              </w:rPr>
            </w:pPr>
          </w:p>
        </w:tc>
        <w:tc>
          <w:tcPr>
            <w:tcW w:w="924" w:type="dxa"/>
          </w:tcPr>
          <w:p>
            <w:pPr>
              <w:rPr>
                <w:color w:val="auto"/>
              </w:rPr>
            </w:pPr>
          </w:p>
        </w:tc>
        <w:tc>
          <w:tcPr>
            <w:tcW w:w="1113" w:type="dxa"/>
          </w:tcPr>
          <w:p>
            <w:pPr>
              <w:rPr>
                <w:color w:val="auto"/>
              </w:rPr>
            </w:pPr>
          </w:p>
        </w:tc>
        <w:tc>
          <w:tcPr>
            <w:tcW w:w="734" w:type="dxa"/>
          </w:tcPr>
          <w:p>
            <w:pPr>
              <w:rPr>
                <w:color w:val="auto"/>
              </w:rPr>
            </w:pPr>
          </w:p>
        </w:tc>
      </w:tr>
    </w:tbl>
    <w:p>
      <w:pPr>
        <w:pStyle w:val="3"/>
        <w:rPr>
          <w:color w:val="auto"/>
        </w:rPr>
      </w:pPr>
    </w:p>
    <w:p>
      <w:pPr>
        <w:rPr>
          <w:color w:val="auto"/>
        </w:rPr>
        <w:sectPr>
          <w:footerReference r:id="rId120" w:type="default"/>
          <w:pgSz w:w="11906" w:h="16839"/>
          <w:pgMar w:top="1431" w:right="1292" w:bottom="1469" w:left="1367" w:header="0" w:footer="1304" w:gutter="0"/>
          <w:cols w:space="720" w:num="1"/>
          <w:docGrid w:linePitch="0" w:charSpace="0"/>
        </w:sectPr>
      </w:pPr>
    </w:p>
    <w:p>
      <w:pPr>
        <w:pStyle w:val="3"/>
        <w:spacing w:line="415" w:lineRule="auto"/>
        <w:rPr>
          <w:color w:val="auto"/>
        </w:rPr>
      </w:pPr>
    </w:p>
    <w:p>
      <w:pPr>
        <w:spacing w:before="101" w:line="226" w:lineRule="auto"/>
        <w:ind w:left="251"/>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附表二：拟配备本标段的试验和检测仪器设备表</w:t>
      </w:r>
    </w:p>
    <w:p>
      <w:pPr>
        <w:spacing w:before="180"/>
        <w:rPr>
          <w:color w:val="auto"/>
          <w:lang w:eastAsia="zh-CN"/>
        </w:rPr>
      </w:pPr>
    </w:p>
    <w:tbl>
      <w:tblPr>
        <w:tblStyle w:val="14"/>
        <w:tblW w:w="89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148"/>
        <w:gridCol w:w="803"/>
        <w:gridCol w:w="1046"/>
        <w:gridCol w:w="710"/>
        <w:gridCol w:w="780"/>
        <w:gridCol w:w="1280"/>
        <w:gridCol w:w="1745"/>
        <w:gridCol w:w="7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9" w:hRule="atLeast"/>
        </w:trPr>
        <w:tc>
          <w:tcPr>
            <w:tcW w:w="707" w:type="dxa"/>
          </w:tcPr>
          <w:p>
            <w:pPr>
              <w:spacing w:line="329" w:lineRule="auto"/>
              <w:rPr>
                <w:color w:val="auto"/>
                <w:lang w:eastAsia="zh-CN"/>
              </w:rPr>
            </w:pPr>
          </w:p>
          <w:p>
            <w:pPr>
              <w:pStyle w:val="15"/>
              <w:spacing w:before="65" w:line="229" w:lineRule="auto"/>
              <w:ind w:left="115"/>
              <w:rPr>
                <w:color w:val="auto"/>
              </w:rPr>
            </w:pPr>
            <w:r>
              <w:rPr>
                <w:b/>
                <w:bCs/>
                <w:color w:val="auto"/>
                <w:spacing w:val="4"/>
              </w:rPr>
              <w:t>序号</w:t>
            </w:r>
          </w:p>
        </w:tc>
        <w:tc>
          <w:tcPr>
            <w:tcW w:w="1148" w:type="dxa"/>
          </w:tcPr>
          <w:p>
            <w:pPr>
              <w:pStyle w:val="15"/>
              <w:spacing w:before="179" w:line="323" w:lineRule="auto"/>
              <w:ind w:left="368" w:right="152" w:hanging="212"/>
              <w:rPr>
                <w:color w:val="auto"/>
              </w:rPr>
            </w:pPr>
            <w:r>
              <w:rPr>
                <w:b/>
                <w:bCs/>
                <w:color w:val="auto"/>
                <w:spacing w:val="6"/>
              </w:rPr>
              <w:t>仪器设备</w:t>
            </w:r>
            <w:r>
              <w:rPr>
                <w:b/>
                <w:bCs/>
                <w:color w:val="auto"/>
                <w:spacing w:val="2"/>
              </w:rPr>
              <w:t>名称</w:t>
            </w:r>
          </w:p>
        </w:tc>
        <w:tc>
          <w:tcPr>
            <w:tcW w:w="803" w:type="dxa"/>
          </w:tcPr>
          <w:p>
            <w:pPr>
              <w:pStyle w:val="15"/>
              <w:spacing w:before="179" w:line="323" w:lineRule="auto"/>
              <w:ind w:left="194" w:right="192" w:firstLine="5"/>
              <w:rPr>
                <w:color w:val="auto"/>
              </w:rPr>
            </w:pPr>
            <w:r>
              <w:rPr>
                <w:b/>
                <w:bCs/>
                <w:color w:val="auto"/>
              </w:rPr>
              <w:t>型号</w:t>
            </w:r>
            <w:r>
              <w:rPr>
                <w:b/>
                <w:bCs/>
                <w:color w:val="auto"/>
                <w:spacing w:val="3"/>
              </w:rPr>
              <w:t>规格</w:t>
            </w:r>
          </w:p>
        </w:tc>
        <w:tc>
          <w:tcPr>
            <w:tcW w:w="1046" w:type="dxa"/>
          </w:tcPr>
          <w:p>
            <w:pPr>
              <w:spacing w:line="329" w:lineRule="auto"/>
              <w:rPr>
                <w:color w:val="auto"/>
              </w:rPr>
            </w:pPr>
          </w:p>
          <w:p>
            <w:pPr>
              <w:pStyle w:val="15"/>
              <w:spacing w:before="65" w:line="228" w:lineRule="auto"/>
              <w:ind w:left="318"/>
              <w:rPr>
                <w:color w:val="auto"/>
              </w:rPr>
            </w:pPr>
            <w:r>
              <w:rPr>
                <w:b/>
                <w:bCs/>
                <w:color w:val="auto"/>
                <w:spacing w:val="3"/>
              </w:rPr>
              <w:t>数量</w:t>
            </w:r>
          </w:p>
        </w:tc>
        <w:tc>
          <w:tcPr>
            <w:tcW w:w="710" w:type="dxa"/>
          </w:tcPr>
          <w:p>
            <w:pPr>
              <w:pStyle w:val="15"/>
              <w:spacing w:before="179" w:line="323" w:lineRule="auto"/>
              <w:ind w:left="149" w:right="143" w:firstLine="20"/>
              <w:rPr>
                <w:color w:val="auto"/>
              </w:rPr>
            </w:pPr>
            <w:r>
              <w:rPr>
                <w:b/>
                <w:bCs/>
                <w:color w:val="auto"/>
                <w:spacing w:val="-7"/>
              </w:rPr>
              <w:t>国别</w:t>
            </w:r>
            <w:r>
              <w:rPr>
                <w:b/>
                <w:bCs/>
                <w:color w:val="auto"/>
                <w:spacing w:val="3"/>
              </w:rPr>
              <w:t>产地</w:t>
            </w:r>
          </w:p>
        </w:tc>
        <w:tc>
          <w:tcPr>
            <w:tcW w:w="780" w:type="dxa"/>
          </w:tcPr>
          <w:p>
            <w:pPr>
              <w:pStyle w:val="15"/>
              <w:spacing w:before="179" w:line="323" w:lineRule="auto"/>
              <w:ind w:left="186" w:right="177"/>
              <w:rPr>
                <w:color w:val="auto"/>
              </w:rPr>
            </w:pPr>
            <w:r>
              <w:rPr>
                <w:b/>
                <w:bCs/>
                <w:color w:val="auto"/>
                <w:spacing w:val="3"/>
              </w:rPr>
              <w:t>制造年份</w:t>
            </w:r>
          </w:p>
        </w:tc>
        <w:tc>
          <w:tcPr>
            <w:tcW w:w="1280" w:type="dxa"/>
          </w:tcPr>
          <w:p>
            <w:pPr>
              <w:pStyle w:val="15"/>
              <w:spacing w:before="179" w:line="323" w:lineRule="auto"/>
              <w:ind w:left="445" w:right="216" w:hanging="198"/>
              <w:rPr>
                <w:color w:val="auto"/>
              </w:rPr>
            </w:pPr>
            <w:r>
              <w:rPr>
                <w:b/>
                <w:bCs/>
                <w:color w:val="auto"/>
              </w:rPr>
              <w:t>已使用台</w:t>
            </w:r>
            <w:r>
              <w:rPr>
                <w:b/>
                <w:bCs/>
                <w:color w:val="auto"/>
                <w:spacing w:val="-1"/>
              </w:rPr>
              <w:t>时数</w:t>
            </w:r>
          </w:p>
        </w:tc>
        <w:tc>
          <w:tcPr>
            <w:tcW w:w="1745" w:type="dxa"/>
          </w:tcPr>
          <w:p>
            <w:pPr>
              <w:spacing w:line="329" w:lineRule="auto"/>
              <w:rPr>
                <w:color w:val="auto"/>
              </w:rPr>
            </w:pPr>
          </w:p>
          <w:p>
            <w:pPr>
              <w:pStyle w:val="15"/>
              <w:spacing w:before="65" w:line="229" w:lineRule="auto"/>
              <w:ind w:left="671"/>
              <w:rPr>
                <w:color w:val="auto"/>
              </w:rPr>
            </w:pPr>
            <w:r>
              <w:rPr>
                <w:b/>
                <w:bCs/>
                <w:color w:val="auto"/>
                <w:spacing w:val="3"/>
              </w:rPr>
              <w:t>用途</w:t>
            </w:r>
          </w:p>
        </w:tc>
        <w:tc>
          <w:tcPr>
            <w:tcW w:w="730" w:type="dxa"/>
          </w:tcPr>
          <w:p>
            <w:pPr>
              <w:spacing w:line="329" w:lineRule="auto"/>
              <w:rPr>
                <w:color w:val="auto"/>
              </w:rPr>
            </w:pPr>
          </w:p>
          <w:p>
            <w:pPr>
              <w:pStyle w:val="15"/>
              <w:spacing w:before="65" w:line="229" w:lineRule="auto"/>
              <w:ind w:left="163"/>
              <w:rPr>
                <w:color w:val="auto"/>
              </w:rPr>
            </w:pPr>
            <w:r>
              <w:rPr>
                <w:b/>
                <w:bCs/>
                <w:color w:val="auto"/>
                <w:spacing w:val="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707" w:type="dxa"/>
          </w:tcPr>
          <w:p>
            <w:pPr>
              <w:rPr>
                <w:color w:val="auto"/>
              </w:rPr>
            </w:pPr>
          </w:p>
        </w:tc>
        <w:tc>
          <w:tcPr>
            <w:tcW w:w="1148" w:type="dxa"/>
          </w:tcPr>
          <w:p>
            <w:pPr>
              <w:rPr>
                <w:color w:val="auto"/>
              </w:rPr>
            </w:pPr>
          </w:p>
        </w:tc>
        <w:tc>
          <w:tcPr>
            <w:tcW w:w="803" w:type="dxa"/>
          </w:tcPr>
          <w:p>
            <w:pPr>
              <w:rPr>
                <w:color w:val="auto"/>
              </w:rPr>
            </w:pPr>
          </w:p>
        </w:tc>
        <w:tc>
          <w:tcPr>
            <w:tcW w:w="1046" w:type="dxa"/>
          </w:tcPr>
          <w:p>
            <w:pPr>
              <w:rPr>
                <w:color w:val="auto"/>
              </w:rPr>
            </w:pPr>
          </w:p>
        </w:tc>
        <w:tc>
          <w:tcPr>
            <w:tcW w:w="710" w:type="dxa"/>
          </w:tcPr>
          <w:p>
            <w:pPr>
              <w:rPr>
                <w:color w:val="auto"/>
              </w:rPr>
            </w:pPr>
          </w:p>
        </w:tc>
        <w:tc>
          <w:tcPr>
            <w:tcW w:w="780" w:type="dxa"/>
          </w:tcPr>
          <w:p>
            <w:pPr>
              <w:rPr>
                <w:color w:val="auto"/>
              </w:rPr>
            </w:pPr>
          </w:p>
        </w:tc>
        <w:tc>
          <w:tcPr>
            <w:tcW w:w="1280" w:type="dxa"/>
          </w:tcPr>
          <w:p>
            <w:pPr>
              <w:rPr>
                <w:color w:val="auto"/>
              </w:rPr>
            </w:pPr>
          </w:p>
        </w:tc>
        <w:tc>
          <w:tcPr>
            <w:tcW w:w="1745" w:type="dxa"/>
          </w:tcPr>
          <w:p>
            <w:pPr>
              <w:rPr>
                <w:color w:val="auto"/>
              </w:rPr>
            </w:pPr>
          </w:p>
        </w:tc>
        <w:tc>
          <w:tcPr>
            <w:tcW w:w="730" w:type="dxa"/>
          </w:tcPr>
          <w:p>
            <w:pPr>
              <w:rPr>
                <w:color w:val="auto"/>
              </w:rPr>
            </w:pPr>
          </w:p>
        </w:tc>
      </w:tr>
    </w:tbl>
    <w:p>
      <w:pPr>
        <w:pStyle w:val="3"/>
        <w:rPr>
          <w:color w:val="auto"/>
        </w:rPr>
      </w:pPr>
    </w:p>
    <w:p>
      <w:pPr>
        <w:rPr>
          <w:color w:val="auto"/>
        </w:rPr>
        <w:sectPr>
          <w:footerReference r:id="rId121" w:type="default"/>
          <w:pgSz w:w="11906" w:h="16839"/>
          <w:pgMar w:top="1431" w:right="1584" w:bottom="1469" w:left="1367" w:header="0" w:footer="1304" w:gutter="0"/>
          <w:cols w:space="720" w:num="1"/>
          <w:docGrid w:linePitch="0" w:charSpace="0"/>
        </w:sectPr>
      </w:pPr>
    </w:p>
    <w:p>
      <w:pPr>
        <w:pStyle w:val="3"/>
        <w:spacing w:line="414" w:lineRule="auto"/>
        <w:rPr>
          <w:color w:val="auto"/>
        </w:rPr>
      </w:pPr>
    </w:p>
    <w:p>
      <w:pPr>
        <w:spacing w:before="101" w:line="227"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附表三：劳动力计划表</w:t>
      </w:r>
    </w:p>
    <w:p>
      <w:pPr>
        <w:spacing w:before="152" w:line="228" w:lineRule="auto"/>
        <w:ind w:left="7870"/>
        <w:rPr>
          <w:rFonts w:ascii="宋体" w:hAnsi="宋体" w:eastAsia="宋体" w:cs="宋体"/>
          <w:color w:val="auto"/>
          <w:sz w:val="20"/>
          <w:szCs w:val="20"/>
        </w:rPr>
      </w:pPr>
      <w:r>
        <w:rPr>
          <w:rFonts w:ascii="宋体" w:hAnsi="宋体" w:eastAsia="宋体" w:cs="宋体"/>
          <w:color w:val="auto"/>
          <w:spacing w:val="7"/>
          <w:sz w:val="20"/>
          <w:szCs w:val="20"/>
        </w:rPr>
        <w:t>单位：人</w:t>
      </w:r>
    </w:p>
    <w:p>
      <w:pPr>
        <w:spacing w:line="20" w:lineRule="exact"/>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1377"/>
        <w:gridCol w:w="1124"/>
        <w:gridCol w:w="1125"/>
        <w:gridCol w:w="1124"/>
        <w:gridCol w:w="1125"/>
        <w:gridCol w:w="1124"/>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pStyle w:val="15"/>
              <w:spacing w:before="178" w:line="228" w:lineRule="auto"/>
              <w:ind w:left="236"/>
              <w:rPr>
                <w:color w:val="auto"/>
              </w:rPr>
            </w:pPr>
            <w:r>
              <w:rPr>
                <w:b/>
                <w:bCs/>
                <w:color w:val="auto"/>
                <w:spacing w:val="2"/>
              </w:rPr>
              <w:t>工种</w:t>
            </w:r>
          </w:p>
        </w:tc>
        <w:tc>
          <w:tcPr>
            <w:tcW w:w="8127" w:type="dxa"/>
            <w:gridSpan w:val="7"/>
          </w:tcPr>
          <w:p>
            <w:pPr>
              <w:pStyle w:val="15"/>
              <w:spacing w:before="177" w:line="228" w:lineRule="auto"/>
              <w:ind w:left="2593"/>
              <w:rPr>
                <w:color w:val="auto"/>
                <w:lang w:eastAsia="zh-CN"/>
              </w:rPr>
            </w:pPr>
            <w:r>
              <w:rPr>
                <w:b/>
                <w:bCs/>
                <w:color w:val="auto"/>
                <w:spacing w:val="7"/>
                <w:lang w:eastAsia="zh-CN"/>
              </w:rPr>
              <w:t>按工程施工阶段投入劳动力情况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880" w:type="dxa"/>
          </w:tcPr>
          <w:p>
            <w:pPr>
              <w:rPr>
                <w:color w:val="auto"/>
                <w:lang w:eastAsia="zh-CN"/>
              </w:rPr>
            </w:pPr>
          </w:p>
        </w:tc>
        <w:tc>
          <w:tcPr>
            <w:tcW w:w="1377"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5" w:type="dxa"/>
          </w:tcPr>
          <w:p>
            <w:pPr>
              <w:rPr>
                <w:color w:val="auto"/>
                <w:lang w:eastAsia="zh-CN"/>
              </w:rPr>
            </w:pPr>
          </w:p>
        </w:tc>
        <w:tc>
          <w:tcPr>
            <w:tcW w:w="1124" w:type="dxa"/>
          </w:tcPr>
          <w:p>
            <w:pPr>
              <w:rPr>
                <w:color w:val="auto"/>
                <w:lang w:eastAsia="zh-CN"/>
              </w:rPr>
            </w:pPr>
          </w:p>
        </w:tc>
        <w:tc>
          <w:tcPr>
            <w:tcW w:w="1128" w:type="dxa"/>
          </w:tcPr>
          <w:p>
            <w:pPr>
              <w:rPr>
                <w:color w:val="auto"/>
                <w:lang w:eastAsia="zh-CN"/>
              </w:rPr>
            </w:pPr>
          </w:p>
        </w:tc>
      </w:tr>
    </w:tbl>
    <w:p>
      <w:pPr>
        <w:pStyle w:val="3"/>
        <w:rPr>
          <w:color w:val="auto"/>
          <w:lang w:eastAsia="zh-CN"/>
        </w:rPr>
      </w:pPr>
    </w:p>
    <w:p>
      <w:pPr>
        <w:rPr>
          <w:color w:val="auto"/>
          <w:lang w:eastAsia="zh-CN"/>
        </w:rPr>
        <w:sectPr>
          <w:footerReference r:id="rId122" w:type="default"/>
          <w:pgSz w:w="11906" w:h="16839"/>
          <w:pgMar w:top="1431" w:right="1418" w:bottom="1469" w:left="1475" w:header="0" w:footer="1304" w:gutter="0"/>
          <w:cols w:space="720" w:num="1"/>
          <w:docGrid w:linePitch="0" w:charSpace="0"/>
        </w:sectPr>
      </w:pPr>
    </w:p>
    <w:p>
      <w:pPr>
        <w:pStyle w:val="3"/>
        <w:spacing w:line="415" w:lineRule="auto"/>
        <w:rPr>
          <w:color w:val="auto"/>
          <w:lang w:eastAsia="zh-CN"/>
        </w:rPr>
      </w:pPr>
    </w:p>
    <w:p>
      <w:pPr>
        <w:spacing w:before="101" w:line="226" w:lineRule="auto"/>
        <w:ind w:left="4"/>
        <w:rPr>
          <w:rFonts w:ascii="黑体" w:hAnsi="黑体" w:eastAsia="黑体" w:cs="黑体"/>
          <w:color w:val="auto"/>
          <w:sz w:val="31"/>
          <w:szCs w:val="31"/>
          <w:lang w:eastAsia="zh-CN"/>
        </w:rPr>
      </w:pPr>
      <w:r>
        <w:rPr>
          <w:rFonts w:ascii="黑体" w:hAnsi="黑体" w:eastAsia="黑体" w:cs="黑体"/>
          <w:color w:val="auto"/>
          <w:spacing w:val="8"/>
          <w:sz w:val="31"/>
          <w:szCs w:val="31"/>
          <w:lang w:eastAsia="zh-CN"/>
        </w:rPr>
        <w:t>附表四：计划开、竣工日期和施工进度网络图</w:t>
      </w:r>
    </w:p>
    <w:p>
      <w:pPr>
        <w:pStyle w:val="3"/>
        <w:spacing w:line="261" w:lineRule="auto"/>
        <w:rPr>
          <w:color w:val="auto"/>
          <w:lang w:eastAsia="zh-CN"/>
        </w:rPr>
      </w:pPr>
    </w:p>
    <w:p>
      <w:pPr>
        <w:pStyle w:val="3"/>
        <w:spacing w:line="262" w:lineRule="auto"/>
        <w:rPr>
          <w:color w:val="auto"/>
          <w:lang w:eastAsia="zh-CN"/>
        </w:rPr>
      </w:pPr>
    </w:p>
    <w:p>
      <w:pPr>
        <w:spacing w:before="65" w:line="318" w:lineRule="auto"/>
        <w:ind w:firstLine="418"/>
        <w:rPr>
          <w:rFonts w:ascii="宋体" w:hAnsi="宋体" w:eastAsia="宋体" w:cs="宋体"/>
          <w:color w:val="auto"/>
          <w:sz w:val="20"/>
          <w:szCs w:val="20"/>
          <w:lang w:eastAsia="zh-CN"/>
        </w:rPr>
      </w:pPr>
      <w:r>
        <w:rPr>
          <w:rFonts w:ascii="宋体" w:hAnsi="宋体" w:eastAsia="宋体" w:cs="宋体"/>
          <w:color w:val="auto"/>
          <w:spacing w:val="11"/>
          <w:sz w:val="20"/>
          <w:szCs w:val="20"/>
          <w:lang w:eastAsia="zh-CN"/>
        </w:rPr>
        <w:t>1. 投标人应递交施工进度网络图或施工进度表，说明按招标文</w:t>
      </w:r>
      <w:r>
        <w:rPr>
          <w:rFonts w:ascii="宋体" w:hAnsi="宋体" w:eastAsia="宋体" w:cs="宋体"/>
          <w:color w:val="auto"/>
          <w:spacing w:val="10"/>
          <w:sz w:val="20"/>
          <w:szCs w:val="20"/>
          <w:lang w:eastAsia="zh-CN"/>
        </w:rPr>
        <w:t>件要求的计划工期进行施工</w:t>
      </w:r>
      <w:r>
        <w:rPr>
          <w:rFonts w:ascii="宋体" w:hAnsi="宋体" w:eastAsia="宋体" w:cs="宋体"/>
          <w:color w:val="auto"/>
          <w:spacing w:val="5"/>
          <w:sz w:val="20"/>
          <w:szCs w:val="20"/>
          <w:lang w:eastAsia="zh-CN"/>
        </w:rPr>
        <w:t>的各个关键日期。</w:t>
      </w:r>
    </w:p>
    <w:p>
      <w:pPr>
        <w:spacing w:before="192" w:line="227" w:lineRule="auto"/>
        <w:ind w:left="405"/>
        <w:rPr>
          <w:rFonts w:ascii="宋体" w:hAnsi="宋体" w:eastAsia="宋体" w:cs="宋体"/>
          <w:color w:val="auto"/>
          <w:sz w:val="20"/>
          <w:szCs w:val="20"/>
          <w:lang w:eastAsia="zh-CN"/>
        </w:rPr>
      </w:pPr>
      <w:r>
        <w:rPr>
          <w:rFonts w:ascii="宋体" w:hAnsi="宋体" w:eastAsia="宋体" w:cs="宋体"/>
          <w:color w:val="auto"/>
          <w:spacing w:val="8"/>
          <w:sz w:val="20"/>
          <w:szCs w:val="20"/>
          <w:lang w:eastAsia="zh-CN"/>
        </w:rPr>
        <w:t>2. 施工进度表可采用网络图（或横道图）表示。</w:t>
      </w:r>
    </w:p>
    <w:p>
      <w:pPr>
        <w:spacing w:line="227" w:lineRule="auto"/>
        <w:rPr>
          <w:rFonts w:ascii="宋体" w:hAnsi="宋体" w:eastAsia="宋体" w:cs="宋体"/>
          <w:color w:val="auto"/>
          <w:sz w:val="20"/>
          <w:szCs w:val="20"/>
          <w:lang w:eastAsia="zh-CN"/>
        </w:rPr>
        <w:sectPr>
          <w:footerReference r:id="rId123" w:type="default"/>
          <w:pgSz w:w="11906" w:h="16839"/>
          <w:pgMar w:top="1431" w:right="1533" w:bottom="1469" w:left="1614" w:header="0" w:footer="1304" w:gutter="0"/>
          <w:cols w:space="720" w:num="1"/>
          <w:docGrid w:linePitch="0" w:charSpace="0"/>
        </w:sectPr>
      </w:pPr>
    </w:p>
    <w:p>
      <w:pPr>
        <w:pStyle w:val="3"/>
        <w:spacing w:line="414" w:lineRule="auto"/>
        <w:rPr>
          <w:color w:val="auto"/>
          <w:lang w:eastAsia="zh-CN"/>
        </w:rPr>
      </w:pPr>
    </w:p>
    <w:p>
      <w:pPr>
        <w:spacing w:before="101" w:line="228" w:lineRule="auto"/>
        <w:ind w:left="21"/>
        <w:rPr>
          <w:rFonts w:ascii="黑体" w:hAnsi="黑体" w:eastAsia="黑体" w:cs="黑体"/>
          <w:color w:val="auto"/>
          <w:sz w:val="31"/>
          <w:szCs w:val="31"/>
          <w:lang w:eastAsia="zh-CN"/>
        </w:rPr>
      </w:pPr>
      <w:r>
        <w:rPr>
          <w:rFonts w:ascii="黑体" w:hAnsi="黑体" w:eastAsia="黑体" w:cs="黑体"/>
          <w:color w:val="auto"/>
          <w:spacing w:val="6"/>
          <w:sz w:val="31"/>
          <w:szCs w:val="31"/>
          <w:lang w:eastAsia="zh-CN"/>
        </w:rPr>
        <w:t>附表五：施工总平面图</w:t>
      </w:r>
    </w:p>
    <w:p>
      <w:pPr>
        <w:pStyle w:val="3"/>
        <w:spacing w:line="260" w:lineRule="auto"/>
        <w:rPr>
          <w:color w:val="auto"/>
          <w:lang w:eastAsia="zh-CN"/>
        </w:rPr>
      </w:pPr>
    </w:p>
    <w:p>
      <w:pPr>
        <w:pStyle w:val="3"/>
        <w:spacing w:line="261" w:lineRule="auto"/>
        <w:rPr>
          <w:color w:val="auto"/>
          <w:lang w:eastAsia="zh-CN"/>
        </w:rPr>
      </w:pPr>
    </w:p>
    <w:p>
      <w:pPr>
        <w:spacing w:before="65" w:line="393" w:lineRule="auto"/>
        <w:ind w:firstLine="422"/>
        <w:rPr>
          <w:rFonts w:ascii="宋体" w:hAnsi="宋体" w:eastAsia="宋体" w:cs="宋体"/>
          <w:color w:val="auto"/>
          <w:sz w:val="20"/>
          <w:szCs w:val="20"/>
          <w:lang w:eastAsia="zh-CN"/>
        </w:rPr>
      </w:pPr>
      <w:r>
        <w:rPr>
          <w:rFonts w:ascii="宋体" w:hAnsi="宋体" w:eastAsia="宋体" w:cs="宋体"/>
          <w:color w:val="auto"/>
          <w:spacing w:val="5"/>
          <w:sz w:val="20"/>
          <w:szCs w:val="20"/>
          <w:lang w:eastAsia="zh-CN"/>
        </w:rPr>
        <w:t>投标人应递交一份施工总平面图，绘出现场临时设施布置图表并附文字说明，说明临时设施、</w:t>
      </w:r>
      <w:r>
        <w:rPr>
          <w:rFonts w:ascii="宋体" w:hAnsi="宋体" w:eastAsia="宋体" w:cs="宋体"/>
          <w:color w:val="auto"/>
          <w:spacing w:val="6"/>
          <w:sz w:val="20"/>
          <w:szCs w:val="20"/>
          <w:lang w:eastAsia="zh-CN"/>
        </w:rPr>
        <w:t>加工车间、现场办公、设备及仓储、供电、供水、卫生、生活、道路</w:t>
      </w:r>
      <w:r>
        <w:rPr>
          <w:rFonts w:ascii="宋体" w:hAnsi="宋体" w:eastAsia="宋体" w:cs="宋体"/>
          <w:color w:val="auto"/>
          <w:spacing w:val="5"/>
          <w:sz w:val="20"/>
          <w:szCs w:val="20"/>
          <w:lang w:eastAsia="zh-CN"/>
        </w:rPr>
        <w:t>、消防等设施的情况和布置。</w:t>
      </w:r>
    </w:p>
    <w:p>
      <w:pPr>
        <w:spacing w:line="393" w:lineRule="auto"/>
        <w:rPr>
          <w:rFonts w:ascii="宋体" w:hAnsi="宋体" w:eastAsia="宋体" w:cs="宋体"/>
          <w:color w:val="auto"/>
          <w:sz w:val="20"/>
          <w:szCs w:val="20"/>
          <w:lang w:eastAsia="zh-CN"/>
        </w:rPr>
        <w:sectPr>
          <w:footerReference r:id="rId124" w:type="default"/>
          <w:pgSz w:w="11906" w:h="16839"/>
          <w:pgMar w:top="1431" w:right="1462" w:bottom="1468" w:left="1596" w:header="0" w:footer="1304" w:gutter="0"/>
          <w:cols w:space="720" w:num="1"/>
          <w:docGrid w:linePitch="0" w:charSpace="0"/>
        </w:sectPr>
      </w:pPr>
    </w:p>
    <w:p>
      <w:pPr>
        <w:pStyle w:val="3"/>
        <w:spacing w:line="415" w:lineRule="auto"/>
        <w:rPr>
          <w:color w:val="auto"/>
          <w:lang w:eastAsia="zh-CN"/>
        </w:rPr>
      </w:pPr>
    </w:p>
    <w:p>
      <w:pPr>
        <w:spacing w:before="101" w:line="228" w:lineRule="auto"/>
        <w:ind w:left="143"/>
        <w:rPr>
          <w:rFonts w:ascii="黑体" w:hAnsi="黑体" w:eastAsia="黑体" w:cs="黑体"/>
          <w:color w:val="auto"/>
          <w:sz w:val="31"/>
          <w:szCs w:val="31"/>
        </w:rPr>
      </w:pPr>
      <w:r>
        <w:rPr>
          <w:rFonts w:ascii="黑体" w:hAnsi="黑体" w:eastAsia="黑体" w:cs="黑体"/>
          <w:color w:val="auto"/>
          <w:spacing w:val="6"/>
          <w:sz w:val="31"/>
          <w:szCs w:val="31"/>
        </w:rPr>
        <w:t>附表六：临时用地表</w:t>
      </w:r>
    </w:p>
    <w:p>
      <w:pPr>
        <w:spacing w:before="176"/>
        <w:rPr>
          <w:color w:val="auto"/>
        </w:rPr>
      </w:pPr>
    </w:p>
    <w:tbl>
      <w:tblPr>
        <w:tblStyle w:val="14"/>
        <w:tblW w:w="90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3"/>
        <w:gridCol w:w="2250"/>
        <w:gridCol w:w="2250"/>
        <w:gridCol w:w="22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pStyle w:val="15"/>
              <w:spacing w:before="178" w:line="229" w:lineRule="auto"/>
              <w:ind w:left="869"/>
              <w:rPr>
                <w:color w:val="auto"/>
              </w:rPr>
            </w:pPr>
            <w:r>
              <w:rPr>
                <w:b/>
                <w:bCs/>
                <w:color w:val="auto"/>
                <w:spacing w:val="-3"/>
              </w:rPr>
              <w:t>用途</w:t>
            </w:r>
          </w:p>
        </w:tc>
        <w:tc>
          <w:tcPr>
            <w:tcW w:w="2250" w:type="dxa"/>
          </w:tcPr>
          <w:p>
            <w:pPr>
              <w:pStyle w:val="15"/>
              <w:spacing w:before="177" w:line="228" w:lineRule="auto"/>
              <w:ind w:left="341"/>
              <w:rPr>
                <w:color w:val="auto"/>
              </w:rPr>
            </w:pPr>
            <w:r>
              <w:rPr>
                <w:b/>
                <w:bCs/>
                <w:color w:val="auto"/>
                <w:spacing w:val="5"/>
              </w:rPr>
              <w:t>面积（平方米）</w:t>
            </w:r>
          </w:p>
        </w:tc>
        <w:tc>
          <w:tcPr>
            <w:tcW w:w="2250" w:type="dxa"/>
          </w:tcPr>
          <w:p>
            <w:pPr>
              <w:pStyle w:val="15"/>
              <w:spacing w:before="178" w:line="229" w:lineRule="auto"/>
              <w:ind w:left="867"/>
              <w:rPr>
                <w:color w:val="auto"/>
              </w:rPr>
            </w:pPr>
            <w:r>
              <w:rPr>
                <w:b/>
                <w:bCs/>
                <w:color w:val="auto"/>
                <w:spacing w:val="-1"/>
              </w:rPr>
              <w:t>位置</w:t>
            </w:r>
          </w:p>
        </w:tc>
        <w:tc>
          <w:tcPr>
            <w:tcW w:w="2254" w:type="dxa"/>
          </w:tcPr>
          <w:p>
            <w:pPr>
              <w:pStyle w:val="15"/>
              <w:spacing w:before="178" w:line="228" w:lineRule="auto"/>
              <w:ind w:left="721"/>
              <w:rPr>
                <w:color w:val="auto"/>
              </w:rPr>
            </w:pPr>
            <w:r>
              <w:rPr>
                <w:b/>
                <w:bCs/>
                <w:color w:val="auto"/>
                <w:spacing w:val="3"/>
              </w:rPr>
              <w:t>需用时间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5"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9" w:hRule="atLeast"/>
        </w:trPr>
        <w:tc>
          <w:tcPr>
            <w:tcW w:w="2253" w:type="dxa"/>
          </w:tcPr>
          <w:p>
            <w:pPr>
              <w:rPr>
                <w:color w:val="auto"/>
              </w:rPr>
            </w:pPr>
          </w:p>
        </w:tc>
        <w:tc>
          <w:tcPr>
            <w:tcW w:w="2250" w:type="dxa"/>
          </w:tcPr>
          <w:p>
            <w:pPr>
              <w:rPr>
                <w:color w:val="auto"/>
              </w:rPr>
            </w:pPr>
          </w:p>
        </w:tc>
        <w:tc>
          <w:tcPr>
            <w:tcW w:w="2250" w:type="dxa"/>
          </w:tcPr>
          <w:p>
            <w:pPr>
              <w:rPr>
                <w:color w:val="auto"/>
              </w:rPr>
            </w:pPr>
          </w:p>
        </w:tc>
        <w:tc>
          <w:tcPr>
            <w:tcW w:w="2254" w:type="dxa"/>
          </w:tcPr>
          <w:p>
            <w:pPr>
              <w:rPr>
                <w:color w:val="auto"/>
              </w:rPr>
            </w:pPr>
          </w:p>
        </w:tc>
      </w:tr>
    </w:tbl>
    <w:p>
      <w:pPr>
        <w:pStyle w:val="3"/>
        <w:rPr>
          <w:color w:val="auto"/>
        </w:rPr>
      </w:pPr>
    </w:p>
    <w:sectPr>
      <w:footerReference r:id="rId125" w:type="default"/>
      <w:pgSz w:w="11906" w:h="16839"/>
      <w:pgMar w:top="1431" w:right="1418" w:bottom="1469" w:left="1475" w:header="0" w:footer="1304" w:gutter="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1"/>
      <w:rPr>
        <w:rFonts w:ascii="Calibri" w:hAnsi="Calibri" w:eastAsia="Calibri" w:cs="Calibri"/>
        <w:sz w:val="18"/>
        <w:szCs w:val="18"/>
      </w:rPr>
    </w:pPr>
    <w:r>
      <w:rPr>
        <w:rFonts w:ascii="Calibri" w:hAnsi="Calibri" w:eastAsia="Calibri" w:cs="Calibri"/>
        <w:spacing w:val="-6"/>
        <w:sz w:val="18"/>
        <w:szCs w:val="18"/>
      </w:rPr>
      <w:t>25</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1"/>
      <w:rPr>
        <w:rFonts w:ascii="Calibri" w:hAnsi="Calibri" w:eastAsia="Calibri" w:cs="Calibri"/>
        <w:sz w:val="18"/>
        <w:szCs w:val="18"/>
      </w:rPr>
    </w:pPr>
    <w:r>
      <w:rPr>
        <w:rFonts w:ascii="Calibri" w:hAnsi="Calibri" w:eastAsia="Calibri" w:cs="Calibri"/>
        <w:spacing w:val="-6"/>
        <w:sz w:val="18"/>
        <w:szCs w:val="18"/>
      </w:rPr>
      <w:t>26</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4"/>
      <w:rPr>
        <w:rFonts w:ascii="Calibri" w:hAnsi="Calibri" w:eastAsia="Calibri" w:cs="Calibri"/>
        <w:sz w:val="18"/>
        <w:szCs w:val="18"/>
      </w:rPr>
    </w:pPr>
    <w:r>
      <w:rPr>
        <w:rFonts w:ascii="Calibri" w:hAnsi="Calibri" w:eastAsia="Calibri" w:cs="Calibri"/>
        <w:spacing w:val="-6"/>
        <w:sz w:val="18"/>
        <w:szCs w:val="18"/>
      </w:rPr>
      <w:t>27</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1"/>
      <w:rPr>
        <w:rFonts w:ascii="Calibri" w:hAnsi="Calibri" w:eastAsia="Calibri" w:cs="Calibri"/>
        <w:sz w:val="18"/>
        <w:szCs w:val="18"/>
      </w:rPr>
    </w:pPr>
    <w:r>
      <w:rPr>
        <w:rFonts w:ascii="Calibri" w:hAnsi="Calibri" w:eastAsia="Calibri" w:cs="Calibri"/>
        <w:spacing w:val="-6"/>
        <w:sz w:val="18"/>
        <w:szCs w:val="18"/>
      </w:rPr>
      <w:t>28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75"/>
      <w:rPr>
        <w:rFonts w:ascii="Calibri" w:hAnsi="Calibri" w:eastAsia="Calibri" w:cs="Calibri"/>
        <w:sz w:val="18"/>
        <w:szCs w:val="18"/>
      </w:rPr>
    </w:pPr>
    <w:r>
      <w:rPr>
        <w:rFonts w:ascii="Calibri" w:hAnsi="Calibri" w:eastAsia="Calibri" w:cs="Calibri"/>
        <w:spacing w:val="-6"/>
        <w:sz w:val="18"/>
        <w:szCs w:val="18"/>
      </w:rPr>
      <w:t>29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10"/>
      <w:rPr>
        <w:rFonts w:ascii="Calibri" w:hAnsi="Calibri" w:eastAsia="Calibri" w:cs="Calibri"/>
        <w:sz w:val="18"/>
        <w:szCs w:val="18"/>
      </w:rPr>
    </w:pPr>
    <w:r>
      <w:rPr>
        <w:rFonts w:ascii="Calibri" w:hAnsi="Calibri" w:eastAsia="Calibri" w:cs="Calibri"/>
        <w:spacing w:val="-5"/>
        <w:sz w:val="18"/>
        <w:szCs w:val="18"/>
      </w:rPr>
      <w:t>31</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3"/>
      <w:rPr>
        <w:rFonts w:ascii="Calibri" w:hAnsi="Calibri" w:eastAsia="Calibri" w:cs="Calibri"/>
        <w:sz w:val="18"/>
        <w:szCs w:val="18"/>
      </w:rPr>
    </w:pPr>
    <w:r>
      <w:rPr>
        <w:rFonts w:ascii="Calibri" w:hAnsi="Calibri" w:eastAsia="Calibri" w:cs="Calibri"/>
        <w:spacing w:val="-5"/>
        <w:sz w:val="18"/>
        <w:szCs w:val="18"/>
      </w:rPr>
      <w:t>32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24"/>
      <w:rPr>
        <w:rFonts w:ascii="Calibri" w:hAnsi="Calibri" w:eastAsia="Calibri" w:cs="Calibri"/>
        <w:sz w:val="18"/>
        <w:szCs w:val="18"/>
      </w:rPr>
    </w:pPr>
    <w:r>
      <w:rPr>
        <w:rFonts w:ascii="Calibri" w:hAnsi="Calibri" w:eastAsia="Calibri" w:cs="Calibri"/>
        <w:spacing w:val="-5"/>
        <w:sz w:val="18"/>
        <w:szCs w:val="18"/>
      </w:rPr>
      <w:t>33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35</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0"/>
      <w:rPr>
        <w:rFonts w:ascii="Calibri" w:hAnsi="Calibri" w:eastAsia="Calibri" w:cs="Calibri"/>
        <w:sz w:val="18"/>
        <w:szCs w:val="18"/>
      </w:rPr>
    </w:pPr>
    <w:r>
      <w:rPr>
        <w:rFonts w:ascii="Calibri" w:hAnsi="Calibri" w:eastAsia="Calibri" w:cs="Calibri"/>
        <w:spacing w:val="-5"/>
        <w:sz w:val="18"/>
        <w:szCs w:val="18"/>
      </w:rPr>
      <w:t>37</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2"/>
      <w:rPr>
        <w:rFonts w:ascii="Calibri" w:hAnsi="Calibri" w:eastAsia="Calibri" w:cs="Calibri"/>
        <w:sz w:val="18"/>
        <w:szCs w:val="18"/>
      </w:rPr>
    </w:pPr>
    <w:r>
      <w:rPr>
        <w:rFonts w:ascii="Calibri" w:hAnsi="Calibri" w:eastAsia="Calibri" w:cs="Calibri"/>
        <w:spacing w:val="-5"/>
        <w:sz w:val="18"/>
        <w:szCs w:val="18"/>
      </w:rPr>
      <w:t>39</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351"/>
      <w:rPr>
        <w:rFonts w:ascii="Calibri" w:hAnsi="Calibri" w:eastAsia="Calibri" w:cs="Calibri"/>
        <w:sz w:val="18"/>
        <w:szCs w:val="18"/>
      </w:rPr>
    </w:pPr>
    <w:r>
      <w:rPr>
        <w:rFonts w:ascii="Calibri" w:hAnsi="Calibri" w:eastAsia="Calibri" w:cs="Calibri"/>
        <w:spacing w:val="-3"/>
        <w:sz w:val="18"/>
        <w:szCs w:val="18"/>
      </w:rPr>
      <w:t>41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14"/>
      <w:rPr>
        <w:rFonts w:ascii="Calibri" w:hAnsi="Calibri" w:eastAsia="Calibri" w:cs="Calibri"/>
        <w:sz w:val="18"/>
        <w:szCs w:val="18"/>
      </w:rPr>
    </w:pPr>
    <w:r>
      <w:rPr>
        <w:rFonts w:ascii="Calibri" w:hAnsi="Calibri" w:eastAsia="Calibri" w:cs="Calibri"/>
        <w:spacing w:val="-3"/>
        <w:sz w:val="18"/>
        <w:szCs w:val="18"/>
      </w:rPr>
      <w:t>42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03"/>
      <w:rPr>
        <w:rFonts w:ascii="Calibri" w:hAnsi="Calibri" w:eastAsia="Calibri" w:cs="Calibri"/>
        <w:sz w:val="18"/>
        <w:szCs w:val="18"/>
      </w:rPr>
    </w:pPr>
    <w:r>
      <w:rPr>
        <w:rFonts w:ascii="Calibri" w:hAnsi="Calibri" w:eastAsia="Calibri" w:cs="Calibri"/>
        <w:spacing w:val="-3"/>
        <w:sz w:val="18"/>
        <w:szCs w:val="18"/>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36"/>
      <w:rPr>
        <w:rFonts w:ascii="Calibri" w:hAnsi="Calibri" w:eastAsia="Calibri" w:cs="Calibri"/>
        <w:sz w:val="18"/>
        <w:szCs w:val="18"/>
      </w:rPr>
    </w:pPr>
    <w:r>
      <w:rPr>
        <w:rFonts w:ascii="Calibri" w:hAnsi="Calibri" w:eastAsia="Calibri" w:cs="Calibri"/>
        <w:spacing w:val="-3"/>
        <w:sz w:val="18"/>
        <w:szCs w:val="18"/>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18"/>
      <w:rPr>
        <w:rFonts w:ascii="Calibri" w:hAnsi="Calibri" w:eastAsia="Calibri" w:cs="Calibri"/>
        <w:sz w:val="18"/>
        <w:szCs w:val="18"/>
      </w:rPr>
    </w:pPr>
    <w:r>
      <w:rPr>
        <w:rFonts w:ascii="Calibri" w:hAnsi="Calibri" w:eastAsia="Calibri" w:cs="Calibri"/>
        <w:spacing w:val="-3"/>
        <w:sz w:val="18"/>
        <w:szCs w:val="18"/>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1"/>
        <w:szCs w:val="21"/>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35"/>
      <w:rPr>
        <w:rFonts w:ascii="Calibri" w:hAnsi="Calibri" w:eastAsia="Calibri" w:cs="Calibri"/>
        <w:sz w:val="18"/>
        <w:szCs w:val="18"/>
      </w:rPr>
    </w:pPr>
    <w:r>
      <w:rPr>
        <w:rFonts w:ascii="Calibri" w:hAnsi="Calibri" w:eastAsia="Calibri" w:cs="Calibri"/>
        <w:spacing w:val="-3"/>
        <w:sz w:val="18"/>
        <w:szCs w:val="18"/>
      </w:rPr>
      <w:t>46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14"/>
      <w:rPr>
        <w:rFonts w:ascii="Calibri" w:hAnsi="Calibri" w:eastAsia="Calibri" w:cs="Calibri"/>
        <w:sz w:val="18"/>
        <w:szCs w:val="18"/>
      </w:rPr>
    </w:pPr>
    <w:r>
      <w:rPr>
        <w:rFonts w:ascii="Calibri" w:hAnsi="Calibri" w:eastAsia="Calibri" w:cs="Calibri"/>
        <w:spacing w:val="-3"/>
        <w:sz w:val="18"/>
        <w:szCs w:val="18"/>
      </w:rPr>
      <w:t>47</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22"/>
      <w:rPr>
        <w:rFonts w:ascii="Calibri" w:hAnsi="Calibri" w:eastAsia="Calibri" w:cs="Calibri"/>
        <w:sz w:val="18"/>
        <w:szCs w:val="18"/>
      </w:rPr>
    </w:pPr>
    <w:r>
      <w:rPr>
        <w:rFonts w:ascii="Calibri" w:hAnsi="Calibri" w:eastAsia="Calibri" w:cs="Calibri"/>
        <w:spacing w:val="-3"/>
        <w:sz w:val="18"/>
        <w:szCs w:val="18"/>
      </w:rPr>
      <w:t>48</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56"/>
      <w:rPr>
        <w:rFonts w:ascii="Calibri" w:hAnsi="Calibri" w:eastAsia="Calibri" w:cs="Calibri"/>
        <w:sz w:val="18"/>
        <w:szCs w:val="18"/>
      </w:rPr>
    </w:pPr>
    <w:r>
      <w:rPr>
        <w:rFonts w:ascii="Calibri" w:hAnsi="Calibri" w:eastAsia="Calibri" w:cs="Calibri"/>
        <w:spacing w:val="-3"/>
        <w:sz w:val="18"/>
        <w:szCs w:val="18"/>
      </w:rPr>
      <w:t>49</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279"/>
      <w:rPr>
        <w:rFonts w:ascii="Calibri" w:hAnsi="Calibri" w:eastAsia="Calibri" w:cs="Calibri"/>
        <w:sz w:val="18"/>
        <w:szCs w:val="18"/>
      </w:rPr>
    </w:pPr>
    <w:r>
      <w:rPr>
        <w:rFonts w:ascii="Calibri" w:hAnsi="Calibri" w:eastAsia="Calibri" w:cs="Calibri"/>
        <w:spacing w:val="-5"/>
        <w:sz w:val="18"/>
        <w:szCs w:val="18"/>
      </w:rPr>
      <w:t>50</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420"/>
      <w:rPr>
        <w:rFonts w:ascii="Calibri" w:hAnsi="Calibri" w:eastAsia="Calibri" w:cs="Calibri"/>
        <w:sz w:val="18"/>
        <w:szCs w:val="18"/>
      </w:rPr>
    </w:pPr>
    <w:r>
      <w:rPr>
        <w:rFonts w:ascii="Calibri" w:hAnsi="Calibri" w:eastAsia="Calibri" w:cs="Calibri"/>
        <w:spacing w:val="-5"/>
        <w:sz w:val="18"/>
        <w:szCs w:val="18"/>
      </w:rPr>
      <w:t>51</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5"/>
      <w:rPr>
        <w:rFonts w:ascii="Calibri" w:hAnsi="Calibri" w:eastAsia="Calibri" w:cs="Calibri"/>
        <w:sz w:val="18"/>
        <w:szCs w:val="18"/>
      </w:rPr>
    </w:pPr>
    <w:r>
      <w:rPr>
        <w:rFonts w:ascii="Calibri" w:hAnsi="Calibri" w:eastAsia="Calibri" w:cs="Calibri"/>
        <w:spacing w:val="-5"/>
        <w:sz w:val="18"/>
        <w:szCs w:val="18"/>
      </w:rPr>
      <w:t>52</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565"/>
      <w:rPr>
        <w:rFonts w:ascii="Calibri" w:hAnsi="Calibri" w:eastAsia="Calibri" w:cs="Calibri"/>
        <w:sz w:val="18"/>
        <w:szCs w:val="18"/>
      </w:rPr>
    </w:pPr>
    <w:r>
      <w:rPr>
        <w:rFonts w:ascii="Calibri" w:hAnsi="Calibri" w:eastAsia="Calibri" w:cs="Calibri"/>
        <w:spacing w:val="-5"/>
        <w:sz w:val="18"/>
        <w:szCs w:val="18"/>
      </w:rPr>
      <w:t>53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565"/>
      <w:rPr>
        <w:rFonts w:ascii="Calibri" w:hAnsi="Calibri" w:eastAsia="Calibri" w:cs="Calibri"/>
        <w:sz w:val="18"/>
        <w:szCs w:val="18"/>
      </w:rPr>
    </w:pPr>
    <w:r>
      <w:rPr>
        <w:rFonts w:ascii="Calibri" w:hAnsi="Calibri" w:eastAsia="Calibri" w:cs="Calibri"/>
        <w:spacing w:val="-5"/>
        <w:sz w:val="18"/>
        <w:szCs w:val="18"/>
      </w:rPr>
      <w:t>54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300"/>
      <w:rPr>
        <w:rFonts w:ascii="Calibri" w:hAnsi="Calibri" w:eastAsia="Calibri" w:cs="Calibri"/>
        <w:sz w:val="18"/>
        <w:szCs w:val="18"/>
      </w:rPr>
    </w:pPr>
    <w:r>
      <w:rPr>
        <w:rFonts w:ascii="Calibri" w:hAnsi="Calibri" w:eastAsia="Calibri" w:cs="Calibri"/>
        <w:spacing w:val="-5"/>
        <w:sz w:val="18"/>
        <w:szCs w:val="18"/>
      </w:rPr>
      <w:t>55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164"/>
      <w:rPr>
        <w:rFonts w:ascii="Calibri" w:hAnsi="Calibri" w:eastAsia="Calibri" w:cs="Calibri"/>
        <w:sz w:val="18"/>
        <w:szCs w:val="18"/>
      </w:rPr>
    </w:pPr>
    <w:r>
      <w:rPr>
        <w:rFonts w:ascii="Calibri" w:hAnsi="Calibri" w:eastAsia="Calibri" w:cs="Calibri"/>
        <w:sz w:val="18"/>
        <w:szCs w:val="18"/>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140"/>
      </w:tabs>
      <w:rPr>
        <w:sz w:val="24"/>
        <w:szCs w:val="24"/>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9"/>
      <w:rPr>
        <w:rFonts w:ascii="Calibri" w:hAnsi="Calibri" w:eastAsia="Calibri" w:cs="Calibri"/>
        <w:sz w:val="18"/>
        <w:szCs w:val="18"/>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7"/>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468"/>
      <w:rPr>
        <w:rFonts w:ascii="Calibri" w:hAnsi="Calibri" w:eastAsia="Calibri" w:cs="Calibri"/>
        <w:sz w:val="18"/>
        <w:szCs w:val="18"/>
      </w:rP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1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467"/>
      <w:rPr>
        <w:rFonts w:ascii="Calibri" w:hAnsi="Calibri" w:eastAsia="Calibri" w:cs="Calibri"/>
        <w:sz w:val="18"/>
        <w:szCs w:val="18"/>
      </w:rPr>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1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307"/>
      <w:rPr>
        <w:rFonts w:ascii="Calibri" w:hAnsi="Calibri" w:eastAsia="Calibri" w:cs="Calibri"/>
        <w:sz w:val="18"/>
        <w:szCs w:val="18"/>
      </w:rP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ascii="黑体" w:hAnsi="黑体"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8B08B"/>
    <w:multiLevelType w:val="singleLevel"/>
    <w:tmpl w:val="B448B08B"/>
    <w:lvl w:ilvl="0" w:tentative="0">
      <w:start w:val="1"/>
      <w:numFmt w:val="chineseCounting"/>
      <w:suff w:val="space"/>
      <w:lvlText w:val="第%1章"/>
      <w:lvlJc w:val="left"/>
      <w:rPr>
        <w:rFonts w:hint="eastAsia"/>
      </w:rPr>
    </w:lvl>
  </w:abstractNum>
  <w:abstractNum w:abstractNumId="1">
    <w:nsid w:val="CB73894B"/>
    <w:multiLevelType w:val="singleLevel"/>
    <w:tmpl w:val="CB73894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ZGNhMjQ5ZjFhMTM5Zjg1MjgwMGEwNzIwMTVkNDUifQ=="/>
  </w:docVars>
  <w:rsids>
    <w:rsidRoot w:val="00301B52"/>
    <w:rsid w:val="002D1AB4"/>
    <w:rsid w:val="00301B52"/>
    <w:rsid w:val="00305242"/>
    <w:rsid w:val="00380052"/>
    <w:rsid w:val="006A603D"/>
    <w:rsid w:val="007C1B62"/>
    <w:rsid w:val="00A3711E"/>
    <w:rsid w:val="00B82978"/>
    <w:rsid w:val="012416F5"/>
    <w:rsid w:val="0A933214"/>
    <w:rsid w:val="1F5517D2"/>
    <w:rsid w:val="21BC319A"/>
    <w:rsid w:val="31662418"/>
    <w:rsid w:val="380916D7"/>
    <w:rsid w:val="78816909"/>
    <w:rsid w:val="7F793A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style>
  <w:style w:type="paragraph" w:styleId="4">
    <w:name w:val="Body Text Indent"/>
    <w:basedOn w:val="1"/>
    <w:qFormat/>
    <w:uiPriority w:val="0"/>
    <w:pPr>
      <w:spacing w:after="120"/>
      <w:ind w:left="420" w:leftChars="200"/>
    </w:pPr>
  </w:style>
  <w:style w:type="paragraph" w:styleId="5">
    <w:name w:val="Balloon Text"/>
    <w:basedOn w:val="1"/>
    <w:link w:val="18"/>
    <w:qFormat/>
    <w:uiPriority w:val="0"/>
    <w:rPr>
      <w:sz w:val="18"/>
      <w:szCs w:val="18"/>
    </w:rPr>
  </w:style>
  <w:style w:type="paragraph" w:styleId="6">
    <w:name w:val="footer"/>
    <w:basedOn w:val="1"/>
    <w:qFormat/>
    <w:uiPriority w:val="99"/>
    <w:pPr>
      <w:tabs>
        <w:tab w:val="center" w:pos="4153"/>
        <w:tab w:val="right" w:pos="8306"/>
      </w:tabs>
    </w:pPr>
    <w:rPr>
      <w:sz w:val="18"/>
      <w:szCs w:val="18"/>
    </w:rPr>
  </w:style>
  <w:style w:type="paragraph" w:styleId="7">
    <w:name w:val="header"/>
    <w:basedOn w:val="1"/>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qFormat/>
    <w:uiPriority w:val="39"/>
    <w:pPr>
      <w:spacing w:before="120" w:after="120"/>
    </w:pPr>
    <w:rPr>
      <w:b/>
      <w:bCs/>
      <w:caps/>
      <w:sz w:val="20"/>
      <w:szCs w:val="20"/>
    </w:rPr>
  </w:style>
  <w:style w:type="paragraph" w:styleId="9">
    <w:name w:val="Normal (Web)"/>
    <w:basedOn w:val="1"/>
    <w:qFormat/>
    <w:uiPriority w:val="0"/>
    <w:rPr>
      <w:rFonts w:cs="Times New Roman"/>
      <w:sz w:val="24"/>
      <w:lang w:eastAsia="zh-CN"/>
    </w:rPr>
  </w:style>
  <w:style w:type="paragraph" w:styleId="10">
    <w:name w:val="Body Text First Indent 2"/>
    <w:basedOn w:val="4"/>
    <w:qFormat/>
    <w:uiPriority w:val="0"/>
    <w:pPr>
      <w:ind w:firstLine="420" w:firstLineChars="200"/>
    </w:pPr>
  </w:style>
  <w:style w:type="paragraph" w:customStyle="1" w:styleId="13">
    <w:name w:val="列出段落1"/>
    <w:basedOn w:val="1"/>
    <w:qFormat/>
    <w:uiPriority w:val="99"/>
    <w:pPr>
      <w:ind w:firstLine="420" w:firstLineChars="200"/>
    </w:p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段"/>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18">
    <w:name w:val="批注框文本 Char"/>
    <w:basedOn w:val="12"/>
    <w:link w:val="5"/>
    <w:qFormat/>
    <w:uiPriority w:val="0"/>
    <w:rPr>
      <w:rFonts w:ascii="Arial" w:hAnsi="Arial" w:eastAsia="Arial" w:cs="Arial"/>
      <w:color w:val="000000"/>
      <w:sz w:val="18"/>
      <w:szCs w:val="18"/>
      <w:lang w:eastAsia="en-US"/>
    </w:rPr>
  </w:style>
</w:styles>
</file>

<file path=word/_rels/document.xml.rels><?xml version="1.0" encoding="UTF-8" standalone="yes"?>
<Relationships xmlns="http://schemas.openxmlformats.org/package/2006/relationships"><Relationship Id="rId99" Type="http://schemas.openxmlformats.org/officeDocument/2006/relationships/footer" Target="footer94.xml"/><Relationship Id="rId98" Type="http://schemas.openxmlformats.org/officeDocument/2006/relationships/footer" Target="footer93.xml"/><Relationship Id="rId97" Type="http://schemas.openxmlformats.org/officeDocument/2006/relationships/footer" Target="footer92.xml"/><Relationship Id="rId96" Type="http://schemas.openxmlformats.org/officeDocument/2006/relationships/footer" Target="footer91.xml"/><Relationship Id="rId95" Type="http://schemas.openxmlformats.org/officeDocument/2006/relationships/footer" Target="footer90.xml"/><Relationship Id="rId94" Type="http://schemas.openxmlformats.org/officeDocument/2006/relationships/footer" Target="footer89.xml"/><Relationship Id="rId93" Type="http://schemas.openxmlformats.org/officeDocument/2006/relationships/footer" Target="footer88.xml"/><Relationship Id="rId92" Type="http://schemas.openxmlformats.org/officeDocument/2006/relationships/footer" Target="footer87.xml"/><Relationship Id="rId91" Type="http://schemas.openxmlformats.org/officeDocument/2006/relationships/footer" Target="footer86.xml"/><Relationship Id="rId90" Type="http://schemas.openxmlformats.org/officeDocument/2006/relationships/footer" Target="footer85.xml"/><Relationship Id="rId9" Type="http://schemas.openxmlformats.org/officeDocument/2006/relationships/footer" Target="footer4.xml"/><Relationship Id="rId89" Type="http://schemas.openxmlformats.org/officeDocument/2006/relationships/footer" Target="footer84.xml"/><Relationship Id="rId88" Type="http://schemas.openxmlformats.org/officeDocument/2006/relationships/footer" Target="footer83.xml"/><Relationship Id="rId87" Type="http://schemas.openxmlformats.org/officeDocument/2006/relationships/footer" Target="footer82.xml"/><Relationship Id="rId86" Type="http://schemas.openxmlformats.org/officeDocument/2006/relationships/footer" Target="footer81.xml"/><Relationship Id="rId85" Type="http://schemas.openxmlformats.org/officeDocument/2006/relationships/footer" Target="footer80.xml"/><Relationship Id="rId84" Type="http://schemas.openxmlformats.org/officeDocument/2006/relationships/footer" Target="footer79.xml"/><Relationship Id="rId83" Type="http://schemas.openxmlformats.org/officeDocument/2006/relationships/footer" Target="footer78.xml"/><Relationship Id="rId82" Type="http://schemas.openxmlformats.org/officeDocument/2006/relationships/footer" Target="footer77.xml"/><Relationship Id="rId81" Type="http://schemas.openxmlformats.org/officeDocument/2006/relationships/footer" Target="footer76.xml"/><Relationship Id="rId80" Type="http://schemas.openxmlformats.org/officeDocument/2006/relationships/footer" Target="footer75.xml"/><Relationship Id="rId8" Type="http://schemas.openxmlformats.org/officeDocument/2006/relationships/footer" Target="footer3.xml"/><Relationship Id="rId79" Type="http://schemas.openxmlformats.org/officeDocument/2006/relationships/footer" Target="footer74.xml"/><Relationship Id="rId78" Type="http://schemas.openxmlformats.org/officeDocument/2006/relationships/footer" Target="footer73.xml"/><Relationship Id="rId77" Type="http://schemas.openxmlformats.org/officeDocument/2006/relationships/footer" Target="footer72.xml"/><Relationship Id="rId76" Type="http://schemas.openxmlformats.org/officeDocument/2006/relationships/footer" Target="footer71.xml"/><Relationship Id="rId75" Type="http://schemas.openxmlformats.org/officeDocument/2006/relationships/footer" Target="footer70.xml"/><Relationship Id="rId74" Type="http://schemas.openxmlformats.org/officeDocument/2006/relationships/footer" Target="footer69.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2.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footer" Target="footer56.xml"/><Relationship Id="rId60" Type="http://schemas.openxmlformats.org/officeDocument/2006/relationships/footer" Target="footer55.xml"/><Relationship Id="rId6" Type="http://schemas.openxmlformats.org/officeDocument/2006/relationships/footer" Target="footer1.xml"/><Relationship Id="rId59" Type="http://schemas.openxmlformats.org/officeDocument/2006/relationships/footer" Target="footer54.xml"/><Relationship Id="rId58" Type="http://schemas.openxmlformats.org/officeDocument/2006/relationships/footer" Target="footer53.xml"/><Relationship Id="rId57" Type="http://schemas.openxmlformats.org/officeDocument/2006/relationships/footer" Target="footer52.xml"/><Relationship Id="rId56" Type="http://schemas.openxmlformats.org/officeDocument/2006/relationships/footer" Target="footer51.xml"/><Relationship Id="rId55" Type="http://schemas.openxmlformats.org/officeDocument/2006/relationships/footer" Target="footer50.xml"/><Relationship Id="rId54" Type="http://schemas.openxmlformats.org/officeDocument/2006/relationships/footer" Target="footer49.xml"/><Relationship Id="rId53" Type="http://schemas.openxmlformats.org/officeDocument/2006/relationships/footer" Target="footer48.xml"/><Relationship Id="rId52" Type="http://schemas.openxmlformats.org/officeDocument/2006/relationships/footer" Target="footer47.xml"/><Relationship Id="rId51" Type="http://schemas.openxmlformats.org/officeDocument/2006/relationships/footer" Target="footer46.xml"/><Relationship Id="rId50" Type="http://schemas.openxmlformats.org/officeDocument/2006/relationships/footer" Target="footer45.xml"/><Relationship Id="rId5" Type="http://schemas.openxmlformats.org/officeDocument/2006/relationships/header" Target="header3.xml"/><Relationship Id="rId49" Type="http://schemas.openxmlformats.org/officeDocument/2006/relationships/footer" Target="footer44.xml"/><Relationship Id="rId48" Type="http://schemas.openxmlformats.org/officeDocument/2006/relationships/footer" Target="footer43.xml"/><Relationship Id="rId47" Type="http://schemas.openxmlformats.org/officeDocument/2006/relationships/footer" Target="footer42.xml"/><Relationship Id="rId46" Type="http://schemas.openxmlformats.org/officeDocument/2006/relationships/footer" Target="footer4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header" Target="header2.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9" Type="http://schemas.openxmlformats.org/officeDocument/2006/relationships/fontTable" Target="fontTable.xml"/><Relationship Id="rId128" Type="http://schemas.openxmlformats.org/officeDocument/2006/relationships/numbering" Target="numbering.xml"/><Relationship Id="rId127" Type="http://schemas.openxmlformats.org/officeDocument/2006/relationships/image" Target="media/image1.png"/><Relationship Id="rId126" Type="http://schemas.openxmlformats.org/officeDocument/2006/relationships/theme" Target="theme/theme1.xml"/><Relationship Id="rId125" Type="http://schemas.openxmlformats.org/officeDocument/2006/relationships/footer" Target="footer120.xml"/><Relationship Id="rId124" Type="http://schemas.openxmlformats.org/officeDocument/2006/relationships/footer" Target="footer119.xml"/><Relationship Id="rId123" Type="http://schemas.openxmlformats.org/officeDocument/2006/relationships/footer" Target="footer118.xml"/><Relationship Id="rId122" Type="http://schemas.openxmlformats.org/officeDocument/2006/relationships/footer" Target="footer117.xml"/><Relationship Id="rId121" Type="http://schemas.openxmlformats.org/officeDocument/2006/relationships/footer" Target="footer116.xml"/><Relationship Id="rId120" Type="http://schemas.openxmlformats.org/officeDocument/2006/relationships/footer" Target="footer115.xml"/><Relationship Id="rId12" Type="http://schemas.openxmlformats.org/officeDocument/2006/relationships/footer" Target="footer7.xml"/><Relationship Id="rId119" Type="http://schemas.openxmlformats.org/officeDocument/2006/relationships/footer" Target="footer114.xml"/><Relationship Id="rId118" Type="http://schemas.openxmlformats.org/officeDocument/2006/relationships/footer" Target="footer113.xml"/><Relationship Id="rId117" Type="http://schemas.openxmlformats.org/officeDocument/2006/relationships/footer" Target="footer112.xml"/><Relationship Id="rId116" Type="http://schemas.openxmlformats.org/officeDocument/2006/relationships/footer" Target="footer111.xml"/><Relationship Id="rId115" Type="http://schemas.openxmlformats.org/officeDocument/2006/relationships/footer" Target="footer110.xml"/><Relationship Id="rId114" Type="http://schemas.openxmlformats.org/officeDocument/2006/relationships/footer" Target="footer109.xml"/><Relationship Id="rId113" Type="http://schemas.openxmlformats.org/officeDocument/2006/relationships/footer" Target="footer108.xml"/><Relationship Id="rId112" Type="http://schemas.openxmlformats.org/officeDocument/2006/relationships/footer" Target="footer107.xml"/><Relationship Id="rId111" Type="http://schemas.openxmlformats.org/officeDocument/2006/relationships/footer" Target="footer106.xml"/><Relationship Id="rId110" Type="http://schemas.openxmlformats.org/officeDocument/2006/relationships/footer" Target="footer105.xml"/><Relationship Id="rId11" Type="http://schemas.openxmlformats.org/officeDocument/2006/relationships/footer" Target="footer6.xml"/><Relationship Id="rId109" Type="http://schemas.openxmlformats.org/officeDocument/2006/relationships/footer" Target="footer104.xml"/><Relationship Id="rId108" Type="http://schemas.openxmlformats.org/officeDocument/2006/relationships/footer" Target="footer103.xml"/><Relationship Id="rId107" Type="http://schemas.openxmlformats.org/officeDocument/2006/relationships/footer" Target="footer102.xml"/><Relationship Id="rId106" Type="http://schemas.openxmlformats.org/officeDocument/2006/relationships/footer" Target="footer101.xml"/><Relationship Id="rId105" Type="http://schemas.openxmlformats.org/officeDocument/2006/relationships/footer" Target="footer100.xml"/><Relationship Id="rId104" Type="http://schemas.openxmlformats.org/officeDocument/2006/relationships/footer" Target="footer99.xml"/><Relationship Id="rId103" Type="http://schemas.openxmlformats.org/officeDocument/2006/relationships/footer" Target="footer98.xml"/><Relationship Id="rId102" Type="http://schemas.openxmlformats.org/officeDocument/2006/relationships/footer" Target="footer97.xml"/><Relationship Id="rId101" Type="http://schemas.openxmlformats.org/officeDocument/2006/relationships/footer" Target="footer96.xml"/><Relationship Id="rId100" Type="http://schemas.openxmlformats.org/officeDocument/2006/relationships/footer" Target="footer95.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135</Pages>
  <Words>57792</Words>
  <Characters>61870</Characters>
  <Lines>491</Lines>
  <Paragraphs>138</Paragraphs>
  <TotalTime>26</TotalTime>
  <ScaleCrop>false</ScaleCrop>
  <LinksUpToDate>false</LinksUpToDate>
  <CharactersWithSpaces>62844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2024-05-22T07:23:00Z</dcterms:created>
  <dc:creator>1</dc:creator>
  <cp:lastModifiedBy>Administrator</cp:lastModifiedBy>
  <dcterms:modified xsi:type="dcterms:W3CDTF">2025-04-01T08:18:19Z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2024-10-23T09:38:27Z</vt:filetime>
  </property>
  <property fmtid="{D5CDD505-2E9C-101B-9397-08002B2CF9AE}" pid="4" name="KSOProductBuildVer">
    <vt:lpwstr>2052-11.1.0.12763</vt:lpwstr>
  </property>
  <property fmtid="{D5CDD505-2E9C-101B-9397-08002B2CF9AE}" pid="5" name="ICV">
    <vt:lpwstr>FF3509580F054F64A52BC83593E16815_13</vt:lpwstr>
  </property>
</Properties>
</file>