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ascii="方正小标宋_GBK" w:hAnsi="方正小标宋_GBK" w:eastAsia="方正小标宋_GBK"/>
          <w:kern w:val="0"/>
          <w:sz w:val="44"/>
          <w:szCs w:val="44"/>
        </w:rPr>
      </w:pPr>
      <w:r>
        <w:rPr>
          <w:rFonts w:hint="eastAsia" w:ascii="方正小标宋_GBK" w:hAnsi="方正小标宋_GBK"/>
          <w:kern w:val="0"/>
          <w:sz w:val="44"/>
          <w:szCs w:val="44"/>
          <w:lang w:eastAsia="zh-CN"/>
        </w:rPr>
        <w:t>中共江永县委办公室</w:t>
      </w:r>
      <w:r>
        <w:rPr>
          <w:rFonts w:ascii="方正小标宋_GBK" w:hAnsi="方正小标宋_GBK" w:eastAsia="方正小标宋_GBK"/>
          <w:kern w:val="0"/>
          <w:sz w:val="44"/>
          <w:szCs w:val="44"/>
        </w:rPr>
        <w:t>财政专项</w:t>
      </w:r>
      <w:r>
        <w:rPr>
          <w:rFonts w:ascii="方正小标宋_GBK" w:hAnsi="方正小标宋_GBK"/>
          <w:kern w:val="0"/>
          <w:sz w:val="44"/>
          <w:szCs w:val="44"/>
        </w:rPr>
        <w:t>（项目）</w:t>
      </w:r>
      <w:r>
        <w:rPr>
          <w:rFonts w:ascii="方正小标宋_GBK" w:hAnsi="方正小标宋_GBK" w:eastAsia="方正小标宋_GBK"/>
          <w:kern w:val="0"/>
          <w:sz w:val="44"/>
          <w:szCs w:val="44"/>
        </w:rPr>
        <w:t>资金绩效评价表</w:t>
      </w:r>
    </w:p>
    <w:p>
      <w:pPr>
        <w:widowControl/>
        <w:ind w:left="93"/>
        <w:jc w:val="center"/>
        <w:rPr>
          <w:rFonts w:ascii="方正小标宋_GBK" w:hAnsi="方正小标宋_GBK" w:eastAsia="方正小标宋_GBK"/>
          <w:kern w:val="0"/>
          <w:sz w:val="44"/>
          <w:szCs w:val="44"/>
        </w:rPr>
      </w:pPr>
    </w:p>
    <w:tbl>
      <w:tblPr>
        <w:tblStyle w:val="2"/>
        <w:tblW w:w="10608" w:type="dxa"/>
        <w:jc w:val="center"/>
        <w:tblLayout w:type="fixed"/>
        <w:tblCellMar>
          <w:top w:w="0" w:type="dxa"/>
          <w:left w:w="108" w:type="dxa"/>
          <w:bottom w:w="0" w:type="dxa"/>
          <w:right w:w="108" w:type="dxa"/>
        </w:tblCellMar>
      </w:tblPr>
      <w:tblGrid>
        <w:gridCol w:w="656"/>
        <w:gridCol w:w="710"/>
        <w:gridCol w:w="1275"/>
        <w:gridCol w:w="3080"/>
        <w:gridCol w:w="4502"/>
        <w:gridCol w:w="385"/>
      </w:tblGrid>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color="auto" w:sz="4" w:space="0"/>
              <w:left w:val="nil"/>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color="auto" w:sz="4" w:space="0"/>
              <w:left w:val="nil"/>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color="auto" w:sz="4" w:space="0"/>
              <w:left w:val="nil"/>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502" w:type="dxa"/>
            <w:vMerge w:val="restart"/>
            <w:tcBorders>
              <w:top w:val="single" w:color="auto" w:sz="4" w:space="0"/>
              <w:left w:val="nil"/>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385" w:type="dxa"/>
            <w:vMerge w:val="restart"/>
            <w:tcBorders>
              <w:top w:val="single" w:color="auto" w:sz="4" w:space="0"/>
              <w:left w:val="nil"/>
              <w:bottom w:val="nil"/>
              <w:right w:val="single" w:color="auto" w:sz="4" w:space="0"/>
            </w:tcBorders>
            <w:noWrap w:val="0"/>
            <w:vAlign w:val="center"/>
          </w:tcPr>
          <w:p>
            <w:pPr>
              <w:widowControl/>
              <w:jc w:val="center"/>
              <w:rPr>
                <w:rFonts w:eastAsia="仿宋_GB2312"/>
                <w:b/>
                <w:bCs/>
                <w:color w:val="000000"/>
                <w:kern w:val="0"/>
                <w:sz w:val="20"/>
                <w:szCs w:val="20"/>
              </w:rPr>
            </w:pPr>
            <w:r>
              <w:rPr>
                <w:b/>
                <w:bCs/>
                <w:color w:val="000000"/>
                <w:kern w:val="0"/>
                <w:sz w:val="20"/>
                <w:szCs w:val="20"/>
              </w:rPr>
              <w:t>得分</w:t>
            </w:r>
          </w:p>
        </w:tc>
      </w:tr>
      <w:tr>
        <w:tblPrEx>
          <w:tblCellMar>
            <w:top w:w="0" w:type="dxa"/>
            <w:left w:w="108" w:type="dxa"/>
            <w:bottom w:w="0" w:type="dxa"/>
            <w:right w:w="108" w:type="dxa"/>
          </w:tblCellMar>
        </w:tblPrEx>
        <w:trPr>
          <w:trHeight w:val="391" w:hRule="atLeast"/>
          <w:jc w:val="center"/>
        </w:trPr>
        <w:tc>
          <w:tcPr>
            <w:tcW w:w="656"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0" w:type="auto"/>
            <w:vMerge w:val="continue"/>
            <w:tcBorders>
              <w:top w:val="single" w:color="auto" w:sz="4" w:space="0"/>
              <w:left w:val="nil"/>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0" w:type="auto"/>
            <w:vMerge w:val="continue"/>
            <w:tcBorders>
              <w:top w:val="single" w:color="auto" w:sz="4" w:space="0"/>
              <w:left w:val="nil"/>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0" w:type="auto"/>
            <w:vMerge w:val="continue"/>
            <w:tcBorders>
              <w:top w:val="single" w:color="auto" w:sz="4" w:space="0"/>
              <w:left w:val="nil"/>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0" w:type="auto"/>
            <w:vMerge w:val="continue"/>
            <w:tcBorders>
              <w:top w:val="single" w:color="auto" w:sz="4" w:space="0"/>
              <w:left w:val="nil"/>
              <w:bottom w:val="nil"/>
              <w:right w:val="single" w:color="auto" w:sz="4" w:space="0"/>
            </w:tcBorders>
            <w:noWrap w:val="0"/>
            <w:vAlign w:val="center"/>
          </w:tcPr>
          <w:p>
            <w:pPr>
              <w:widowControl/>
              <w:jc w:val="left"/>
              <w:rPr>
                <w:rFonts w:eastAsia="仿宋_GB2312"/>
                <w:b/>
                <w:bCs/>
                <w:color w:val="000000"/>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投入</w:t>
            </w:r>
          </w:p>
          <w:p>
            <w:pPr>
              <w:widowControl/>
              <w:spacing w:line="280" w:lineRule="exact"/>
              <w:jc w:val="center"/>
              <w:rPr>
                <w:rFonts w:ascii="宋体" w:hAnsi="宋体"/>
                <w:color w:val="000000"/>
                <w:kern w:val="0"/>
                <w:sz w:val="24"/>
                <w:szCs w:val="24"/>
              </w:rPr>
            </w:pPr>
            <w:r>
              <w:rPr>
                <w:rFonts w:ascii="仿宋_GB2312" w:hAnsi="宋体"/>
                <w:color w:val="000000"/>
                <w:kern w:val="0"/>
                <w:sz w:val="20"/>
                <w:szCs w:val="20"/>
              </w:rPr>
              <w:t>（20分）</w:t>
            </w:r>
          </w:p>
        </w:tc>
        <w:tc>
          <w:tcPr>
            <w:tcW w:w="710"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项目立项</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（12分）</w:t>
            </w: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项目立项规范性</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（4分）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项目的申请、设立过程是否符合相关要求，用以反映和考核项目立项的规范情况。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①项目是否按照规定的程序申请设立；</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②所提交的文件、材料是否符合相关要求；</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trHeight w:val="948"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③事前是否已经过必要的可行性研究、专家论证、风险评估、集体决策等。</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绩效目标合理性</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（4分）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项目所设定的绩效目标是否依据充分，是否符合客观实际，用以反映和考核项目绩效目标与项目实施的相符情况。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①是否符合国家相关法律法规，国民经济发展规划和党委政府决策；</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②是否与项目实施单位或委托单位职责密切相关；</w:t>
            </w:r>
          </w:p>
        </w:tc>
        <w:tc>
          <w:tcPr>
            <w:tcW w:w="385" w:type="dxa"/>
            <w:tcBorders>
              <w:top w:val="nil"/>
              <w:left w:val="nil"/>
              <w:bottom w:val="nil"/>
              <w:right w:val="single" w:color="auto" w:sz="4" w:space="0"/>
            </w:tcBorders>
            <w:noWrap w:val="0"/>
            <w:vAlign w:val="top"/>
          </w:tcPr>
          <w:p>
            <w:pPr>
              <w:widowControl/>
              <w:spacing w:line="280" w:lineRule="exact"/>
              <w:jc w:val="center"/>
              <w:rPr>
                <w:rFonts w:hint="eastAsia" w:ascii="宋体" w:hAnsi="宋体"/>
                <w:color w:val="000000"/>
                <w:kern w:val="0"/>
                <w:sz w:val="24"/>
                <w:szCs w:val="24"/>
                <w:lang w:val="en-US" w:eastAsia="zh-CN"/>
              </w:rPr>
            </w:pPr>
          </w:p>
          <w:p>
            <w:pPr>
              <w:widowControl/>
              <w:spacing w:line="280" w:lineRule="exact"/>
              <w:jc w:val="center"/>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③项目是否为促进事业发展所必需；</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trHeight w:val="826"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④项目预期产出效益和效果是否符合正常的业绩水平。</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绩效指标明确性</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（4分）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依据绩效目标设定的绩效指标是否清晰、细化、可衡量等，用以反映和考核项目绩效目标的明细化情况。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①是否将项目绩效目标细化分解为具体的绩效指标；</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②是否通过清晰、可衡量的指标值予以体现；</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③是否与项目年度任务教或计划数相对应；</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trHeight w:val="67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④是否与预期确定的项目投资额或资金量相匹配。</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710"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资金落实</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（8分）</w:t>
            </w: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资金到位率（4分）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实际到位资金与计划投入资金的比率，用以反映和考核资金落实情况对项目实施的总体保障程度。</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资金到位率=（实际到位资金/计划投入资金）×100%。</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实际到位资金：一定时期（本年度或项目期）内实际落实到具体项目的资金。</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color w:val="000000"/>
                <w:kern w:val="0"/>
                <w:sz w:val="24"/>
                <w:szCs w:val="24"/>
                <w:lang w:val="en-US" w:eastAsia="zh-CN"/>
              </w:rPr>
            </w:pPr>
          </w:p>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trHeight w:val="1122"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计划投入资金：一定时期（本年度或项目期）内计划投入到具体项目的资金。</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到位及时率（4分）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及时到位资金与应到位资金的比率，用以反映和考核项目资金落实的及时性程度。</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到位及时率＝（及时到位资金/应到位资金）×100%。</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及时到位资金：截至规定时点实际落实到具体项目的资金。</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color w:val="000000"/>
                <w:kern w:val="0"/>
                <w:sz w:val="24"/>
                <w:szCs w:val="24"/>
                <w:lang w:val="en-US" w:eastAsia="zh-CN"/>
              </w:rPr>
            </w:pPr>
          </w:p>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trHeight w:val="1091"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szCs w:val="24"/>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应到位资金：按照合同或项目进度要求截至规定时点应落实到具体项目的资金。</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nil"/>
              <w:right w:val="single" w:color="auto" w:sz="4" w:space="0"/>
            </w:tcBorders>
            <w:noWrap w:val="0"/>
            <w:vAlign w:val="center"/>
          </w:tcPr>
          <w:p>
            <w:pPr>
              <w:jc w:val="center"/>
              <w:rPr>
                <w:rFonts w:ascii="仿宋_GB2312" w:hAnsi="宋体"/>
                <w:color w:val="000000"/>
                <w:kern w:val="0"/>
                <w:sz w:val="20"/>
                <w:szCs w:val="20"/>
              </w:rPr>
            </w:pPr>
            <w:r>
              <w:rPr>
                <w:rFonts w:ascii="仿宋_GB2312" w:hAnsi="宋体"/>
                <w:color w:val="000000"/>
                <w:kern w:val="0"/>
                <w:sz w:val="20"/>
                <w:szCs w:val="20"/>
              </w:rPr>
              <w:t>过程</w:t>
            </w:r>
          </w:p>
          <w:p>
            <w:pPr>
              <w:jc w:val="center"/>
              <w:rPr>
                <w:rFonts w:ascii="仿宋_GB2312" w:hAnsi="宋体"/>
                <w:color w:val="000000"/>
                <w:kern w:val="0"/>
                <w:sz w:val="20"/>
                <w:szCs w:val="20"/>
              </w:rPr>
            </w:pPr>
            <w:r>
              <w:rPr>
                <w:rFonts w:ascii="仿宋_GB2312" w:hAnsi="宋体"/>
                <w:color w:val="000000"/>
                <w:kern w:val="0"/>
                <w:sz w:val="20"/>
                <w:szCs w:val="20"/>
              </w:rPr>
              <w:t>（30分）</w:t>
            </w:r>
          </w:p>
        </w:tc>
        <w:tc>
          <w:tcPr>
            <w:tcW w:w="710" w:type="dxa"/>
            <w:vMerge w:val="restart"/>
            <w:tcBorders>
              <w:top w:val="nil"/>
              <w:left w:val="nil"/>
              <w:bottom w:val="nil"/>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业务管理</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（10分）</w:t>
            </w:r>
          </w:p>
          <w:p>
            <w:pPr>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管理制度健全</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（3分）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项目实施单位的业务管理制度是否健全，用以反映和考核业务管理制度对项目顺利实施的保障情况。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①是否已制定或具有相应的业务管理制度；</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szCs w:val="24"/>
                <w:lang w:val="en-US" w:eastAsia="zh-CN"/>
              </w:rPr>
            </w:pPr>
          </w:p>
        </w:tc>
      </w:tr>
      <w:tr>
        <w:tblPrEx>
          <w:tblCellMar>
            <w:top w:w="0" w:type="dxa"/>
            <w:left w:w="108" w:type="dxa"/>
            <w:bottom w:w="0" w:type="dxa"/>
            <w:right w:w="108" w:type="dxa"/>
          </w:tblCellMar>
        </w:tblPrEx>
        <w:trPr>
          <w:trHeight w:val="633"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②业务管理制度是否合法、合规、完整。</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3</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制度执行有效性</w:t>
            </w:r>
          </w:p>
          <w:p>
            <w:pPr>
              <w:widowControl/>
              <w:spacing w:line="280" w:lineRule="exact"/>
              <w:jc w:val="center"/>
              <w:rPr>
                <w:rFonts w:ascii="仿宋_GB2312" w:hAnsi="宋体"/>
                <w:color w:val="000000"/>
                <w:kern w:val="0"/>
                <w:sz w:val="20"/>
                <w:szCs w:val="20"/>
              </w:rPr>
            </w:pPr>
            <w:r>
              <w:rPr>
                <w:rFonts w:ascii="仿宋_GB2312" w:hAnsi="宋体"/>
                <w:color w:val="000000"/>
                <w:kern w:val="0"/>
                <w:sz w:val="20"/>
                <w:szCs w:val="20"/>
              </w:rPr>
              <w:t>（3分）</w:t>
            </w:r>
          </w:p>
        </w:tc>
        <w:tc>
          <w:tcPr>
            <w:tcW w:w="3080" w:type="dxa"/>
            <w:vMerge w:val="restart"/>
            <w:tcBorders>
              <w:top w:val="nil"/>
              <w:left w:val="nil"/>
              <w:bottom w:val="single" w:color="000000"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项目实施是否符合相关业务管理规定，用以反映和考核业务管理制度的有效执行情况。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①是否遵守相关法律法规和业务管理规定；</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②项目调整及支出调整手续是否完备；</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③项目合同书、验收报告、技术审定等资料是否齐全并及时归档;</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color w:val="000000"/>
                <w:kern w:val="0"/>
                <w:sz w:val="24"/>
                <w:szCs w:val="24"/>
                <w:lang w:val="en-US" w:eastAsia="zh-CN"/>
              </w:rPr>
            </w:pPr>
          </w:p>
          <w:p>
            <w:pPr>
              <w:widowControl/>
              <w:spacing w:line="280" w:lineRule="exac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3</w:t>
            </w:r>
          </w:p>
        </w:tc>
      </w:tr>
      <w:tr>
        <w:tblPrEx>
          <w:tblCellMar>
            <w:top w:w="0" w:type="dxa"/>
            <w:left w:w="108" w:type="dxa"/>
            <w:bottom w:w="0" w:type="dxa"/>
            <w:right w:w="108" w:type="dxa"/>
          </w:tblCellMar>
        </w:tblPrEx>
        <w:trPr>
          <w:trHeight w:val="1103"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color w:val="000000"/>
                <w:kern w:val="0"/>
                <w:sz w:val="20"/>
                <w:szCs w:val="20"/>
              </w:rPr>
            </w:pPr>
            <w:r>
              <w:rPr>
                <w:rFonts w:ascii="仿宋_GB2312" w:hAnsi="宋体"/>
                <w:color w:val="000000"/>
                <w:kern w:val="0"/>
                <w:sz w:val="20"/>
                <w:szCs w:val="20"/>
              </w:rPr>
              <w:t>④项目实施的人员条件、场地设备，信息支撑等是否落实到位。</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项目质量可控性</w:t>
            </w:r>
          </w:p>
          <w:p>
            <w:pPr>
              <w:widowControl/>
              <w:jc w:val="center"/>
              <w:rPr>
                <w:rFonts w:ascii="仿宋_GB2312" w:hAnsi="宋体"/>
                <w:color w:val="000000"/>
                <w:kern w:val="0"/>
                <w:sz w:val="20"/>
                <w:szCs w:val="20"/>
              </w:rPr>
            </w:pPr>
            <w:r>
              <w:rPr>
                <w:rFonts w:ascii="仿宋_GB2312" w:hAnsi="宋体"/>
                <w:color w:val="000000"/>
                <w:kern w:val="0"/>
                <w:sz w:val="20"/>
                <w:szCs w:val="20"/>
              </w:rPr>
              <w:t>（4分）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项目实施单位是否为达到项目质量要求而采取了必需的措施，用以反映和考核项目实施单位对项目质量的控制情况。</w:t>
            </w: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①是否已制定或其有相应的项目质量要求或标准；</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trHeight w:val="1194"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②是否采取了相应的项目质量检查、验收等必需的控制措施或手段。</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4</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710"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财务管理</w:t>
            </w:r>
          </w:p>
          <w:p>
            <w:pPr>
              <w:widowControl/>
              <w:jc w:val="center"/>
              <w:rPr>
                <w:rFonts w:ascii="仿宋_GB2312" w:hAnsi="宋体"/>
                <w:color w:val="000000"/>
                <w:kern w:val="0"/>
                <w:sz w:val="20"/>
                <w:szCs w:val="20"/>
              </w:rPr>
            </w:pPr>
            <w:r>
              <w:rPr>
                <w:rFonts w:ascii="仿宋_GB2312" w:hAnsi="宋体"/>
                <w:color w:val="000000"/>
                <w:kern w:val="0"/>
                <w:sz w:val="20"/>
                <w:szCs w:val="20"/>
              </w:rPr>
              <w:t>（20分）</w:t>
            </w: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管理制度健全性</w:t>
            </w:r>
          </w:p>
          <w:p>
            <w:pPr>
              <w:widowControl/>
              <w:jc w:val="center"/>
              <w:rPr>
                <w:rFonts w:ascii="仿宋_GB2312" w:hAnsi="宋体"/>
                <w:color w:val="000000"/>
                <w:kern w:val="0"/>
                <w:sz w:val="20"/>
                <w:szCs w:val="20"/>
              </w:rPr>
            </w:pPr>
            <w:r>
              <w:rPr>
                <w:rFonts w:ascii="仿宋_GB2312" w:hAnsi="宋体"/>
                <w:color w:val="000000"/>
                <w:kern w:val="0"/>
                <w:sz w:val="20"/>
                <w:szCs w:val="20"/>
              </w:rPr>
              <w:t>（5分）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项目实施单位的财务制度是否健全，用以反映和考核财务管理制度对资金规范安全运行的保障情况。</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①是否已制定或具有相应的项目资金管理办法；</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trHeight w:val="866"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②项目资金管理办法是否符合相关财务会计制度的规定。</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5</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资金使用合规性</w:t>
            </w:r>
          </w:p>
          <w:p>
            <w:pPr>
              <w:widowControl/>
              <w:jc w:val="center"/>
              <w:rPr>
                <w:rFonts w:ascii="仿宋_GB2312" w:hAnsi="宋体"/>
                <w:color w:val="000000"/>
                <w:kern w:val="0"/>
                <w:sz w:val="20"/>
                <w:szCs w:val="20"/>
              </w:rPr>
            </w:pPr>
            <w:r>
              <w:rPr>
                <w:rFonts w:ascii="仿宋_GB2312" w:hAnsi="宋体"/>
                <w:color w:val="000000"/>
                <w:kern w:val="0"/>
                <w:sz w:val="20"/>
                <w:szCs w:val="20"/>
              </w:rPr>
              <w:t>（7分）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项目资金使用是否符合相关的财务管理制度规定，用以反映和考核项目资金的规范运行情况。</w:t>
            </w: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①是否符合国家财经法规和财务管理以及有关专项资金管理办法的规定；</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②资金的拨付是否有完整的审批程序和手续；</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③项目的重大开支是否经过评估认证；</w:t>
            </w:r>
          </w:p>
        </w:tc>
        <w:tc>
          <w:tcPr>
            <w:tcW w:w="385" w:type="dxa"/>
            <w:tcBorders>
              <w:top w:val="nil"/>
              <w:left w:val="nil"/>
              <w:bottom w:val="nil"/>
              <w:right w:val="single" w:color="auto" w:sz="4" w:space="0"/>
            </w:tcBorders>
            <w:noWrap w:val="0"/>
            <w:vAlign w:val="top"/>
          </w:tcPr>
          <w:p>
            <w:pPr>
              <w:widowControl/>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7</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④是否符合项目预算批复或合同规定的用途；</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trHeight w:val="1027"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⑤是否存在截留、挤占、挪用、虚列支出等情况。</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trHeight w:val="377"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财务监控有效性</w:t>
            </w:r>
          </w:p>
          <w:p>
            <w:pPr>
              <w:widowControl/>
              <w:jc w:val="center"/>
              <w:rPr>
                <w:rFonts w:ascii="仿宋_GB2312" w:hAnsi="宋体"/>
                <w:color w:val="000000"/>
                <w:kern w:val="0"/>
                <w:sz w:val="20"/>
                <w:szCs w:val="20"/>
              </w:rPr>
            </w:pPr>
            <w:r>
              <w:rPr>
                <w:rFonts w:ascii="仿宋_GB2312" w:hAnsi="宋体"/>
                <w:color w:val="000000"/>
                <w:kern w:val="0"/>
                <w:sz w:val="20"/>
                <w:szCs w:val="20"/>
              </w:rPr>
              <w:t>（8分）</w:t>
            </w:r>
          </w:p>
        </w:tc>
        <w:tc>
          <w:tcPr>
            <w:tcW w:w="3080" w:type="dxa"/>
            <w:vMerge w:val="restart"/>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项目实施单位是否为保障资金的安全、规范运行而采取了必要的监控措施，用以反映和考核项目实施单位对资金运行的控制情况。</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①是否已制定或具有相应的监控机制；</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trHeight w:val="1519"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②是否采取了相应的财务检查等必要的监控措施或手段。</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p>
            <w:pPr>
              <w:widowControl/>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7</w:t>
            </w: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产出</w:t>
            </w:r>
          </w:p>
          <w:p>
            <w:pPr>
              <w:widowControl/>
              <w:jc w:val="center"/>
              <w:rPr>
                <w:rFonts w:ascii="仿宋_GB2312" w:hAnsi="宋体"/>
                <w:color w:val="000000"/>
                <w:kern w:val="0"/>
                <w:sz w:val="20"/>
                <w:szCs w:val="20"/>
              </w:rPr>
            </w:pPr>
            <w:r>
              <w:rPr>
                <w:rFonts w:ascii="仿宋_GB2312" w:hAnsi="宋体"/>
                <w:color w:val="000000"/>
                <w:kern w:val="0"/>
                <w:sz w:val="20"/>
                <w:szCs w:val="20"/>
              </w:rPr>
              <w:t>（30分）</w:t>
            </w:r>
          </w:p>
        </w:tc>
        <w:tc>
          <w:tcPr>
            <w:tcW w:w="710"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项目产出</w:t>
            </w:r>
          </w:p>
          <w:p>
            <w:pPr>
              <w:widowControl/>
              <w:jc w:val="center"/>
              <w:rPr>
                <w:rFonts w:ascii="仿宋_GB2312" w:hAnsi="宋体"/>
                <w:color w:val="000000"/>
                <w:kern w:val="0"/>
                <w:sz w:val="20"/>
                <w:szCs w:val="20"/>
              </w:rPr>
            </w:pPr>
            <w:r>
              <w:rPr>
                <w:rFonts w:ascii="仿宋_GB2312" w:hAnsi="宋体"/>
                <w:color w:val="000000"/>
                <w:kern w:val="0"/>
                <w:sz w:val="20"/>
                <w:szCs w:val="20"/>
              </w:rPr>
              <w:t>（30分）</w:t>
            </w: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实际完成率（7分）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项目实施的实际产出数与计划产出数的比率，用以反映和考核项目产出数量目标的实现程度。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实际完成率＝（实际产出数/计划产出数）×100%。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trHeight w:val="568"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实际产出数：一定时期（本年度或项目期）内项目实际产出的产品或提供的服务数。</w:t>
            </w:r>
          </w:p>
        </w:tc>
        <w:tc>
          <w:tcPr>
            <w:tcW w:w="385" w:type="dxa"/>
            <w:tcBorders>
              <w:top w:val="nil"/>
              <w:left w:val="nil"/>
              <w:bottom w:val="nil"/>
              <w:right w:val="single" w:color="auto" w:sz="4" w:space="0"/>
            </w:tcBorders>
            <w:noWrap w:val="0"/>
            <w:vAlign w:val="top"/>
          </w:tcPr>
          <w:p>
            <w:pPr>
              <w:widowControl/>
              <w:jc w:val="left"/>
              <w:rPr>
                <w:rFonts w:hint="eastAsia" w:ascii="宋体" w:hAnsi="宋体"/>
                <w:color w:val="000000"/>
                <w:kern w:val="0"/>
                <w:sz w:val="24"/>
                <w:szCs w:val="24"/>
                <w:lang w:val="en-US" w:eastAsia="zh-CN"/>
              </w:rPr>
            </w:pPr>
          </w:p>
          <w:p>
            <w:pPr>
              <w:widowControl/>
              <w:jc w:val="lef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7</w:t>
            </w:r>
          </w:p>
        </w:tc>
      </w:tr>
      <w:tr>
        <w:tblPrEx>
          <w:tblCellMar>
            <w:top w:w="0" w:type="dxa"/>
            <w:left w:w="108" w:type="dxa"/>
            <w:bottom w:w="0" w:type="dxa"/>
            <w:right w:w="108" w:type="dxa"/>
          </w:tblCellMar>
        </w:tblPrEx>
        <w:trPr>
          <w:trHeight w:val="822"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计划产出数：项目绩效目标确定的在一定时期（本年度或项目期）内计划产出的产品或提供的服务数量。</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完成及时率</w:t>
            </w:r>
          </w:p>
          <w:p>
            <w:pPr>
              <w:widowControl/>
              <w:jc w:val="center"/>
              <w:rPr>
                <w:rFonts w:ascii="仿宋_GB2312" w:hAnsi="宋体"/>
                <w:color w:val="000000"/>
                <w:kern w:val="0"/>
                <w:sz w:val="20"/>
                <w:szCs w:val="20"/>
              </w:rPr>
            </w:pPr>
            <w:r>
              <w:rPr>
                <w:rFonts w:ascii="仿宋_GB2312" w:hAnsi="宋体"/>
                <w:color w:val="000000"/>
                <w:kern w:val="0"/>
                <w:sz w:val="20"/>
                <w:szCs w:val="20"/>
              </w:rPr>
              <w:t>（7分）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项目实际提前完成时间与计划完成时间的比率，用以反映和考核项目产出时效目标的实现程度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完成及时率[ (计划完成时间-实际完成时间）/计划完成时间]</w:t>
            </w:r>
            <w:r>
              <w:rPr>
                <w:rFonts w:ascii="宋体" w:hAnsi="宋体"/>
                <w:color w:val="000000"/>
                <w:kern w:val="0"/>
                <w:sz w:val="20"/>
                <w:szCs w:val="20"/>
              </w:rPr>
              <w:t> </w:t>
            </w:r>
            <w:r>
              <w:rPr>
                <w:rFonts w:ascii="仿宋_GB2312" w:hAnsi="宋体"/>
                <w:color w:val="000000"/>
                <w:kern w:val="0"/>
                <w:sz w:val="20"/>
                <w:szCs w:val="20"/>
              </w:rPr>
              <w:t>×100%。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实际完成时间：项目实施单位完成该项目实际所耗用的时间。</w:t>
            </w:r>
          </w:p>
        </w:tc>
        <w:tc>
          <w:tcPr>
            <w:tcW w:w="385"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7</w:t>
            </w:r>
          </w:p>
        </w:tc>
      </w:tr>
      <w:tr>
        <w:tblPrEx>
          <w:tblCellMar>
            <w:top w:w="0" w:type="dxa"/>
            <w:left w:w="108" w:type="dxa"/>
            <w:bottom w:w="0" w:type="dxa"/>
            <w:right w:w="108" w:type="dxa"/>
          </w:tblCellMar>
        </w:tblPrEx>
        <w:trPr>
          <w:trHeight w:val="516"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计划完成时间：按照项目实施计划或相关规定完成该项目所需的时间。</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质量达标率</w:t>
            </w:r>
          </w:p>
          <w:p>
            <w:pPr>
              <w:widowControl/>
              <w:jc w:val="center"/>
              <w:rPr>
                <w:rFonts w:ascii="仿宋_GB2312" w:hAnsi="宋体"/>
                <w:color w:val="000000"/>
                <w:kern w:val="0"/>
                <w:sz w:val="20"/>
                <w:szCs w:val="20"/>
              </w:rPr>
            </w:pPr>
            <w:r>
              <w:rPr>
                <w:rFonts w:ascii="仿宋_GB2312" w:hAnsi="宋体"/>
                <w:color w:val="000000"/>
                <w:kern w:val="0"/>
                <w:sz w:val="20"/>
                <w:szCs w:val="20"/>
              </w:rPr>
              <w:t>（8分）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项目完成的质量达标产出数与实际产出数的比率，用以反映和考核项目产出质量目标的实现程度。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质量达标率＝（质量达标产出数/实际产出数）/100%。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质量达标产出数：一定时期（本年度或项目期）内实际达到既定质量标准的产品或服务数量。</w:t>
            </w:r>
          </w:p>
        </w:tc>
        <w:tc>
          <w:tcPr>
            <w:tcW w:w="385" w:type="dxa"/>
            <w:tcBorders>
              <w:top w:val="nil"/>
              <w:left w:val="nil"/>
              <w:bottom w:val="nil"/>
              <w:right w:val="single" w:color="auto" w:sz="4" w:space="0"/>
            </w:tcBorders>
            <w:noWrap w:val="0"/>
            <w:vAlign w:val="top"/>
          </w:tcPr>
          <w:p>
            <w:pPr>
              <w:widowControl/>
              <w:jc w:val="left"/>
              <w:rPr>
                <w:rFonts w:hint="eastAsia" w:ascii="宋体" w:hAnsi="宋体"/>
                <w:color w:val="000000"/>
                <w:kern w:val="0"/>
                <w:sz w:val="24"/>
                <w:szCs w:val="24"/>
                <w:lang w:val="en-US" w:eastAsia="zh-CN"/>
              </w:rPr>
            </w:pPr>
          </w:p>
          <w:p>
            <w:pPr>
              <w:widowControl/>
              <w:jc w:val="lef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8</w:t>
            </w:r>
          </w:p>
        </w:tc>
      </w:tr>
      <w:tr>
        <w:tblPrEx>
          <w:tblCellMar>
            <w:top w:w="0" w:type="dxa"/>
            <w:left w:w="108" w:type="dxa"/>
            <w:bottom w:w="0" w:type="dxa"/>
            <w:right w:w="108" w:type="dxa"/>
          </w:tblCellMar>
        </w:tblPrEx>
        <w:trPr>
          <w:trHeight w:val="1006"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既定质量标准是指项目实施单位设立绩效目标时依据计划标准、行业标准、历史标准或其他标准而设定的绩效指标值。</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1275"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000000"/>
                <w:kern w:val="0"/>
                <w:sz w:val="20"/>
                <w:szCs w:val="20"/>
              </w:rPr>
            </w:pPr>
            <w:r>
              <w:rPr>
                <w:rFonts w:ascii="仿宋_GB2312" w:hAnsi="宋体"/>
                <w:color w:val="000000"/>
                <w:kern w:val="0"/>
                <w:sz w:val="20"/>
                <w:szCs w:val="20"/>
              </w:rPr>
              <w:t>成本节约率</w:t>
            </w:r>
          </w:p>
          <w:p>
            <w:pPr>
              <w:widowControl/>
              <w:jc w:val="center"/>
              <w:rPr>
                <w:rFonts w:ascii="仿宋_GB2312" w:hAnsi="宋体"/>
                <w:color w:val="000000"/>
                <w:kern w:val="0"/>
                <w:sz w:val="20"/>
                <w:szCs w:val="20"/>
              </w:rPr>
            </w:pPr>
            <w:r>
              <w:rPr>
                <w:rFonts w:ascii="仿宋_GB2312" w:hAnsi="宋体"/>
                <w:color w:val="000000"/>
                <w:kern w:val="0"/>
                <w:sz w:val="20"/>
                <w:szCs w:val="20"/>
              </w:rPr>
              <w:t>（8分）</w:t>
            </w:r>
          </w:p>
        </w:tc>
        <w:tc>
          <w:tcPr>
            <w:tcW w:w="3080"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完成项目计划工作目标的实际节约成本与计划成本的比率，用以反映和考核项目的成本节约程度。</w:t>
            </w: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成本节约率＝(计划成本-实际成本)</w:t>
            </w:r>
            <w:r>
              <w:rPr>
                <w:rFonts w:ascii="宋体" w:hAnsi="宋体"/>
                <w:color w:val="000000"/>
                <w:kern w:val="0"/>
                <w:sz w:val="20"/>
                <w:szCs w:val="20"/>
              </w:rPr>
              <w:t> </w:t>
            </w:r>
            <w:r>
              <w:rPr>
                <w:rFonts w:ascii="仿宋_GB2312" w:hAnsi="宋体"/>
                <w:color w:val="000000"/>
                <w:kern w:val="0"/>
                <w:sz w:val="20"/>
                <w:szCs w:val="20"/>
              </w:rPr>
              <w:t>/计划成本×100%。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szCs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color w:val="000000"/>
                <w:kern w:val="0"/>
                <w:sz w:val="20"/>
                <w:szCs w:val="20"/>
              </w:rPr>
            </w:pPr>
            <w:r>
              <w:rPr>
                <w:rFonts w:ascii="仿宋_GB2312" w:hAnsi="宋体"/>
                <w:color w:val="000000"/>
                <w:kern w:val="0"/>
                <w:sz w:val="20"/>
                <w:szCs w:val="20"/>
              </w:rPr>
              <w:t>实际成本：项目实施单位如期、保质、保量完成既定工作目标实际所耗费的支出。</w:t>
            </w:r>
          </w:p>
        </w:tc>
        <w:tc>
          <w:tcPr>
            <w:tcW w:w="385"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7</w:t>
            </w: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宋体"/>
                <w:color w:val="000000"/>
                <w:kern w:val="0"/>
                <w:sz w:val="20"/>
                <w:szCs w:val="20"/>
                <w:lang w:eastAsia="zh-CN"/>
              </w:rPr>
            </w:pPr>
            <w:r>
              <w:rPr>
                <w:rFonts w:hint="eastAsia" w:ascii="仿宋_GB2312" w:hAnsi="宋体"/>
                <w:color w:val="000000"/>
                <w:kern w:val="0"/>
                <w:sz w:val="20"/>
                <w:szCs w:val="20"/>
                <w:lang w:eastAsia="zh-CN"/>
              </w:rPr>
              <w:t>8</w:t>
            </w: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000000"/>
                <w:kern w:val="0"/>
                <w:sz w:val="20"/>
                <w:szCs w:val="20"/>
              </w:rPr>
            </w:pPr>
            <w:r>
              <w:rPr>
                <w:rFonts w:ascii="仿宋_GB2312" w:hAnsi="宋体"/>
                <w:color w:val="000000"/>
                <w:kern w:val="0"/>
                <w:sz w:val="20"/>
                <w:szCs w:val="20"/>
              </w:rPr>
              <w:t>计划成本：项目实施单位为完成工作目标计划安排的支出，一般以项目预算为参考。</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szCs w:val="24"/>
              </w:rPr>
            </w:pPr>
          </w:p>
        </w:tc>
      </w:tr>
      <w:tr>
        <w:tblPrEx>
          <w:tblCellMar>
            <w:top w:w="0" w:type="dxa"/>
            <w:left w:w="108" w:type="dxa"/>
            <w:bottom w:w="0" w:type="dxa"/>
            <w:right w:w="108" w:type="dxa"/>
          </w:tblCellMar>
        </w:tblPrEx>
        <w:trPr>
          <w:trHeight w:val="667" w:hRule="atLeast"/>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效果</w:t>
            </w:r>
          </w:p>
          <w:p>
            <w:pPr>
              <w:widowControl/>
              <w:jc w:val="center"/>
              <w:rPr>
                <w:rFonts w:ascii="仿宋_GB2312" w:hAnsi="宋体"/>
                <w:color w:val="auto"/>
                <w:kern w:val="0"/>
                <w:sz w:val="20"/>
                <w:szCs w:val="20"/>
              </w:rPr>
            </w:pPr>
            <w:r>
              <w:rPr>
                <w:rFonts w:ascii="仿宋_GB2312" w:hAnsi="宋体"/>
                <w:color w:val="auto"/>
                <w:kern w:val="0"/>
                <w:sz w:val="20"/>
                <w:szCs w:val="20"/>
              </w:rPr>
              <w:t>（20分）</w:t>
            </w:r>
          </w:p>
        </w:tc>
        <w:tc>
          <w:tcPr>
            <w:tcW w:w="710" w:type="dxa"/>
            <w:vMerge w:val="restart"/>
            <w:tcBorders>
              <w:top w:val="nil"/>
              <w:left w:val="nil"/>
              <w:bottom w:val="single" w:color="000000"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项目效益</w:t>
            </w:r>
          </w:p>
          <w:p>
            <w:pPr>
              <w:widowControl/>
              <w:jc w:val="center"/>
              <w:rPr>
                <w:rFonts w:ascii="仿宋_GB2312" w:hAnsi="宋体"/>
                <w:color w:val="auto"/>
                <w:kern w:val="0"/>
                <w:sz w:val="20"/>
                <w:szCs w:val="20"/>
              </w:rPr>
            </w:pPr>
            <w:r>
              <w:rPr>
                <w:rFonts w:ascii="仿宋_GB2312" w:hAnsi="宋体"/>
                <w:color w:val="auto"/>
                <w:kern w:val="0"/>
                <w:sz w:val="20"/>
                <w:szCs w:val="20"/>
              </w:rPr>
              <w:t>（20分）</w:t>
            </w: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经济效益</w:t>
            </w:r>
          </w:p>
          <w:p>
            <w:pPr>
              <w:widowControl/>
              <w:jc w:val="center"/>
              <w:rPr>
                <w:rFonts w:ascii="仿宋_GB2312" w:hAnsi="宋体"/>
                <w:color w:val="auto"/>
                <w:kern w:val="0"/>
                <w:sz w:val="20"/>
                <w:szCs w:val="20"/>
              </w:rPr>
            </w:pPr>
            <w:r>
              <w:rPr>
                <w:rFonts w:ascii="仿宋_GB2312" w:hAnsi="宋体"/>
                <w:color w:val="auto"/>
                <w:kern w:val="0"/>
                <w:sz w:val="20"/>
                <w:szCs w:val="20"/>
              </w:rPr>
              <w:t>（4分）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项目实施对经济发展所带来的直接或间接影响情况。</w:t>
            </w:r>
          </w:p>
        </w:tc>
        <w:tc>
          <w:tcPr>
            <w:tcW w:w="4502" w:type="dxa"/>
            <w:vMerge w:val="restart"/>
            <w:tcBorders>
              <w:top w:val="nil"/>
              <w:left w:val="nil"/>
              <w:bottom w:val="single" w:color="000000"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此四项指标为设置项目支出</w:t>
            </w:r>
            <w:r>
              <w:rPr>
                <w:rFonts w:hint="eastAsia" w:ascii="仿宋_GB2312" w:hAnsi="宋体"/>
                <w:color w:val="auto"/>
                <w:kern w:val="0"/>
                <w:sz w:val="20"/>
                <w:szCs w:val="20"/>
              </w:rPr>
              <w:t>績</w:t>
            </w:r>
            <w:r>
              <w:rPr>
                <w:rFonts w:ascii="仿宋_GB2312" w:hAnsi="宋体"/>
                <w:color w:val="auto"/>
                <w:kern w:val="0"/>
                <w:sz w:val="20"/>
                <w:szCs w:val="20"/>
              </w:rPr>
              <w:t>效评价指标时必须考虑的共性要素，可根据项目实际并结合绩效目标设立情况有选择的进行设置，并将其细化为相应的个性化指标。</w:t>
            </w:r>
          </w:p>
        </w:tc>
        <w:tc>
          <w:tcPr>
            <w:tcW w:w="385" w:type="dxa"/>
            <w:tcBorders>
              <w:top w:val="nil"/>
              <w:left w:val="nil"/>
              <w:bottom w:val="single" w:color="000000" w:sz="4" w:space="0"/>
              <w:right w:val="single" w:color="auto" w:sz="4" w:space="0"/>
            </w:tcBorders>
            <w:noWrap w:val="0"/>
            <w:vAlign w:val="top"/>
          </w:tcPr>
          <w:p>
            <w:pPr>
              <w:widowControl/>
              <w:rPr>
                <w:rFonts w:hint="eastAsia" w:ascii="宋体" w:hAnsi="宋体"/>
                <w:color w:val="auto"/>
                <w:kern w:val="0"/>
                <w:sz w:val="24"/>
                <w:szCs w:val="24"/>
                <w:lang w:val="en-US" w:eastAsia="zh-CN"/>
              </w:rPr>
            </w:pPr>
          </w:p>
          <w:p>
            <w:pPr>
              <w:widowControl/>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4</w:t>
            </w:r>
          </w:p>
        </w:tc>
      </w:tr>
      <w:tr>
        <w:tblPrEx>
          <w:tblCellMar>
            <w:top w:w="0" w:type="dxa"/>
            <w:left w:w="108" w:type="dxa"/>
            <w:bottom w:w="0" w:type="dxa"/>
            <w:right w:w="108" w:type="dxa"/>
          </w:tblCellMar>
        </w:tblPrEx>
        <w:trPr>
          <w:trHeight w:val="604"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社会效益</w:t>
            </w:r>
          </w:p>
          <w:p>
            <w:pPr>
              <w:widowControl/>
              <w:jc w:val="center"/>
              <w:rPr>
                <w:rFonts w:ascii="仿宋_GB2312" w:hAnsi="宋体"/>
                <w:color w:val="auto"/>
                <w:kern w:val="0"/>
                <w:sz w:val="20"/>
                <w:szCs w:val="20"/>
              </w:rPr>
            </w:pPr>
            <w:r>
              <w:rPr>
                <w:rFonts w:ascii="仿宋_GB2312" w:hAnsi="宋体"/>
                <w:color w:val="auto"/>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项目实施对社会发展所带来的直接或间接影响情况。</w:t>
            </w:r>
          </w:p>
        </w:tc>
        <w:tc>
          <w:tcPr>
            <w:tcW w:w="4502" w:type="dxa"/>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385" w:type="dxa"/>
            <w:tcBorders>
              <w:top w:val="nil"/>
              <w:left w:val="nil"/>
              <w:bottom w:val="single" w:color="000000" w:sz="4" w:space="0"/>
              <w:right w:val="single" w:color="auto" w:sz="4" w:space="0"/>
            </w:tcBorders>
            <w:noWrap w:val="0"/>
            <w:vAlign w:val="top"/>
          </w:tcPr>
          <w:p>
            <w:pPr>
              <w:widowControl/>
              <w:jc w:val="left"/>
              <w:rPr>
                <w:rFonts w:hint="eastAsia" w:ascii="宋体" w:hAnsi="宋体"/>
                <w:color w:val="auto"/>
                <w:kern w:val="0"/>
                <w:sz w:val="24"/>
                <w:szCs w:val="24"/>
                <w:lang w:val="en-US" w:eastAsia="zh-CN"/>
              </w:rPr>
            </w:pPr>
          </w:p>
          <w:p>
            <w:pPr>
              <w:widowControl/>
              <w:jc w:val="left"/>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3</w:t>
            </w:r>
          </w:p>
        </w:tc>
      </w:tr>
      <w:tr>
        <w:tblPrEx>
          <w:tblCellMar>
            <w:top w:w="0" w:type="dxa"/>
            <w:left w:w="108" w:type="dxa"/>
            <w:bottom w:w="0" w:type="dxa"/>
            <w:right w:w="108" w:type="dxa"/>
          </w:tblCellMar>
        </w:tblPrEx>
        <w:trPr>
          <w:trHeight w:val="75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生态效益</w:t>
            </w:r>
          </w:p>
          <w:p>
            <w:pPr>
              <w:widowControl/>
              <w:jc w:val="center"/>
              <w:rPr>
                <w:rFonts w:ascii="仿宋_GB2312" w:hAnsi="宋体"/>
                <w:color w:val="auto"/>
                <w:kern w:val="0"/>
                <w:sz w:val="20"/>
                <w:szCs w:val="20"/>
              </w:rPr>
            </w:pPr>
            <w:r>
              <w:rPr>
                <w:rFonts w:ascii="仿宋_GB2312" w:hAnsi="宋体"/>
                <w:color w:val="auto"/>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项目实施对生态环境所带来的直接或间接影响情况。</w:t>
            </w:r>
          </w:p>
        </w:tc>
        <w:tc>
          <w:tcPr>
            <w:tcW w:w="4502" w:type="dxa"/>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385" w:type="dxa"/>
            <w:tcBorders>
              <w:top w:val="nil"/>
              <w:left w:val="nil"/>
              <w:bottom w:val="single" w:color="000000" w:sz="4" w:space="0"/>
              <w:right w:val="single" w:color="auto" w:sz="4" w:space="0"/>
            </w:tcBorders>
            <w:noWrap w:val="0"/>
            <w:vAlign w:val="top"/>
          </w:tcPr>
          <w:p>
            <w:pPr>
              <w:widowControl/>
              <w:jc w:val="left"/>
              <w:rPr>
                <w:rFonts w:hint="eastAsia" w:ascii="宋体" w:hAnsi="宋体"/>
                <w:color w:val="auto"/>
                <w:kern w:val="0"/>
                <w:sz w:val="24"/>
                <w:szCs w:val="24"/>
                <w:lang w:val="en-US" w:eastAsia="zh-CN"/>
              </w:rPr>
            </w:pPr>
          </w:p>
          <w:p>
            <w:pPr>
              <w:widowControl/>
              <w:jc w:val="left"/>
              <w:rPr>
                <w:rFonts w:hint="default" w:ascii="宋体" w:hAnsi="宋体" w:eastAsia="宋体"/>
                <w:color w:val="auto"/>
                <w:kern w:val="0"/>
                <w:sz w:val="24"/>
                <w:szCs w:val="24"/>
                <w:lang w:val="en-US" w:eastAsia="zh-CN"/>
              </w:rPr>
            </w:pPr>
            <w:r>
              <w:rPr>
                <w:rFonts w:hint="eastAsia" w:ascii="宋体" w:hAnsi="宋体"/>
                <w:color w:val="auto"/>
                <w:kern w:val="0"/>
                <w:sz w:val="24"/>
                <w:szCs w:val="24"/>
                <w:lang w:val="en-US" w:eastAsia="zh-CN"/>
              </w:rPr>
              <w:t>3</w:t>
            </w:r>
          </w:p>
        </w:tc>
      </w:tr>
      <w:tr>
        <w:tblPrEx>
          <w:tblCellMar>
            <w:top w:w="0" w:type="dxa"/>
            <w:left w:w="108" w:type="dxa"/>
            <w:bottom w:w="0" w:type="dxa"/>
            <w:right w:w="108" w:type="dxa"/>
          </w:tblCellMar>
        </w:tblPrEx>
        <w:trPr>
          <w:trHeight w:val="596"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0" w:type="auto"/>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color w:val="auto"/>
                <w:kern w:val="0"/>
                <w:sz w:val="20"/>
                <w:szCs w:val="20"/>
              </w:rPr>
            </w:pPr>
            <w:r>
              <w:rPr>
                <w:rFonts w:ascii="仿宋_GB2312" w:hAnsi="宋体"/>
                <w:color w:val="auto"/>
                <w:kern w:val="0"/>
                <w:sz w:val="20"/>
                <w:szCs w:val="20"/>
              </w:rPr>
              <w:t>可持续影响（4分）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项目后续运行及成效发挥的可持续影响情况。</w:t>
            </w:r>
          </w:p>
        </w:tc>
        <w:tc>
          <w:tcPr>
            <w:tcW w:w="4502" w:type="dxa"/>
            <w:vMerge w:val="continue"/>
            <w:tcBorders>
              <w:top w:val="nil"/>
              <w:left w:val="nil"/>
              <w:bottom w:val="single" w:color="000000" w:sz="4" w:space="0"/>
              <w:right w:val="single" w:color="auto" w:sz="4" w:space="0"/>
            </w:tcBorders>
            <w:noWrap w:val="0"/>
            <w:vAlign w:val="center"/>
          </w:tcPr>
          <w:p>
            <w:pPr>
              <w:widowControl/>
              <w:jc w:val="left"/>
              <w:rPr>
                <w:rFonts w:ascii="仿宋_GB2312" w:hAnsi="宋体"/>
                <w:color w:val="auto"/>
                <w:kern w:val="0"/>
                <w:sz w:val="20"/>
                <w:szCs w:val="20"/>
              </w:rPr>
            </w:pPr>
          </w:p>
        </w:tc>
        <w:tc>
          <w:tcPr>
            <w:tcW w:w="385" w:type="dxa"/>
            <w:tcBorders>
              <w:top w:val="nil"/>
              <w:left w:val="nil"/>
              <w:bottom w:val="single" w:color="000000" w:sz="4" w:space="0"/>
              <w:right w:val="single" w:color="auto" w:sz="4" w:space="0"/>
            </w:tcBorders>
            <w:noWrap w:val="0"/>
            <w:vAlign w:val="top"/>
          </w:tcPr>
          <w:p>
            <w:pPr>
              <w:widowControl/>
              <w:jc w:val="left"/>
              <w:rPr>
                <w:rFonts w:hint="eastAsia" w:ascii="宋体" w:hAnsi="宋体"/>
                <w:color w:val="auto"/>
                <w:kern w:val="0"/>
                <w:sz w:val="24"/>
                <w:szCs w:val="24"/>
                <w:lang w:val="en-US" w:eastAsia="zh-CN"/>
              </w:rPr>
            </w:pPr>
          </w:p>
          <w:p>
            <w:pPr>
              <w:widowControl/>
              <w:jc w:val="left"/>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4</w:t>
            </w:r>
          </w:p>
        </w:tc>
      </w:tr>
      <w:tr>
        <w:tblPrEx>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olor w:val="auto"/>
                <w:kern w:val="0"/>
                <w:sz w:val="20"/>
                <w:szCs w:val="20"/>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仿宋_GB2312" w:hAnsi="宋体"/>
                <w:color w:val="auto"/>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color w:val="auto"/>
                <w:kern w:val="0"/>
                <w:sz w:val="18"/>
                <w:szCs w:val="18"/>
              </w:rPr>
            </w:pPr>
            <w:r>
              <w:rPr>
                <w:rFonts w:ascii="仿宋_GB2312" w:hAnsi="宋体"/>
                <w:color w:val="auto"/>
                <w:kern w:val="0"/>
                <w:sz w:val="18"/>
                <w:szCs w:val="18"/>
              </w:rPr>
              <w:t>社会公众或服务对象满意度（6分）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20"/>
                <w:szCs w:val="20"/>
              </w:rPr>
            </w:pPr>
            <w:r>
              <w:rPr>
                <w:rFonts w:ascii="仿宋_GB2312" w:hAnsi="宋体"/>
                <w:color w:val="auto"/>
                <w:kern w:val="0"/>
                <w:sz w:val="20"/>
                <w:szCs w:val="20"/>
              </w:rPr>
              <w:t>社会公众或服务对象对项目实施效策的满意程度</w:t>
            </w: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color w:val="auto"/>
                <w:kern w:val="0"/>
                <w:sz w:val="18"/>
                <w:szCs w:val="18"/>
              </w:rPr>
            </w:pPr>
            <w:r>
              <w:rPr>
                <w:rFonts w:ascii="仿宋_GB2312" w:hAnsi="宋体"/>
                <w:color w:val="auto"/>
                <w:kern w:val="0"/>
                <w:sz w:val="18"/>
                <w:szCs w:val="18"/>
              </w:rPr>
              <w:t>社会公众或服务对象是指因该项目实施而受到影响的部门(单位)、群体或个人。一般采取社会调查的方式。</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color w:val="auto"/>
                <w:kern w:val="0"/>
                <w:sz w:val="24"/>
                <w:szCs w:val="24"/>
                <w:lang w:val="en-US" w:eastAsia="zh-CN"/>
              </w:rPr>
            </w:pPr>
          </w:p>
          <w:p>
            <w:pPr>
              <w:widowControl/>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5</w:t>
            </w:r>
          </w:p>
        </w:tc>
      </w:tr>
      <w:tr>
        <w:tblPrEx>
          <w:tblCellMar>
            <w:top w:w="0" w:type="dxa"/>
            <w:left w:w="108" w:type="dxa"/>
            <w:bottom w:w="0" w:type="dxa"/>
            <w:right w:w="108" w:type="dxa"/>
          </w:tblCellMar>
        </w:tblPrEx>
        <w:trPr>
          <w:trHeight w:val="90" w:hRule="atLeast"/>
          <w:jc w:val="center"/>
        </w:trPr>
        <w:tc>
          <w:tcPr>
            <w:tcW w:w="1366"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仿宋_GB2312" w:hAnsi="宋体" w:eastAsia="宋体"/>
                <w:color w:val="000000"/>
                <w:kern w:val="0"/>
                <w:sz w:val="20"/>
                <w:szCs w:val="20"/>
                <w:lang w:val="en-US" w:eastAsia="zh-CN"/>
              </w:rPr>
            </w:pPr>
            <w:r>
              <w:rPr>
                <w:rFonts w:hint="eastAsia" w:ascii="仿宋_GB2312" w:hAnsi="宋体"/>
                <w:color w:val="000000"/>
                <w:kern w:val="0"/>
                <w:sz w:val="20"/>
                <w:szCs w:val="20"/>
                <w:lang w:val="en-US" w:eastAsia="zh-CN"/>
              </w:rPr>
              <w:t>合计(分)</w:t>
            </w:r>
          </w:p>
        </w:tc>
        <w:tc>
          <w:tcPr>
            <w:tcW w:w="924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97</w:t>
            </w:r>
          </w:p>
        </w:tc>
      </w:tr>
    </w:tbl>
    <w:p>
      <w:pPr>
        <w:widowControl/>
        <w:rPr>
          <w:rFonts w:ascii="黑体" w:hAnsi="宋体" w:eastAsia="黑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3614A"/>
    <w:rsid w:val="6093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2020-05-09T02:08:00Z</dcterms:created>
  <dc:creator>Administrator</dc:creator>
  <cp:lastModifiedBy>Administrator</cp:lastModifiedBy>
  <dcterms:modified xsi:type="dcterms:W3CDTF">2020-05-09T02:09:10Z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