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kern w:val="0"/>
          <w:sz w:val="32"/>
          <w:szCs w:val="32"/>
        </w:rPr>
      </w:pPr>
    </w:p>
    <w:p>
      <w:pPr>
        <w:jc w:val="center"/>
        <w:rPr>
          <w:rFonts w:eastAsia="方正小标宋_GBK"/>
          <w:sz w:val="48"/>
          <w:szCs w:val="48"/>
        </w:rPr>
      </w:pPr>
      <w:bookmarkStart w:id="0" w:name="_GoBack"/>
      <w:r>
        <w:rPr>
          <w:rFonts w:hint="eastAsia" w:eastAsia="方正小标宋_GBK"/>
          <w:sz w:val="48"/>
          <w:szCs w:val="48"/>
        </w:rPr>
        <w:t>2024</w:t>
      </w:r>
      <w:r>
        <w:rPr>
          <w:rFonts w:eastAsia="方正小标宋_GBK"/>
          <w:sz w:val="48"/>
          <w:szCs w:val="48"/>
        </w:rPr>
        <w:t>年度</w:t>
      </w:r>
      <w:r>
        <w:rPr>
          <w:rFonts w:hint="eastAsia" w:eastAsia="方正小标宋_GBK"/>
          <w:sz w:val="48"/>
          <w:szCs w:val="48"/>
        </w:rPr>
        <w:t>江永工业集中区海相希望小学</w:t>
      </w:r>
      <w:r>
        <w:rPr>
          <w:rFonts w:eastAsia="方正小标宋_GBK"/>
          <w:sz w:val="48"/>
          <w:szCs w:val="48"/>
        </w:rPr>
        <w:t>整体支出绩效自评报告</w:t>
      </w:r>
    </w:p>
    <w:bookmarkEnd w:id="0"/>
    <w:p>
      <w:pPr>
        <w:spacing w:line="6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一、基本情况</w:t>
      </w:r>
    </w:p>
    <w:p>
      <w:pPr>
        <w:spacing w:line="60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（一）单位基本情况</w:t>
      </w:r>
    </w:p>
    <w:p>
      <w:pPr>
        <w:spacing w:line="6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江永工业集中区海相希望小学位于江永县工业园区，2024年共有6个教学班，100名学生，全校教职员工11人，在职在编人数7人。单位主要职能：实施小学教育，促进基础教育发展。</w:t>
      </w:r>
    </w:p>
    <w:p>
      <w:pPr>
        <w:pStyle w:val="7"/>
        <w:spacing w:line="600" w:lineRule="exact"/>
        <w:ind w:firstLine="640"/>
        <w:rPr>
          <w:rFonts w:hint="eastAsia" w:ascii="宋体" w:hAnsi="宋体" w:eastAsia="宋体" w:cs="宋体"/>
          <w:sz w:val="32"/>
          <w:szCs w:val="32"/>
        </w:rPr>
      </w:pPr>
      <w:r>
        <w:rPr>
          <w:rFonts w:hint="eastAsia" w:ascii="宋体" w:hAnsi="宋体" w:eastAsia="宋体" w:cs="宋体"/>
          <w:sz w:val="32"/>
          <w:szCs w:val="32"/>
        </w:rPr>
        <w:t>二、一般公共预算支出情况</w:t>
      </w:r>
    </w:p>
    <w:p>
      <w:pPr>
        <w:spacing w:line="6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2024年年度一般公共预算安排137.24万元，其中人员经费103.06万元，公用经费28.59万元，项目支出5.60万元。</w:t>
      </w:r>
    </w:p>
    <w:p>
      <w:pPr>
        <w:spacing w:line="6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2024年江永江永工业集中区海相希望小学用于单位正常运转及人员经费共137.24万元，其中人员支出（含基本工资、绩效津补贴、社保及临聘人员工资福利等）共66.27万元，机构正常运转经费19.19万元。其中办公费3.10万元；水费电费差旅费2.97万元；培训费0.03万元，维修费2.98万元等。</w:t>
      </w:r>
    </w:p>
    <w:p>
      <w:pPr>
        <w:rPr>
          <w:rFonts w:hint="eastAsia" w:ascii="宋体" w:hAnsi="宋体" w:eastAsia="宋体" w:cs="宋体"/>
          <w:sz w:val="32"/>
          <w:szCs w:val="32"/>
        </w:rPr>
      </w:pPr>
      <w:r>
        <w:rPr>
          <w:rFonts w:hint="eastAsia" w:ascii="宋体" w:hAnsi="宋体" w:eastAsia="宋体" w:cs="宋体"/>
          <w:sz w:val="32"/>
          <w:szCs w:val="32"/>
        </w:rPr>
        <w:t>三、纳入专户管理的非税收入支出情况</w:t>
      </w:r>
    </w:p>
    <w:p>
      <w:pPr>
        <w:ind w:firstLine="320" w:firstLineChars="100"/>
        <w:rPr>
          <w:rFonts w:hint="eastAsia" w:ascii="宋体" w:hAnsi="宋体" w:eastAsia="宋体" w:cs="宋体"/>
          <w:sz w:val="32"/>
          <w:szCs w:val="32"/>
        </w:rPr>
      </w:pPr>
      <w:r>
        <w:rPr>
          <w:rFonts w:hint="eastAsia" w:ascii="宋体" w:hAnsi="宋体" w:eastAsia="宋体" w:cs="宋体"/>
          <w:sz w:val="32"/>
          <w:szCs w:val="32"/>
        </w:rPr>
        <w:t>2024年度基本支出</w:t>
      </w:r>
      <w:r>
        <w:rPr>
          <w:rFonts w:hint="eastAsia" w:ascii="宋体" w:hAnsi="宋体" w:eastAsia="宋体" w:cs="宋体"/>
          <w:sz w:val="32"/>
          <w:szCs w:val="32"/>
          <w:lang w:val="en-US" w:eastAsia="zh-CN"/>
        </w:rPr>
        <w:t>4.24</w:t>
      </w:r>
      <w:r>
        <w:rPr>
          <w:rFonts w:hint="eastAsia" w:ascii="宋体" w:hAnsi="宋体" w:eastAsia="宋体" w:cs="宋体"/>
          <w:sz w:val="32"/>
          <w:szCs w:val="32"/>
        </w:rPr>
        <w:t>万元。主要用于教职工课后服务劳务费、弥补学校经费不足的日常支付。</w:t>
      </w:r>
    </w:p>
    <w:p>
      <w:pPr>
        <w:rPr>
          <w:rFonts w:hint="eastAsia" w:ascii="宋体" w:hAnsi="宋体" w:eastAsia="宋体" w:cs="宋体"/>
          <w:sz w:val="32"/>
          <w:szCs w:val="32"/>
        </w:rPr>
      </w:pPr>
      <w:r>
        <w:rPr>
          <w:rFonts w:hint="eastAsia" w:ascii="宋体" w:hAnsi="宋体" w:eastAsia="宋体" w:cs="宋体"/>
          <w:sz w:val="32"/>
          <w:szCs w:val="32"/>
        </w:rPr>
        <w:t>四、部门整体支出绩效情况</w:t>
      </w:r>
    </w:p>
    <w:p>
      <w:pPr>
        <w:ind w:firstLine="320" w:firstLineChars="100"/>
        <w:rPr>
          <w:rFonts w:hint="eastAsia" w:ascii="宋体" w:hAnsi="宋体" w:eastAsia="宋体" w:cs="宋体"/>
          <w:sz w:val="32"/>
          <w:szCs w:val="32"/>
        </w:rPr>
      </w:pPr>
      <w:r>
        <w:rPr>
          <w:rFonts w:hint="eastAsia" w:ascii="宋体" w:hAnsi="宋体" w:eastAsia="宋体" w:cs="宋体"/>
          <w:sz w:val="32"/>
          <w:szCs w:val="32"/>
        </w:rPr>
        <w:t>通过绩效评价工作组对全部资金的实施情况进行了整体跟踪，从资金的拨付及使用进行了综合评价，认为目前资金已全部实施完成，学生、人民群众很满意，本次的绩效综合评价得分100分。</w:t>
      </w:r>
    </w:p>
    <w:p>
      <w:pPr>
        <w:rPr>
          <w:rFonts w:hint="eastAsia" w:ascii="宋体" w:hAnsi="宋体" w:eastAsia="宋体" w:cs="宋体"/>
          <w:sz w:val="32"/>
          <w:szCs w:val="32"/>
        </w:rPr>
      </w:pPr>
      <w:r>
        <w:rPr>
          <w:rFonts w:hint="eastAsia" w:ascii="宋体" w:hAnsi="宋体" w:eastAsia="宋体" w:cs="宋体"/>
          <w:sz w:val="32"/>
          <w:szCs w:val="32"/>
        </w:rPr>
        <w:t>五、存在的问题及原因分析</w:t>
      </w:r>
    </w:p>
    <w:p>
      <w:pPr>
        <w:ind w:firstLine="320" w:firstLineChars="100"/>
        <w:rPr>
          <w:rFonts w:hint="eastAsia" w:ascii="宋体" w:hAnsi="宋体" w:eastAsia="宋体" w:cs="宋体"/>
          <w:sz w:val="32"/>
          <w:szCs w:val="32"/>
        </w:rPr>
      </w:pPr>
      <w:r>
        <w:rPr>
          <w:rFonts w:hint="eastAsia" w:ascii="宋体" w:hAnsi="宋体" w:eastAsia="宋体" w:cs="宋体"/>
          <w:sz w:val="32"/>
          <w:szCs w:val="32"/>
        </w:rPr>
        <w:t>单位在录单后，审核支付时间跨度大，造成日常工作的不便。</w:t>
      </w:r>
    </w:p>
    <w:p>
      <w:pPr>
        <w:rPr>
          <w:rFonts w:hint="eastAsia" w:ascii="宋体" w:hAnsi="宋体" w:eastAsia="宋体" w:cs="宋体"/>
          <w:sz w:val="32"/>
          <w:szCs w:val="32"/>
        </w:rPr>
      </w:pPr>
      <w:r>
        <w:rPr>
          <w:rFonts w:hint="eastAsia" w:ascii="宋体" w:hAnsi="宋体" w:eastAsia="宋体" w:cs="宋体"/>
          <w:sz w:val="32"/>
          <w:szCs w:val="32"/>
        </w:rPr>
        <w:t>六、下一步改进措施</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一是建议加大对督学责任区经费项目的投入力度，提高教学环境和质量，促进教育事业的健康快速高质量发展。</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二是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pPr>
        <w:rPr>
          <w:rFonts w:hint="eastAsia" w:ascii="宋体" w:hAnsi="宋体" w:eastAsia="宋体" w:cs="宋体"/>
          <w:sz w:val="32"/>
          <w:szCs w:val="32"/>
        </w:rPr>
      </w:pPr>
      <w:r>
        <w:rPr>
          <w:rFonts w:hint="eastAsia" w:ascii="宋体" w:hAnsi="宋体" w:eastAsia="宋体" w:cs="宋体"/>
          <w:sz w:val="32"/>
          <w:szCs w:val="32"/>
        </w:rPr>
        <w:t xml:space="preserve"> </w:t>
      </w:r>
    </w:p>
    <w:p>
      <w:pPr>
        <w:rPr>
          <w:rFonts w:hint="eastAsia" w:ascii="宋体" w:hAnsi="宋体" w:eastAsia="宋体" w:cs="宋体"/>
          <w:sz w:val="32"/>
          <w:szCs w:val="32"/>
        </w:rPr>
      </w:pPr>
      <w:r>
        <w:rPr>
          <w:rFonts w:hint="eastAsia" w:ascii="宋体" w:hAnsi="宋体" w:eastAsia="宋体" w:cs="宋体"/>
          <w:sz w:val="32"/>
          <w:szCs w:val="32"/>
        </w:rPr>
        <w:t xml:space="preserve"> </w:t>
      </w:r>
    </w:p>
    <w:p>
      <w:pPr>
        <w:jc w:val="right"/>
        <w:rPr>
          <w:rFonts w:hint="eastAsia" w:ascii="宋体" w:hAnsi="宋体" w:eastAsia="宋体" w:cs="宋体"/>
          <w:sz w:val="32"/>
          <w:szCs w:val="32"/>
          <w:lang w:val="en-US" w:eastAsia="zh-CN"/>
        </w:rPr>
      </w:pPr>
      <w:r>
        <w:rPr>
          <w:rFonts w:hint="eastAsia" w:ascii="宋体" w:hAnsi="宋体" w:eastAsia="宋体" w:cs="宋体"/>
          <w:sz w:val="32"/>
          <w:szCs w:val="32"/>
        </w:rPr>
        <w:t>江永</w:t>
      </w:r>
      <w:r>
        <w:rPr>
          <w:rFonts w:hint="eastAsia" w:ascii="宋体" w:hAnsi="宋体" w:eastAsia="宋体" w:cs="宋体"/>
          <w:sz w:val="32"/>
          <w:szCs w:val="32"/>
          <w:lang w:val="en-US" w:eastAsia="zh-CN"/>
        </w:rPr>
        <w:t>工业集中区海相希望小学</w:t>
      </w:r>
    </w:p>
    <w:p>
      <w:pPr>
        <w:jc w:val="right"/>
        <w:rPr>
          <w:rFonts w:hint="eastAsia" w:ascii="宋体" w:hAnsi="宋体" w:eastAsia="宋体" w:cs="宋体"/>
          <w:sz w:val="32"/>
          <w:szCs w:val="32"/>
        </w:rPr>
      </w:pPr>
      <w:r>
        <w:rPr>
          <w:rFonts w:hint="eastAsia" w:ascii="宋体" w:hAnsi="宋体" w:eastAsia="宋体" w:cs="宋体"/>
          <w:sz w:val="32"/>
          <w:szCs w:val="32"/>
        </w:rPr>
        <w:t xml:space="preserve"> </w:t>
      </w:r>
    </w:p>
    <w:p>
      <w:pPr>
        <w:jc w:val="right"/>
        <w:rPr>
          <w:rFonts w:hint="eastAsia" w:ascii="宋体" w:hAnsi="宋体" w:eastAsia="宋体" w:cs="宋体"/>
          <w:sz w:val="32"/>
          <w:szCs w:val="32"/>
        </w:rPr>
      </w:pPr>
      <w:r>
        <w:rPr>
          <w:rFonts w:hint="eastAsia" w:ascii="宋体" w:hAnsi="宋体" w:eastAsia="宋体" w:cs="宋体"/>
          <w:sz w:val="32"/>
          <w:szCs w:val="32"/>
        </w:rPr>
        <w:t>2025年</w:t>
      </w:r>
      <w:r>
        <w:rPr>
          <w:rFonts w:hint="eastAsia" w:ascii="宋体" w:hAnsi="宋体" w:eastAsia="宋体" w:cs="宋体"/>
          <w:sz w:val="32"/>
          <w:szCs w:val="32"/>
          <w:lang w:val="en-US" w:eastAsia="zh-CN"/>
        </w:rPr>
        <w:t>5</w:t>
      </w:r>
      <w:r>
        <w:rPr>
          <w:rFonts w:hint="eastAsia" w:ascii="宋体" w:hAnsi="宋体" w:eastAsia="宋体" w:cs="宋体"/>
          <w:sz w:val="32"/>
          <w:szCs w:val="32"/>
        </w:rPr>
        <w:t>月</w:t>
      </w:r>
      <w:r>
        <w:rPr>
          <w:rFonts w:hint="eastAsia" w:ascii="宋体" w:hAnsi="宋体" w:eastAsia="宋体" w:cs="宋体"/>
          <w:sz w:val="32"/>
          <w:szCs w:val="32"/>
          <w:lang w:val="en-US" w:eastAsia="zh-CN"/>
        </w:rPr>
        <w:t>8</w:t>
      </w:r>
      <w:r>
        <w:rPr>
          <w:rFonts w:hint="eastAsia" w:ascii="宋体" w:hAnsi="宋体" w:eastAsia="宋体" w:cs="宋体"/>
          <w:sz w:val="32"/>
          <w:szCs w:val="32"/>
        </w:rPr>
        <w:t>日</w:t>
      </w:r>
    </w:p>
    <w:p/>
    <w:p>
      <w:pPr>
        <w:spacing w:line="600" w:lineRule="exact"/>
        <w:rPr>
          <w:rFonts w:hint="eastAsia" w:eastAsia="仿宋_GB2312"/>
          <w:sz w:val="32"/>
          <w:szCs w:val="32"/>
        </w:rPr>
      </w:pPr>
    </w:p>
    <w:p>
      <w:pPr>
        <w:spacing w:line="600" w:lineRule="exact"/>
        <w:rPr>
          <w:rFonts w:hint="eastAsia" w:eastAsia="仿宋_GB2312"/>
          <w:sz w:val="32"/>
          <w:szCs w:val="32"/>
        </w:rPr>
      </w:pPr>
    </w:p>
    <w:p>
      <w:pPr>
        <w:spacing w:line="600" w:lineRule="exact"/>
        <w:rPr>
          <w:rFonts w:hint="eastAsia" w:eastAsia="仿宋_GB2312"/>
          <w:sz w:val="32"/>
          <w:szCs w:val="32"/>
        </w:rPr>
      </w:pPr>
    </w:p>
    <w:p>
      <w:pPr>
        <w:spacing w:line="600" w:lineRule="exact"/>
        <w:rPr>
          <w:rFonts w:hint="eastAsia" w:eastAsia="仿宋_GB2312"/>
          <w:sz w:val="32"/>
          <w:szCs w:val="32"/>
        </w:rPr>
      </w:pPr>
    </w:p>
    <w:p>
      <w:pPr>
        <w:spacing w:line="600" w:lineRule="exact"/>
        <w:rPr>
          <w:rFonts w:hint="eastAsia" w:ascii="宋体" w:hAnsi="宋体" w:eastAsia="宋体" w:cs="宋体"/>
          <w:sz w:val="44"/>
          <w:szCs w:val="44"/>
        </w:rPr>
      </w:pPr>
      <w:r>
        <w:rPr>
          <w:rFonts w:hint="eastAsia" w:ascii="宋体" w:hAnsi="宋体" w:eastAsia="宋体" w:cs="宋体"/>
          <w:kern w:val="0"/>
          <w:sz w:val="44"/>
          <w:szCs w:val="44"/>
        </w:rPr>
        <w:t>江永工业集中区海相希望小学</w:t>
      </w:r>
      <w:r>
        <w:rPr>
          <w:rFonts w:hint="eastAsia" w:ascii="宋体" w:hAnsi="宋体" w:eastAsia="宋体" w:cs="宋体"/>
          <w:i w:val="0"/>
          <w:iCs w:val="0"/>
          <w:color w:val="000000"/>
          <w:kern w:val="0"/>
          <w:sz w:val="44"/>
          <w:szCs w:val="44"/>
          <w:u w:val="none"/>
          <w:lang w:val="en-US" w:eastAsia="zh-CN" w:bidi="ar"/>
        </w:rPr>
        <w:t>基础数据表</w:t>
      </w:r>
    </w:p>
    <w:tbl>
      <w:tblPr>
        <w:tblW w:w="212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006"/>
        <w:gridCol w:w="1137"/>
        <w:gridCol w:w="1310"/>
        <w:gridCol w:w="1120"/>
        <w:gridCol w:w="1303"/>
        <w:gridCol w:w="1263"/>
        <w:gridCol w:w="1481"/>
        <w:gridCol w:w="10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10620" w:type="dxa"/>
            <w:gridSpan w:val="7"/>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bdr w:val="none" w:color="auto" w:sz="0" w:space="0"/>
                <w:lang w:val="en-US" w:eastAsia="zh-CN" w:bidi="ar"/>
              </w:rPr>
              <w:t>基础数据表</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2"/>
                <w:szCs w:val="32"/>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3006"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财政供养人员情况</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编制数</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2024年实际在职人数</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控制率</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3006"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18"/>
                <w:szCs w:val="18"/>
                <w:u w:val="none"/>
              </w:rPr>
            </w:pP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63.64%</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6"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经费控制情况(万元)</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2023年决算数</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2024年预算数</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2024年决算数</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三公经费</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0.43</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1、公务用车购置和维护经费</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其中：公车购置</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公车运行维护</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2、出国经费</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3、公务接待</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0.43</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项目支出：</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1、业务工作经费</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2、运行维护经费</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3、本级专项资金（一个专项一行）</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公用经费：</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其中：办公经费</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0.76</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0.76</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水费、电费、差旅费</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1.66</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2.72</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2.72</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会议费、培训费</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1.95</w:t>
            </w: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0.03</w:t>
            </w: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0.03</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政府采购金额</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8"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部门基本支出预算调整 </w:t>
            </w:r>
          </w:p>
        </w:tc>
        <w:tc>
          <w:tcPr>
            <w:tcW w:w="244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42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2744"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21" w:hRule="atLeast"/>
        </w:trPr>
        <w:tc>
          <w:tcPr>
            <w:tcW w:w="300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楼堂馆所控制情况 </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（2024年完工项目）</w:t>
            </w:r>
          </w:p>
        </w:tc>
        <w:tc>
          <w:tcPr>
            <w:tcW w:w="11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批复规模 </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w:t>
            </w:r>
          </w:p>
        </w:tc>
        <w:tc>
          <w:tcPr>
            <w:tcW w:w="13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实际规模</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w:t>
            </w:r>
          </w:p>
        </w:tc>
        <w:tc>
          <w:tcPr>
            <w:tcW w:w="11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规模控制率</w:t>
            </w:r>
          </w:p>
        </w:tc>
        <w:tc>
          <w:tcPr>
            <w:tcW w:w="13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预算投资</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12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实际投资</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1481"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投资概算控制率</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bdr w:val="none" w:color="auto" w:sz="0" w:space="0"/>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4" w:hRule="atLeast"/>
        </w:trPr>
        <w:tc>
          <w:tcPr>
            <w:tcW w:w="300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131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12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30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263"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481"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300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厉行节约保障措施</w:t>
            </w:r>
          </w:p>
        </w:tc>
        <w:tc>
          <w:tcPr>
            <w:tcW w:w="7614" w:type="dxa"/>
            <w:gridSpan w:val="6"/>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完善规章制度，加强内部控制</w:t>
            </w:r>
          </w:p>
        </w:tc>
        <w:tc>
          <w:tcPr>
            <w:tcW w:w="1062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bl>
    <w:p>
      <w:pPr>
        <w:ind w:firstLine="880" w:firstLineChars="200"/>
      </w:pPr>
      <w:r>
        <w:rPr>
          <w:rFonts w:hint="eastAsia" w:ascii="黑体" w:hAnsi="黑体" w:eastAsia="黑体"/>
          <w:kern w:val="0"/>
          <w:sz w:val="44"/>
          <w:szCs w:val="44"/>
        </w:rPr>
        <w:t>江永工业集中区海相希望小学</w:t>
      </w:r>
      <w:r>
        <w:rPr>
          <w:rFonts w:hint="eastAsia" w:ascii="宋体" w:hAnsi="宋体" w:eastAsia="宋体" w:cs="宋体"/>
          <w:b/>
          <w:bCs/>
          <w:i w:val="0"/>
          <w:iCs w:val="0"/>
          <w:color w:val="000000"/>
          <w:kern w:val="0"/>
          <w:sz w:val="44"/>
          <w:szCs w:val="44"/>
          <w:u w:val="none"/>
          <w:lang w:val="en-US" w:eastAsia="zh-CN" w:bidi="ar"/>
        </w:rPr>
        <w:t>自评表</w:t>
      </w:r>
    </w:p>
    <w:tbl>
      <w:tblPr>
        <w:tblW w:w="1090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882"/>
        <w:gridCol w:w="751"/>
        <w:gridCol w:w="1095"/>
        <w:gridCol w:w="1095"/>
        <w:gridCol w:w="1035"/>
        <w:gridCol w:w="1845"/>
        <w:gridCol w:w="180"/>
        <w:gridCol w:w="198"/>
        <w:gridCol w:w="462"/>
        <w:gridCol w:w="450"/>
        <w:gridCol w:w="840"/>
        <w:gridCol w:w="1637"/>
        <w:gridCol w:w="4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34" w:type="dxa"/>
          <w:trHeight w:val="334" w:hRule="atLeast"/>
        </w:trPr>
        <w:tc>
          <w:tcPr>
            <w:tcW w:w="10470" w:type="dxa"/>
            <w:gridSpan w:val="1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34" w:type="dxa"/>
          <w:trHeight w:val="330" w:hRule="atLeast"/>
        </w:trPr>
        <w:tc>
          <w:tcPr>
            <w:tcW w:w="163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预算部门名称</w:t>
            </w:r>
          </w:p>
        </w:tc>
        <w:tc>
          <w:tcPr>
            <w:tcW w:w="8837" w:type="dxa"/>
            <w:gridSpan w:val="10"/>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江永工业集中区海相希望小学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34" w:type="dxa"/>
          <w:trHeight w:val="855" w:hRule="atLeast"/>
        </w:trPr>
        <w:tc>
          <w:tcPr>
            <w:tcW w:w="163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18"/>
                <w:szCs w:val="18"/>
                <w:u w:val="none"/>
              </w:rPr>
            </w:pPr>
            <w:r>
              <w:rPr>
                <w:rFonts w:hint="eastAsia" w:ascii="Microsoft YaHei UI" w:hAnsi="Microsoft YaHei UI" w:eastAsia="Microsoft YaHei UI" w:cs="Microsoft YaHei UI"/>
                <w:i w:val="0"/>
                <w:iCs w:val="0"/>
                <w:color w:val="000000"/>
                <w:kern w:val="0"/>
                <w:sz w:val="18"/>
                <w:szCs w:val="18"/>
                <w:u w:val="none"/>
                <w:bdr w:val="none" w:color="auto" w:sz="0" w:space="0"/>
                <w:lang w:val="en-US" w:eastAsia="zh-CN" w:bidi="ar"/>
              </w:rPr>
              <w:t>年度预算申请</w:t>
            </w:r>
            <w:r>
              <w:rPr>
                <w:rFonts w:hint="eastAsia" w:ascii="Microsoft YaHei UI" w:hAnsi="Microsoft YaHei UI" w:eastAsia="Microsoft YaHei UI" w:cs="Microsoft YaHei UI"/>
                <w:i w:val="0"/>
                <w:iCs w:val="0"/>
                <w:color w:val="000000"/>
                <w:kern w:val="0"/>
                <w:sz w:val="18"/>
                <w:szCs w:val="18"/>
                <w:u w:val="none"/>
                <w:bdr w:val="none" w:color="auto" w:sz="0" w:space="0"/>
                <w:lang w:val="en-US" w:eastAsia="zh-CN" w:bidi="ar"/>
              </w:rPr>
              <w:br w:type="textWrapping"/>
            </w:r>
            <w:r>
              <w:rPr>
                <w:rFonts w:hint="eastAsia" w:ascii="Microsoft YaHei UI" w:hAnsi="Microsoft YaHei UI" w:eastAsia="Microsoft YaHei UI" w:cs="Microsoft YaHei UI"/>
                <w:i w:val="0"/>
                <w:iCs w:val="0"/>
                <w:color w:val="000000"/>
                <w:kern w:val="0"/>
                <w:sz w:val="18"/>
                <w:szCs w:val="18"/>
                <w:u w:val="none"/>
                <w:bdr w:val="none" w:color="auto" w:sz="0" w:space="0"/>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15"/>
                <w:szCs w:val="15"/>
                <w:u w:val="none"/>
              </w:rPr>
            </w:pPr>
            <w:r>
              <w:rPr>
                <w:rFonts w:hint="default" w:ascii="仿宋_GB2312" w:hAnsi="宋体" w:eastAsia="仿宋_GB2312" w:cs="仿宋_GB2312"/>
                <w:b/>
                <w:bCs/>
                <w:i w:val="0"/>
                <w:iCs w:val="0"/>
                <w:color w:val="000000"/>
                <w:kern w:val="0"/>
                <w:sz w:val="15"/>
                <w:szCs w:val="15"/>
                <w:u w:val="none"/>
                <w:bdr w:val="none" w:color="auto" w:sz="0" w:space="0"/>
                <w:lang w:val="en-US" w:eastAsia="zh-CN" w:bidi="ar"/>
              </w:rPr>
              <w:t>年初预算数</w:t>
            </w:r>
            <w:r>
              <w:rPr>
                <w:rFonts w:hint="default" w:ascii="仿宋_GB2312" w:hAnsi="宋体" w:eastAsia="仿宋_GB2312" w:cs="仿宋_GB2312"/>
                <w:b/>
                <w:bCs/>
                <w:i w:val="0"/>
                <w:iCs w:val="0"/>
                <w:color w:val="000000"/>
                <w:kern w:val="0"/>
                <w:sz w:val="15"/>
                <w:szCs w:val="15"/>
                <w:u w:val="none"/>
                <w:bdr w:val="none" w:color="auto" w:sz="0" w:space="0"/>
                <w:lang w:val="en-US" w:eastAsia="zh-CN" w:bidi="ar"/>
              </w:rPr>
              <w:br w:type="textWrapping"/>
            </w:r>
            <w:r>
              <w:rPr>
                <w:rFonts w:hint="default" w:ascii="仿宋_GB2312" w:hAnsi="宋体" w:eastAsia="仿宋_GB2312" w:cs="仿宋_GB2312"/>
                <w:b/>
                <w:bCs/>
                <w:i w:val="0"/>
                <w:iCs w:val="0"/>
                <w:color w:val="000000"/>
                <w:kern w:val="0"/>
                <w:sz w:val="15"/>
                <w:szCs w:val="15"/>
                <w:u w:val="none"/>
                <w:bdr w:val="none" w:color="auto" w:sz="0" w:space="0"/>
                <w:lang w:val="en-US" w:eastAsia="zh-CN" w:bidi="ar"/>
              </w:rPr>
              <w:t>(万元)</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全年预算数</w:t>
            </w:r>
            <w:r>
              <w:rPr>
                <w:rFonts w:hint="eastAsia" w:ascii="宋体" w:hAnsi="宋体" w:eastAsia="宋体" w:cs="宋体"/>
                <w:b/>
                <w:bCs/>
                <w:i w:val="0"/>
                <w:iCs w:val="0"/>
                <w:color w:val="000000"/>
                <w:kern w:val="0"/>
                <w:sz w:val="15"/>
                <w:szCs w:val="15"/>
                <w:u w:val="none"/>
                <w:bdr w:val="none" w:color="auto" w:sz="0" w:space="0"/>
                <w:lang w:val="en-US" w:eastAsia="zh-CN" w:bidi="ar"/>
              </w:rPr>
              <w:br w:type="textWrapping"/>
            </w:r>
            <w:r>
              <w:rPr>
                <w:rFonts w:hint="eastAsia" w:ascii="宋体" w:hAnsi="宋体" w:eastAsia="宋体" w:cs="宋体"/>
                <w:b/>
                <w:bCs/>
                <w:i w:val="0"/>
                <w:iCs w:val="0"/>
                <w:color w:val="000000"/>
                <w:kern w:val="0"/>
                <w:sz w:val="15"/>
                <w:szCs w:val="15"/>
                <w:u w:val="none"/>
                <w:bdr w:val="none" w:color="auto" w:sz="0" w:space="0"/>
                <w:lang w:val="en-US" w:eastAsia="zh-CN" w:bidi="ar"/>
              </w:rPr>
              <w:t>（万元）</w:t>
            </w:r>
          </w:p>
        </w:tc>
        <w:tc>
          <w:tcPr>
            <w:tcW w:w="2025"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全年执行数</w:t>
            </w:r>
            <w:r>
              <w:rPr>
                <w:rFonts w:hint="eastAsia" w:ascii="宋体" w:hAnsi="宋体" w:eastAsia="宋体" w:cs="宋体"/>
                <w:b/>
                <w:bCs/>
                <w:i w:val="0"/>
                <w:iCs w:val="0"/>
                <w:color w:val="000000"/>
                <w:kern w:val="0"/>
                <w:sz w:val="15"/>
                <w:szCs w:val="15"/>
                <w:u w:val="none"/>
                <w:bdr w:val="none" w:color="auto" w:sz="0" w:space="0"/>
                <w:lang w:val="en-US" w:eastAsia="zh-CN" w:bidi="ar"/>
              </w:rPr>
              <w:br w:type="textWrapping"/>
            </w:r>
            <w:r>
              <w:rPr>
                <w:rFonts w:hint="eastAsia" w:ascii="宋体" w:hAnsi="宋体" w:eastAsia="宋体" w:cs="宋体"/>
                <w:b/>
                <w:bCs/>
                <w:i w:val="0"/>
                <w:iCs w:val="0"/>
                <w:color w:val="000000"/>
                <w:kern w:val="0"/>
                <w:sz w:val="15"/>
                <w:szCs w:val="15"/>
                <w:u w:val="none"/>
                <w:bdr w:val="none" w:color="auto" w:sz="0" w:space="0"/>
                <w:lang w:val="en-US" w:eastAsia="zh-CN" w:bidi="ar"/>
              </w:rPr>
              <w:t>（万元）</w:t>
            </w:r>
          </w:p>
        </w:tc>
        <w:tc>
          <w:tcPr>
            <w:tcW w:w="111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分值</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执行率</w:t>
            </w:r>
          </w:p>
        </w:tc>
        <w:tc>
          <w:tcPr>
            <w:tcW w:w="16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5"/>
                <w:szCs w:val="15"/>
                <w:u w:val="none"/>
              </w:rPr>
            </w:pPr>
            <w:r>
              <w:rPr>
                <w:rFonts w:hint="default" w:ascii="仿宋_GB2312" w:hAnsi="宋体" w:eastAsia="仿宋_GB2312" w:cs="仿宋_GB2312"/>
                <w:b/>
                <w:bCs/>
                <w:i w:val="0"/>
                <w:iCs w:val="0"/>
                <w:color w:val="000000"/>
                <w:kern w:val="0"/>
                <w:sz w:val="15"/>
                <w:szCs w:val="15"/>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34" w:type="dxa"/>
          <w:trHeight w:val="539" w:hRule="atLeast"/>
        </w:trPr>
        <w:tc>
          <w:tcPr>
            <w:tcW w:w="163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5"/>
                <w:szCs w:val="15"/>
                <w:u w:val="none"/>
              </w:rPr>
            </w:pPr>
            <w:r>
              <w:rPr>
                <w:rFonts w:hint="default" w:ascii="仿宋_GB2312" w:hAnsi="宋体" w:eastAsia="仿宋_GB2312" w:cs="仿宋_GB2312"/>
                <w:b/>
                <w:bCs/>
                <w:i w:val="0"/>
                <w:iCs w:val="0"/>
                <w:color w:val="000000"/>
                <w:kern w:val="0"/>
                <w:sz w:val="15"/>
                <w:szCs w:val="15"/>
                <w:u w:val="none"/>
                <w:bdr w:val="none" w:color="auto" w:sz="0" w:space="0"/>
                <w:lang w:val="en-US" w:eastAsia="zh-CN" w:bidi="ar"/>
              </w:rPr>
              <w:t>年度资金总额：</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bdr w:val="none" w:color="auto" w:sz="0" w:space="0"/>
                <w:lang w:val="en-US" w:eastAsia="zh-CN" w:bidi="ar"/>
              </w:rPr>
              <w:t>89.84</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bdr w:val="none" w:color="auto" w:sz="0" w:space="0"/>
                <w:lang w:val="en-US" w:eastAsia="zh-CN" w:bidi="ar"/>
              </w:rPr>
              <w:t>137.34</w:t>
            </w:r>
          </w:p>
        </w:tc>
        <w:tc>
          <w:tcPr>
            <w:tcW w:w="202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bdr w:val="none" w:color="auto" w:sz="0" w:space="0"/>
                <w:lang w:val="en-US" w:eastAsia="zh-CN" w:bidi="ar"/>
              </w:rPr>
              <w:t>137.34</w:t>
            </w:r>
          </w:p>
        </w:tc>
        <w:tc>
          <w:tcPr>
            <w:tcW w:w="111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bdr w:val="none" w:color="auto" w:sz="0" w:space="0"/>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bdr w:val="none" w:color="auto" w:sz="0" w:space="0"/>
                <w:lang w:val="en-US" w:eastAsia="zh-CN" w:bidi="ar"/>
              </w:rPr>
              <w:t>100.00%</w:t>
            </w:r>
          </w:p>
        </w:tc>
        <w:tc>
          <w:tcPr>
            <w:tcW w:w="16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34" w:type="dxa"/>
          <w:trHeight w:val="449" w:hRule="atLeast"/>
        </w:trPr>
        <w:tc>
          <w:tcPr>
            <w:tcW w:w="163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525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b/>
                <w:bCs/>
                <w:i w:val="0"/>
                <w:iCs w:val="0"/>
                <w:color w:val="000000"/>
                <w:sz w:val="15"/>
                <w:szCs w:val="15"/>
                <w:u w:val="none"/>
              </w:rPr>
            </w:pPr>
            <w:r>
              <w:rPr>
                <w:rFonts w:hint="default" w:ascii="仿宋_GB2312" w:hAnsi="宋体" w:eastAsia="仿宋_GB2312" w:cs="仿宋_GB2312"/>
                <w:b/>
                <w:bCs/>
                <w:i w:val="0"/>
                <w:iCs w:val="0"/>
                <w:color w:val="000000"/>
                <w:kern w:val="0"/>
                <w:sz w:val="15"/>
                <w:szCs w:val="15"/>
                <w:u w:val="none"/>
                <w:bdr w:val="none" w:color="auto" w:sz="0" w:space="0"/>
                <w:lang w:val="en-US" w:eastAsia="zh-CN" w:bidi="ar"/>
              </w:rPr>
              <w:t>按收入性质分：</w:t>
            </w:r>
          </w:p>
        </w:tc>
        <w:tc>
          <w:tcPr>
            <w:tcW w:w="358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34" w:type="dxa"/>
          <w:trHeight w:val="569" w:hRule="atLeast"/>
        </w:trPr>
        <w:tc>
          <w:tcPr>
            <w:tcW w:w="163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5"/>
                <w:szCs w:val="15"/>
                <w:u w:val="none"/>
              </w:rPr>
            </w:pPr>
            <w:r>
              <w:rPr>
                <w:rFonts w:hint="default" w:ascii="仿宋_GB2312" w:hAnsi="宋体" w:eastAsia="仿宋_GB2312" w:cs="仿宋_GB2312"/>
                <w:b/>
                <w:bCs/>
                <w:i w:val="0"/>
                <w:iCs w:val="0"/>
                <w:color w:val="000000"/>
                <w:kern w:val="0"/>
                <w:sz w:val="15"/>
                <w:szCs w:val="15"/>
                <w:u w:val="none"/>
                <w:bdr w:val="none" w:color="auto" w:sz="0" w:space="0"/>
                <w:lang w:val="en-US" w:eastAsia="zh-CN" w:bidi="ar"/>
              </w:rPr>
              <w:t>一般公共预算：</w:t>
            </w:r>
          </w:p>
        </w:tc>
        <w:tc>
          <w:tcPr>
            <w:tcW w:w="415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bdr w:val="none" w:color="auto" w:sz="0" w:space="0"/>
                <w:lang w:val="en-US" w:eastAsia="zh-CN" w:bidi="ar"/>
              </w:rPr>
              <w:t>133.10</w:t>
            </w:r>
          </w:p>
        </w:tc>
        <w:tc>
          <w:tcPr>
            <w:tcW w:w="1110"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其中:基本支出：</w:t>
            </w:r>
          </w:p>
        </w:tc>
        <w:tc>
          <w:tcPr>
            <w:tcW w:w="2477"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bdr w:val="none" w:color="auto" w:sz="0" w:space="0"/>
                <w:lang w:val="en-US" w:eastAsia="zh-CN" w:bidi="ar"/>
              </w:rPr>
              <w:t>137.24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34" w:type="dxa"/>
          <w:trHeight w:val="509" w:hRule="atLeast"/>
        </w:trPr>
        <w:tc>
          <w:tcPr>
            <w:tcW w:w="163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5"/>
                <w:szCs w:val="15"/>
                <w:u w:val="none"/>
              </w:rPr>
            </w:pPr>
            <w:r>
              <w:rPr>
                <w:rFonts w:hint="default" w:ascii="仿宋_GB2312" w:hAnsi="宋体" w:eastAsia="仿宋_GB2312" w:cs="仿宋_GB2312"/>
                <w:b/>
                <w:bCs/>
                <w:i w:val="0"/>
                <w:iCs w:val="0"/>
                <w:color w:val="000000"/>
                <w:kern w:val="0"/>
                <w:sz w:val="15"/>
                <w:szCs w:val="15"/>
                <w:u w:val="none"/>
                <w:bdr w:val="none" w:color="auto" w:sz="0" w:space="0"/>
                <w:lang w:val="en-US" w:eastAsia="zh-CN" w:bidi="ar"/>
              </w:rPr>
              <w:t>政府性基金拨款：</w:t>
            </w:r>
          </w:p>
        </w:tc>
        <w:tc>
          <w:tcPr>
            <w:tcW w:w="415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bdr w:val="none" w:color="auto" w:sz="0" w:space="0"/>
                <w:lang w:val="en-US" w:eastAsia="zh-CN" w:bidi="ar"/>
              </w:rPr>
              <w:t>0.00</w:t>
            </w:r>
          </w:p>
        </w:tc>
        <w:tc>
          <w:tcPr>
            <w:tcW w:w="1110"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5"/>
                <w:szCs w:val="15"/>
                <w:u w:val="none"/>
              </w:rPr>
            </w:pPr>
          </w:p>
        </w:tc>
        <w:tc>
          <w:tcPr>
            <w:tcW w:w="247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34" w:type="dxa"/>
          <w:trHeight w:val="552" w:hRule="atLeast"/>
        </w:trPr>
        <w:tc>
          <w:tcPr>
            <w:tcW w:w="163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5"/>
                <w:szCs w:val="15"/>
                <w:u w:val="none"/>
              </w:rPr>
            </w:pPr>
            <w:r>
              <w:rPr>
                <w:rFonts w:hint="default" w:ascii="仿宋_GB2312" w:hAnsi="宋体" w:eastAsia="仿宋_GB2312" w:cs="仿宋_GB2312"/>
                <w:b/>
                <w:bCs/>
                <w:i w:val="0"/>
                <w:iCs w:val="0"/>
                <w:color w:val="000000"/>
                <w:kern w:val="0"/>
                <w:sz w:val="15"/>
                <w:szCs w:val="15"/>
                <w:u w:val="none"/>
                <w:bdr w:val="none" w:color="auto" w:sz="0" w:space="0"/>
                <w:lang w:val="en-US" w:eastAsia="zh-CN" w:bidi="ar"/>
              </w:rPr>
              <w:t>纳入专户管理的非税收入拨款：</w:t>
            </w:r>
          </w:p>
        </w:tc>
        <w:tc>
          <w:tcPr>
            <w:tcW w:w="415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bdr w:val="none" w:color="auto" w:sz="0" w:space="0"/>
                <w:lang w:val="en-US" w:eastAsia="zh-CN" w:bidi="ar"/>
              </w:rPr>
              <w:t>4.24</w:t>
            </w:r>
          </w:p>
        </w:tc>
        <w:tc>
          <w:tcPr>
            <w:tcW w:w="1110"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项目支出：</w:t>
            </w:r>
          </w:p>
        </w:tc>
        <w:tc>
          <w:tcPr>
            <w:tcW w:w="2477"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34" w:type="dxa"/>
          <w:trHeight w:val="338" w:hRule="atLeast"/>
        </w:trPr>
        <w:tc>
          <w:tcPr>
            <w:tcW w:w="163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Microsoft YaHei UI" w:hAnsi="Microsoft YaHei UI" w:eastAsia="Microsoft YaHei UI" w:cs="Microsoft YaHei UI"/>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其他资金</w:t>
            </w:r>
          </w:p>
        </w:tc>
        <w:tc>
          <w:tcPr>
            <w:tcW w:w="415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0.0</w:t>
            </w:r>
          </w:p>
        </w:tc>
        <w:tc>
          <w:tcPr>
            <w:tcW w:w="1110"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2477"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34" w:type="dxa"/>
          <w:trHeight w:val="220" w:hRule="atLeast"/>
        </w:trPr>
        <w:tc>
          <w:tcPr>
            <w:tcW w:w="1633"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年度总体目标</w:t>
            </w:r>
          </w:p>
        </w:tc>
        <w:tc>
          <w:tcPr>
            <w:tcW w:w="525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预期目标</w:t>
            </w:r>
          </w:p>
        </w:tc>
        <w:tc>
          <w:tcPr>
            <w:tcW w:w="358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34" w:type="dxa"/>
          <w:trHeight w:val="440" w:hRule="atLeast"/>
        </w:trPr>
        <w:tc>
          <w:tcPr>
            <w:tcW w:w="1633"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b/>
                <w:bCs/>
                <w:i w:val="0"/>
                <w:iCs w:val="0"/>
                <w:color w:val="000000"/>
                <w:sz w:val="18"/>
                <w:szCs w:val="18"/>
                <w:u w:val="none"/>
              </w:rPr>
            </w:pPr>
          </w:p>
        </w:tc>
        <w:tc>
          <w:tcPr>
            <w:tcW w:w="525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坚决贯彻执行党和国家的教育方针政策，深化教育改革，发展素质教育，稳步提高教育质量，巩固艺术教育特色成果，促进江永教育事业发展。保障人员经费，提高教师队伍幸福感；管好、用好预算内资金，改善和优化学校的办学条件；促进学生全面发展，把教育教学质量放在首位，办人民满意的教育。</w:t>
            </w:r>
          </w:p>
        </w:tc>
        <w:tc>
          <w:tcPr>
            <w:tcW w:w="358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9" w:hRule="atLeast"/>
        </w:trPr>
        <w:tc>
          <w:tcPr>
            <w:tcW w:w="88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绩效指标</w:t>
            </w:r>
          </w:p>
        </w:tc>
        <w:tc>
          <w:tcPr>
            <w:tcW w:w="75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一级指标</w:t>
            </w:r>
          </w:p>
        </w:tc>
        <w:tc>
          <w:tcPr>
            <w:tcW w:w="10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三级指标</w:t>
            </w:r>
          </w:p>
        </w:tc>
        <w:tc>
          <w:tcPr>
            <w:tcW w:w="10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年度指标值</w:t>
            </w:r>
          </w:p>
        </w:tc>
        <w:tc>
          <w:tcPr>
            <w:tcW w:w="103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实际完成值</w:t>
            </w:r>
          </w:p>
        </w:tc>
        <w:tc>
          <w:tcPr>
            <w:tcW w:w="184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评扣分标准</w:t>
            </w:r>
          </w:p>
        </w:tc>
        <w:tc>
          <w:tcPr>
            <w:tcW w:w="378"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分值</w:t>
            </w:r>
          </w:p>
        </w:tc>
        <w:tc>
          <w:tcPr>
            <w:tcW w:w="46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bdr w:val="none" w:color="auto" w:sz="0" w:space="0"/>
                <w:lang w:val="en-US" w:eastAsia="zh-CN" w:bidi="ar"/>
              </w:rPr>
              <w:t>得分</w:t>
            </w:r>
          </w:p>
        </w:tc>
        <w:tc>
          <w:tcPr>
            <w:tcW w:w="3361" w:type="dxa"/>
            <w:gridSpan w:val="4"/>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9"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b/>
                <w:bCs/>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b/>
                <w:bCs/>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b/>
                <w:bCs/>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b/>
                <w:bCs/>
                <w:i w:val="0"/>
                <w:iCs w:val="0"/>
                <w:color w:val="000000"/>
                <w:sz w:val="18"/>
                <w:szCs w:val="18"/>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b/>
                <w:bCs/>
                <w:i w:val="0"/>
                <w:iCs w:val="0"/>
                <w:color w:val="000000"/>
                <w:sz w:val="18"/>
                <w:szCs w:val="18"/>
                <w:u w:val="none"/>
              </w:rPr>
            </w:pPr>
          </w:p>
        </w:tc>
        <w:tc>
          <w:tcPr>
            <w:tcW w:w="378"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b/>
                <w:bCs/>
                <w:i w:val="0"/>
                <w:iCs w:val="0"/>
                <w:color w:val="000000"/>
                <w:sz w:val="18"/>
                <w:szCs w:val="18"/>
                <w:u w:val="none"/>
              </w:rPr>
            </w:pPr>
          </w:p>
        </w:tc>
        <w:tc>
          <w:tcPr>
            <w:tcW w:w="46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b/>
                <w:bCs/>
                <w:i w:val="0"/>
                <w:iCs w:val="0"/>
                <w:color w:val="000000"/>
                <w:sz w:val="18"/>
                <w:szCs w:val="18"/>
                <w:u w:val="none"/>
              </w:rPr>
            </w:pPr>
          </w:p>
        </w:tc>
        <w:tc>
          <w:tcPr>
            <w:tcW w:w="3361" w:type="dxa"/>
            <w:gridSpan w:val="4"/>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1" w:hRule="atLeast"/>
        </w:trPr>
        <w:tc>
          <w:tcPr>
            <w:tcW w:w="88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绩效指标</w:t>
            </w:r>
          </w:p>
        </w:tc>
        <w:tc>
          <w:tcPr>
            <w:tcW w:w="75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产出指标</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教师考核人数</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10人</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10人</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教师培训全员参与得2分，每减少1人扣0.1分，扣完为止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3"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学生招生数量</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100人</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100人</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该指标达到要求得满分，共计2分，每少1人扣0.1分，扣完为止。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5"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贫困生资助数量</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6人</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6人</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贫困生资助数量达标得满分，共计2分，每少1人扣0.1分，扣完为止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3</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3</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8"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教师培训次数</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4人</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4人</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教师培训4次以上得2分，每减少1次扣0.5分，扣完为止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2</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2</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贫困生资助准确率</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该指标达到100%得满分，共计2分，每降低1%扣0.1分，扣完为止。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8"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教师培训完成率</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该指标达到100%得满分，共计2分，每降低1%扣0.1分，扣完为止。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食品安全达标率</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该指标达到100%得满分，共计2分，每降低1%扣0.1分，扣完为止。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8"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完成时间</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2024年完成</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2024年完成</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该指标于2024年12月31日前完成得满分，共计2分，每降低一个档次扣0.1分，扣完为止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8"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效益指标</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提高教师生活水平</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提高教师生活水平</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提高教师生活水平</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该指标达到要求得满分，共计2分，每降低一个档次扣0.1分，扣完为止。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2</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2</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8"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使教师与学生拥有良好的教育氛围</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使教师与学生拥有良好的教育氛围</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使教师与学生拥有良好的教育氛围</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该指标达到要求得满分，共计2分，每降低一个档次扣0.1分，扣完为止。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3</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3</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8"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改善校园环境</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改善校园环境</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改善校园环境</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该指标达到要求得满分，共计2分，每降低一个档次扣0.1分，扣完为止。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可持续发展</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可持续发展</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可持续发展</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该指标达到要求得满分，共计2分，每降低一个档次扣0.1分，扣完为止。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满意度指标</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教师与家长满意率</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100%</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该指标达到90%得满分，共计5分，每减少5%扣1分</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8"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成本指标</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预算整体支出</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137.24万元</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137.24万元</w:t>
            </w: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该指标达到要求得满分，共计2分，每降低一个档次扣0.1分，扣完为止。</w:t>
            </w: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bdr w:val="none" w:color="auto" w:sz="0" w:space="0"/>
                <w:lang w:val="en-US" w:eastAsia="zh-CN" w:bidi="ar"/>
              </w:rPr>
              <w:t>5</w:t>
            </w: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08"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8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_GB2312" w:hAnsi="宋体" w:eastAsia="仿宋_GB2312" w:cs="仿宋_GB2312"/>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18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378"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仿宋_GB2312" w:hAnsi="宋体" w:eastAsia="仿宋_GB2312" w:cs="仿宋_GB2312"/>
                <w:i w:val="0"/>
                <w:iCs w:val="0"/>
                <w:color w:val="000000"/>
                <w:sz w:val="18"/>
                <w:szCs w:val="18"/>
                <w:u w:val="none"/>
              </w:rPr>
            </w:pPr>
          </w:p>
        </w:tc>
        <w:tc>
          <w:tcPr>
            <w:tcW w:w="336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34" w:type="dxa"/>
          <w:trHeight w:val="420" w:hRule="atLeast"/>
        </w:trPr>
        <w:tc>
          <w:tcPr>
            <w:tcW w:w="1633"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8837" w:type="dxa"/>
            <w:gridSpan w:val="10"/>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w:t>
            </w:r>
          </w:p>
        </w:tc>
      </w:tr>
    </w:tbl>
    <w:p/>
    <w:p>
      <w:pPr>
        <w:spacing w:line="560" w:lineRule="exact"/>
        <w:jc w:val="center"/>
        <w:rPr>
          <w:rFonts w:hint="eastAsia" w:ascii="Times New Roman" w:hAnsi="Times New Roman"/>
          <w:kern w:val="0"/>
          <w:sz w:val="44"/>
          <w:szCs w:val="44"/>
        </w:rPr>
      </w:pPr>
      <w:r>
        <w:rPr>
          <w:rFonts w:hint="eastAsia" w:ascii="黑体" w:hAnsi="黑体" w:eastAsia="黑体"/>
          <w:kern w:val="0"/>
          <w:sz w:val="44"/>
          <w:szCs w:val="44"/>
        </w:rPr>
        <w:t>江永工业集中区海相希望小学</w:t>
      </w:r>
      <w:r>
        <w:rPr>
          <w:rFonts w:ascii="方正小标宋_GBK" w:hAnsi="方正小标宋_GBK" w:eastAsia="方正小标宋_GBK"/>
          <w:kern w:val="0"/>
          <w:sz w:val="44"/>
          <w:szCs w:val="44"/>
        </w:rPr>
        <w:t>部门整体支出绩效评价表</w:t>
      </w:r>
    </w:p>
    <w:tbl>
      <w:tblPr>
        <w:tblStyle w:val="5"/>
        <w:tblW w:w="0" w:type="auto"/>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7</w:t>
            </w:r>
            <w:r>
              <w:rPr>
                <w:kern w:val="0"/>
                <w:sz w:val="24"/>
              </w:rPr>
              <w:t>　</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8</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pPr>
              <w:widowControl/>
              <w:rPr>
                <w:rFonts w:ascii="宋体" w:hAnsi="宋体"/>
                <w:color w:val="000000"/>
                <w:kern w:val="0"/>
                <w:sz w:val="24"/>
              </w:rPr>
            </w:pPr>
            <w:r>
              <w:rPr>
                <w:rFonts w:hint="eastAsia" w:ascii="宋体" w:hAnsi="宋体"/>
                <w:color w:val="000000"/>
                <w:kern w:val="0"/>
                <w:sz w:val="24"/>
              </w:rPr>
              <w:t>100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lZDIwOTk5MjI4ODY0YTRiMjg2NTM3NTJiODU4M2YifQ=="/>
    <w:docVar w:name="KSO_WPS_MARK_KEY" w:val="6aee906e-a7de-4205-b603-4d5f6656a126"/>
  </w:docVars>
  <w:rsids>
    <w:rsidRoot w:val="3B2E149E"/>
    <w:rsid w:val="00177FD9"/>
    <w:rsid w:val="00313A39"/>
    <w:rsid w:val="005E7158"/>
    <w:rsid w:val="008245F9"/>
    <w:rsid w:val="008A1940"/>
    <w:rsid w:val="00932553"/>
    <w:rsid w:val="00A033F7"/>
    <w:rsid w:val="00C65925"/>
    <w:rsid w:val="00C96346"/>
    <w:rsid w:val="00E57CDA"/>
    <w:rsid w:val="00E82067"/>
    <w:rsid w:val="00E83DA2"/>
    <w:rsid w:val="0F9279C8"/>
    <w:rsid w:val="1DA203F6"/>
    <w:rsid w:val="21B8102D"/>
    <w:rsid w:val="246177C3"/>
    <w:rsid w:val="256F1090"/>
    <w:rsid w:val="26875CA4"/>
    <w:rsid w:val="2C745384"/>
    <w:rsid w:val="34111149"/>
    <w:rsid w:val="363C2636"/>
    <w:rsid w:val="36681E9B"/>
    <w:rsid w:val="3B2E149E"/>
    <w:rsid w:val="3DCA4743"/>
    <w:rsid w:val="3E007A52"/>
    <w:rsid w:val="3F0C10F2"/>
    <w:rsid w:val="48D47BB5"/>
    <w:rsid w:val="498176A7"/>
    <w:rsid w:val="4C4E010F"/>
    <w:rsid w:val="5B4C6F93"/>
    <w:rsid w:val="645B1B3F"/>
    <w:rsid w:val="6AB01D17"/>
    <w:rsid w:val="6BF37CB6"/>
    <w:rsid w:val="71183086"/>
    <w:rsid w:val="7AEC37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paragraph" w:styleId="7">
    <w:name w:val="List Paragraph"/>
    <w:basedOn w:val="1"/>
    <w:qFormat/>
    <w:uiPriority w:val="99"/>
    <w:pPr>
      <w:ind w:firstLine="420" w:firstLineChars="200"/>
    </w:pPr>
    <w:rPr>
      <w:szCs w:val="22"/>
    </w:rPr>
  </w:style>
  <w:style w:type="character" w:customStyle="1" w:styleId="8">
    <w:name w:val="页眉 Char"/>
    <w:basedOn w:val="6"/>
    <w:link w:val="3"/>
    <w:qFormat/>
    <w:uiPriority w:val="0"/>
    <w:rPr>
      <w:rFonts w:ascii="Calibri" w:hAnsi="Calibri"/>
      <w:kern w:val="2"/>
      <w:sz w:val="18"/>
      <w:szCs w:val="18"/>
    </w:rPr>
  </w:style>
  <w:style w:type="character" w:customStyle="1" w:styleId="9">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1814</Words>
  <Characters>406</Characters>
  <Lines>3</Lines>
  <Paragraphs>4</Paragraphs>
  <TotalTime>0</TotalTime>
  <ScaleCrop>false</ScaleCrop>
  <LinksUpToDate>false</LinksUpToDate>
  <CharactersWithSpaces>2216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2024-04-09T17:24:00Z</dcterms:created>
  <dc:creator>^与久。</dc:creator>
  <cp:lastModifiedBy>待富者</cp:lastModifiedBy>
  <cp:lastPrinted>2024-04-10T07:22:00Z</cp:lastPrinted>
  <dcterms:modified xsi:type="dcterms:W3CDTF">2025-05-08T07:49:39Z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4ED68E0533C44DEFB772591896DFA2DA_13</vt:lpwstr>
  </property>
</Properties>
</file>