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51B52">
      <w:pPr>
        <w:jc w:val="center"/>
        <w:rPr>
          <w:rFonts w:eastAsia="方正小标宋_GBK"/>
          <w:sz w:val="48"/>
          <w:szCs w:val="48"/>
        </w:rPr>
      </w:pPr>
      <w:r>
        <w:rPr>
          <w:rFonts w:hint="eastAsia" w:eastAsia="方正小标宋_GBK"/>
          <w:sz w:val="48"/>
          <w:szCs w:val="48"/>
        </w:rPr>
        <w:t>2024</w:t>
      </w:r>
      <w:r>
        <w:rPr>
          <w:rFonts w:eastAsia="方正小标宋_GBK"/>
          <w:sz w:val="48"/>
          <w:szCs w:val="48"/>
        </w:rPr>
        <w:t>年度</w:t>
      </w:r>
      <w:r>
        <w:rPr>
          <w:rFonts w:hint="eastAsia" w:eastAsia="方正小标宋_GBK"/>
          <w:sz w:val="48"/>
          <w:szCs w:val="48"/>
        </w:rPr>
        <w:t>江永县潇浦镇芙蓉学校</w:t>
      </w:r>
      <w:r>
        <w:rPr>
          <w:rFonts w:eastAsia="方正小标宋_GBK"/>
          <w:sz w:val="48"/>
          <w:szCs w:val="48"/>
        </w:rPr>
        <w:t>整体支出绩效自评报告</w:t>
      </w:r>
    </w:p>
    <w:p w14:paraId="4F263A33">
      <w:pPr>
        <w:jc w:val="center"/>
        <w:rPr>
          <w:rFonts w:eastAsia="黑体"/>
          <w:sz w:val="32"/>
          <w:szCs w:val="32"/>
        </w:rPr>
      </w:pPr>
    </w:p>
    <w:p w14:paraId="07F66CF0">
      <w:pPr>
        <w:jc w:val="center"/>
        <w:rPr>
          <w:rFonts w:eastAsia="黑体"/>
          <w:sz w:val="32"/>
          <w:szCs w:val="32"/>
        </w:rPr>
      </w:pPr>
    </w:p>
    <w:p w14:paraId="17989558">
      <w:pPr>
        <w:jc w:val="center"/>
        <w:rPr>
          <w:rFonts w:eastAsia="黑体"/>
          <w:sz w:val="32"/>
          <w:szCs w:val="32"/>
        </w:rPr>
      </w:pPr>
    </w:p>
    <w:p w14:paraId="514A9F87">
      <w:pPr>
        <w:jc w:val="center"/>
        <w:rPr>
          <w:rFonts w:eastAsia="黑体"/>
          <w:sz w:val="32"/>
          <w:szCs w:val="32"/>
        </w:rPr>
      </w:pPr>
    </w:p>
    <w:p w14:paraId="3764C394">
      <w:pPr>
        <w:jc w:val="center"/>
        <w:rPr>
          <w:rFonts w:eastAsia="黑体"/>
          <w:sz w:val="32"/>
          <w:szCs w:val="32"/>
        </w:rPr>
      </w:pPr>
    </w:p>
    <w:p w14:paraId="5A7F823F">
      <w:pPr>
        <w:jc w:val="center"/>
        <w:rPr>
          <w:rFonts w:eastAsia="黑体"/>
          <w:sz w:val="32"/>
          <w:szCs w:val="32"/>
        </w:rPr>
      </w:pPr>
    </w:p>
    <w:p w14:paraId="3653D25B">
      <w:pPr>
        <w:jc w:val="center"/>
        <w:rPr>
          <w:rFonts w:eastAsia="黑体"/>
          <w:sz w:val="32"/>
          <w:szCs w:val="32"/>
        </w:rPr>
      </w:pPr>
    </w:p>
    <w:p w14:paraId="4C314221">
      <w:pPr>
        <w:ind w:firstLine="880" w:firstLineChars="200"/>
        <w:jc w:val="center"/>
        <w:rPr>
          <w:rFonts w:eastAsia="黑体"/>
          <w:sz w:val="44"/>
          <w:szCs w:val="44"/>
        </w:rPr>
      </w:pPr>
    </w:p>
    <w:p w14:paraId="230A36F1">
      <w:pPr>
        <w:ind w:firstLine="880" w:firstLineChars="200"/>
        <w:jc w:val="center"/>
        <w:rPr>
          <w:rFonts w:eastAsia="黑体"/>
          <w:sz w:val="44"/>
          <w:szCs w:val="44"/>
        </w:rPr>
      </w:pPr>
    </w:p>
    <w:p w14:paraId="6D0E94B4">
      <w:pPr>
        <w:ind w:firstLine="880" w:firstLineChars="200"/>
        <w:jc w:val="center"/>
        <w:rPr>
          <w:rFonts w:eastAsia="黑体"/>
          <w:sz w:val="44"/>
          <w:szCs w:val="44"/>
        </w:rPr>
      </w:pPr>
    </w:p>
    <w:p w14:paraId="5163DCB6">
      <w:pPr>
        <w:ind w:firstLine="720" w:firstLineChars="200"/>
        <w:jc w:val="center"/>
        <w:rPr>
          <w:rFonts w:eastAsia="黑体"/>
          <w:sz w:val="36"/>
          <w:szCs w:val="36"/>
        </w:rPr>
      </w:pPr>
      <w:r>
        <w:rPr>
          <w:rFonts w:eastAsia="黑体"/>
          <w:sz w:val="36"/>
          <w:szCs w:val="36"/>
        </w:rPr>
        <w:t>单位名称（盖章）：</w:t>
      </w:r>
    </w:p>
    <w:p w14:paraId="760591E7">
      <w:pPr>
        <w:jc w:val="center"/>
        <w:rPr>
          <w:rFonts w:eastAsia="黑体"/>
          <w:sz w:val="36"/>
          <w:szCs w:val="36"/>
        </w:rPr>
      </w:pPr>
    </w:p>
    <w:p w14:paraId="63755C08">
      <w:pPr>
        <w:rPr>
          <w:rFonts w:eastAsia="黑体"/>
          <w:sz w:val="32"/>
          <w:szCs w:val="32"/>
        </w:rPr>
      </w:pPr>
    </w:p>
    <w:p w14:paraId="1BB95C47">
      <w:pPr>
        <w:jc w:val="center"/>
        <w:rPr>
          <w:rFonts w:eastAsia="黑体"/>
          <w:sz w:val="32"/>
          <w:szCs w:val="32"/>
        </w:rPr>
      </w:pPr>
    </w:p>
    <w:p w14:paraId="1E2592AD">
      <w:pPr>
        <w:jc w:val="center"/>
        <w:rPr>
          <w:rFonts w:eastAsia="仿宋_GB2312"/>
          <w:sz w:val="32"/>
          <w:szCs w:val="32"/>
        </w:rPr>
      </w:pPr>
      <w:r>
        <w:rPr>
          <w:rFonts w:eastAsia="仿宋_GB2312"/>
          <w:sz w:val="32"/>
          <w:szCs w:val="32"/>
        </w:rPr>
        <w:t>（此页为封面）</w:t>
      </w:r>
    </w:p>
    <w:p w14:paraId="1F6ED6CA">
      <w:pPr>
        <w:jc w:val="center"/>
        <w:rPr>
          <w:rFonts w:eastAsia="仿宋_GB2312"/>
          <w:sz w:val="32"/>
          <w:szCs w:val="32"/>
        </w:rPr>
      </w:pPr>
    </w:p>
    <w:p w14:paraId="1E391F03">
      <w:pPr>
        <w:pStyle w:val="4"/>
        <w:widowControl/>
        <w:shd w:val="clear" w:color="auto" w:fill="FFFFFF"/>
        <w:spacing w:before="0" w:beforeAutospacing="0" w:after="0" w:afterAutospacing="0" w:line="33" w:lineRule="atLeast"/>
        <w:ind w:firstLine="420"/>
        <w:jc w:val="both"/>
        <w:rPr>
          <w:rFonts w:eastAsia="仿宋_GB2312"/>
          <w:sz w:val="32"/>
          <w:szCs w:val="32"/>
        </w:rPr>
      </w:pPr>
      <w:r>
        <w:rPr>
          <w:rFonts w:eastAsia="仿宋_GB2312"/>
          <w:sz w:val="32"/>
          <w:szCs w:val="32"/>
        </w:rPr>
        <w:br w:type="page"/>
      </w:r>
    </w:p>
    <w:p w14:paraId="19C12783">
      <w:pPr>
        <w:widowControl/>
        <w:jc w:val="center"/>
        <w:rPr>
          <w:rFonts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color w:val="000000"/>
          <w:kern w:val="0"/>
          <w:sz w:val="40"/>
          <w:szCs w:val="40"/>
        </w:rPr>
        <w:t>2024年度江永县潇浦镇芙蓉学校整体支出绩效自评报告</w:t>
      </w:r>
    </w:p>
    <w:p w14:paraId="72A7324D">
      <w:pPr>
        <w:pStyle w:val="4"/>
        <w:widowControl/>
        <w:shd w:val="clear" w:color="auto" w:fill="FFFFFF"/>
        <w:spacing w:before="0" w:beforeAutospacing="0" w:after="0" w:afterAutospacing="0" w:line="33" w:lineRule="atLeast"/>
        <w:ind w:firstLine="420"/>
        <w:jc w:val="both"/>
        <w:rPr>
          <w:rFonts w:ascii="宋体" w:hAnsi="宋体" w:cs="宋体"/>
          <w:b/>
          <w:bCs/>
          <w:color w:val="333333"/>
          <w:sz w:val="28"/>
          <w:szCs w:val="28"/>
        </w:rPr>
      </w:pPr>
      <w:r>
        <w:rPr>
          <w:rFonts w:hint="eastAsia" w:ascii="宋体" w:hAnsi="宋体" w:cs="宋体"/>
          <w:b/>
          <w:bCs/>
          <w:color w:val="333333"/>
          <w:sz w:val="28"/>
          <w:szCs w:val="28"/>
          <w:shd w:val="clear" w:color="auto" w:fill="FFFFFF"/>
        </w:rPr>
        <w:t>一、部门概况</w:t>
      </w:r>
    </w:p>
    <w:p w14:paraId="22EAA74B">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1．主要职能：</w:t>
      </w:r>
    </w:p>
    <w:p w14:paraId="41DB5E15">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本单位为江永县二级预算单位，单位性质为财政补助事业单位，主要职能为实施九年义务教育、促进基础教育发展，小学学历教育。</w:t>
      </w:r>
    </w:p>
    <w:p w14:paraId="7318DDFF">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2．机构情况：</w:t>
      </w:r>
    </w:p>
    <w:p w14:paraId="334252E1">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我校设有党支部、工会、办公室、教导处、政教处、教科室、总务处等部门。</w:t>
      </w:r>
    </w:p>
    <w:p w14:paraId="55F47990">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3．人员情况：</w:t>
      </w:r>
    </w:p>
    <w:p w14:paraId="3088C102">
      <w:pPr>
        <w:pStyle w:val="4"/>
        <w:widowControl/>
        <w:shd w:val="clear" w:color="auto" w:fill="FFFFFF"/>
        <w:spacing w:before="0" w:beforeAutospacing="0" w:after="0" w:afterAutospacing="0" w:line="360" w:lineRule="auto"/>
        <w:ind w:firstLine="420"/>
        <w:jc w:val="both"/>
        <w:rPr>
          <w:rFonts w:ascii="宋体" w:hAnsi="宋体" w:cs="宋体"/>
          <w:color w:val="333333"/>
          <w:sz w:val="28"/>
          <w:szCs w:val="28"/>
        </w:rPr>
      </w:pPr>
      <w:r>
        <w:rPr>
          <w:rFonts w:hint="eastAsia" w:ascii="宋体" w:hAnsi="宋体" w:cs="宋体"/>
          <w:color w:val="333333"/>
          <w:sz w:val="28"/>
          <w:szCs w:val="28"/>
          <w:shd w:val="clear" w:color="auto" w:fill="FFFFFF"/>
        </w:rPr>
        <w:t>2024年本单位年末实有在编人数117人，退休0人。</w:t>
      </w:r>
    </w:p>
    <w:p w14:paraId="6FE7680C">
      <w:pPr>
        <w:pStyle w:val="4"/>
        <w:widowControl/>
        <w:shd w:val="clear" w:color="auto" w:fill="FFFFFF"/>
        <w:spacing w:before="0" w:beforeAutospacing="0" w:after="0" w:afterAutospacing="0" w:line="33" w:lineRule="atLeast"/>
        <w:ind w:firstLine="420"/>
        <w:jc w:val="both"/>
        <w:rPr>
          <w:rFonts w:hint="eastAsia" w:ascii="宋体" w:hAnsi="宋体" w:cs="宋体"/>
          <w:b/>
          <w:bCs/>
          <w:color w:val="333333"/>
          <w:sz w:val="28"/>
          <w:szCs w:val="28"/>
          <w:shd w:val="clear" w:color="auto" w:fill="FFFFFF"/>
          <w:lang w:val="en-US" w:eastAsia="zh-CN"/>
        </w:rPr>
      </w:pPr>
      <w:r>
        <w:rPr>
          <w:rFonts w:hint="eastAsia" w:ascii="宋体" w:hAnsi="宋体" w:cs="宋体"/>
          <w:b/>
          <w:bCs/>
          <w:color w:val="333333"/>
          <w:sz w:val="28"/>
          <w:szCs w:val="28"/>
          <w:shd w:val="clear" w:color="auto" w:fill="FFFFFF"/>
          <w:lang w:val="en-US" w:eastAsia="zh-CN"/>
        </w:rPr>
        <w:t>二、绩效自评工作组织开展情况</w:t>
      </w:r>
    </w:p>
    <w:p w14:paraId="7A6E604E">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为了加强财政资金支出与管理，提高财政资金使用效益，根据上级相关文件精神，依照自评工作的相关要求，我单位立即组织人员做好绩效自评工作。组织各科室负责人梳理一年的工作，按项目进度对照年初制定的绩效逐一考核。财务对照预算安排和资金分配拨付情况结合项目进度总结问题提出合理化建议。对预算执行审计提出的问题和专项监督检查的问题回头看，将问题整改到位，切实做到花一分钱得一分钱效益。</w:t>
      </w:r>
    </w:p>
    <w:p w14:paraId="2DFF7962">
      <w:pPr>
        <w:pStyle w:val="4"/>
        <w:widowControl/>
        <w:shd w:val="clear" w:color="auto" w:fill="FFFFFF"/>
        <w:spacing w:before="0" w:beforeAutospacing="0" w:after="0" w:afterAutospacing="0" w:line="33" w:lineRule="atLeast"/>
        <w:ind w:firstLine="420"/>
        <w:jc w:val="both"/>
        <w:rPr>
          <w:rFonts w:hint="eastAsia" w:ascii="宋体" w:hAnsi="宋体" w:cs="宋体"/>
          <w:b/>
          <w:bCs/>
          <w:color w:val="333333"/>
          <w:sz w:val="28"/>
          <w:szCs w:val="28"/>
          <w:shd w:val="clear" w:color="auto" w:fill="FFFFFF"/>
          <w:lang w:val="en-US" w:eastAsia="zh-CN"/>
        </w:rPr>
      </w:pPr>
      <w:r>
        <w:rPr>
          <w:rFonts w:hint="eastAsia" w:ascii="宋体" w:hAnsi="宋体" w:cs="宋体"/>
          <w:b/>
          <w:bCs/>
          <w:color w:val="333333"/>
          <w:sz w:val="28"/>
          <w:szCs w:val="28"/>
          <w:shd w:val="clear" w:color="auto" w:fill="FFFFFF"/>
          <w:lang w:val="en-US" w:eastAsia="zh-CN"/>
        </w:rPr>
        <w:t>二、绩效目标实现情况</w:t>
      </w:r>
    </w:p>
    <w:p w14:paraId="194AB1A5">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评价工作布置严谨，审核严格，现场检查，现场评价。做到绩效目标申报表，自评表规范，无错填漏填等情况。相关内容与绩效目标申报相符，数据正确。</w:t>
      </w:r>
    </w:p>
    <w:p w14:paraId="7EF60C57">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评价从预算配置、履职效益、预算管理、职责履行、预算执行情况和财政支出，一般性支出、办公经费支出、专项经费的支出及厉行节约保障措施等方面进行了综合评价。专项资金和具体预算支出项目的预期绩效目标完成良好，基本按照年初预算完成项目并将资金拨付到位。</w:t>
      </w:r>
    </w:p>
    <w:p w14:paraId="26EE4493">
      <w:pPr>
        <w:pStyle w:val="4"/>
        <w:widowControl/>
        <w:shd w:val="clear" w:color="auto" w:fill="FFFFFF"/>
        <w:spacing w:before="0" w:beforeAutospacing="0" w:after="0" w:afterAutospacing="0" w:line="33" w:lineRule="atLeast"/>
        <w:ind w:firstLine="420"/>
        <w:jc w:val="both"/>
        <w:rPr>
          <w:rFonts w:hint="eastAsia" w:ascii="宋体" w:hAnsi="宋体" w:cs="宋体"/>
          <w:b/>
          <w:bCs/>
          <w:color w:val="333333"/>
          <w:sz w:val="28"/>
          <w:szCs w:val="28"/>
          <w:shd w:val="clear" w:color="auto" w:fill="FFFFFF"/>
          <w:lang w:val="en-US" w:eastAsia="zh-CN"/>
        </w:rPr>
      </w:pPr>
      <w:r>
        <w:rPr>
          <w:rFonts w:hint="eastAsia" w:ascii="宋体" w:hAnsi="宋体" w:cs="宋体"/>
          <w:b/>
          <w:bCs/>
          <w:color w:val="333333"/>
          <w:sz w:val="28"/>
          <w:szCs w:val="28"/>
          <w:shd w:val="clear" w:color="auto" w:fill="FFFFFF"/>
          <w:lang w:val="en-US" w:eastAsia="zh-CN"/>
        </w:rPr>
        <w:t>三、绩效目标设定质量情况</w:t>
      </w:r>
    </w:p>
    <w:p w14:paraId="62BBF38D">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绩效目标设定清晰准确，绩效指标全面完整、科学合理，标准恰当事宜、易于评价。加强协调，密切配合、明确分工，按照规定程序和要求自评，科学合理采用相关评价指标，并根据自身项目特点设置适应本项目的指标体系，充分体现绩效目标特点，真正反映项目绩效水平和绩效目标的实现程序。在评价方法上采用成本效益分析法、比较法、最低成本法等评价方法。绩效目标设定的绩效指标明确，项目绩效目标已细化分解为具体的绩效指标，通过清晰、可衡量的指标值予以体现，绩效指标全面完整，绩效标准基本恰当。但也存在个别绩效标准年初制定不适宜的情况，如成本指标年初设定标准较高等。</w:t>
      </w:r>
    </w:p>
    <w:p w14:paraId="56EADE47">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部门预算主要是根据年初的工作目标及重点，结合上一年度的预算执行情况编制，部门指标编制欠科学，在今后需考虑全面。</w:t>
      </w:r>
    </w:p>
    <w:p w14:paraId="7D014F9B">
      <w:pPr>
        <w:pStyle w:val="4"/>
        <w:widowControl/>
        <w:shd w:val="clear" w:color="auto" w:fill="FFFFFF"/>
        <w:spacing w:before="0" w:beforeAutospacing="0" w:after="0" w:afterAutospacing="0" w:line="33" w:lineRule="atLeast"/>
        <w:ind w:firstLine="420"/>
        <w:jc w:val="both"/>
        <w:rPr>
          <w:rFonts w:hint="eastAsia" w:ascii="宋体" w:hAnsi="宋体" w:cs="宋体"/>
          <w:b/>
          <w:bCs/>
          <w:color w:val="333333"/>
          <w:sz w:val="28"/>
          <w:szCs w:val="28"/>
          <w:shd w:val="clear" w:color="auto" w:fill="FFFFFF"/>
          <w:lang w:val="en-US" w:eastAsia="zh-CN"/>
        </w:rPr>
      </w:pPr>
      <w:r>
        <w:rPr>
          <w:rFonts w:hint="eastAsia" w:ascii="宋体" w:hAnsi="宋体" w:cs="宋体"/>
          <w:b/>
          <w:bCs/>
          <w:color w:val="333333"/>
          <w:sz w:val="28"/>
          <w:szCs w:val="28"/>
          <w:shd w:val="clear" w:color="auto" w:fill="FFFFFF"/>
          <w:lang w:val="en-US" w:eastAsia="zh-CN"/>
        </w:rPr>
        <w:t>四、整改措施及结果应用</w:t>
      </w:r>
    </w:p>
    <w:p w14:paraId="0878E5DA">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全面实施预算绩效管理是政府治理方式的深刻变革，是一项涉及面广，难度大的系统工程。由于我部门对预算绩效管理认识不到位，在实施过程中难免存在问题，观念陈旧，需要再宣传、再认识、再提高，将思想统一，进一步增强责任感。切实提高项目的管理，保障各类业务工作谋划到位、开展有序，助推教育事业发展能力的提升。</w:t>
      </w:r>
    </w:p>
    <w:p w14:paraId="273BEE42">
      <w:pPr>
        <w:pStyle w:val="4"/>
        <w:widowControl/>
        <w:shd w:val="clear" w:color="auto" w:fill="FFFFFF"/>
        <w:spacing w:before="0" w:beforeAutospacing="0" w:after="0" w:afterAutospacing="0" w:line="360" w:lineRule="auto"/>
        <w:ind w:firstLine="420"/>
        <w:jc w:val="both"/>
        <w:rPr>
          <w:rFonts w:hint="eastAsia" w:ascii="宋体" w:hAnsi="宋体" w:cs="宋体"/>
          <w:color w:val="333333"/>
          <w:sz w:val="28"/>
          <w:szCs w:val="28"/>
          <w:shd w:val="clear" w:color="auto" w:fill="FFFFFF"/>
          <w:lang w:val="en-US" w:eastAsia="zh-CN"/>
        </w:rPr>
      </w:pPr>
      <w:r>
        <w:rPr>
          <w:rFonts w:hint="eastAsia" w:ascii="宋体" w:hAnsi="宋体" w:cs="宋体"/>
          <w:color w:val="333333"/>
          <w:sz w:val="28"/>
          <w:szCs w:val="28"/>
          <w:shd w:val="clear" w:color="auto" w:fill="FFFFFF"/>
          <w:lang w:val="en-US" w:eastAsia="zh-CN"/>
        </w:rPr>
        <w:t>今后我部门将加强全面实施预算绩效管理与各科室日常各项业务活动的有机衔接，协同推进实施。在抓好业务工作的同时，树立绩效管理思想，建立健全长效机制。加强财务室与各科室之间的协调配合，进一步提高预算的合理性、严谨性、精准性，充分发挥部门预算资金的整体效益。</w:t>
      </w:r>
    </w:p>
    <w:p w14:paraId="4326D790">
      <w:pPr>
        <w:pStyle w:val="4"/>
        <w:widowControl/>
        <w:shd w:val="clear" w:color="auto" w:fill="FFFFFF"/>
        <w:spacing w:before="0" w:beforeAutospacing="0" w:after="0" w:afterAutospacing="0" w:line="360" w:lineRule="auto"/>
        <w:ind w:firstLine="420"/>
        <w:jc w:val="right"/>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江永县潇浦镇芙蓉学校</w:t>
      </w:r>
    </w:p>
    <w:p w14:paraId="1C7CD0E7">
      <w:pPr>
        <w:pStyle w:val="4"/>
        <w:widowControl/>
        <w:shd w:val="clear" w:color="auto" w:fill="FFFFFF"/>
        <w:spacing w:before="0" w:beforeAutospacing="0" w:after="0" w:afterAutospacing="0" w:line="360" w:lineRule="auto"/>
        <w:ind w:firstLine="420"/>
        <w:jc w:val="right"/>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t>2025年4月14日</w:t>
      </w:r>
    </w:p>
    <w:p w14:paraId="5E57BBC8">
      <w:pPr>
        <w:rPr>
          <w:rFonts w:hint="eastAsia" w:ascii="宋体" w:hAnsi="宋体" w:cs="宋体"/>
          <w:color w:val="333333"/>
          <w:sz w:val="28"/>
          <w:szCs w:val="28"/>
          <w:shd w:val="clear" w:color="auto" w:fill="FFFFFF"/>
        </w:rPr>
      </w:pPr>
      <w:r>
        <w:rPr>
          <w:rFonts w:hint="eastAsia" w:ascii="宋体" w:hAnsi="宋体" w:cs="宋体"/>
          <w:color w:val="333333"/>
          <w:sz w:val="28"/>
          <w:szCs w:val="28"/>
          <w:shd w:val="clear" w:color="auto" w:fill="FFFFFF"/>
        </w:rPr>
        <w:br w:type="page"/>
      </w:r>
    </w:p>
    <w:p w14:paraId="7EC0D441">
      <w:pPr>
        <w:pStyle w:val="4"/>
        <w:widowControl/>
        <w:shd w:val="clear" w:color="auto" w:fill="FFFFFF"/>
        <w:spacing w:before="0" w:beforeAutospacing="0" w:after="0" w:afterAutospacing="0" w:line="360" w:lineRule="auto"/>
        <w:ind w:firstLine="420"/>
        <w:jc w:val="right"/>
      </w:pPr>
      <w:r>
        <w:drawing>
          <wp:inline distT="0" distB="0" distL="114300" distR="114300">
            <wp:extent cx="5268595" cy="6854825"/>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8595" cy="6854825"/>
                    </a:xfrm>
                    <a:prstGeom prst="rect">
                      <a:avLst/>
                    </a:prstGeom>
                    <a:noFill/>
                    <a:ln>
                      <a:noFill/>
                    </a:ln>
                  </pic:spPr>
                </pic:pic>
              </a:graphicData>
            </a:graphic>
          </wp:inline>
        </w:drawing>
      </w:r>
    </w:p>
    <w:p w14:paraId="039DB313">
      <w:r>
        <w:br w:type="page"/>
      </w:r>
    </w:p>
    <w:p w14:paraId="013FBA0E">
      <w:pPr>
        <w:pStyle w:val="4"/>
        <w:widowControl/>
        <w:shd w:val="clear" w:color="auto" w:fill="FFFFFF"/>
        <w:spacing w:before="0" w:beforeAutospacing="0" w:after="0" w:afterAutospacing="0" w:line="360" w:lineRule="auto"/>
        <w:ind w:firstLine="420"/>
        <w:jc w:val="right"/>
      </w:pPr>
      <w:r>
        <w:drawing>
          <wp:inline distT="0" distB="0" distL="114300" distR="114300">
            <wp:extent cx="5269230" cy="7138035"/>
            <wp:effectExtent l="0" t="0" r="762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269230" cy="7138035"/>
                    </a:xfrm>
                    <a:prstGeom prst="rect">
                      <a:avLst/>
                    </a:prstGeom>
                    <a:noFill/>
                    <a:ln>
                      <a:noFill/>
                    </a:ln>
                  </pic:spPr>
                </pic:pic>
              </a:graphicData>
            </a:graphic>
          </wp:inline>
        </w:drawing>
      </w:r>
    </w:p>
    <w:p w14:paraId="6ACD04D4">
      <w:r>
        <w:br w:type="page"/>
      </w:r>
    </w:p>
    <w:p w14:paraId="6119A409">
      <w:pPr>
        <w:pStyle w:val="4"/>
        <w:widowControl/>
        <w:shd w:val="clear" w:color="auto" w:fill="FFFFFF"/>
        <w:spacing w:before="0" w:beforeAutospacing="0" w:after="0" w:afterAutospacing="0" w:line="360" w:lineRule="auto"/>
        <w:ind w:firstLine="420"/>
        <w:jc w:val="right"/>
      </w:pPr>
      <w:r>
        <w:drawing>
          <wp:anchor distT="0" distB="0" distL="114300" distR="114300" simplePos="0" relativeHeight="251659264" behindDoc="0" locked="0" layoutInCell="1" allowOverlap="1">
            <wp:simplePos x="0" y="0"/>
            <wp:positionH relativeFrom="column">
              <wp:posOffset>-582295</wp:posOffset>
            </wp:positionH>
            <wp:positionV relativeFrom="paragraph">
              <wp:posOffset>13970</wp:posOffset>
            </wp:positionV>
            <wp:extent cx="6176010" cy="8087360"/>
            <wp:effectExtent l="0" t="0" r="15240" b="889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6176010" cy="8087360"/>
                    </a:xfrm>
                    <a:prstGeom prst="rect">
                      <a:avLst/>
                    </a:prstGeom>
                    <a:noFill/>
                    <a:ln>
                      <a:noFill/>
                    </a:ln>
                  </pic:spPr>
                </pic:pic>
              </a:graphicData>
            </a:graphic>
          </wp:anchor>
        </w:drawing>
      </w:r>
    </w:p>
    <w:p w14:paraId="1A6A69F8">
      <w:r>
        <w:br w:type="page"/>
      </w:r>
    </w:p>
    <w:p w14:paraId="2F52D692">
      <w:pPr>
        <w:pStyle w:val="4"/>
        <w:widowControl/>
        <w:shd w:val="clear" w:color="auto" w:fill="FFFFFF"/>
        <w:spacing w:before="0" w:beforeAutospacing="0" w:after="0" w:afterAutospacing="0" w:line="360" w:lineRule="auto"/>
        <w:ind w:firstLine="420"/>
        <w:jc w:val="right"/>
        <w:rPr>
          <w:rFonts w:hint="eastAsia"/>
        </w:rPr>
      </w:pPr>
      <w:bookmarkStart w:id="0" w:name="_GoBack"/>
      <w:bookmarkEnd w:id="0"/>
    </w:p>
    <w:p w14:paraId="7DC859B3">
      <w:pPr>
        <w:rPr>
          <w:sz w:val="28"/>
          <w:szCs w:val="28"/>
        </w:rPr>
      </w:pPr>
      <w:r>
        <w:drawing>
          <wp:anchor distT="0" distB="0" distL="114300" distR="114300" simplePos="0" relativeHeight="251660288" behindDoc="1" locked="0" layoutInCell="1" allowOverlap="1">
            <wp:simplePos x="0" y="0"/>
            <wp:positionH relativeFrom="column">
              <wp:posOffset>-675640</wp:posOffset>
            </wp:positionH>
            <wp:positionV relativeFrom="paragraph">
              <wp:posOffset>5715</wp:posOffset>
            </wp:positionV>
            <wp:extent cx="6831330" cy="7478395"/>
            <wp:effectExtent l="0" t="0" r="762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6831330" cy="7478395"/>
                    </a:xfrm>
                    <a:prstGeom prst="rect">
                      <a:avLst/>
                    </a:prstGeom>
                    <a:noFill/>
                    <a:ln>
                      <a:noFill/>
                    </a:ln>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NGVlZjk1MzIyZGE5Zjg0NDAzM2NmYTY4ZGZkYjYifQ=="/>
  </w:docVars>
  <w:rsids>
    <w:rsidRoot w:val="1B765B79"/>
    <w:rsid w:val="00042515"/>
    <w:rsid w:val="00150BBE"/>
    <w:rsid w:val="002F37DA"/>
    <w:rsid w:val="003A333B"/>
    <w:rsid w:val="00492A94"/>
    <w:rsid w:val="004A7EFC"/>
    <w:rsid w:val="00687642"/>
    <w:rsid w:val="00743D57"/>
    <w:rsid w:val="007C194E"/>
    <w:rsid w:val="0081719A"/>
    <w:rsid w:val="008670F9"/>
    <w:rsid w:val="009452CB"/>
    <w:rsid w:val="00965543"/>
    <w:rsid w:val="00AC2771"/>
    <w:rsid w:val="00B177D0"/>
    <w:rsid w:val="00B7100A"/>
    <w:rsid w:val="00BB090A"/>
    <w:rsid w:val="00CE5139"/>
    <w:rsid w:val="00D128E4"/>
    <w:rsid w:val="00DA78CF"/>
    <w:rsid w:val="08082AE2"/>
    <w:rsid w:val="16322092"/>
    <w:rsid w:val="19C24282"/>
    <w:rsid w:val="1B765B79"/>
    <w:rsid w:val="239F314F"/>
    <w:rsid w:val="26DB38D0"/>
    <w:rsid w:val="279D1886"/>
    <w:rsid w:val="34311A53"/>
    <w:rsid w:val="356F0C8F"/>
    <w:rsid w:val="3FA6457A"/>
    <w:rsid w:val="41AB2AA7"/>
    <w:rsid w:val="4C6D0622"/>
    <w:rsid w:val="500B145F"/>
    <w:rsid w:val="5CBE083A"/>
    <w:rsid w:val="5F5C0449"/>
    <w:rsid w:val="5FA70832"/>
    <w:rsid w:val="61A905CB"/>
    <w:rsid w:val="63BA0409"/>
    <w:rsid w:val="65073007"/>
    <w:rsid w:val="662841B4"/>
    <w:rsid w:val="6A3E61E4"/>
    <w:rsid w:val="6D860ABD"/>
    <w:rsid w:val="75AB20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kern w:val="0"/>
      <w:sz w:val="24"/>
    </w:rPr>
  </w:style>
  <w:style w:type="paragraph" w:styleId="7">
    <w:name w:val="List Paragraph"/>
    <w:basedOn w:val="1"/>
    <w:autoRedefine/>
    <w:qFormat/>
    <w:uiPriority w:val="99"/>
    <w:pPr>
      <w:ind w:firstLine="420" w:firstLineChars="200"/>
    </w:pPr>
    <w:rPr>
      <w:szCs w:val="22"/>
    </w:rPr>
  </w:style>
  <w:style w:type="character" w:customStyle="1" w:styleId="8">
    <w:name w:val="页眉 Char"/>
    <w:basedOn w:val="6"/>
    <w:link w:val="3"/>
    <w:autoRedefine/>
    <w:qFormat/>
    <w:uiPriority w:val="0"/>
    <w:rPr>
      <w:rFonts w:ascii="Calibri" w:hAnsi="Calibri" w:eastAsia="宋体" w:cs="Times New Roman"/>
      <w:kern w:val="2"/>
      <w:sz w:val="18"/>
      <w:szCs w:val="18"/>
    </w:rPr>
  </w:style>
  <w:style w:type="character" w:customStyle="1" w:styleId="9">
    <w:name w:val="页脚 Char"/>
    <w:basedOn w:val="6"/>
    <w:link w:val="2"/>
    <w:autoRedefine/>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1233</Words>
  <Characters>1248</Characters>
  <Lines>1</Lines>
  <Paragraphs>2</Paragraphs>
  <TotalTime>0</TotalTime>
  <ScaleCrop>false</ScaleCrop>
  <LinksUpToDate>false</LinksUpToDate>
  <CharactersWithSpaces>1248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2024-03-22T12:29:00Z</dcterms:created>
  <dc:creator>qzuser</dc:creator>
  <cp:lastModifiedBy>盒子</cp:lastModifiedBy>
  <cp:lastPrinted>2024-03-25T08:14:00Z</cp:lastPrinted>
  <dcterms:modified xsi:type="dcterms:W3CDTF">2025-04-29T08:07:28Z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E27B2B50191B4B119D335F6E134FE466_13</vt:lpwstr>
  </property>
  <property fmtid="{D5CDD505-2E9C-101B-9397-08002B2CF9AE}" pid="4" name="KSOTemplateDocerSaveRecord">
    <vt:lpwstr>eyJoZGlkIjoiNjViNGVlZjk1MzIyZGE5Zjg0NDAzM2NmYTY4ZGZkYjYiLCJ1c2VySWQiOiIzNzg0NDY2MzAifQ==</vt:lpwstr>
  </property>
</Properties>
</file>