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26167">
      <w:pPr>
        <w:spacing w:line="600" w:lineRule="exact"/>
        <w:rPr>
          <w:rFonts w:eastAsia="黑体"/>
          <w:kern w:val="0"/>
          <w:sz w:val="32"/>
          <w:szCs w:val="32"/>
        </w:rPr>
      </w:pPr>
    </w:p>
    <w:p w14:paraId="58B3B78B">
      <w:pPr>
        <w:jc w:val="center"/>
        <w:rPr>
          <w:rFonts w:eastAsia="方正小标宋_GBK"/>
          <w:sz w:val="48"/>
          <w:szCs w:val="48"/>
        </w:rPr>
      </w:pPr>
      <w:r>
        <w:rPr>
          <w:rFonts w:hint="eastAsia" w:eastAsia="方正小标宋_GBK"/>
          <w:sz w:val="48"/>
          <w:szCs w:val="48"/>
        </w:rPr>
        <w:t>202</w:t>
      </w:r>
      <w:r>
        <w:rPr>
          <w:rFonts w:eastAsia="方正小标宋_GBK"/>
          <w:sz w:val="48"/>
          <w:szCs w:val="48"/>
        </w:rPr>
        <w:t>4年度</w:t>
      </w:r>
      <w:r>
        <w:rPr>
          <w:rFonts w:hint="eastAsia" w:eastAsia="方正小标宋_GBK"/>
          <w:sz w:val="48"/>
          <w:szCs w:val="48"/>
        </w:rPr>
        <w:t>江永县松柏瑶族乡黄甲岭中心幼儿园</w:t>
      </w:r>
      <w:r>
        <w:rPr>
          <w:rFonts w:eastAsia="方正小标宋_GBK"/>
          <w:sz w:val="48"/>
          <w:szCs w:val="48"/>
        </w:rPr>
        <w:t>整体支出绩效自评报告</w:t>
      </w:r>
    </w:p>
    <w:p w14:paraId="66DE5F1C">
      <w:pPr>
        <w:jc w:val="center"/>
        <w:rPr>
          <w:rFonts w:eastAsia="楷体_GB2312"/>
          <w:b/>
          <w:sz w:val="32"/>
          <w:szCs w:val="32"/>
        </w:rPr>
      </w:pPr>
    </w:p>
    <w:p w14:paraId="3B27E8F0">
      <w:pPr>
        <w:jc w:val="center"/>
        <w:rPr>
          <w:rFonts w:eastAsia="黑体"/>
          <w:sz w:val="32"/>
          <w:szCs w:val="32"/>
        </w:rPr>
      </w:pPr>
    </w:p>
    <w:p w14:paraId="7B8B9E92">
      <w:pPr>
        <w:jc w:val="center"/>
        <w:rPr>
          <w:rFonts w:eastAsia="黑体"/>
          <w:sz w:val="32"/>
          <w:szCs w:val="32"/>
        </w:rPr>
      </w:pPr>
    </w:p>
    <w:p w14:paraId="5761BD72">
      <w:pPr>
        <w:jc w:val="center"/>
        <w:rPr>
          <w:rFonts w:eastAsia="黑体"/>
          <w:sz w:val="32"/>
          <w:szCs w:val="32"/>
        </w:rPr>
      </w:pPr>
    </w:p>
    <w:p w14:paraId="48F58677">
      <w:pPr>
        <w:jc w:val="center"/>
        <w:rPr>
          <w:rFonts w:eastAsia="黑体"/>
          <w:sz w:val="32"/>
          <w:szCs w:val="32"/>
        </w:rPr>
      </w:pPr>
    </w:p>
    <w:p w14:paraId="24F85F52">
      <w:pPr>
        <w:jc w:val="center"/>
        <w:rPr>
          <w:rFonts w:eastAsia="黑体"/>
          <w:sz w:val="32"/>
          <w:szCs w:val="32"/>
        </w:rPr>
      </w:pPr>
    </w:p>
    <w:p w14:paraId="6DD5A939">
      <w:pPr>
        <w:jc w:val="center"/>
        <w:rPr>
          <w:rFonts w:eastAsia="黑体"/>
          <w:sz w:val="32"/>
          <w:szCs w:val="32"/>
        </w:rPr>
      </w:pPr>
    </w:p>
    <w:p w14:paraId="3BBC35A7">
      <w:pPr>
        <w:jc w:val="center"/>
        <w:rPr>
          <w:rFonts w:eastAsia="黑体"/>
          <w:sz w:val="32"/>
          <w:szCs w:val="32"/>
        </w:rPr>
      </w:pPr>
    </w:p>
    <w:p w14:paraId="0DE26CEC">
      <w:pPr>
        <w:ind w:firstLine="880" w:firstLineChars="200"/>
        <w:jc w:val="center"/>
        <w:rPr>
          <w:rFonts w:eastAsia="黑体"/>
          <w:sz w:val="44"/>
          <w:szCs w:val="44"/>
        </w:rPr>
      </w:pPr>
    </w:p>
    <w:p w14:paraId="68BBA5CF">
      <w:pPr>
        <w:ind w:firstLine="880" w:firstLineChars="200"/>
        <w:jc w:val="center"/>
        <w:rPr>
          <w:rFonts w:eastAsia="黑体"/>
          <w:sz w:val="44"/>
          <w:szCs w:val="44"/>
        </w:rPr>
      </w:pPr>
    </w:p>
    <w:p w14:paraId="0FE02023">
      <w:pPr>
        <w:ind w:firstLine="880" w:firstLineChars="200"/>
        <w:jc w:val="center"/>
        <w:rPr>
          <w:rFonts w:eastAsia="黑体"/>
          <w:sz w:val="44"/>
          <w:szCs w:val="44"/>
        </w:rPr>
      </w:pPr>
    </w:p>
    <w:p w14:paraId="12B6AE7B">
      <w:pPr>
        <w:jc w:val="center"/>
        <w:rPr>
          <w:rFonts w:eastAsia="黑体"/>
          <w:sz w:val="36"/>
          <w:szCs w:val="36"/>
        </w:rPr>
      </w:pPr>
      <w:r>
        <w:rPr>
          <w:rFonts w:eastAsia="黑体"/>
          <w:sz w:val="36"/>
          <w:szCs w:val="36"/>
        </w:rPr>
        <w:t>单位名称（盖章）：</w:t>
      </w:r>
      <w:r>
        <w:rPr>
          <w:rFonts w:hint="eastAsia" w:eastAsia="黑体"/>
          <w:sz w:val="36"/>
          <w:szCs w:val="36"/>
        </w:rPr>
        <w:t>江永县松柏瑶族乡黄甲岭中心幼儿园</w:t>
      </w:r>
    </w:p>
    <w:p w14:paraId="5FE692F7">
      <w:pPr>
        <w:jc w:val="center"/>
        <w:rPr>
          <w:rFonts w:eastAsia="黑体"/>
          <w:sz w:val="36"/>
          <w:szCs w:val="36"/>
        </w:rPr>
      </w:pPr>
    </w:p>
    <w:p w14:paraId="2D5D8B5C">
      <w:pPr>
        <w:rPr>
          <w:rFonts w:eastAsia="黑体"/>
          <w:sz w:val="32"/>
          <w:szCs w:val="32"/>
        </w:rPr>
      </w:pPr>
    </w:p>
    <w:p w14:paraId="674EA1ED">
      <w:pPr>
        <w:jc w:val="center"/>
        <w:rPr>
          <w:rFonts w:eastAsia="黑体"/>
          <w:sz w:val="32"/>
          <w:szCs w:val="32"/>
        </w:rPr>
      </w:pPr>
    </w:p>
    <w:p w14:paraId="100B3DE5">
      <w:pPr>
        <w:jc w:val="center"/>
        <w:rPr>
          <w:rFonts w:eastAsia="仿宋_GB2312"/>
          <w:sz w:val="32"/>
          <w:szCs w:val="32"/>
        </w:rPr>
      </w:pPr>
      <w:r>
        <w:rPr>
          <w:rFonts w:eastAsia="仿宋_GB2312"/>
          <w:sz w:val="32"/>
          <w:szCs w:val="32"/>
        </w:rPr>
        <w:t>（此页为封面）</w:t>
      </w:r>
    </w:p>
    <w:p w14:paraId="22E6EC16">
      <w:pPr>
        <w:jc w:val="center"/>
        <w:rPr>
          <w:rFonts w:eastAsia="仿宋_GB2312"/>
          <w:sz w:val="32"/>
          <w:szCs w:val="32"/>
        </w:rPr>
      </w:pPr>
    </w:p>
    <w:p w14:paraId="04C3397E">
      <w:pPr>
        <w:jc w:val="center"/>
        <w:rPr>
          <w:rFonts w:eastAsia="仿宋_GB2312"/>
          <w:sz w:val="32"/>
          <w:szCs w:val="32"/>
        </w:rPr>
      </w:pPr>
    </w:p>
    <w:p w14:paraId="253FE193">
      <w:pPr>
        <w:jc w:val="center"/>
        <w:rPr>
          <w:rFonts w:eastAsia="仿宋_GB2312"/>
          <w:sz w:val="32"/>
          <w:szCs w:val="32"/>
        </w:rPr>
      </w:pPr>
    </w:p>
    <w:p w14:paraId="4759C4E6">
      <w:pPr>
        <w:jc w:val="center"/>
        <w:rPr>
          <w:rFonts w:eastAsia="仿宋_GB2312"/>
          <w:sz w:val="32"/>
          <w:szCs w:val="32"/>
        </w:rPr>
      </w:pPr>
    </w:p>
    <w:p w14:paraId="2E90BF41">
      <w:pPr>
        <w:jc w:val="center"/>
        <w:rPr>
          <w:rFonts w:eastAsia="仿宋_GB2312"/>
          <w:sz w:val="32"/>
          <w:szCs w:val="32"/>
        </w:rPr>
      </w:pPr>
    </w:p>
    <w:p w14:paraId="518EA429">
      <w:pPr>
        <w:jc w:val="center"/>
        <w:rPr>
          <w:rFonts w:eastAsia="仿宋_GB2312"/>
          <w:sz w:val="32"/>
          <w:szCs w:val="32"/>
        </w:rPr>
      </w:pPr>
    </w:p>
    <w:p w14:paraId="70EC5CA9">
      <w:pPr>
        <w:jc w:val="center"/>
        <w:rPr>
          <w:rFonts w:eastAsia="仿宋_GB2312"/>
          <w:sz w:val="32"/>
          <w:szCs w:val="32"/>
        </w:rPr>
      </w:pPr>
    </w:p>
    <w:p w14:paraId="36AA837D">
      <w:pPr>
        <w:jc w:val="center"/>
        <w:rPr>
          <w:rFonts w:eastAsia="仿宋_GB2312"/>
          <w:sz w:val="32"/>
          <w:szCs w:val="32"/>
        </w:rPr>
      </w:pPr>
    </w:p>
    <w:p w14:paraId="78E5429E">
      <w:pPr>
        <w:spacing w:line="600" w:lineRule="exact"/>
        <w:jc w:val="center"/>
        <w:rPr>
          <w:rFonts w:ascii="方正小标宋简体" w:hAnsi="方正小标宋简体" w:eastAsia="方正小标宋简体"/>
          <w:kern w:val="0"/>
          <w:sz w:val="44"/>
          <w:szCs w:val="44"/>
        </w:rPr>
      </w:pPr>
      <w:r>
        <w:rPr>
          <w:rFonts w:eastAsia="仿宋_GB2312"/>
          <w:sz w:val="32"/>
          <w:szCs w:val="32"/>
        </w:rPr>
        <w:br w:type="page"/>
      </w:r>
      <w:r>
        <w:rPr>
          <w:rFonts w:hint="eastAsia" w:ascii="方正小标宋简体" w:hAnsi="方正小标宋简体" w:eastAsia="方正小标宋简体"/>
          <w:kern w:val="0"/>
          <w:sz w:val="44"/>
          <w:szCs w:val="44"/>
        </w:rPr>
        <w:t>202</w:t>
      </w:r>
      <w:r>
        <w:rPr>
          <w:rFonts w:ascii="方正小标宋简体" w:hAnsi="方正小标宋简体" w:eastAsia="方正小标宋简体"/>
          <w:kern w:val="0"/>
          <w:sz w:val="44"/>
          <w:szCs w:val="44"/>
        </w:rPr>
        <w:t>4</w:t>
      </w:r>
      <w:r>
        <w:rPr>
          <w:rFonts w:hint="eastAsia" w:ascii="方正小标宋简体" w:hAnsi="方正小标宋简体" w:eastAsia="方正小标宋简体"/>
          <w:kern w:val="0"/>
          <w:sz w:val="44"/>
          <w:szCs w:val="44"/>
        </w:rPr>
        <w:t>年度江永县松柏瑶族乡黄甲岭中心幼儿园整体支出绩效自评报告</w:t>
      </w:r>
    </w:p>
    <w:p w14:paraId="18C3518D">
      <w:pPr>
        <w:spacing w:line="600" w:lineRule="exact"/>
        <w:rPr>
          <w:rFonts w:ascii="黑体" w:hAnsi="黑体" w:eastAsia="黑体"/>
          <w:kern w:val="0"/>
          <w:sz w:val="32"/>
          <w:szCs w:val="32"/>
        </w:rPr>
      </w:pPr>
      <w:r>
        <w:rPr>
          <w:rFonts w:hint="eastAsia" w:ascii="黑体" w:hAnsi="黑体" w:eastAsia="黑体"/>
          <w:kern w:val="0"/>
          <w:sz w:val="32"/>
          <w:szCs w:val="32"/>
        </w:rPr>
        <w:t>一、基本情况</w:t>
      </w:r>
    </w:p>
    <w:p w14:paraId="2B6BACF0">
      <w:pPr>
        <w:spacing w:line="600" w:lineRule="exact"/>
        <w:rPr>
          <w:rFonts w:ascii="黑体" w:hAnsi="黑体" w:eastAsia="黑体"/>
          <w:kern w:val="0"/>
          <w:sz w:val="32"/>
          <w:szCs w:val="32"/>
        </w:rPr>
      </w:pPr>
      <w:r>
        <w:rPr>
          <w:rFonts w:hint="eastAsia" w:ascii="仿宋_GB2312" w:hAnsi="仿宋_GB2312" w:eastAsia="仿宋_GB2312" w:cs="仿宋_GB2312"/>
          <w:b/>
          <w:bCs/>
          <w:kern w:val="0"/>
          <w:sz w:val="32"/>
          <w:szCs w:val="32"/>
        </w:rPr>
        <w:t xml:space="preserve">    1.单位机构组成、人员概况</w:t>
      </w:r>
    </w:p>
    <w:p w14:paraId="642EDE32">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江永县松柏瑶族乡黄甲岭中心幼儿园内设办公室、工会、财务室、门卫室、大中小、混龄班共4个班。现有在职职工6人，临时人员4人，幼儿人数80人。</w:t>
      </w:r>
    </w:p>
    <w:p w14:paraId="5CB00EB0">
      <w:pPr>
        <w:spacing w:line="600" w:lineRule="exact"/>
        <w:ind w:firstLine="643"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2.机构职能</w:t>
      </w:r>
    </w:p>
    <w:p w14:paraId="036E9394">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办公室主要职能：主管幼儿园教育教学工作，每学年制定全园保教工作计划；做好师资队伍建设工作，定期组织教师进行业务培训及基本功考核；负责幼儿园的科研工作，指导课题小组开展课题研究工作；指导教师科学组织一日活动，对教师组织一日活动的情况进行督查及评价；分管各年级组工作，并指导教研组制定教学工作计划；负责学生学籍管理工作，办理休学、复学、转学、退学、借读等手续。协助园长做好日常园务管理工作，落实上级下发文件精神，落实园行政会议的决议事项；收集整理晋级升等的相关材料；负责发布有关放假、会议或学习的通知，并做好相应的会务工作；做好各种检查、参观人员的接待工作；做好学习各类文件的记录、讨论重要问题的会议纪要，依时整理学年或年度学校大事记；统筹协调好园行政各项管理工作。做好全园行政材料收集、整理归档；完成园长安排的临时性工作。</w:t>
      </w:r>
    </w:p>
    <w:p w14:paraId="6413696C">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工会主要职能：主持学校工会全面工作，行使监督学校行政工作的权利，组织每年召开的教代会；执行教代会决议，监督行政领导提案情况；落实教代会提案，加强工会自身建设；维护教职工的合法权益，关心教职工生活，办好福利事业；开展教职工、退休工作者文体活动；负责计划生育、调解等工作。</w:t>
      </w:r>
    </w:p>
    <w:p w14:paraId="5D085DED">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财务室主要职能：负责每个学年幼儿园公用经费预算、每个月报账、教职工工资发放等工作；严格财务制度，遵守帐、款分管的原则，不符合要求的坚持不予报销，账目要坚持日清月结，做到账款一致，账账相符；每月公布一次幼儿伙食费收入、支出情况表。按照规定做好幼儿伙食帐；负责全园幼儿保教费、伙食费的收取、缴存及收费票据的打印工作；负责全园固定资产管理工作；相关职务晋升、人事变动等人员工资办理。</w:t>
      </w:r>
    </w:p>
    <w:p w14:paraId="40B6A35C">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门卫室主要职能：贯彻“预防为主、确保重点、保障安全”的方针，维护校园教学、工作和生活秩序的稳定；加强学校内部及公共场所的治安管理，维护校园交通秩序；负责对门卫和校内保卫人员的管理，负责学校重大活动和节假日的值班、警卫和巡逻的工作安排和抽查。</w:t>
      </w:r>
    </w:p>
    <w:p w14:paraId="207F9574">
      <w:pPr>
        <w:spacing w:line="600" w:lineRule="exact"/>
        <w:rPr>
          <w:rFonts w:ascii="黑体" w:hAnsi="黑体" w:eastAsia="黑体"/>
          <w:kern w:val="0"/>
          <w:sz w:val="32"/>
          <w:szCs w:val="32"/>
        </w:rPr>
      </w:pPr>
      <w:r>
        <w:rPr>
          <w:rFonts w:hint="eastAsia" w:ascii="黑体" w:hAnsi="黑体" w:eastAsia="黑体"/>
          <w:kern w:val="0"/>
          <w:sz w:val="32"/>
          <w:szCs w:val="32"/>
        </w:rPr>
        <w:t>二</w:t>
      </w:r>
      <w:r>
        <w:rPr>
          <w:rFonts w:hint="eastAsia" w:ascii="黑体" w:hAnsi="黑体" w:eastAsia="黑体"/>
          <w:color w:val="000000"/>
          <w:kern w:val="0"/>
          <w:sz w:val="32"/>
          <w:szCs w:val="32"/>
        </w:rPr>
        <w:t>、202</w:t>
      </w:r>
      <w:r>
        <w:rPr>
          <w:rFonts w:ascii="黑体" w:hAnsi="黑体" w:eastAsia="黑体"/>
          <w:color w:val="000000"/>
          <w:kern w:val="0"/>
          <w:sz w:val="32"/>
          <w:szCs w:val="32"/>
        </w:rPr>
        <w:t>4</w:t>
      </w:r>
      <w:r>
        <w:rPr>
          <w:rFonts w:hint="eastAsia" w:ascii="黑体" w:hAnsi="黑体" w:eastAsia="黑体"/>
          <w:kern w:val="0"/>
          <w:sz w:val="32"/>
          <w:szCs w:val="32"/>
        </w:rPr>
        <w:t>年度，一般公共预算支出情况</w:t>
      </w:r>
    </w:p>
    <w:p w14:paraId="3D1D0F47">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江永县松柏瑶族乡黄甲岭中心幼儿园全年预算资金186万元，其中基本支出资金113万元。</w:t>
      </w:r>
    </w:p>
    <w:p w14:paraId="10AA3F4F">
      <w:pPr>
        <w:spacing w:line="600" w:lineRule="exact"/>
        <w:rPr>
          <w:rFonts w:ascii="黑体" w:hAnsi="黑体" w:eastAsia="黑体"/>
          <w:kern w:val="0"/>
          <w:sz w:val="32"/>
          <w:szCs w:val="32"/>
        </w:rPr>
      </w:pPr>
      <w:r>
        <w:rPr>
          <w:rFonts w:hint="eastAsia" w:ascii="黑体" w:hAnsi="黑体" w:eastAsia="黑体"/>
          <w:kern w:val="0"/>
          <w:sz w:val="32"/>
          <w:szCs w:val="32"/>
        </w:rPr>
        <w:t>三、绩效评价情况</w:t>
      </w:r>
    </w:p>
    <w:p w14:paraId="2BBDB751">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（一）绩效评价的目的</w:t>
      </w:r>
    </w:p>
    <w:p w14:paraId="077A741A">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绩效评价，能更具体了解我县松柏瑶族乡黄甲岭中心幼儿园的整体部门支出资金投入、分配和使用情况，资金管理制度、措施制定和实施情况，资金使用效果和资金项目目标实现情况。有利于总结经验，发现问题，及时改进。进一步加强我县松柏瑶族乡黄甲岭中心幼儿园整体部门支出资金管理。</w:t>
      </w:r>
    </w:p>
    <w:p w14:paraId="0371DD79">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（二）绩效评价原则、评价指标体系、评价方法</w:t>
      </w:r>
    </w:p>
    <w:p w14:paraId="147F6C6F">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1.评价原则：我们遵循“科学性、规范性、客观性和公正性”的原则，以</w:t>
      </w:r>
      <w:r>
        <w:rPr>
          <w:rFonts w:hint="eastAsia" w:ascii="仿宋_GB2312" w:hAnsi="仿宋_GB2312" w:eastAsia="仿宋_GB2312" w:cs="仿宋_GB2312"/>
          <w:sz w:val="32"/>
          <w:szCs w:val="32"/>
        </w:rPr>
        <w:t>《江永县预算支出绩效评价管理办法》(</w:t>
      </w:r>
      <w:r>
        <w:rPr>
          <w:rFonts w:hint="eastAsia" w:ascii="仿宋" w:hAnsi="仿宋" w:eastAsia="仿宋"/>
          <w:sz w:val="32"/>
          <w:szCs w:val="32"/>
        </w:rPr>
        <w:t>江永财发〔2024〕3号</w:t>
      </w:r>
      <w:r>
        <w:rPr>
          <w:rFonts w:hint="eastAsia" w:ascii="仿宋_GB2312" w:hAnsi="仿宋_GB2312" w:eastAsia="仿宋_GB2312" w:cs="仿宋_GB2312"/>
          <w:sz w:val="32"/>
          <w:szCs w:val="32"/>
        </w:rPr>
        <w:t xml:space="preserve"> )、《江永县县级预算部门绩效自评操作规程》(</w:t>
      </w:r>
      <w:r>
        <w:rPr>
          <w:rFonts w:hint="eastAsia" w:ascii="仿宋" w:hAnsi="仿宋" w:eastAsia="仿宋"/>
          <w:sz w:val="32"/>
          <w:szCs w:val="32"/>
        </w:rPr>
        <w:t>江永财发〔2023〕39 号</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文件精神，以及中央、省有关预算绩效管理的政策规定、财务会计制度等为指导，由点到面、稳步推进，对我县松柏瑶族乡黄甲岭中心幼儿园整体部门支出资金的管理、经济和社会效益进行自我评价。</w:t>
      </w:r>
    </w:p>
    <w:p w14:paraId="3BB1C509">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2.评价指标体系：设投入、过程、产出及效率4个一级指标和15个三级指标，按照评价指标设定评价内容，分值为96.09分。（详见评价指标体系评分表）</w:t>
      </w:r>
    </w:p>
    <w:p w14:paraId="0DCF458C">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14:paraId="66792C2D">
      <w:pPr>
        <w:spacing w:line="600" w:lineRule="exact"/>
        <w:ind w:firstLine="640" w:firstLineChars="200"/>
        <w:rPr>
          <w:rFonts w:ascii="仿宋_GB2312" w:hAnsi="仿宋_GB2312" w:eastAsia="仿宋_GB2312" w:cs="仿宋_GB2312"/>
          <w:kern w:val="0"/>
          <w:sz w:val="32"/>
          <w:szCs w:val="32"/>
        </w:rPr>
      </w:pPr>
      <w:r>
        <w:rPr>
          <w:rFonts w:hint="eastAsia" w:ascii="黑体" w:hAnsi="黑体" w:eastAsia="黑体" w:cs="黑体"/>
          <w:kern w:val="0"/>
          <w:sz w:val="32"/>
          <w:szCs w:val="32"/>
        </w:rPr>
        <w:t>四、绩效评价结果应用建议：</w:t>
      </w:r>
      <w:r>
        <w:rPr>
          <w:rFonts w:hint="eastAsia" w:ascii="仿宋_GB2312" w:hAnsi="仿宋_GB2312" w:eastAsia="仿宋_GB2312" w:cs="仿宋_GB2312"/>
          <w:kern w:val="0"/>
          <w:sz w:val="32"/>
          <w:szCs w:val="32"/>
        </w:rPr>
        <w:t>2024年起，年度预算中增加幼儿日常支出的资金投入。</w:t>
      </w:r>
    </w:p>
    <w:p w14:paraId="78DB2B9E">
      <w:pPr>
        <w:spacing w:line="600" w:lineRule="exact"/>
        <w:ind w:firstLine="640" w:firstLineChars="200"/>
        <w:rPr>
          <w:rFonts w:ascii="仿宋_GB2312" w:hAnsi="仿宋_GB2312" w:eastAsia="仿宋_GB2312" w:cs="仿宋_GB2312"/>
          <w:kern w:val="0"/>
          <w:sz w:val="32"/>
          <w:szCs w:val="32"/>
        </w:rPr>
      </w:pPr>
    </w:p>
    <w:p w14:paraId="52D26E41">
      <w:pPr>
        <w:spacing w:line="600" w:lineRule="exact"/>
        <w:rPr>
          <w:rFonts w:ascii="仿宋_GB2312" w:hAnsi="仿宋_GB2312" w:eastAsia="仿宋_GB2312" w:cs="仿宋_GB2312"/>
          <w:kern w:val="0"/>
          <w:sz w:val="32"/>
          <w:szCs w:val="32"/>
        </w:rPr>
      </w:pPr>
    </w:p>
    <w:p w14:paraId="508A9187">
      <w:pPr>
        <w:wordWrap w:val="0"/>
        <w:spacing w:line="600" w:lineRule="exact"/>
        <w:jc w:val="righ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江永县松柏瑶族乡黄甲岭中心幼儿园</w:t>
      </w:r>
    </w:p>
    <w:p w14:paraId="2533BD89">
      <w:pPr>
        <w:spacing w:line="600" w:lineRule="exact"/>
        <w:jc w:val="righ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202</w:t>
      </w: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rPr>
        <w:t>年</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月12日</w:t>
      </w:r>
    </w:p>
    <w:p w14:paraId="4804C11A">
      <w:pPr>
        <w:spacing w:line="600" w:lineRule="exact"/>
        <w:jc w:val="right"/>
        <w:rPr>
          <w:rFonts w:ascii="仿宋_GB2312" w:hAnsi="仿宋_GB2312" w:eastAsia="仿宋_GB2312" w:cs="仿宋_GB2312"/>
          <w:kern w:val="0"/>
          <w:sz w:val="32"/>
          <w:szCs w:val="32"/>
        </w:rPr>
      </w:pPr>
    </w:p>
    <w:p w14:paraId="34E09A83">
      <w:pPr>
        <w:spacing w:line="600" w:lineRule="exact"/>
        <w:jc w:val="right"/>
        <w:rPr>
          <w:rFonts w:ascii="仿宋_GB2312" w:hAnsi="仿宋_GB2312" w:eastAsia="仿宋_GB2312" w:cs="仿宋_GB2312"/>
          <w:kern w:val="0"/>
          <w:sz w:val="32"/>
          <w:szCs w:val="32"/>
        </w:rPr>
      </w:pPr>
    </w:p>
    <w:p w14:paraId="38144865">
      <w:pPr>
        <w:spacing w:line="600" w:lineRule="exact"/>
        <w:jc w:val="right"/>
        <w:rPr>
          <w:rFonts w:ascii="仿宋_GB2312" w:hAnsi="仿宋_GB2312" w:eastAsia="仿宋_GB2312" w:cs="仿宋_GB2312"/>
          <w:kern w:val="0"/>
          <w:sz w:val="32"/>
          <w:szCs w:val="32"/>
        </w:rPr>
      </w:pPr>
    </w:p>
    <w:p w14:paraId="7B8EA441">
      <w:pPr>
        <w:spacing w:line="600" w:lineRule="exact"/>
        <w:jc w:val="right"/>
        <w:rPr>
          <w:rFonts w:ascii="仿宋_GB2312" w:hAnsi="仿宋_GB2312" w:eastAsia="仿宋_GB2312" w:cs="仿宋_GB2312"/>
          <w:kern w:val="0"/>
          <w:sz w:val="32"/>
          <w:szCs w:val="32"/>
        </w:rPr>
      </w:pPr>
    </w:p>
    <w:p w14:paraId="534F3614">
      <w:pPr>
        <w:spacing w:line="600" w:lineRule="exact"/>
        <w:jc w:val="right"/>
        <w:rPr>
          <w:rFonts w:ascii="仿宋_GB2312" w:hAnsi="仿宋_GB2312" w:eastAsia="仿宋_GB2312" w:cs="仿宋_GB2312"/>
          <w:kern w:val="0"/>
          <w:sz w:val="32"/>
          <w:szCs w:val="32"/>
        </w:rPr>
      </w:pPr>
    </w:p>
    <w:p w14:paraId="668764D0">
      <w:pPr>
        <w:spacing w:line="600" w:lineRule="exact"/>
        <w:jc w:val="right"/>
        <w:rPr>
          <w:rFonts w:ascii="仿宋_GB2312" w:hAnsi="仿宋_GB2312" w:eastAsia="仿宋_GB2312" w:cs="仿宋_GB2312"/>
          <w:kern w:val="0"/>
          <w:sz w:val="32"/>
          <w:szCs w:val="32"/>
        </w:rPr>
      </w:pPr>
    </w:p>
    <w:p w14:paraId="46BD0242">
      <w:pPr>
        <w:spacing w:line="600" w:lineRule="exact"/>
        <w:jc w:val="right"/>
        <w:rPr>
          <w:rFonts w:ascii="仿宋_GB2312" w:hAnsi="仿宋_GB2312" w:eastAsia="仿宋_GB2312" w:cs="仿宋_GB2312"/>
          <w:kern w:val="0"/>
          <w:sz w:val="32"/>
          <w:szCs w:val="32"/>
        </w:rPr>
      </w:pPr>
    </w:p>
    <w:p w14:paraId="7694C2E8">
      <w:pPr>
        <w:spacing w:line="600" w:lineRule="exact"/>
        <w:jc w:val="right"/>
        <w:rPr>
          <w:rFonts w:ascii="仿宋_GB2312" w:hAnsi="仿宋_GB2312" w:eastAsia="仿宋_GB2312" w:cs="仿宋_GB2312"/>
          <w:kern w:val="0"/>
          <w:sz w:val="32"/>
          <w:szCs w:val="32"/>
        </w:rPr>
      </w:pPr>
    </w:p>
    <w:p w14:paraId="77C8D29D">
      <w:pPr>
        <w:spacing w:line="600" w:lineRule="exact"/>
        <w:jc w:val="right"/>
        <w:rPr>
          <w:rFonts w:ascii="仿宋_GB2312" w:hAnsi="仿宋_GB2312" w:eastAsia="仿宋_GB2312" w:cs="仿宋_GB2312"/>
          <w:kern w:val="0"/>
          <w:sz w:val="32"/>
          <w:szCs w:val="32"/>
        </w:rPr>
      </w:pPr>
    </w:p>
    <w:p w14:paraId="0953470D">
      <w:pPr>
        <w:spacing w:line="600" w:lineRule="exact"/>
        <w:jc w:val="right"/>
        <w:rPr>
          <w:rFonts w:ascii="仿宋_GB2312" w:hAnsi="仿宋_GB2312" w:eastAsia="仿宋_GB2312" w:cs="仿宋_GB2312"/>
          <w:kern w:val="0"/>
          <w:sz w:val="32"/>
          <w:szCs w:val="32"/>
        </w:rPr>
      </w:pPr>
    </w:p>
    <w:p w14:paraId="1B155462">
      <w:pPr>
        <w:spacing w:line="600" w:lineRule="exact"/>
        <w:jc w:val="right"/>
        <w:rPr>
          <w:rFonts w:ascii="仿宋_GB2312" w:hAnsi="仿宋_GB2312" w:eastAsia="仿宋_GB2312" w:cs="仿宋_GB2312"/>
          <w:kern w:val="0"/>
          <w:sz w:val="32"/>
          <w:szCs w:val="32"/>
        </w:rPr>
      </w:pPr>
    </w:p>
    <w:p w14:paraId="62956646">
      <w:pPr>
        <w:spacing w:line="600" w:lineRule="exact"/>
        <w:jc w:val="right"/>
        <w:rPr>
          <w:rFonts w:ascii="仿宋_GB2312" w:hAnsi="仿宋_GB2312" w:eastAsia="仿宋_GB2312" w:cs="仿宋_GB2312"/>
          <w:kern w:val="0"/>
          <w:sz w:val="32"/>
          <w:szCs w:val="32"/>
        </w:rPr>
      </w:pPr>
    </w:p>
    <w:p w14:paraId="7BE4E0A3">
      <w:pPr>
        <w:spacing w:line="600" w:lineRule="exact"/>
        <w:jc w:val="right"/>
        <w:rPr>
          <w:rFonts w:ascii="仿宋_GB2312" w:hAnsi="仿宋_GB2312" w:eastAsia="仿宋_GB2312" w:cs="仿宋_GB2312"/>
          <w:kern w:val="0"/>
          <w:sz w:val="32"/>
          <w:szCs w:val="32"/>
        </w:rPr>
      </w:pPr>
    </w:p>
    <w:tbl>
      <w:tblPr>
        <w:tblW w:w="1373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11"/>
        <w:gridCol w:w="963"/>
        <w:gridCol w:w="206"/>
        <w:gridCol w:w="825"/>
        <w:gridCol w:w="261"/>
        <w:gridCol w:w="798"/>
        <w:gridCol w:w="495"/>
        <w:gridCol w:w="397"/>
        <w:gridCol w:w="484"/>
        <w:gridCol w:w="825"/>
        <w:gridCol w:w="25"/>
        <w:gridCol w:w="759"/>
        <w:gridCol w:w="520"/>
        <w:gridCol w:w="264"/>
        <w:gridCol w:w="674"/>
        <w:gridCol w:w="771"/>
        <w:gridCol w:w="2537"/>
        <w:gridCol w:w="2441"/>
      </w:tblGrid>
      <w:tr w14:paraId="66B1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13734" w:type="dxa"/>
            <w:gridSpan w:val="18"/>
            <w:tcBorders>
              <w:top w:val="single" w:color="000000" w:sz="4" w:space="0"/>
              <w:left w:val="single" w:color="000000" w:sz="4" w:space="0"/>
              <w:bottom w:val="single" w:color="000000" w:sz="4" w:space="0"/>
              <w:right w:val="single" w:color="000000" w:sz="4" w:space="0"/>
            </w:tcBorders>
            <w:shd w:val="clear"/>
            <w:noWrap/>
            <w:vAlign w:val="center"/>
          </w:tcPr>
          <w:p w14:paraId="2D3F50D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江永县松柏瑶族乡黄甲岭中心幼儿园基础数据表</w:t>
            </w:r>
          </w:p>
        </w:tc>
      </w:tr>
      <w:tr w14:paraId="2A9B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9" w:hRule="atLeas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noWrap/>
            <w:vAlign w:val="center"/>
          </w:tcPr>
          <w:p w14:paraId="6BF5CD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财政供养人员情况</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041B8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编制数</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EFA6A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2024年实际在职人数</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7B0254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控制率</w:t>
            </w:r>
          </w:p>
        </w:tc>
      </w:tr>
      <w:tr w14:paraId="71D23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3" w:hRule="atLeas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noWrap/>
            <w:vAlign w:val="center"/>
          </w:tcPr>
          <w:p w14:paraId="61209DA7">
            <w:pPr>
              <w:jc w:val="center"/>
              <w:rPr>
                <w:rFonts w:hint="eastAsia" w:ascii="宋体" w:hAnsi="宋体" w:eastAsia="宋体" w:cs="宋体"/>
                <w:b/>
                <w:bCs/>
                <w:i w:val="0"/>
                <w:iCs w:val="0"/>
                <w:color w:val="000000"/>
                <w:sz w:val="18"/>
                <w:szCs w:val="18"/>
                <w:u w:val="none"/>
              </w:rPr>
            </w:pP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415D2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BE20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6D89B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85.71%</w:t>
            </w:r>
          </w:p>
        </w:tc>
      </w:tr>
      <w:tr w14:paraId="6EE95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8"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0ECF90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经费控制情况(万元)</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838FA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2023年决算数</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AA963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2024年预算数</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7C2FE0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2024年决算数</w:t>
            </w:r>
          </w:p>
        </w:tc>
      </w:tr>
      <w:tr w14:paraId="177FB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4E39B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三公经费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FDBA0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11.16</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5B42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15.62</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0413A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10.16</w:t>
            </w:r>
          </w:p>
        </w:tc>
      </w:tr>
      <w:tr w14:paraId="69311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FBEDB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1、公务用车购置和维护经费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0B36E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9E45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3B83F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6FC36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78A5BB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其中：公车购置</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10524E9">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F10826F">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1A2B6575">
            <w:pPr>
              <w:jc w:val="center"/>
              <w:rPr>
                <w:rFonts w:hint="eastAsia" w:ascii="宋体" w:hAnsi="宋体" w:eastAsia="宋体" w:cs="宋体"/>
                <w:i w:val="0"/>
                <w:iCs w:val="0"/>
                <w:color w:val="000000"/>
                <w:sz w:val="18"/>
                <w:szCs w:val="18"/>
                <w:u w:val="none"/>
              </w:rPr>
            </w:pPr>
          </w:p>
        </w:tc>
      </w:tr>
      <w:tr w14:paraId="4B195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31485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公车运行维护</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F13F4CE">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52A12DF">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1A115AD5">
            <w:pPr>
              <w:jc w:val="center"/>
              <w:rPr>
                <w:rFonts w:hint="eastAsia" w:ascii="宋体" w:hAnsi="宋体" w:eastAsia="宋体" w:cs="宋体"/>
                <w:i w:val="0"/>
                <w:iCs w:val="0"/>
                <w:color w:val="000000"/>
                <w:sz w:val="18"/>
                <w:szCs w:val="18"/>
                <w:u w:val="none"/>
              </w:rPr>
            </w:pPr>
          </w:p>
        </w:tc>
      </w:tr>
      <w:tr w14:paraId="6E674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4416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2、出国经费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406956BC">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13796B05">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57BEC1A5">
            <w:pPr>
              <w:jc w:val="center"/>
              <w:rPr>
                <w:rFonts w:hint="eastAsia" w:ascii="宋体" w:hAnsi="宋体" w:eastAsia="宋体" w:cs="宋体"/>
                <w:i w:val="0"/>
                <w:iCs w:val="0"/>
                <w:color w:val="000000"/>
                <w:sz w:val="18"/>
                <w:szCs w:val="18"/>
                <w:u w:val="none"/>
              </w:rPr>
            </w:pPr>
          </w:p>
        </w:tc>
      </w:tr>
      <w:tr w14:paraId="09212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70604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3、公务接待</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5D3B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11.16</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0A68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15.62</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0A0D8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10.16</w:t>
            </w:r>
          </w:p>
        </w:tc>
      </w:tr>
      <w:tr w14:paraId="39621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77A2A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项目支出：</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1B74B9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82B7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0C2E99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261B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CC76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1、业务工作经费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A4B0581">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497909C2">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713DC03D">
            <w:pPr>
              <w:jc w:val="center"/>
              <w:rPr>
                <w:rFonts w:hint="eastAsia" w:ascii="宋体" w:hAnsi="宋体" w:eastAsia="宋体" w:cs="宋体"/>
                <w:i w:val="0"/>
                <w:iCs w:val="0"/>
                <w:color w:val="000000"/>
                <w:sz w:val="18"/>
                <w:szCs w:val="18"/>
                <w:u w:val="none"/>
              </w:rPr>
            </w:pPr>
          </w:p>
        </w:tc>
      </w:tr>
      <w:tr w14:paraId="78E69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49C0D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2、运行维护经费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0DCA7277">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E48A16C">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3D5F6217">
            <w:pPr>
              <w:jc w:val="center"/>
              <w:rPr>
                <w:rFonts w:hint="eastAsia" w:ascii="宋体" w:hAnsi="宋体" w:eastAsia="宋体" w:cs="宋体"/>
                <w:i w:val="0"/>
                <w:iCs w:val="0"/>
                <w:color w:val="000000"/>
                <w:sz w:val="18"/>
                <w:szCs w:val="18"/>
                <w:u w:val="none"/>
              </w:rPr>
            </w:pPr>
          </w:p>
        </w:tc>
      </w:tr>
      <w:tr w14:paraId="7B4CA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62900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3、本级专项资金（一个专项一行）</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5A4D9C3">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18996487">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70B92BAD">
            <w:pPr>
              <w:jc w:val="center"/>
              <w:rPr>
                <w:rFonts w:hint="eastAsia" w:ascii="宋体" w:hAnsi="宋体" w:eastAsia="宋体" w:cs="宋体"/>
                <w:i w:val="0"/>
                <w:iCs w:val="0"/>
                <w:color w:val="000000"/>
                <w:sz w:val="18"/>
                <w:szCs w:val="18"/>
                <w:u w:val="none"/>
              </w:rPr>
            </w:pPr>
          </w:p>
        </w:tc>
      </w:tr>
      <w:tr w14:paraId="78684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4A636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公用经费：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4A12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18.9</w:t>
            </w: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52EBE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94.39</w:t>
            </w: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103B4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94.39</w:t>
            </w:r>
          </w:p>
        </w:tc>
      </w:tr>
      <w:tr w14:paraId="3769E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28B4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其中：办公经费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51641741">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47E46243">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1D0F13CF">
            <w:pPr>
              <w:jc w:val="center"/>
              <w:rPr>
                <w:rFonts w:hint="eastAsia" w:ascii="宋体" w:hAnsi="宋体" w:eastAsia="宋体" w:cs="宋体"/>
                <w:i w:val="0"/>
                <w:iCs w:val="0"/>
                <w:color w:val="000000"/>
                <w:sz w:val="18"/>
                <w:szCs w:val="18"/>
                <w:u w:val="none"/>
              </w:rPr>
            </w:pPr>
          </w:p>
        </w:tc>
      </w:tr>
      <w:tr w14:paraId="1A03C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0B091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水费、电费、差旅费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2C095215">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ECDB806">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0AB5DA9C">
            <w:pPr>
              <w:jc w:val="center"/>
              <w:rPr>
                <w:rFonts w:hint="eastAsia" w:ascii="宋体" w:hAnsi="宋体" w:eastAsia="宋体" w:cs="宋体"/>
                <w:i w:val="0"/>
                <w:iCs w:val="0"/>
                <w:color w:val="000000"/>
                <w:sz w:val="18"/>
                <w:szCs w:val="18"/>
                <w:u w:val="none"/>
              </w:rPr>
            </w:pPr>
          </w:p>
        </w:tc>
      </w:tr>
      <w:tr w14:paraId="09D7C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0AB6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会议费、培训费</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1F34EA58">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51CF46C8">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0EF296D2">
            <w:pPr>
              <w:jc w:val="center"/>
              <w:rPr>
                <w:rFonts w:hint="eastAsia" w:ascii="宋体" w:hAnsi="宋体" w:eastAsia="宋体" w:cs="宋体"/>
                <w:i w:val="0"/>
                <w:iCs w:val="0"/>
                <w:color w:val="000000"/>
                <w:sz w:val="18"/>
                <w:szCs w:val="18"/>
                <w:u w:val="none"/>
              </w:rPr>
            </w:pPr>
          </w:p>
        </w:tc>
      </w:tr>
      <w:tr w14:paraId="2766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5605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政府采购金额</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6B2EE40C">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0098F450">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119478A0">
            <w:pPr>
              <w:jc w:val="center"/>
              <w:rPr>
                <w:rFonts w:hint="eastAsia" w:ascii="宋体" w:hAnsi="宋体" w:eastAsia="宋体" w:cs="宋体"/>
                <w:i w:val="0"/>
                <w:iCs w:val="0"/>
                <w:color w:val="000000"/>
                <w:sz w:val="18"/>
                <w:szCs w:val="18"/>
                <w:u w:val="none"/>
              </w:rPr>
            </w:pPr>
          </w:p>
        </w:tc>
      </w:tr>
      <w:tr w14:paraId="5E669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35329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部门基本支出预算调整 </w:t>
            </w:r>
          </w:p>
        </w:tc>
        <w:tc>
          <w:tcPr>
            <w:tcW w:w="2379"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0AB322B">
            <w:pPr>
              <w:jc w:val="center"/>
              <w:rPr>
                <w:rFonts w:hint="eastAsia" w:ascii="宋体" w:hAnsi="宋体" w:eastAsia="宋体" w:cs="宋体"/>
                <w:i w:val="0"/>
                <w:iCs w:val="0"/>
                <w:color w:val="000000"/>
                <w:sz w:val="18"/>
                <w:szCs w:val="18"/>
                <w:u w:val="none"/>
              </w:rPr>
            </w:pPr>
          </w:p>
        </w:tc>
        <w:tc>
          <w:tcPr>
            <w:tcW w:w="1414"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76FA4B78">
            <w:pPr>
              <w:jc w:val="center"/>
              <w:rPr>
                <w:rFonts w:hint="eastAsia" w:ascii="宋体" w:hAnsi="宋体" w:eastAsia="宋体" w:cs="宋体"/>
                <w:i w:val="0"/>
                <w:iCs w:val="0"/>
                <w:color w:val="000000"/>
                <w:sz w:val="18"/>
                <w:szCs w:val="18"/>
                <w:u w:val="none"/>
              </w:rPr>
            </w:pPr>
          </w:p>
        </w:tc>
        <w:tc>
          <w:tcPr>
            <w:tcW w:w="7961"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7362A8AE">
            <w:pPr>
              <w:jc w:val="center"/>
              <w:rPr>
                <w:rFonts w:hint="eastAsia" w:ascii="宋体" w:hAnsi="宋体" w:eastAsia="宋体" w:cs="宋体"/>
                <w:i w:val="0"/>
                <w:iCs w:val="0"/>
                <w:color w:val="000000"/>
                <w:sz w:val="18"/>
                <w:szCs w:val="18"/>
                <w:u w:val="none"/>
              </w:rPr>
            </w:pPr>
          </w:p>
        </w:tc>
      </w:tr>
      <w:tr w14:paraId="1DC86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78" w:hRule="atLeas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14:paraId="62AC7C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楼堂馆所控制情况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（2024年完工项目）</w:t>
            </w:r>
          </w:p>
        </w:tc>
        <w:tc>
          <w:tcPr>
            <w:tcW w:w="1086" w:type="dxa"/>
            <w:gridSpan w:val="2"/>
            <w:tcBorders>
              <w:top w:val="single" w:color="000000" w:sz="4" w:space="0"/>
              <w:left w:val="single" w:color="000000" w:sz="4" w:space="0"/>
              <w:bottom w:val="single" w:color="000000" w:sz="4" w:space="0"/>
              <w:right w:val="single" w:color="000000" w:sz="4" w:space="0"/>
            </w:tcBorders>
            <w:shd w:val="clear"/>
            <w:vAlign w:val="center"/>
          </w:tcPr>
          <w:p w14:paraId="37B16E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批复规模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293" w:type="dxa"/>
            <w:gridSpan w:val="2"/>
            <w:tcBorders>
              <w:top w:val="single" w:color="000000" w:sz="4" w:space="0"/>
              <w:left w:val="single" w:color="000000" w:sz="4" w:space="0"/>
              <w:bottom w:val="single" w:color="000000" w:sz="4" w:space="0"/>
              <w:right w:val="single" w:color="000000" w:sz="4" w:space="0"/>
            </w:tcBorders>
            <w:shd w:val="clear"/>
            <w:vAlign w:val="center"/>
          </w:tcPr>
          <w:p w14:paraId="1A993D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实际规模</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80" w:type="dxa"/>
            <w:tcBorders>
              <w:top w:val="single" w:color="000000" w:sz="4" w:space="0"/>
              <w:left w:val="single" w:color="000000" w:sz="4" w:space="0"/>
              <w:bottom w:val="single" w:color="000000" w:sz="4" w:space="0"/>
              <w:right w:val="single" w:color="000000" w:sz="4" w:space="0"/>
            </w:tcBorders>
            <w:shd w:val="clear"/>
            <w:noWrap/>
            <w:vAlign w:val="center"/>
          </w:tcPr>
          <w:p w14:paraId="62CCA1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规模控制率</w:t>
            </w:r>
          </w:p>
        </w:tc>
        <w:tc>
          <w:tcPr>
            <w:tcW w:w="1334" w:type="dxa"/>
            <w:gridSpan w:val="3"/>
            <w:tcBorders>
              <w:top w:val="single" w:color="000000" w:sz="4" w:space="0"/>
              <w:left w:val="single" w:color="000000" w:sz="4" w:space="0"/>
              <w:bottom w:val="single" w:color="000000" w:sz="4" w:space="0"/>
              <w:right w:val="single" w:color="000000" w:sz="4" w:space="0"/>
            </w:tcBorders>
            <w:shd w:val="clear"/>
            <w:vAlign w:val="center"/>
          </w:tcPr>
          <w:p w14:paraId="7301FE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279" w:type="dxa"/>
            <w:gridSpan w:val="2"/>
            <w:tcBorders>
              <w:top w:val="single" w:color="000000" w:sz="4" w:space="0"/>
              <w:left w:val="single" w:color="000000" w:sz="4" w:space="0"/>
              <w:bottom w:val="single" w:color="000000" w:sz="4" w:space="0"/>
              <w:right w:val="single" w:color="000000" w:sz="4" w:space="0"/>
            </w:tcBorders>
            <w:shd w:val="clear"/>
            <w:vAlign w:val="center"/>
          </w:tcPr>
          <w:p w14:paraId="691B80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682"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0BABB4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投资概算控制率</w:t>
            </w:r>
          </w:p>
        </w:tc>
      </w:tr>
      <w:tr w14:paraId="73DDD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3" w:hRule="atLeas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14:paraId="636AAC3D">
            <w:pPr>
              <w:jc w:val="center"/>
              <w:rPr>
                <w:rFonts w:hint="eastAsia" w:ascii="宋体" w:hAnsi="宋体" w:eastAsia="宋体" w:cs="宋体"/>
                <w:b/>
                <w:bCs/>
                <w:i w:val="0"/>
                <w:iCs w:val="0"/>
                <w:color w:val="000000"/>
                <w:sz w:val="18"/>
                <w:szCs w:val="18"/>
                <w:u w:val="none"/>
              </w:rPr>
            </w:pPr>
          </w:p>
        </w:tc>
        <w:tc>
          <w:tcPr>
            <w:tcW w:w="108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5AEA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29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ECAA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80" w:type="dxa"/>
            <w:tcBorders>
              <w:top w:val="single" w:color="000000" w:sz="4" w:space="0"/>
              <w:left w:val="single" w:color="000000" w:sz="4" w:space="0"/>
              <w:bottom w:val="single" w:color="000000" w:sz="4" w:space="0"/>
              <w:right w:val="single" w:color="000000" w:sz="4" w:space="0"/>
            </w:tcBorders>
            <w:shd w:val="clear"/>
            <w:noWrap/>
            <w:vAlign w:val="center"/>
          </w:tcPr>
          <w:p w14:paraId="5A8F40DB">
            <w:pPr>
              <w:jc w:val="center"/>
              <w:rPr>
                <w:rFonts w:hint="eastAsia" w:ascii="宋体" w:hAnsi="宋体" w:eastAsia="宋体" w:cs="宋体"/>
                <w:i w:val="0"/>
                <w:iCs w:val="0"/>
                <w:color w:val="000000"/>
                <w:sz w:val="18"/>
                <w:szCs w:val="18"/>
                <w:u w:val="none"/>
              </w:rPr>
            </w:pPr>
          </w:p>
        </w:tc>
        <w:tc>
          <w:tcPr>
            <w:tcW w:w="1334"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5265E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279"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2F9F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82"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746614B7">
            <w:pPr>
              <w:jc w:val="center"/>
              <w:rPr>
                <w:rFonts w:hint="eastAsia" w:ascii="宋体" w:hAnsi="宋体" w:eastAsia="宋体" w:cs="宋体"/>
                <w:i w:val="0"/>
                <w:iCs w:val="0"/>
                <w:color w:val="000000"/>
                <w:sz w:val="18"/>
                <w:szCs w:val="18"/>
                <w:u w:val="none"/>
              </w:rPr>
            </w:pPr>
          </w:p>
        </w:tc>
      </w:tr>
      <w:tr w14:paraId="4CCD6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980"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F93CA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厉行节约保障措施</w:t>
            </w:r>
          </w:p>
        </w:tc>
        <w:tc>
          <w:tcPr>
            <w:tcW w:w="11754" w:type="dxa"/>
            <w:gridSpan w:val="15"/>
            <w:tcBorders>
              <w:top w:val="single" w:color="000000" w:sz="4" w:space="0"/>
              <w:left w:val="single" w:color="000000" w:sz="4" w:space="0"/>
              <w:bottom w:val="single" w:color="000000" w:sz="4" w:space="0"/>
              <w:right w:val="single" w:color="000000" w:sz="4" w:space="0"/>
            </w:tcBorders>
            <w:shd w:val="clear"/>
            <w:noWrap/>
            <w:vAlign w:val="center"/>
          </w:tcPr>
          <w:p w14:paraId="3C5DC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完善规章制度，加强内部控制。</w:t>
            </w:r>
          </w:p>
        </w:tc>
      </w:tr>
      <w:tr w14:paraId="6FBA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39" w:hRule="atLeast"/>
        </w:trPr>
        <w:tc>
          <w:tcPr>
            <w:tcW w:w="11283" w:type="dxa"/>
            <w:gridSpan w:val="17"/>
            <w:tcBorders>
              <w:top w:val="single" w:color="000000" w:sz="4" w:space="0"/>
              <w:left w:val="single" w:color="000000" w:sz="4" w:space="0"/>
              <w:bottom w:val="single" w:color="000000" w:sz="4" w:space="0"/>
              <w:right w:val="single" w:color="000000" w:sz="4" w:space="0"/>
            </w:tcBorders>
            <w:shd w:val="clear"/>
            <w:noWrap/>
            <w:vAlign w:val="center"/>
          </w:tcPr>
          <w:p w14:paraId="3C29649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江永县松柏瑶族乡黄甲岭中心幼儿园自评表</w:t>
            </w:r>
          </w:p>
        </w:tc>
      </w:tr>
      <w:tr w14:paraId="70C64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0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E624E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预算部门名称</w:t>
            </w:r>
          </w:p>
        </w:tc>
        <w:tc>
          <w:tcPr>
            <w:tcW w:w="9509" w:type="dxa"/>
            <w:gridSpan w:val="15"/>
            <w:tcBorders>
              <w:top w:val="single" w:color="000000" w:sz="4" w:space="0"/>
              <w:left w:val="single" w:color="000000" w:sz="4" w:space="0"/>
              <w:bottom w:val="single" w:color="000000" w:sz="4" w:space="0"/>
              <w:right w:val="single" w:color="000000" w:sz="4" w:space="0"/>
            </w:tcBorders>
            <w:shd w:val="clear"/>
            <w:noWrap/>
            <w:vAlign w:val="center"/>
          </w:tcPr>
          <w:p w14:paraId="4210B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江永县松柏乡黄甲岭中心幼儿园</w:t>
            </w:r>
          </w:p>
        </w:tc>
      </w:tr>
      <w:tr w14:paraId="24FF4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2" w:hRule="atLeast"/>
        </w:trPr>
        <w:tc>
          <w:tcPr>
            <w:tcW w:w="177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1846028">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(万元)</w:t>
            </w: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3C1929B5">
            <w:pPr>
              <w:jc w:val="center"/>
              <w:rPr>
                <w:rFonts w:hint="eastAsia" w:ascii="宋体" w:hAnsi="宋体" w:eastAsia="宋体" w:cs="宋体"/>
                <w:i w:val="0"/>
                <w:iCs w:val="0"/>
                <w:color w:val="000000"/>
                <w:sz w:val="18"/>
                <w:szCs w:val="18"/>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044991BE">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年初预算数</w:t>
            </w:r>
            <w:r>
              <w:rPr>
                <w:rFonts w:hint="default" w:ascii="仿宋_GB2312" w:hAnsi="宋体" w:eastAsia="仿宋_GB2312" w:cs="仿宋_GB2312"/>
                <w:b/>
                <w:bCs/>
                <w:i w:val="0"/>
                <w:iCs w:val="0"/>
                <w:color w:val="000000"/>
                <w:kern w:val="0"/>
                <w:sz w:val="18"/>
                <w:szCs w:val="18"/>
                <w:u w:val="none"/>
                <w:bdr w:val="none" w:color="auto" w:sz="0" w:space="0"/>
                <w:lang w:val="en-US" w:eastAsia="zh-CN" w:bidi="ar"/>
              </w:rPr>
              <w:br w:type="textWrapping"/>
            </w: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(万元)</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0521A7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2393"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77C69D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14:paraId="1C4BF1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14:paraId="461381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2537" w:type="dxa"/>
            <w:tcBorders>
              <w:top w:val="single" w:color="000000" w:sz="4" w:space="0"/>
              <w:left w:val="single" w:color="000000" w:sz="4" w:space="0"/>
              <w:bottom w:val="single" w:color="000000" w:sz="4" w:space="0"/>
              <w:right w:val="single" w:color="000000" w:sz="4" w:space="0"/>
            </w:tcBorders>
            <w:shd w:val="clear"/>
            <w:vAlign w:val="center"/>
          </w:tcPr>
          <w:p w14:paraId="383B63E1">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得分</w:t>
            </w:r>
          </w:p>
        </w:tc>
      </w:tr>
      <w:tr w14:paraId="3BFCA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578"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25E186A">
            <w:pPr>
              <w:jc w:val="center"/>
              <w:rPr>
                <w:rFonts w:hint="eastAsia" w:ascii="Microsoft YaHei UI" w:hAnsi="Microsoft YaHei UI" w:eastAsia="Microsoft YaHei UI" w:cs="Microsoft YaHei UI"/>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6CFA146A">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年度资金总额：</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0DCB45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60.83</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35E5D3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186.11</w:t>
            </w:r>
          </w:p>
        </w:tc>
        <w:tc>
          <w:tcPr>
            <w:tcW w:w="2393" w:type="dxa"/>
            <w:gridSpan w:val="5"/>
            <w:tcBorders>
              <w:top w:val="single" w:color="000000" w:sz="4" w:space="0"/>
              <w:left w:val="single" w:color="000000" w:sz="4" w:space="0"/>
              <w:bottom w:val="single" w:color="000000" w:sz="4" w:space="0"/>
              <w:right w:val="single" w:color="000000" w:sz="4" w:space="0"/>
            </w:tcBorders>
            <w:shd w:val="clear"/>
            <w:vAlign w:val="center"/>
          </w:tcPr>
          <w:p w14:paraId="3AF20D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113.26</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14:paraId="4A2116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14:paraId="2EAEAE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60.85%</w:t>
            </w:r>
          </w:p>
        </w:tc>
        <w:tc>
          <w:tcPr>
            <w:tcW w:w="2537" w:type="dxa"/>
            <w:tcBorders>
              <w:top w:val="single" w:color="000000" w:sz="4" w:space="0"/>
              <w:left w:val="single" w:color="000000" w:sz="4" w:space="0"/>
              <w:bottom w:val="single" w:color="000000" w:sz="4" w:space="0"/>
              <w:right w:val="single" w:color="000000" w:sz="4" w:space="0"/>
            </w:tcBorders>
            <w:shd w:val="clear"/>
            <w:vAlign w:val="center"/>
          </w:tcPr>
          <w:p w14:paraId="5557B7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6.09</w:t>
            </w:r>
          </w:p>
        </w:tc>
      </w:tr>
      <w:tr w14:paraId="73368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533"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7F98924">
            <w:pPr>
              <w:jc w:val="center"/>
              <w:rPr>
                <w:rFonts w:hint="eastAsia" w:ascii="Microsoft YaHei UI" w:hAnsi="Microsoft YaHei UI" w:eastAsia="Microsoft YaHei UI" w:cs="Microsoft YaHei UI"/>
                <w:i w:val="0"/>
                <w:iCs w:val="0"/>
                <w:color w:val="000000"/>
                <w:sz w:val="18"/>
                <w:szCs w:val="18"/>
                <w:u w:val="none"/>
              </w:rPr>
            </w:pPr>
          </w:p>
        </w:tc>
        <w:tc>
          <w:tcPr>
            <w:tcW w:w="5542" w:type="dxa"/>
            <w:gridSpan w:val="12"/>
            <w:tcBorders>
              <w:top w:val="single" w:color="000000" w:sz="4" w:space="0"/>
              <w:left w:val="single" w:color="000000" w:sz="4" w:space="0"/>
              <w:bottom w:val="single" w:color="000000" w:sz="4" w:space="0"/>
              <w:right w:val="single" w:color="000000" w:sz="4" w:space="0"/>
            </w:tcBorders>
            <w:shd w:val="clear"/>
            <w:vAlign w:val="center"/>
          </w:tcPr>
          <w:p w14:paraId="15147C88">
            <w:pPr>
              <w:keepNext w:val="0"/>
              <w:keepLines w:val="0"/>
              <w:widowControl/>
              <w:suppressLineNumbers w:val="0"/>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按收入性质分：</w:t>
            </w:r>
          </w:p>
        </w:tc>
        <w:tc>
          <w:tcPr>
            <w:tcW w:w="3967" w:type="dxa"/>
            <w:gridSpan w:val="3"/>
            <w:tcBorders>
              <w:top w:val="single" w:color="000000" w:sz="4" w:space="0"/>
              <w:left w:val="single" w:color="000000" w:sz="4" w:space="0"/>
              <w:bottom w:val="single" w:color="000000" w:sz="4" w:space="0"/>
              <w:right w:val="single" w:color="000000" w:sz="4" w:space="0"/>
            </w:tcBorders>
            <w:shd w:val="clear"/>
            <w:vAlign w:val="center"/>
          </w:tcPr>
          <w:p w14:paraId="47169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按支出性质分：</w:t>
            </w:r>
          </w:p>
        </w:tc>
      </w:tr>
      <w:tr w14:paraId="5701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743"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41307D2">
            <w:pPr>
              <w:jc w:val="center"/>
              <w:rPr>
                <w:rFonts w:hint="eastAsia" w:ascii="Microsoft YaHei UI" w:hAnsi="Microsoft YaHei UI" w:eastAsia="Microsoft YaHei UI" w:cs="Microsoft YaHei UI"/>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3E2ACCF">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一般公共预算：</w:t>
            </w:r>
          </w:p>
        </w:tc>
        <w:tc>
          <w:tcPr>
            <w:tcW w:w="4511" w:type="dxa"/>
            <w:gridSpan w:val="10"/>
            <w:tcBorders>
              <w:top w:val="single" w:color="000000" w:sz="4" w:space="0"/>
              <w:left w:val="single" w:color="000000" w:sz="4" w:space="0"/>
              <w:bottom w:val="single" w:color="000000" w:sz="4" w:space="0"/>
              <w:right w:val="single" w:color="000000" w:sz="4" w:space="0"/>
            </w:tcBorders>
            <w:shd w:val="clear"/>
            <w:vAlign w:val="center"/>
          </w:tcPr>
          <w:p w14:paraId="32636F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186.39</w:t>
            </w:r>
          </w:p>
        </w:tc>
        <w:tc>
          <w:tcPr>
            <w:tcW w:w="67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312AF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其中:基本支出：</w:t>
            </w:r>
          </w:p>
        </w:tc>
        <w:tc>
          <w:tcPr>
            <w:tcW w:w="329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EC7BC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113.26</w:t>
            </w:r>
          </w:p>
        </w:tc>
      </w:tr>
      <w:tr w14:paraId="75D36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529"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891E250">
            <w:pPr>
              <w:jc w:val="center"/>
              <w:rPr>
                <w:rFonts w:hint="eastAsia" w:ascii="Microsoft YaHei UI" w:hAnsi="Microsoft YaHei UI" w:eastAsia="Microsoft YaHei UI" w:cs="Microsoft YaHei UI"/>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182A7BD">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政府性基金拨款：</w:t>
            </w:r>
          </w:p>
        </w:tc>
        <w:tc>
          <w:tcPr>
            <w:tcW w:w="4511" w:type="dxa"/>
            <w:gridSpan w:val="10"/>
            <w:tcBorders>
              <w:top w:val="single" w:color="000000" w:sz="4" w:space="0"/>
              <w:left w:val="single" w:color="000000" w:sz="4" w:space="0"/>
              <w:bottom w:val="single" w:color="000000" w:sz="4" w:space="0"/>
              <w:right w:val="single" w:color="000000" w:sz="4" w:space="0"/>
            </w:tcBorders>
            <w:shd w:val="clear"/>
            <w:vAlign w:val="center"/>
          </w:tcPr>
          <w:p w14:paraId="551B7D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0.00</w:t>
            </w:r>
          </w:p>
        </w:tc>
        <w:tc>
          <w:tcPr>
            <w:tcW w:w="6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0961B8">
            <w:pPr>
              <w:jc w:val="center"/>
              <w:rPr>
                <w:rFonts w:hint="eastAsia" w:ascii="宋体" w:hAnsi="宋体" w:eastAsia="宋体" w:cs="宋体"/>
                <w:b/>
                <w:bCs/>
                <w:i w:val="0"/>
                <w:iCs w:val="0"/>
                <w:color w:val="000000"/>
                <w:sz w:val="18"/>
                <w:szCs w:val="18"/>
                <w:u w:val="none"/>
              </w:rPr>
            </w:pPr>
          </w:p>
        </w:tc>
        <w:tc>
          <w:tcPr>
            <w:tcW w:w="329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14772DE">
            <w:pPr>
              <w:jc w:val="center"/>
              <w:rPr>
                <w:rFonts w:hint="default" w:ascii="Times New Roman" w:hAnsi="Times New Roman" w:eastAsia="宋体" w:cs="Times New Roman"/>
                <w:i w:val="0"/>
                <w:iCs w:val="0"/>
                <w:color w:val="000000"/>
                <w:sz w:val="18"/>
                <w:szCs w:val="18"/>
                <w:u w:val="none"/>
              </w:rPr>
            </w:pPr>
          </w:p>
        </w:tc>
      </w:tr>
      <w:tr w14:paraId="70749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552"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B0F29CA">
            <w:pPr>
              <w:jc w:val="center"/>
              <w:rPr>
                <w:rFonts w:hint="eastAsia" w:ascii="Microsoft YaHei UI" w:hAnsi="Microsoft YaHei UI" w:eastAsia="Microsoft YaHei UI" w:cs="Microsoft YaHei UI"/>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0D0DD109">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纳入专户管理的非税收入拨款：</w:t>
            </w:r>
          </w:p>
        </w:tc>
        <w:tc>
          <w:tcPr>
            <w:tcW w:w="4511" w:type="dxa"/>
            <w:gridSpan w:val="10"/>
            <w:tcBorders>
              <w:top w:val="single" w:color="000000" w:sz="4" w:space="0"/>
              <w:left w:val="single" w:color="000000" w:sz="4" w:space="0"/>
              <w:bottom w:val="single" w:color="000000" w:sz="4" w:space="0"/>
              <w:right w:val="single" w:color="000000" w:sz="4" w:space="0"/>
            </w:tcBorders>
            <w:shd w:val="clear"/>
            <w:vAlign w:val="center"/>
          </w:tcPr>
          <w:p w14:paraId="4D4C43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2.65</w:t>
            </w:r>
          </w:p>
        </w:tc>
        <w:tc>
          <w:tcPr>
            <w:tcW w:w="674" w:type="dxa"/>
            <w:vMerge w:val="restart"/>
            <w:tcBorders>
              <w:top w:val="single" w:color="000000" w:sz="4" w:space="0"/>
              <w:left w:val="single" w:color="000000" w:sz="4" w:space="0"/>
              <w:bottom w:val="single" w:color="000000" w:sz="4" w:space="0"/>
              <w:right w:val="single" w:color="000000" w:sz="4" w:space="0"/>
            </w:tcBorders>
            <w:shd w:val="clear"/>
            <w:vAlign w:val="center"/>
          </w:tcPr>
          <w:p w14:paraId="639E3C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项目支出：</w:t>
            </w:r>
          </w:p>
        </w:tc>
        <w:tc>
          <w:tcPr>
            <w:tcW w:w="329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286953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0.00</w:t>
            </w:r>
          </w:p>
        </w:tc>
      </w:tr>
      <w:tr w14:paraId="6FD9D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69"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2F7A4A9">
            <w:pPr>
              <w:jc w:val="center"/>
              <w:rPr>
                <w:rFonts w:hint="eastAsia" w:ascii="Microsoft YaHei UI" w:hAnsi="Microsoft YaHei UI" w:eastAsia="Microsoft YaHei UI" w:cs="Microsoft YaHei UI"/>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2B599E6">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其他资金</w:t>
            </w:r>
          </w:p>
        </w:tc>
        <w:tc>
          <w:tcPr>
            <w:tcW w:w="4511" w:type="dxa"/>
            <w:gridSpan w:val="10"/>
            <w:tcBorders>
              <w:top w:val="single" w:color="000000" w:sz="4" w:space="0"/>
              <w:left w:val="single" w:color="000000" w:sz="4" w:space="0"/>
              <w:bottom w:val="single" w:color="000000" w:sz="4" w:space="0"/>
              <w:right w:val="single" w:color="000000" w:sz="4" w:space="0"/>
            </w:tcBorders>
            <w:shd w:val="clear"/>
            <w:vAlign w:val="center"/>
          </w:tcPr>
          <w:p w14:paraId="5F412C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w:t>
            </w:r>
          </w:p>
        </w:tc>
        <w:tc>
          <w:tcPr>
            <w:tcW w:w="6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626E22">
            <w:pPr>
              <w:jc w:val="center"/>
              <w:rPr>
                <w:rFonts w:hint="eastAsia" w:ascii="宋体" w:hAnsi="宋体" w:eastAsia="宋体" w:cs="宋体"/>
                <w:b/>
                <w:bCs/>
                <w:i w:val="0"/>
                <w:iCs w:val="0"/>
                <w:color w:val="000000"/>
                <w:sz w:val="18"/>
                <w:szCs w:val="18"/>
                <w:u w:val="none"/>
              </w:rPr>
            </w:pPr>
          </w:p>
        </w:tc>
        <w:tc>
          <w:tcPr>
            <w:tcW w:w="329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1CF1E5C">
            <w:pPr>
              <w:jc w:val="center"/>
              <w:rPr>
                <w:rFonts w:hint="default" w:ascii="Times New Roman" w:hAnsi="Times New Roman" w:eastAsia="宋体" w:cs="Times New Roman"/>
                <w:i w:val="0"/>
                <w:iCs w:val="0"/>
                <w:color w:val="000000"/>
                <w:sz w:val="18"/>
                <w:szCs w:val="18"/>
                <w:u w:val="none"/>
              </w:rPr>
            </w:pPr>
          </w:p>
        </w:tc>
      </w:tr>
      <w:tr w14:paraId="360E2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39" w:hRule="atLeast"/>
        </w:trPr>
        <w:tc>
          <w:tcPr>
            <w:tcW w:w="177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2B9DF1CC">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年度总体目标</w:t>
            </w:r>
          </w:p>
        </w:tc>
        <w:tc>
          <w:tcPr>
            <w:tcW w:w="5542" w:type="dxa"/>
            <w:gridSpan w:val="12"/>
            <w:tcBorders>
              <w:top w:val="single" w:color="000000" w:sz="4" w:space="0"/>
              <w:left w:val="single" w:color="000000" w:sz="4" w:space="0"/>
              <w:bottom w:val="single" w:color="000000" w:sz="4" w:space="0"/>
              <w:right w:val="single" w:color="000000" w:sz="4" w:space="0"/>
            </w:tcBorders>
            <w:shd w:val="clear"/>
            <w:vAlign w:val="center"/>
          </w:tcPr>
          <w:p w14:paraId="0BA264CD">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预期目标</w:t>
            </w:r>
          </w:p>
        </w:tc>
        <w:tc>
          <w:tcPr>
            <w:tcW w:w="3967" w:type="dxa"/>
            <w:gridSpan w:val="3"/>
            <w:tcBorders>
              <w:top w:val="single" w:color="000000" w:sz="4" w:space="0"/>
              <w:left w:val="single" w:color="000000" w:sz="4" w:space="0"/>
              <w:bottom w:val="single" w:color="000000" w:sz="4" w:space="0"/>
              <w:right w:val="single" w:color="000000" w:sz="4" w:space="0"/>
            </w:tcBorders>
            <w:shd w:val="clear"/>
            <w:vAlign w:val="center"/>
          </w:tcPr>
          <w:p w14:paraId="3D93A8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12A99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39" w:hRule="atLeast"/>
        </w:trPr>
        <w:tc>
          <w:tcPr>
            <w:tcW w:w="177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3F3F0E9">
            <w:pPr>
              <w:jc w:val="center"/>
              <w:rPr>
                <w:rFonts w:hint="default" w:ascii="仿宋_GB2312" w:hAnsi="宋体" w:eastAsia="仿宋_GB2312" w:cs="仿宋_GB2312"/>
                <w:b/>
                <w:bCs/>
                <w:i w:val="0"/>
                <w:iCs w:val="0"/>
                <w:color w:val="000000"/>
                <w:sz w:val="18"/>
                <w:szCs w:val="18"/>
                <w:u w:val="none"/>
              </w:rPr>
            </w:pPr>
          </w:p>
        </w:tc>
        <w:tc>
          <w:tcPr>
            <w:tcW w:w="5542" w:type="dxa"/>
            <w:gridSpan w:val="12"/>
            <w:tcBorders>
              <w:top w:val="single" w:color="000000" w:sz="4" w:space="0"/>
              <w:left w:val="single" w:color="000000" w:sz="4" w:space="0"/>
              <w:bottom w:val="single" w:color="000000" w:sz="4" w:space="0"/>
              <w:right w:val="single" w:color="000000" w:sz="4" w:space="0"/>
            </w:tcBorders>
            <w:shd w:val="clear"/>
            <w:vAlign w:val="center"/>
          </w:tcPr>
          <w:p w14:paraId="5FE19F4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贯彻并执行国家教育方针，深化执行国家教育改革，发展素质教育，对幼儿实施“德、智、体、美等全面发展的教育，促进其身心健康发展。”培养德智体美劳全面发展的社会主义建设者和接班人。</w:t>
            </w:r>
          </w:p>
        </w:tc>
        <w:tc>
          <w:tcPr>
            <w:tcW w:w="3967" w:type="dxa"/>
            <w:gridSpan w:val="3"/>
            <w:tcBorders>
              <w:top w:val="single" w:color="000000" w:sz="4" w:space="0"/>
              <w:left w:val="single" w:color="000000" w:sz="4" w:space="0"/>
              <w:bottom w:val="single" w:color="000000" w:sz="4" w:space="0"/>
              <w:right w:val="single" w:color="000000" w:sz="4" w:space="0"/>
            </w:tcBorders>
            <w:shd w:val="clear"/>
            <w:vAlign w:val="center"/>
          </w:tcPr>
          <w:p w14:paraId="5C588D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全面完成。</w:t>
            </w:r>
          </w:p>
        </w:tc>
      </w:tr>
      <w:tr w14:paraId="3D86C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308"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vAlign w:val="center"/>
          </w:tcPr>
          <w:p w14:paraId="201AA30A">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绩效指标</w:t>
            </w:r>
          </w:p>
        </w:tc>
        <w:tc>
          <w:tcPr>
            <w:tcW w:w="9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A5748B2">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一级指标</w:t>
            </w:r>
          </w:p>
        </w:tc>
        <w:tc>
          <w:tcPr>
            <w:tcW w:w="1031"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15112D1">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三级指标</w:t>
            </w:r>
          </w:p>
        </w:tc>
        <w:tc>
          <w:tcPr>
            <w:tcW w:w="1059"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CE27B80">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年度指标值</w:t>
            </w:r>
          </w:p>
        </w:tc>
        <w:tc>
          <w:tcPr>
            <w:tcW w:w="1059"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14:paraId="52ED13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实际完成值</w:t>
            </w:r>
          </w:p>
        </w:tc>
        <w:tc>
          <w:tcPr>
            <w:tcW w:w="82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72C5ABA">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评扣分标准</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3B02774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分值</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AA98673">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得分</w:t>
            </w:r>
          </w:p>
        </w:tc>
        <w:tc>
          <w:tcPr>
            <w:tcW w:w="3967" w:type="dxa"/>
            <w:gridSpan w:val="3"/>
            <w:vMerge w:val="restart"/>
            <w:tcBorders>
              <w:top w:val="single" w:color="000000" w:sz="4" w:space="0"/>
              <w:left w:val="single" w:color="000000" w:sz="4" w:space="0"/>
              <w:bottom w:val="single" w:color="000000" w:sz="4" w:space="0"/>
              <w:right w:val="single" w:color="000000" w:sz="4" w:space="0"/>
            </w:tcBorders>
            <w:shd w:val="clear"/>
            <w:noWrap/>
            <w:vAlign w:val="center"/>
          </w:tcPr>
          <w:p w14:paraId="62BACA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7398E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02"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CE9B48">
            <w:pPr>
              <w:jc w:val="center"/>
              <w:rPr>
                <w:rFonts w:hint="default" w:ascii="仿宋_GB2312" w:hAnsi="宋体" w:eastAsia="仿宋_GB2312" w:cs="仿宋_GB2312"/>
                <w:b/>
                <w:bCs/>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1F3775">
            <w:pPr>
              <w:jc w:val="center"/>
              <w:rPr>
                <w:rFonts w:hint="default" w:ascii="仿宋_GB2312" w:hAnsi="宋体" w:eastAsia="仿宋_GB2312" w:cs="仿宋_GB2312"/>
                <w:b/>
                <w:bCs/>
                <w:i w:val="0"/>
                <w:iCs w:val="0"/>
                <w:color w:val="000000"/>
                <w:sz w:val="18"/>
                <w:szCs w:val="18"/>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301E5D2">
            <w:pPr>
              <w:jc w:val="center"/>
              <w:rPr>
                <w:rFonts w:hint="default" w:ascii="仿宋_GB2312" w:hAnsi="宋体" w:eastAsia="仿宋_GB2312" w:cs="仿宋_GB2312"/>
                <w:b/>
                <w:bCs/>
                <w:i w:val="0"/>
                <w:iCs w:val="0"/>
                <w:color w:val="000000"/>
                <w:sz w:val="18"/>
                <w:szCs w:val="18"/>
                <w:u w:val="none"/>
              </w:rPr>
            </w:pPr>
          </w:p>
        </w:tc>
        <w:tc>
          <w:tcPr>
            <w:tcW w:w="105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5C903BF">
            <w:pPr>
              <w:jc w:val="center"/>
              <w:rPr>
                <w:rFonts w:hint="default" w:ascii="仿宋_GB2312" w:hAnsi="宋体" w:eastAsia="仿宋_GB2312" w:cs="仿宋_GB2312"/>
                <w:b/>
                <w:bCs/>
                <w:i w:val="0"/>
                <w:iCs w:val="0"/>
                <w:color w:val="000000"/>
                <w:sz w:val="18"/>
                <w:szCs w:val="18"/>
                <w:u w:val="none"/>
              </w:rPr>
            </w:pPr>
          </w:p>
        </w:tc>
        <w:tc>
          <w:tcPr>
            <w:tcW w:w="1059"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14:paraId="61E250AB">
            <w:pPr>
              <w:jc w:val="center"/>
              <w:rPr>
                <w:rFonts w:hint="eastAsia" w:ascii="宋体" w:hAnsi="宋体" w:eastAsia="宋体" w:cs="宋体"/>
                <w:b/>
                <w:bCs/>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2A953C">
            <w:pPr>
              <w:jc w:val="center"/>
              <w:rPr>
                <w:rFonts w:hint="default" w:ascii="仿宋_GB2312" w:hAnsi="宋体" w:eastAsia="仿宋_GB2312" w:cs="仿宋_GB2312"/>
                <w:b/>
                <w:bCs/>
                <w:i w:val="0"/>
                <w:iCs w:val="0"/>
                <w:color w:val="000000"/>
                <w:sz w:val="18"/>
                <w:szCs w:val="18"/>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E7D4B00">
            <w:pPr>
              <w:jc w:val="center"/>
              <w:rPr>
                <w:rFonts w:hint="default" w:ascii="仿宋_GB2312" w:hAnsi="宋体" w:eastAsia="仿宋_GB2312" w:cs="仿宋_GB2312"/>
                <w:b/>
                <w:bCs/>
                <w:i w:val="0"/>
                <w:iCs w:val="0"/>
                <w:color w:val="000000"/>
                <w:sz w:val="18"/>
                <w:szCs w:val="18"/>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6549F08">
            <w:pPr>
              <w:jc w:val="center"/>
              <w:rPr>
                <w:rFonts w:hint="default" w:ascii="仿宋_GB2312" w:hAnsi="宋体" w:eastAsia="仿宋_GB2312" w:cs="仿宋_GB2312"/>
                <w:b/>
                <w:bCs/>
                <w:i w:val="0"/>
                <w:iCs w:val="0"/>
                <w:color w:val="000000"/>
                <w:sz w:val="18"/>
                <w:szCs w:val="18"/>
                <w:u w:val="none"/>
              </w:rPr>
            </w:pPr>
          </w:p>
        </w:tc>
        <w:tc>
          <w:tcPr>
            <w:tcW w:w="3967" w:type="dxa"/>
            <w:gridSpan w:val="3"/>
            <w:vMerge w:val="continue"/>
            <w:tcBorders>
              <w:top w:val="single" w:color="000000" w:sz="4" w:space="0"/>
              <w:left w:val="single" w:color="000000" w:sz="4" w:space="0"/>
              <w:bottom w:val="single" w:color="000000" w:sz="4" w:space="0"/>
              <w:right w:val="single" w:color="000000" w:sz="4" w:space="0"/>
            </w:tcBorders>
            <w:shd w:val="clear"/>
            <w:noWrap/>
            <w:vAlign w:val="center"/>
          </w:tcPr>
          <w:p w14:paraId="64D3DE58">
            <w:pPr>
              <w:jc w:val="center"/>
              <w:rPr>
                <w:rFonts w:hint="eastAsia" w:ascii="宋体" w:hAnsi="宋体" w:eastAsia="宋体" w:cs="宋体"/>
                <w:b/>
                <w:bCs/>
                <w:i w:val="0"/>
                <w:iCs w:val="0"/>
                <w:color w:val="000000"/>
                <w:sz w:val="18"/>
                <w:szCs w:val="18"/>
                <w:u w:val="none"/>
              </w:rPr>
            </w:pPr>
          </w:p>
        </w:tc>
      </w:tr>
      <w:tr w14:paraId="51371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vAlign w:val="center"/>
          </w:tcPr>
          <w:p w14:paraId="7B37532D">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绩效指标</w:t>
            </w:r>
          </w:p>
        </w:tc>
        <w:tc>
          <w:tcPr>
            <w:tcW w:w="9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3DFC69AF">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产出指标</w:t>
            </w: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1B557A7F">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教师培训次数</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7FA5F87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10次</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1935F5F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10次</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31ED18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教师培训10次以上得5分，每减少1次扣0.5分，扣完为止。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B098D7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AD4663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F23B292">
            <w:pPr>
              <w:jc w:val="center"/>
              <w:rPr>
                <w:rFonts w:hint="eastAsia" w:ascii="宋体" w:hAnsi="宋体" w:eastAsia="宋体" w:cs="宋体"/>
                <w:i w:val="0"/>
                <w:iCs w:val="0"/>
                <w:color w:val="000000"/>
                <w:sz w:val="18"/>
                <w:szCs w:val="18"/>
                <w:u w:val="none"/>
              </w:rPr>
            </w:pPr>
          </w:p>
        </w:tc>
      </w:tr>
      <w:tr w14:paraId="7CDB8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ED91A4">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0D1BAE">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490115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学生招生数量</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14220F6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80人</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2DE5FD7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80人</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70E7053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该指标达到要求得满分，共计4分，每少1人扣0.05分，扣完为止。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212C134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4</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40913C0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4</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FA86D18">
            <w:pPr>
              <w:jc w:val="center"/>
              <w:rPr>
                <w:rFonts w:hint="eastAsia" w:ascii="宋体" w:hAnsi="宋体" w:eastAsia="宋体" w:cs="宋体"/>
                <w:i w:val="0"/>
                <w:iCs w:val="0"/>
                <w:color w:val="000000"/>
                <w:sz w:val="18"/>
                <w:szCs w:val="18"/>
                <w:u w:val="none"/>
              </w:rPr>
            </w:pPr>
          </w:p>
        </w:tc>
      </w:tr>
      <w:tr w14:paraId="023A2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A794CB">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141E2B">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6E8501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教师考核人数</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5B83BE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7人</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768D272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7人</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19EA247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教师培训全员参与得7分，每减少1人扣1分，扣完为止。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0CE00E2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7</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730985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7</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369EBF3C">
            <w:pPr>
              <w:jc w:val="center"/>
              <w:rPr>
                <w:rFonts w:hint="eastAsia" w:ascii="宋体" w:hAnsi="宋体" w:eastAsia="宋体" w:cs="宋体"/>
                <w:i w:val="0"/>
                <w:iCs w:val="0"/>
                <w:color w:val="000000"/>
                <w:sz w:val="18"/>
                <w:szCs w:val="18"/>
                <w:u w:val="none"/>
              </w:rPr>
            </w:pPr>
          </w:p>
        </w:tc>
      </w:tr>
      <w:tr w14:paraId="6BD2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74A4F9">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2AF56F7">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97767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全县幼儿园督导次数</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2356AB8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10次</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45970B2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10次</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309C8D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该指标达到10次得10分，少一次扣1分，扣完为止。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BE801C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437B66E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51FB282B">
            <w:pPr>
              <w:jc w:val="center"/>
              <w:rPr>
                <w:rFonts w:hint="eastAsia" w:ascii="宋体" w:hAnsi="宋体" w:eastAsia="宋体" w:cs="宋体"/>
                <w:i w:val="0"/>
                <w:iCs w:val="0"/>
                <w:color w:val="000000"/>
                <w:sz w:val="18"/>
                <w:szCs w:val="18"/>
                <w:u w:val="none"/>
              </w:rPr>
            </w:pPr>
          </w:p>
        </w:tc>
      </w:tr>
      <w:tr w14:paraId="3073B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7C3AC2">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172D12">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1C9A70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每周户外活动组织场次</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69F247E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5次</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5FC19D8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5次</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9A2074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该指标达到5次得10分，少一次扣2分，扣完为止。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173605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5B2118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85AFB8D">
            <w:pPr>
              <w:jc w:val="center"/>
              <w:rPr>
                <w:rFonts w:hint="eastAsia" w:ascii="宋体" w:hAnsi="宋体" w:eastAsia="宋体" w:cs="宋体"/>
                <w:i w:val="0"/>
                <w:iCs w:val="0"/>
                <w:color w:val="000000"/>
                <w:sz w:val="18"/>
                <w:szCs w:val="18"/>
                <w:u w:val="none"/>
              </w:rPr>
            </w:pPr>
          </w:p>
        </w:tc>
      </w:tr>
      <w:tr w14:paraId="34E9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CFD44F">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B391E0">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6B3FA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课程体系完成率</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5D206A6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55B7B92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2768F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该指标达到100%得满分，共计1分，每降低10%扣0.1分，扣完为止。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36D520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5B1A30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508BAF3">
            <w:pPr>
              <w:jc w:val="center"/>
              <w:rPr>
                <w:rFonts w:hint="eastAsia" w:ascii="宋体" w:hAnsi="宋体" w:eastAsia="宋体" w:cs="宋体"/>
                <w:i w:val="0"/>
                <w:iCs w:val="0"/>
                <w:color w:val="000000"/>
                <w:sz w:val="18"/>
                <w:szCs w:val="18"/>
                <w:u w:val="none"/>
              </w:rPr>
            </w:pPr>
          </w:p>
        </w:tc>
      </w:tr>
      <w:tr w14:paraId="042E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CF4BEA">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CD377D">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6C1767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食品安全达标率</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3495E5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691BB16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8CEDEC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该指标达到100%得满分，共计1分，每降低10%扣0.1分，扣完为止。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3E65FC4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D19360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ACE3B5E">
            <w:pPr>
              <w:jc w:val="center"/>
              <w:rPr>
                <w:rFonts w:hint="eastAsia" w:ascii="宋体" w:hAnsi="宋体" w:eastAsia="宋体" w:cs="宋体"/>
                <w:i w:val="0"/>
                <w:iCs w:val="0"/>
                <w:color w:val="000000"/>
                <w:sz w:val="18"/>
                <w:szCs w:val="18"/>
                <w:u w:val="none"/>
              </w:rPr>
            </w:pPr>
          </w:p>
        </w:tc>
      </w:tr>
      <w:tr w14:paraId="0A61D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5A4E38">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196535">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0D90DD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考核、培训完成率</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3F43111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30955A5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666730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 xml:space="preserve">  该指标达到100%得10分，少10%扣1分，扣完为止。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727E9F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35C58DB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44977ECC">
            <w:pPr>
              <w:jc w:val="center"/>
              <w:rPr>
                <w:rFonts w:hint="eastAsia" w:ascii="宋体" w:hAnsi="宋体" w:eastAsia="宋体" w:cs="宋体"/>
                <w:i w:val="0"/>
                <w:iCs w:val="0"/>
                <w:color w:val="000000"/>
                <w:sz w:val="18"/>
                <w:szCs w:val="18"/>
                <w:u w:val="none"/>
              </w:rPr>
            </w:pPr>
          </w:p>
        </w:tc>
      </w:tr>
      <w:tr w14:paraId="2F917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E4B093">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0C1AC8">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04F223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完成时间</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703B996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2024年内完成</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1B08CD3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2024年内完成</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57018C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该指标于2024年12月31日前完成得满分，共计2分，每降低一个档次扣0.1分，扣完为止。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1B6AC29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2A65C0A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33BF11C9">
            <w:pPr>
              <w:jc w:val="center"/>
              <w:rPr>
                <w:rFonts w:hint="eastAsia" w:ascii="宋体" w:hAnsi="宋体" w:eastAsia="宋体" w:cs="宋体"/>
                <w:i w:val="0"/>
                <w:iCs w:val="0"/>
                <w:color w:val="000000"/>
                <w:sz w:val="18"/>
                <w:szCs w:val="18"/>
                <w:u w:val="none"/>
              </w:rPr>
            </w:pPr>
          </w:p>
        </w:tc>
      </w:tr>
      <w:tr w14:paraId="5A772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C09640">
            <w:pPr>
              <w:rPr>
                <w:rFonts w:hint="default" w:ascii="仿宋_GB2312" w:hAnsi="宋体" w:eastAsia="仿宋_GB2312" w:cs="仿宋_GB2312"/>
                <w:i w:val="0"/>
                <w:iCs w:val="0"/>
                <w:color w:val="000000"/>
                <w:sz w:val="18"/>
                <w:szCs w:val="18"/>
                <w:u w:val="none"/>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1997095">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效益指标</w:t>
            </w: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6C192F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提高教师生活水平</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53D5653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30264B8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DF6153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反映本部门负责的重点工作任务进展情况。主要考察教师生活水平情况。</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4E445F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1689F8E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91AD1DB">
            <w:pPr>
              <w:jc w:val="center"/>
              <w:rPr>
                <w:rFonts w:hint="eastAsia" w:ascii="宋体" w:hAnsi="宋体" w:eastAsia="宋体" w:cs="宋体"/>
                <w:i w:val="0"/>
                <w:iCs w:val="0"/>
                <w:color w:val="000000"/>
                <w:sz w:val="18"/>
                <w:szCs w:val="18"/>
                <w:u w:val="none"/>
              </w:rPr>
            </w:pPr>
          </w:p>
        </w:tc>
      </w:tr>
      <w:tr w14:paraId="04BEC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BF97A2">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A6354C">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5856DD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提高教师生活水平，使教师与幼儿拥有良好的教育环境</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62BBD16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提高教师生活水平，使教师与幼儿拥有良好的教育环境。</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0CCEE1D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提高教师生活水平，使教师与幼儿拥有良好的教育环境。</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AB3F7E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反映本部门负责的重点工作任务进展情况。主要考察教师生活水平情况。</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333FDA2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24B746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0AC5AAED">
            <w:pPr>
              <w:jc w:val="center"/>
              <w:rPr>
                <w:rFonts w:hint="eastAsia" w:ascii="宋体" w:hAnsi="宋体" w:eastAsia="宋体" w:cs="宋体"/>
                <w:i w:val="0"/>
                <w:iCs w:val="0"/>
                <w:color w:val="000000"/>
                <w:sz w:val="18"/>
                <w:szCs w:val="18"/>
                <w:u w:val="none"/>
              </w:rPr>
            </w:pPr>
          </w:p>
        </w:tc>
      </w:tr>
      <w:tr w14:paraId="28FB0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A92559">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6293A47">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059A3A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校园环境改善情况</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7D428DF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改善</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71479F3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改善</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6D9AC0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该指标达到要求得满分，共计5分，每降低一个档次扣0.1分，扣完为止。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E6A02E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6C4A9F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35E9D34">
            <w:pPr>
              <w:jc w:val="center"/>
              <w:rPr>
                <w:rFonts w:hint="eastAsia" w:ascii="宋体" w:hAnsi="宋体" w:eastAsia="宋体" w:cs="宋体"/>
                <w:i w:val="0"/>
                <w:iCs w:val="0"/>
                <w:color w:val="000000"/>
                <w:sz w:val="18"/>
                <w:szCs w:val="18"/>
                <w:u w:val="none"/>
              </w:rPr>
            </w:pPr>
          </w:p>
        </w:tc>
      </w:tr>
      <w:tr w14:paraId="2BB7E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636DC22">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4FBB36B">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3AE67965">
            <w:pPr>
              <w:jc w:val="center"/>
              <w:rPr>
                <w:rFonts w:hint="eastAsia" w:ascii="仿宋" w:hAnsi="仿宋" w:eastAsia="仿宋" w:cs="仿宋"/>
                <w:i w:val="0"/>
                <w:iCs w:val="0"/>
                <w:color w:val="000000"/>
                <w:sz w:val="18"/>
                <w:szCs w:val="18"/>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3660E76F">
            <w:pPr>
              <w:jc w:val="center"/>
              <w:rPr>
                <w:rFonts w:hint="default" w:ascii="仿宋_GB2312" w:hAnsi="宋体" w:eastAsia="仿宋_GB2312" w:cs="仿宋_GB2312"/>
                <w:i w:val="0"/>
                <w:iCs w:val="0"/>
                <w:color w:val="000000"/>
                <w:sz w:val="18"/>
                <w:szCs w:val="18"/>
                <w:u w:val="none"/>
              </w:rPr>
            </w:pP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0FEE6B9F">
            <w:pPr>
              <w:jc w:val="center"/>
              <w:rPr>
                <w:rFonts w:hint="default" w:ascii="仿宋_GB2312" w:hAnsi="宋体" w:eastAsia="仿宋_GB2312" w:cs="仿宋_GB2312"/>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78C393C">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0DA3834">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006E5009">
            <w:pPr>
              <w:jc w:val="center"/>
              <w:rPr>
                <w:rFonts w:hint="default" w:ascii="仿宋_GB2312" w:hAnsi="宋体" w:eastAsia="仿宋_GB2312" w:cs="仿宋_GB2312"/>
                <w:i w:val="0"/>
                <w:iCs w:val="0"/>
                <w:color w:val="000000"/>
                <w:sz w:val="18"/>
                <w:szCs w:val="18"/>
                <w:u w:val="none"/>
              </w:rPr>
            </w:pP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E91F70A">
            <w:pPr>
              <w:jc w:val="center"/>
              <w:rPr>
                <w:rFonts w:hint="eastAsia" w:ascii="宋体" w:hAnsi="宋体" w:eastAsia="宋体" w:cs="宋体"/>
                <w:i w:val="0"/>
                <w:iCs w:val="0"/>
                <w:color w:val="000000"/>
                <w:sz w:val="18"/>
                <w:szCs w:val="18"/>
                <w:u w:val="none"/>
              </w:rPr>
            </w:pPr>
          </w:p>
        </w:tc>
      </w:tr>
      <w:tr w14:paraId="4C92C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23AF87">
            <w:pPr>
              <w:rPr>
                <w:rFonts w:hint="default" w:ascii="仿宋_GB2312" w:hAnsi="宋体" w:eastAsia="仿宋_GB2312" w:cs="仿宋_GB2312"/>
                <w:i w:val="0"/>
                <w:iCs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vAlign w:val="center"/>
          </w:tcPr>
          <w:p w14:paraId="4A941117">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满意度指标</w:t>
            </w: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1AD7D5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家长满意度</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6B50EB6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32AD7BB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DF8428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该指标达到100%得满分，共计10分，每减少10%扣1分。</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232D88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95E816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6B28D69B">
            <w:pPr>
              <w:jc w:val="center"/>
              <w:rPr>
                <w:rFonts w:hint="eastAsia" w:ascii="宋体" w:hAnsi="宋体" w:eastAsia="宋体" w:cs="宋体"/>
                <w:i w:val="0"/>
                <w:iCs w:val="0"/>
                <w:color w:val="000000"/>
                <w:sz w:val="18"/>
                <w:szCs w:val="18"/>
                <w:u w:val="none"/>
              </w:rPr>
            </w:pPr>
          </w:p>
        </w:tc>
      </w:tr>
      <w:tr w14:paraId="19F15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D5AD2F">
            <w:pPr>
              <w:rPr>
                <w:rFonts w:hint="default" w:ascii="仿宋_GB2312" w:hAnsi="宋体" w:eastAsia="仿宋_GB2312" w:cs="仿宋_GB2312"/>
                <w:i w:val="0"/>
                <w:iCs w:val="0"/>
                <w:color w:val="000000"/>
                <w:sz w:val="18"/>
                <w:szCs w:val="18"/>
                <w:u w:val="none"/>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3BFB0F27">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成本指标</w:t>
            </w: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71BC7B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部门预算控制数</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321345C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113.26万元</w:t>
            </w: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3CC4C0F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113.26万元</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5C5723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该指标达到要求得满分，共计10分，每降低一个档次扣1分，扣完为止。</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80D7EF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46B1CC1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15BD3EAD">
            <w:pPr>
              <w:jc w:val="center"/>
              <w:rPr>
                <w:rFonts w:hint="eastAsia" w:ascii="宋体" w:hAnsi="宋体" w:eastAsia="宋体" w:cs="宋体"/>
                <w:i w:val="0"/>
                <w:iCs w:val="0"/>
                <w:color w:val="000000"/>
                <w:sz w:val="18"/>
                <w:szCs w:val="18"/>
                <w:u w:val="none"/>
              </w:rPr>
            </w:pPr>
          </w:p>
        </w:tc>
      </w:tr>
      <w:tr w14:paraId="324BA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0AB81F2">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D8A8E6">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01F59DC3">
            <w:pPr>
              <w:jc w:val="center"/>
              <w:rPr>
                <w:rFonts w:hint="eastAsia" w:ascii="仿宋" w:hAnsi="仿宋" w:eastAsia="仿宋" w:cs="仿宋"/>
                <w:i w:val="0"/>
                <w:iCs w:val="0"/>
                <w:color w:val="000000"/>
                <w:sz w:val="18"/>
                <w:szCs w:val="18"/>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5F1C6646">
            <w:pPr>
              <w:jc w:val="center"/>
              <w:rPr>
                <w:rFonts w:hint="default" w:ascii="仿宋_GB2312" w:hAnsi="宋体" w:eastAsia="仿宋_GB2312" w:cs="仿宋_GB2312"/>
                <w:i w:val="0"/>
                <w:iCs w:val="0"/>
                <w:color w:val="000000"/>
                <w:sz w:val="18"/>
                <w:szCs w:val="18"/>
                <w:u w:val="none"/>
              </w:rPr>
            </w:pP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1B62F769">
            <w:pPr>
              <w:jc w:val="center"/>
              <w:rPr>
                <w:rFonts w:hint="default" w:ascii="仿宋_GB2312" w:hAnsi="宋体" w:eastAsia="仿宋_GB2312" w:cs="仿宋_GB2312"/>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505C44F">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E1723D4">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5127EF90">
            <w:pPr>
              <w:jc w:val="center"/>
              <w:rPr>
                <w:rFonts w:hint="default" w:ascii="仿宋_GB2312" w:hAnsi="宋体" w:eastAsia="仿宋_GB2312" w:cs="仿宋_GB2312"/>
                <w:i w:val="0"/>
                <w:iCs w:val="0"/>
                <w:color w:val="000000"/>
                <w:sz w:val="18"/>
                <w:szCs w:val="18"/>
                <w:u w:val="none"/>
              </w:rPr>
            </w:pP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72781E17">
            <w:pPr>
              <w:jc w:val="center"/>
              <w:rPr>
                <w:rFonts w:hint="eastAsia" w:ascii="宋体" w:hAnsi="宋体" w:eastAsia="宋体" w:cs="宋体"/>
                <w:i w:val="0"/>
                <w:iCs w:val="0"/>
                <w:color w:val="000000"/>
                <w:sz w:val="18"/>
                <w:szCs w:val="18"/>
                <w:u w:val="none"/>
              </w:rPr>
            </w:pPr>
          </w:p>
        </w:tc>
      </w:tr>
      <w:tr w14:paraId="7F77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64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6162B4B">
            <w:pPr>
              <w:rPr>
                <w:rFonts w:hint="default" w:ascii="仿宋_GB2312" w:hAnsi="宋体" w:eastAsia="仿宋_GB2312" w:cs="仿宋_GB2312"/>
                <w:i w:val="0"/>
                <w:iCs w:val="0"/>
                <w:color w:val="000000"/>
                <w:sz w:val="18"/>
                <w:szCs w:val="18"/>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6D414A">
            <w:pPr>
              <w:rPr>
                <w:rFonts w:hint="default" w:ascii="仿宋_GB2312" w:hAnsi="宋体" w:eastAsia="仿宋_GB2312" w:cs="仿宋_GB2312"/>
                <w:i w:val="0"/>
                <w:iCs w:val="0"/>
                <w:color w:val="000000"/>
                <w:sz w:val="18"/>
                <w:szCs w:val="18"/>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vAlign w:val="center"/>
          </w:tcPr>
          <w:p w14:paraId="2D3411B4">
            <w:pPr>
              <w:jc w:val="center"/>
              <w:rPr>
                <w:rFonts w:hint="eastAsia" w:ascii="仿宋" w:hAnsi="仿宋" w:eastAsia="仿宋" w:cs="仿宋"/>
                <w:i w:val="0"/>
                <w:iCs w:val="0"/>
                <w:color w:val="000000"/>
                <w:sz w:val="18"/>
                <w:szCs w:val="18"/>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5C25B7EF">
            <w:pPr>
              <w:jc w:val="center"/>
              <w:rPr>
                <w:rFonts w:hint="default" w:ascii="仿宋_GB2312" w:hAnsi="宋体" w:eastAsia="仿宋_GB2312" w:cs="仿宋_GB2312"/>
                <w:i w:val="0"/>
                <w:iCs w:val="0"/>
                <w:color w:val="000000"/>
                <w:sz w:val="18"/>
                <w:szCs w:val="18"/>
                <w:u w:val="none"/>
              </w:rPr>
            </w:pPr>
          </w:p>
        </w:tc>
        <w:tc>
          <w:tcPr>
            <w:tcW w:w="1059" w:type="dxa"/>
            <w:gridSpan w:val="3"/>
            <w:tcBorders>
              <w:top w:val="single" w:color="000000" w:sz="4" w:space="0"/>
              <w:left w:val="single" w:color="000000" w:sz="4" w:space="0"/>
              <w:bottom w:val="single" w:color="000000" w:sz="4" w:space="0"/>
              <w:right w:val="single" w:color="000000" w:sz="4" w:space="0"/>
            </w:tcBorders>
            <w:shd w:val="clear"/>
            <w:vAlign w:val="center"/>
          </w:tcPr>
          <w:p w14:paraId="612B6D6B">
            <w:pPr>
              <w:jc w:val="center"/>
              <w:rPr>
                <w:rFonts w:hint="default" w:ascii="仿宋_GB2312" w:hAnsi="宋体" w:eastAsia="仿宋_GB2312" w:cs="仿宋_GB2312"/>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5B3FD15">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739C02FE">
            <w:pPr>
              <w:jc w:val="center"/>
              <w:rPr>
                <w:rFonts w:hint="default" w:ascii="仿宋_GB2312" w:hAnsi="宋体" w:eastAsia="仿宋_GB2312" w:cs="仿宋_GB2312"/>
                <w:i w:val="0"/>
                <w:iCs w:val="0"/>
                <w:color w:val="000000"/>
                <w:sz w:val="18"/>
                <w:szCs w:val="18"/>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vAlign w:val="center"/>
          </w:tcPr>
          <w:p w14:paraId="6423880E">
            <w:pPr>
              <w:jc w:val="center"/>
              <w:rPr>
                <w:rFonts w:hint="default" w:ascii="仿宋_GB2312" w:hAnsi="宋体" w:eastAsia="仿宋_GB2312" w:cs="仿宋_GB2312"/>
                <w:i w:val="0"/>
                <w:iCs w:val="0"/>
                <w:color w:val="000000"/>
                <w:sz w:val="18"/>
                <w:szCs w:val="18"/>
                <w:u w:val="none"/>
              </w:rPr>
            </w:pPr>
          </w:p>
        </w:tc>
        <w:tc>
          <w:tcPr>
            <w:tcW w:w="3967"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02C1B7C6">
            <w:pPr>
              <w:jc w:val="center"/>
              <w:rPr>
                <w:rFonts w:hint="eastAsia" w:ascii="宋体" w:hAnsi="宋体" w:eastAsia="宋体" w:cs="宋体"/>
                <w:i w:val="0"/>
                <w:iCs w:val="0"/>
                <w:color w:val="000000"/>
                <w:sz w:val="18"/>
                <w:szCs w:val="18"/>
                <w:u w:val="none"/>
              </w:rPr>
            </w:pPr>
          </w:p>
        </w:tc>
      </w:tr>
      <w:tr w14:paraId="5FAB0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2451" w:type="dxa"/>
          <w:trHeight w:val="42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5AC7F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9509" w:type="dxa"/>
            <w:gridSpan w:val="15"/>
            <w:tcBorders>
              <w:top w:val="single" w:color="000000" w:sz="4" w:space="0"/>
              <w:left w:val="single" w:color="000000" w:sz="4" w:space="0"/>
              <w:bottom w:val="single" w:color="000000" w:sz="4" w:space="0"/>
              <w:right w:val="single" w:color="000000" w:sz="4" w:space="0"/>
            </w:tcBorders>
            <w:shd w:val="clear"/>
            <w:noWrap/>
            <w:vAlign w:val="center"/>
          </w:tcPr>
          <w:p w14:paraId="011682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96.09</w:t>
            </w:r>
          </w:p>
        </w:tc>
      </w:tr>
    </w:tbl>
    <w:p w14:paraId="0619A340">
      <w:pPr>
        <w:spacing w:line="600" w:lineRule="exact"/>
        <w:jc w:val="both"/>
        <w:rPr>
          <w:rFonts w:ascii="仿宋_GB2312" w:hAnsi="仿宋_GB2312" w:eastAsia="仿宋_GB2312" w:cs="仿宋_GB2312"/>
          <w:kern w:val="0"/>
          <w:sz w:val="32"/>
          <w:szCs w:val="32"/>
        </w:rPr>
      </w:pPr>
    </w:p>
    <w:p w14:paraId="1DB31BA7">
      <w:pPr>
        <w:spacing w:line="600" w:lineRule="exact"/>
        <w:jc w:val="right"/>
        <w:rPr>
          <w:rFonts w:ascii="仿宋_GB2312" w:hAnsi="仿宋_GB2312" w:eastAsia="仿宋_GB2312" w:cs="仿宋_GB2312"/>
          <w:kern w:val="0"/>
          <w:sz w:val="32"/>
          <w:szCs w:val="32"/>
        </w:rPr>
      </w:pPr>
    </w:p>
    <w:p w14:paraId="1454D4F2">
      <w:pPr>
        <w:widowControl/>
        <w:rPr>
          <w:rFonts w:ascii="黑体" w:hAnsi="宋体" w:eastAsia="黑体"/>
          <w:kern w:val="0"/>
          <w:sz w:val="32"/>
          <w:szCs w:val="32"/>
        </w:rPr>
      </w:pPr>
      <w:r>
        <w:rPr>
          <w:rFonts w:hint="eastAsia" w:ascii="黑体" w:hAnsi="黑体" w:eastAsia="黑体"/>
          <w:kern w:val="0"/>
          <w:sz w:val="32"/>
          <w:szCs w:val="32"/>
        </w:rPr>
        <w:t>附件5</w:t>
      </w:r>
    </w:p>
    <w:p w14:paraId="2C68FAD1">
      <w:pPr>
        <w:spacing w:line="560" w:lineRule="exact"/>
        <w:jc w:val="center"/>
        <w:rPr>
          <w:rFonts w:ascii="方正小标宋_GBK" w:hAnsi="方正小标宋_GBK" w:eastAsia="方正小标宋_GBK"/>
          <w:kern w:val="0"/>
          <w:sz w:val="44"/>
          <w:szCs w:val="44"/>
        </w:rPr>
      </w:pPr>
      <w:r>
        <w:rPr>
          <w:rFonts w:ascii="方正小标宋_GBK" w:hAnsi="方正小标宋_GBK" w:eastAsia="方正小标宋_GBK"/>
          <w:kern w:val="0"/>
          <w:sz w:val="44"/>
          <w:szCs w:val="44"/>
        </w:rPr>
        <w:t>2024</w:t>
      </w:r>
      <w:r>
        <w:rPr>
          <w:rFonts w:hint="eastAsia" w:ascii="方正小标宋_GBK" w:hAnsi="方正小标宋_GBK" w:eastAsia="方正小标宋_GBK"/>
          <w:kern w:val="0"/>
          <w:sz w:val="44"/>
          <w:szCs w:val="44"/>
        </w:rPr>
        <w:t>年度江永县松柏瑶族乡黄甲岭中心幼儿园</w:t>
      </w:r>
    </w:p>
    <w:p w14:paraId="35A4EB88">
      <w:pPr>
        <w:spacing w:line="560" w:lineRule="exact"/>
        <w:jc w:val="center"/>
        <w:rPr>
          <w:rFonts w:ascii="Times New Roman" w:hAnsi="Times New Roman"/>
          <w:kern w:val="0"/>
          <w:sz w:val="44"/>
          <w:szCs w:val="44"/>
        </w:rPr>
      </w:pPr>
      <w:r>
        <w:rPr>
          <w:rFonts w:ascii="方正小标宋_GBK" w:hAnsi="方正小标宋_GBK" w:eastAsia="方正小标宋_GBK"/>
          <w:kern w:val="0"/>
          <w:sz w:val="44"/>
          <w:szCs w:val="44"/>
        </w:rPr>
        <w:t>部门整体支出绩效评价表</w:t>
      </w:r>
    </w:p>
    <w:tbl>
      <w:tblPr>
        <w:tblStyle w:val="4"/>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502BA49C">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ign w:val="center"/>
          </w:tcPr>
          <w:p w14:paraId="50E1768F">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14:paraId="225D20C0">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14:paraId="16641AEF">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14:paraId="33F5DA22">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14:paraId="2D59AE52">
            <w:pPr>
              <w:widowControl/>
              <w:jc w:val="center"/>
              <w:rPr>
                <w:rFonts w:eastAsia="仿宋_GB2312"/>
                <w:kern w:val="0"/>
                <w:sz w:val="20"/>
                <w:szCs w:val="20"/>
              </w:rPr>
            </w:pPr>
            <w:r>
              <w:rPr>
                <w:rFonts w:eastAsia="仿宋_GB2312"/>
                <w:kern w:val="0"/>
                <w:sz w:val="20"/>
                <w:szCs w:val="20"/>
              </w:rPr>
              <w:t>三级</w:t>
            </w:r>
          </w:p>
          <w:p w14:paraId="48D93A9C">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14:paraId="18D0E53B">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14:paraId="26B81B64">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14:paraId="08157169">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14:paraId="78682876">
            <w:pPr>
              <w:widowControl/>
              <w:jc w:val="center"/>
              <w:rPr>
                <w:rFonts w:eastAsia="仿宋_GB2312"/>
                <w:kern w:val="0"/>
                <w:sz w:val="20"/>
                <w:szCs w:val="20"/>
              </w:rPr>
            </w:pPr>
            <w:r>
              <w:rPr>
                <w:rFonts w:eastAsia="仿宋_GB2312"/>
                <w:kern w:val="0"/>
                <w:sz w:val="20"/>
                <w:szCs w:val="20"/>
              </w:rPr>
              <w:t>得分</w:t>
            </w:r>
          </w:p>
        </w:tc>
      </w:tr>
      <w:tr w14:paraId="33B88BC5">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14:paraId="6000ACA4">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14:paraId="69CD4F75">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14:paraId="767A912B">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14:paraId="6C794670">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14:paraId="18D3CDA6">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14:paraId="488D319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14:paraId="392166C3">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14:paraId="1E091A3C">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00BA8866">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14:paraId="005A12C1">
            <w:pPr>
              <w:widowControl/>
              <w:jc w:val="left"/>
              <w:rPr>
                <w:kern w:val="0"/>
                <w:sz w:val="24"/>
              </w:rPr>
            </w:pPr>
            <w:r>
              <w:rPr>
                <w:kern w:val="0"/>
                <w:sz w:val="24"/>
              </w:rPr>
              <w:t>　</w:t>
            </w:r>
            <w:r>
              <w:rPr>
                <w:rFonts w:hint="eastAsia"/>
                <w:kern w:val="0"/>
                <w:sz w:val="24"/>
              </w:rPr>
              <w:t>5</w:t>
            </w:r>
          </w:p>
        </w:tc>
      </w:tr>
      <w:tr w14:paraId="68846573">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14:paraId="56ED1BB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92865CD">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087BE95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7D7AEC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63646997">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14:paraId="41ECF18C">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14:paraId="3E058DF0">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26F3F2E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0675E8E1">
            <w:pPr>
              <w:widowControl/>
              <w:jc w:val="left"/>
              <w:rPr>
                <w:kern w:val="0"/>
                <w:sz w:val="24"/>
              </w:rPr>
            </w:pPr>
            <w:r>
              <w:rPr>
                <w:kern w:val="0"/>
                <w:sz w:val="24"/>
              </w:rPr>
              <w:t>　</w:t>
            </w:r>
            <w:r>
              <w:rPr>
                <w:rFonts w:hint="eastAsia"/>
                <w:kern w:val="0"/>
                <w:sz w:val="24"/>
              </w:rPr>
              <w:t>5</w:t>
            </w:r>
          </w:p>
        </w:tc>
      </w:tr>
      <w:tr w14:paraId="5B34AAC7">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4994719E">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1F27AAFD">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14:paraId="442B786E">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14:paraId="0F08E206">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14:paraId="479E1756">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14:paraId="2C392F2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407E61F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A5C1607">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64AD1C60">
            <w:pPr>
              <w:widowControl/>
              <w:jc w:val="left"/>
              <w:rPr>
                <w:kern w:val="0"/>
                <w:sz w:val="24"/>
              </w:rPr>
            </w:pPr>
            <w:r>
              <w:rPr>
                <w:rFonts w:hint="eastAsia"/>
                <w:kern w:val="0"/>
                <w:sz w:val="24"/>
              </w:rPr>
              <w:t>5</w:t>
            </w:r>
            <w:r>
              <w:rPr>
                <w:kern w:val="0"/>
                <w:sz w:val="24"/>
              </w:rPr>
              <w:t>　</w:t>
            </w:r>
          </w:p>
        </w:tc>
      </w:tr>
      <w:tr w14:paraId="16B00876">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B53054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200EFC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4C550D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734004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67936EB5">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14:paraId="5CFE4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3817C45C">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14:paraId="36711B37">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6FA5469B">
            <w:pPr>
              <w:widowControl/>
              <w:jc w:val="left"/>
              <w:rPr>
                <w:kern w:val="0"/>
                <w:sz w:val="24"/>
              </w:rPr>
            </w:pPr>
            <w:r>
              <w:rPr>
                <w:kern w:val="0"/>
                <w:sz w:val="24"/>
              </w:rPr>
              <w:t>　</w:t>
            </w:r>
            <w:r>
              <w:rPr>
                <w:rFonts w:hint="eastAsia"/>
                <w:kern w:val="0"/>
                <w:sz w:val="24"/>
              </w:rPr>
              <w:t>5</w:t>
            </w:r>
          </w:p>
        </w:tc>
      </w:tr>
      <w:tr w14:paraId="63727B26">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708BED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638075A">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3292925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E0551C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E7B9EFC">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14:paraId="2240E097">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5090E96E">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14:paraId="3702B5E4">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62BF7689">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0A3C1E69">
            <w:pPr>
              <w:widowControl/>
              <w:jc w:val="left"/>
              <w:rPr>
                <w:kern w:val="0"/>
                <w:sz w:val="24"/>
              </w:rPr>
            </w:pPr>
            <w:r>
              <w:rPr>
                <w:kern w:val="0"/>
                <w:sz w:val="24"/>
              </w:rPr>
              <w:t>　</w:t>
            </w:r>
            <w:r>
              <w:rPr>
                <w:rFonts w:hint="eastAsia"/>
                <w:kern w:val="0"/>
                <w:sz w:val="24"/>
              </w:rPr>
              <w:t>5</w:t>
            </w:r>
          </w:p>
        </w:tc>
      </w:tr>
      <w:tr w14:paraId="1546FE80">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9C3FAA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1A93482">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95EA67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C6075D0">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7C65C54">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14:paraId="187C984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353AE9D0">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0723E869">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3E4F0145">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7BBDEEC3">
            <w:pPr>
              <w:widowControl/>
              <w:jc w:val="left"/>
              <w:rPr>
                <w:kern w:val="0"/>
                <w:sz w:val="24"/>
              </w:rPr>
            </w:pPr>
            <w:r>
              <w:rPr>
                <w:kern w:val="0"/>
                <w:sz w:val="24"/>
              </w:rPr>
              <w:t>　</w:t>
            </w:r>
            <w:r>
              <w:rPr>
                <w:rFonts w:hint="eastAsia"/>
                <w:kern w:val="0"/>
                <w:sz w:val="24"/>
              </w:rPr>
              <w:t>5</w:t>
            </w:r>
          </w:p>
        </w:tc>
      </w:tr>
      <w:tr w14:paraId="73BFE809">
        <w:tblPrEx>
          <w:tblCellMar>
            <w:top w:w="0" w:type="dxa"/>
            <w:left w:w="108" w:type="dxa"/>
            <w:bottom w:w="0" w:type="dxa"/>
            <w:right w:w="108" w:type="dxa"/>
          </w:tblCellMar>
        </w:tblPrEx>
        <w:trPr>
          <w:gridAfter w:val="1"/>
          <w:wAfter w:w="8" w:type="dxa"/>
          <w:trHeight w:val="1710"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F94108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E88E5A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3145FF0C">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14:paraId="73B91A9B">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14:paraId="64ECAB28">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14:paraId="4EE662A9">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790FC10E">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1367E3F4">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25C8B26B">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14:paraId="2A2B63C8">
            <w:pPr>
              <w:widowControl/>
              <w:jc w:val="left"/>
              <w:rPr>
                <w:kern w:val="0"/>
                <w:sz w:val="24"/>
              </w:rPr>
            </w:pPr>
            <w:r>
              <w:rPr>
                <w:kern w:val="0"/>
                <w:sz w:val="24"/>
              </w:rPr>
              <w:t>　</w:t>
            </w:r>
            <w:r>
              <w:rPr>
                <w:rFonts w:hint="eastAsia"/>
                <w:kern w:val="0"/>
                <w:sz w:val="24"/>
              </w:rPr>
              <w:t>8</w:t>
            </w:r>
          </w:p>
        </w:tc>
      </w:tr>
      <w:tr w14:paraId="64CD6C06">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6E51E24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20BD11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647EF0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C0A13E9">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45CF5A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14:paraId="59F4A975">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14:paraId="43B8E640">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4E778A4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13ED1874">
            <w:pPr>
              <w:widowControl/>
              <w:jc w:val="left"/>
              <w:rPr>
                <w:kern w:val="0"/>
                <w:sz w:val="24"/>
              </w:rPr>
            </w:pPr>
            <w:r>
              <w:rPr>
                <w:kern w:val="0"/>
                <w:sz w:val="24"/>
              </w:rPr>
              <w:t>　</w:t>
            </w:r>
            <w:r>
              <w:rPr>
                <w:rFonts w:hint="eastAsia"/>
                <w:kern w:val="0"/>
                <w:sz w:val="24"/>
              </w:rPr>
              <w:t>7</w:t>
            </w:r>
          </w:p>
        </w:tc>
      </w:tr>
      <w:tr w14:paraId="75B29F06">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D4008A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394ED7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72ADAD5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465F06C">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0C50E2D">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14:paraId="238045C6">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14:paraId="27026D2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25FA09FA">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48DF5360">
            <w:pPr>
              <w:widowControl/>
              <w:jc w:val="left"/>
              <w:rPr>
                <w:kern w:val="0"/>
                <w:sz w:val="24"/>
              </w:rPr>
            </w:pPr>
            <w:r>
              <w:rPr>
                <w:kern w:val="0"/>
                <w:sz w:val="24"/>
              </w:rPr>
              <w:t>　</w:t>
            </w:r>
            <w:r>
              <w:rPr>
                <w:rFonts w:hint="eastAsia"/>
                <w:kern w:val="0"/>
                <w:sz w:val="24"/>
              </w:rPr>
              <w:t>6</w:t>
            </w:r>
          </w:p>
        </w:tc>
      </w:tr>
      <w:tr w14:paraId="1F7635EB">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0708DEE9">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595D3960">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14:paraId="2E6FEADE">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14:paraId="16862C4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2C90D0CC">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14:paraId="4EF18C30">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14:paraId="09DC0562">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78C66399">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22931B3B">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21DED8AB">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30628E95">
            <w:pPr>
              <w:widowControl/>
              <w:jc w:val="left"/>
              <w:rPr>
                <w:kern w:val="0"/>
                <w:sz w:val="24"/>
              </w:rPr>
            </w:pPr>
            <w:r>
              <w:rPr>
                <w:kern w:val="0"/>
                <w:sz w:val="24"/>
              </w:rPr>
              <w:t>　</w:t>
            </w:r>
            <w:r>
              <w:rPr>
                <w:rFonts w:hint="eastAsia"/>
                <w:kern w:val="0"/>
                <w:sz w:val="24"/>
              </w:rPr>
              <w:t>8</w:t>
            </w:r>
          </w:p>
        </w:tc>
      </w:tr>
      <w:tr w14:paraId="4C89A4F8">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9AA0AF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61417A5">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0EF13D2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C6AE5F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91343CB">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14:paraId="72F88F5F">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14:paraId="3CFB5A24">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6898061F">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03EE4DA1">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1BCF8103">
            <w:pPr>
              <w:widowControl/>
              <w:jc w:val="left"/>
              <w:rPr>
                <w:kern w:val="0"/>
                <w:sz w:val="24"/>
              </w:rPr>
            </w:pPr>
            <w:r>
              <w:rPr>
                <w:rFonts w:hint="eastAsia"/>
                <w:kern w:val="0"/>
                <w:sz w:val="24"/>
              </w:rPr>
              <w:t>6</w:t>
            </w:r>
            <w:r>
              <w:rPr>
                <w:kern w:val="0"/>
                <w:sz w:val="24"/>
              </w:rPr>
              <w:t>　</w:t>
            </w:r>
          </w:p>
        </w:tc>
      </w:tr>
      <w:tr w14:paraId="5099B519">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68F8515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A84F93C">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679709F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B2D172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00B39BA">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14:paraId="0F812BEB">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407902BE">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14:paraId="1047811B">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14:paraId="3E92E734">
            <w:pPr>
              <w:widowControl/>
              <w:jc w:val="left"/>
              <w:rPr>
                <w:kern w:val="0"/>
                <w:sz w:val="24"/>
              </w:rPr>
            </w:pPr>
            <w:r>
              <w:rPr>
                <w:kern w:val="0"/>
                <w:sz w:val="24"/>
              </w:rPr>
              <w:t>　</w:t>
            </w:r>
            <w:r>
              <w:rPr>
                <w:rFonts w:hint="eastAsia"/>
                <w:kern w:val="0"/>
                <w:sz w:val="24"/>
              </w:rPr>
              <w:t>5</w:t>
            </w:r>
          </w:p>
        </w:tc>
      </w:tr>
      <w:tr w14:paraId="7C148FA8">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5A923BD6">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14:paraId="4E7ED4AF">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14:paraId="1B156E57">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14:paraId="7633D300">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14:paraId="45B2BF78">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14:paraId="4C59456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66A68948">
            <w:pPr>
              <w:widowControl/>
              <w:jc w:val="left"/>
              <w:rPr>
                <w:rFonts w:eastAsia="仿宋_GB2312"/>
                <w:kern w:val="0"/>
                <w:sz w:val="20"/>
                <w:szCs w:val="20"/>
              </w:rPr>
            </w:pPr>
            <w:r>
              <w:rPr>
                <w:rFonts w:eastAsia="仿宋_GB2312"/>
                <w:kern w:val="0"/>
                <w:sz w:val="20"/>
                <w:szCs w:val="20"/>
              </w:rPr>
              <w:t>根据绩效办2024年对各部门为民办实事和部门重点工程与重点工作考核分数折算。</w:t>
            </w:r>
          </w:p>
          <w:p w14:paraId="12273235">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14:paraId="40DED394">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1312450B">
            <w:pPr>
              <w:widowControl/>
              <w:jc w:val="left"/>
              <w:rPr>
                <w:kern w:val="0"/>
                <w:sz w:val="24"/>
              </w:rPr>
            </w:pPr>
            <w:r>
              <w:rPr>
                <w:kern w:val="0"/>
                <w:sz w:val="24"/>
              </w:rPr>
              <w:t>　</w:t>
            </w:r>
            <w:r>
              <w:rPr>
                <w:rFonts w:hint="eastAsia"/>
                <w:kern w:val="0"/>
                <w:sz w:val="24"/>
              </w:rPr>
              <w:t>8</w:t>
            </w:r>
          </w:p>
        </w:tc>
      </w:tr>
      <w:tr w14:paraId="63297CC4">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8670D5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6F926CE">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43A147E2">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14:paraId="6C7EE172">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14:paraId="2CECDCA8">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14:paraId="0682CD55">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14:paraId="1EB45C73">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14:paraId="45CB9D4C">
            <w:pPr>
              <w:widowControl/>
              <w:jc w:val="left"/>
              <w:rPr>
                <w:kern w:val="0"/>
                <w:sz w:val="24"/>
              </w:rPr>
            </w:pPr>
            <w:r>
              <w:rPr>
                <w:kern w:val="0"/>
                <w:sz w:val="24"/>
              </w:rPr>
              <w:t>　</w:t>
            </w:r>
            <w:r>
              <w:rPr>
                <w:rFonts w:hint="eastAsia"/>
                <w:kern w:val="0"/>
                <w:sz w:val="24"/>
              </w:rPr>
              <w:t>10</w:t>
            </w:r>
          </w:p>
        </w:tc>
      </w:tr>
      <w:tr w14:paraId="00A86634">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660A6E6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422D2D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6A2719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47EA46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126AEAD4">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14:paraId="45B66699">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14:paraId="089E14D5">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14:paraId="797E07A9">
            <w:pPr>
              <w:widowControl/>
              <w:jc w:val="left"/>
              <w:rPr>
                <w:kern w:val="0"/>
                <w:sz w:val="24"/>
              </w:rPr>
            </w:pPr>
            <w:r>
              <w:rPr>
                <w:kern w:val="0"/>
                <w:sz w:val="24"/>
              </w:rPr>
              <w:t>　</w:t>
            </w:r>
          </w:p>
        </w:tc>
      </w:tr>
      <w:tr w14:paraId="50D22B3A">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7862F7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A54646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6A5D2D2">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14:paraId="1D7C7536">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14:paraId="6A15980D">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14:paraId="7101DB7E">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14:paraId="3BCD11AC">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14:paraId="61EAC318">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14:paraId="55AA32E8">
            <w:pPr>
              <w:widowControl/>
              <w:jc w:val="left"/>
              <w:rPr>
                <w:kern w:val="0"/>
                <w:sz w:val="24"/>
              </w:rPr>
            </w:pPr>
            <w:r>
              <w:rPr>
                <w:kern w:val="0"/>
                <w:sz w:val="24"/>
              </w:rPr>
              <w:t>　</w:t>
            </w:r>
            <w:r>
              <w:rPr>
                <w:rFonts w:hint="eastAsia"/>
                <w:kern w:val="0"/>
                <w:sz w:val="24"/>
              </w:rPr>
              <w:t>6</w:t>
            </w:r>
          </w:p>
        </w:tc>
      </w:tr>
      <w:tr w14:paraId="67B14AC3">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14:paraId="4E6B9195">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3AF15AFF">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14:paraId="47B90E92">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75F655DC">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14:paraId="7BEF3B56">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14:paraId="5485F70D">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14:paraId="3B6B8D07">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3F7E49F1">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54D0D4DA">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24EBDB28">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14:paraId="6BE922FC">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14:paraId="7A4AFB59">
            <w:pPr>
              <w:widowControl/>
              <w:jc w:val="left"/>
              <w:rPr>
                <w:kern w:val="0"/>
                <w:sz w:val="24"/>
              </w:rPr>
            </w:pPr>
            <w:r>
              <w:rPr>
                <w:kern w:val="0"/>
                <w:sz w:val="24"/>
              </w:rPr>
              <w:t>　</w:t>
            </w:r>
            <w:r>
              <w:rPr>
                <w:rFonts w:hint="eastAsia"/>
                <w:kern w:val="0"/>
                <w:sz w:val="24"/>
              </w:rPr>
              <w:t>6</w:t>
            </w:r>
          </w:p>
        </w:tc>
      </w:tr>
      <w:tr w14:paraId="09F47072">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14:paraId="4FB37E50">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14:paraId="3A8B8E12">
            <w:pPr>
              <w:widowControl/>
              <w:rPr>
                <w:rFonts w:ascii="宋体" w:hAnsi="宋体"/>
                <w:color w:val="000000"/>
                <w:kern w:val="0"/>
                <w:sz w:val="24"/>
              </w:rPr>
            </w:pPr>
            <w:r>
              <w:rPr>
                <w:rFonts w:hint="eastAsia" w:ascii="宋体" w:hAnsi="宋体"/>
                <w:color w:val="000000"/>
                <w:kern w:val="0"/>
                <w:sz w:val="24"/>
              </w:rPr>
              <w:t>100</w:t>
            </w:r>
          </w:p>
        </w:tc>
      </w:tr>
    </w:tbl>
    <w:p w14:paraId="116270A3">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方正舒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727E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945" cy="3022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7945" cy="302260"/>
                      </a:xfrm>
                      <a:prstGeom prst="rect">
                        <a:avLst/>
                      </a:prstGeom>
                      <a:noFill/>
                      <a:ln>
                        <a:noFill/>
                      </a:ln>
                      <a:effectLst/>
                    </wps:spPr>
                    <wps:txbx>
                      <w:txbxContent>
                        <w:p w14:paraId="33C4E76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3.8pt;width:5.35pt;mso-position-horizontal:center;mso-position-horizontal-relative:margin;mso-wrap-style:none;z-index:251659264;mso-width-relative:page;mso-height-relative:page;" filled="f" stroked="f" coordsize="21600,21600" o:gfxdata="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hcxM40AAAAAMBAAAPAAAAAAAAAAEAIAAAACIAAABkcnMv&#10;ZG93bnJldi54bWxQSwECFAAUAAAACACHTuJAh6XDotIBAACkAwAADgAAAAAAAAABACAAAAAfAQAA&#10;ZHJzL2Uyb0RvYy54bWxQSwUGAAAAAAYABgBZAQAAYwUAAAAA&#10;">
              <v:fill on="f" focussize="0,0"/>
              <v:stroke on="f"/>
              <v:imagedata o:title=""/>
              <o:lock v:ext="edit" aspectratio="f"/>
              <v:textbox inset="0mm,0mm,0mm,0mm" style="mso-fit-shape-to-text:t;">
                <w:txbxContent>
                  <w:p w14:paraId="33C4E76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260BD">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N2MxMzMxZjAwMzk2Y2QxNzc2OTJjM2M3MjA3ZjcifQ=="/>
  </w:docVars>
  <w:rsids>
    <w:rsidRoot w:val="00614850"/>
    <w:rsid w:val="000A195D"/>
    <w:rsid w:val="003B0A3E"/>
    <w:rsid w:val="00614850"/>
    <w:rsid w:val="00686C1E"/>
    <w:rsid w:val="009C1E8E"/>
    <w:rsid w:val="00E078DF"/>
    <w:rsid w:val="1040126A"/>
    <w:rsid w:val="1B545C77"/>
    <w:rsid w:val="42E45961"/>
    <w:rsid w:val="4BCD350C"/>
    <w:rsid w:val="4DEB45C9"/>
    <w:rsid w:val="4EFF657E"/>
    <w:rsid w:val="5DBB5C13"/>
    <w:rsid w:val="65FF22E5"/>
    <w:rsid w:val="66701E92"/>
    <w:rsid w:val="7E350D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1766</Words>
  <Characters>1804</Characters>
  <Lines>1</Lines>
  <Paragraphs>3</Paragraphs>
  <TotalTime>0</TotalTime>
  <ScaleCrop>false</ScaleCrop>
  <LinksUpToDate>false</LinksUpToDate>
  <CharactersWithSpaces>1864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2025-04-16T02:42:00Z</dcterms:created>
  <dc:creator>Administrator</dc:creator>
  <cp:lastModifiedBy>李老师</cp:lastModifiedBy>
  <cp:lastPrinted>2025-04-23T01:34:00Z</cp:lastPrinted>
  <dcterms:modified xsi:type="dcterms:W3CDTF">2025-05-14T09:57:38Z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1FD02A68B1694343A22005583C0F7075_13</vt:lpwstr>
  </property>
  <property fmtid="{D5CDD505-2E9C-101B-9397-08002B2CF9AE}" pid="4" name="KSOTemplateDocerSaveRecord">
    <vt:lpwstr>eyJoZGlkIjoiMmMwYjVjODVkOWE3MjZkZTQyOWQ2MTMxOWM2YmJiMDciLCJ1c2VySWQiOiIxNTMyNDgwNTAzIn0=</vt:lpwstr>
  </property>
</Properties>
</file>