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30" w:line="224" w:lineRule="auto"/>
        <w:ind w:left="159"/>
        <w:jc w:val="left"/>
        <w:rPr>
          <w:rFonts w:ascii="黑体" w:hAnsi="黑体" w:eastAsia="黑体" w:cs="黑体"/>
          <w:sz w:val="30"/>
          <w:szCs w:val="30"/>
          <w:lang w:eastAsia="zh-CN"/>
        </w:rPr>
      </w:pPr>
      <w:r>
        <w:rPr>
          <w:rFonts w:ascii="黑体" w:hAnsi="黑体" w:eastAsia="黑体" w:cs="黑体"/>
          <w:b/>
          <w:bCs/>
          <w:spacing w:val="29"/>
          <w:sz w:val="30"/>
          <w:szCs w:val="30"/>
          <w:lang w:eastAsia="zh-CN"/>
        </w:rPr>
        <w:t>附件6</w:t>
      </w:r>
    </w:p>
    <w:p>
      <w:pPr>
        <w:pStyle w:val="2"/>
        <w:spacing w:line="332" w:lineRule="auto"/>
        <w:jc w:val="left"/>
        <w:rPr>
          <w:lang w:eastAsia="zh-CN"/>
        </w:rPr>
      </w:pPr>
    </w:p>
    <w:p>
      <w:pPr>
        <w:pStyle w:val="2"/>
        <w:spacing w:line="333" w:lineRule="auto"/>
        <w:jc w:val="left"/>
        <w:rPr>
          <w:lang w:eastAsia="zh-CN"/>
        </w:rPr>
      </w:pPr>
    </w:p>
    <w:p>
      <w:pPr>
        <w:spacing w:before="149" w:line="287" w:lineRule="auto"/>
        <w:ind w:right="2040"/>
        <w:jc w:val="center"/>
        <w:outlineLvl w:val="0"/>
        <w:rPr>
          <w:rFonts w:ascii="黑体" w:hAnsi="黑体" w:eastAsia="黑体" w:cs="黑体"/>
          <w:sz w:val="46"/>
          <w:szCs w:val="46"/>
          <w:lang w:eastAsia="zh-CN"/>
        </w:rPr>
      </w:pPr>
      <w:r>
        <w:rPr>
          <w:rFonts w:ascii="黑体" w:hAnsi="黑体" w:eastAsia="黑体" w:cs="黑体"/>
          <w:sz w:val="46"/>
          <w:szCs w:val="46"/>
          <w:lang w:eastAsia="zh-CN"/>
        </w:rPr>
        <w:t>202</w:t>
      </w:r>
      <w:r>
        <w:rPr>
          <w:rFonts w:hint="eastAsia" w:ascii="黑体" w:hAnsi="黑体" w:eastAsia="黑体" w:cs="黑体"/>
          <w:sz w:val="46"/>
          <w:szCs w:val="46"/>
          <w:lang w:eastAsia="zh-CN"/>
        </w:rPr>
        <w:t>4</w:t>
      </w:r>
      <w:r>
        <w:rPr>
          <w:rFonts w:ascii="黑体" w:hAnsi="黑体" w:eastAsia="黑体" w:cs="黑体"/>
          <w:sz w:val="46"/>
          <w:szCs w:val="46"/>
          <w:lang w:eastAsia="zh-CN"/>
        </w:rPr>
        <w:t>年度江永县夏层铺镇</w:t>
      </w:r>
      <w:r>
        <w:rPr>
          <w:rFonts w:hint="eastAsia" w:ascii="黑体" w:hAnsi="黑体" w:eastAsia="黑体" w:cs="黑体"/>
          <w:sz w:val="46"/>
          <w:szCs w:val="46"/>
          <w:lang w:eastAsia="zh-CN"/>
        </w:rPr>
        <w:t>冷水铺</w:t>
      </w:r>
      <w:r>
        <w:rPr>
          <w:rFonts w:ascii="黑体" w:hAnsi="黑体" w:eastAsia="黑体" w:cs="黑体"/>
          <w:sz w:val="46"/>
          <w:szCs w:val="46"/>
          <w:lang w:eastAsia="zh-CN"/>
        </w:rPr>
        <w:t>中</w:t>
      </w:r>
      <w:r>
        <w:rPr>
          <w:rFonts w:hint="eastAsia" w:ascii="黑体" w:hAnsi="黑体" w:eastAsia="黑体" w:cs="黑体"/>
          <w:sz w:val="46"/>
          <w:szCs w:val="46"/>
          <w:lang w:eastAsia="zh-CN"/>
        </w:rPr>
        <w:t>心</w:t>
      </w:r>
      <w:r>
        <w:rPr>
          <w:rFonts w:ascii="黑体" w:hAnsi="黑体" w:eastAsia="黑体" w:cs="黑体"/>
          <w:sz w:val="46"/>
          <w:szCs w:val="46"/>
          <w:lang w:eastAsia="zh-CN"/>
        </w:rPr>
        <w:t>幼儿园</w:t>
      </w:r>
      <w:r>
        <w:rPr>
          <w:rFonts w:ascii="黑体" w:hAnsi="黑体" w:eastAsia="黑体" w:cs="黑体"/>
          <w:spacing w:val="-7"/>
          <w:sz w:val="46"/>
          <w:szCs w:val="46"/>
          <w:lang w:eastAsia="zh-CN"/>
        </w:rPr>
        <w:t>整体支出绩效自评报告</w:t>
      </w:r>
    </w:p>
    <w:p>
      <w:pPr>
        <w:pStyle w:val="2"/>
        <w:spacing w:line="249" w:lineRule="auto"/>
        <w:jc w:val="center"/>
        <w:rPr>
          <w:lang w:eastAsia="zh-CN"/>
        </w:rPr>
      </w:pPr>
    </w:p>
    <w:p>
      <w:pPr>
        <w:pStyle w:val="2"/>
        <w:spacing w:line="249" w:lineRule="auto"/>
        <w:jc w:val="center"/>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50" w:lineRule="auto"/>
        <w:jc w:val="left"/>
        <w:rPr>
          <w:lang w:eastAsia="zh-CN"/>
        </w:rPr>
      </w:pPr>
    </w:p>
    <w:p>
      <w:pPr>
        <w:pStyle w:val="2"/>
        <w:spacing w:line="250" w:lineRule="auto"/>
        <w:jc w:val="left"/>
        <w:rPr>
          <w:lang w:eastAsia="zh-CN"/>
        </w:rPr>
      </w:pPr>
    </w:p>
    <w:p>
      <w:pPr>
        <w:pStyle w:val="2"/>
        <w:spacing w:line="250" w:lineRule="auto"/>
        <w:jc w:val="left"/>
        <w:rPr>
          <w:lang w:eastAsia="zh-CN"/>
        </w:rPr>
      </w:pPr>
    </w:p>
    <w:p>
      <w:pPr>
        <w:pStyle w:val="2"/>
        <w:spacing w:line="250" w:lineRule="auto"/>
        <w:jc w:val="left"/>
        <w:rPr>
          <w:lang w:eastAsia="zh-CN"/>
        </w:rPr>
      </w:pPr>
    </w:p>
    <w:p>
      <w:pPr>
        <w:pStyle w:val="2"/>
        <w:spacing w:line="250" w:lineRule="auto"/>
        <w:jc w:val="left"/>
        <w:rPr>
          <w:lang w:eastAsia="zh-CN"/>
        </w:rPr>
      </w:pPr>
    </w:p>
    <w:p>
      <w:pPr>
        <w:pStyle w:val="2"/>
        <w:spacing w:line="250" w:lineRule="auto"/>
        <w:jc w:val="left"/>
        <w:rPr>
          <w:lang w:eastAsia="zh-CN"/>
        </w:rPr>
      </w:pPr>
    </w:p>
    <w:p>
      <w:pPr>
        <w:pStyle w:val="2"/>
        <w:spacing w:line="250" w:lineRule="auto"/>
        <w:jc w:val="left"/>
        <w:rPr>
          <w:lang w:eastAsia="zh-CN"/>
        </w:rPr>
      </w:pPr>
    </w:p>
    <w:p>
      <w:pPr>
        <w:spacing w:before="113" w:line="221" w:lineRule="auto"/>
        <w:jc w:val="center"/>
        <w:rPr>
          <w:rFonts w:ascii="黑体" w:hAnsi="黑体" w:eastAsia="黑体" w:cs="黑体"/>
          <w:sz w:val="35"/>
          <w:szCs w:val="35"/>
          <w:lang w:eastAsia="zh-CN"/>
        </w:rPr>
      </w:pPr>
      <w:r>
        <w:rPr>
          <w:rFonts w:ascii="黑体" w:hAnsi="黑体" w:eastAsia="黑体" w:cs="黑体"/>
          <w:b/>
          <w:bCs/>
          <w:spacing w:val="13"/>
          <w:sz w:val="35"/>
          <w:szCs w:val="35"/>
          <w:lang w:eastAsia="zh-CN"/>
        </w:rPr>
        <w:t>单位名称(盖章):江永县</w:t>
      </w:r>
      <w:r>
        <w:rPr>
          <w:rFonts w:hint="eastAsia" w:ascii="黑体" w:hAnsi="黑体" w:eastAsia="黑体" w:cs="黑体"/>
          <w:b/>
          <w:bCs/>
          <w:spacing w:val="13"/>
          <w:sz w:val="35"/>
          <w:szCs w:val="35"/>
          <w:lang w:eastAsia="zh-CN"/>
        </w:rPr>
        <w:t>夏层铺镇冷水铺中心幼儿园</w:t>
      </w:r>
    </w:p>
    <w:p>
      <w:pPr>
        <w:pStyle w:val="2"/>
        <w:spacing w:line="248" w:lineRule="auto"/>
        <w:jc w:val="left"/>
        <w:rPr>
          <w:lang w:eastAsia="zh-CN"/>
        </w:rPr>
      </w:pPr>
    </w:p>
    <w:p>
      <w:pPr>
        <w:pStyle w:val="2"/>
        <w:spacing w:line="248"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pStyle w:val="2"/>
        <w:spacing w:line="249" w:lineRule="auto"/>
        <w:jc w:val="left"/>
        <w:rPr>
          <w:lang w:eastAsia="zh-CN"/>
        </w:rPr>
      </w:pPr>
    </w:p>
    <w:p>
      <w:pPr>
        <w:spacing w:before="59" w:line="184" w:lineRule="auto"/>
        <w:ind w:left="4145"/>
        <w:jc w:val="left"/>
        <w:rPr>
          <w:lang w:eastAsia="zh-CN"/>
        </w:rPr>
      </w:pPr>
      <w:r>
        <w:rPr>
          <w:rFonts w:ascii="宋体" w:hAnsi="宋体" w:eastAsia="宋体" w:cs="宋体"/>
          <w:sz w:val="18"/>
          <w:szCs w:val="18"/>
          <w:lang w:eastAsia="zh-CN"/>
        </w:rPr>
        <w:t>1</w:t>
      </w:r>
    </w:p>
    <w:p>
      <w:pPr>
        <w:pStyle w:val="2"/>
        <w:spacing w:line="242" w:lineRule="auto"/>
        <w:jc w:val="left"/>
        <w:rPr>
          <w:lang w:eastAsia="zh-CN"/>
        </w:rPr>
      </w:pPr>
    </w:p>
    <w:p>
      <w:pPr>
        <w:pStyle w:val="2"/>
        <w:spacing w:line="242" w:lineRule="auto"/>
        <w:jc w:val="left"/>
        <w:rPr>
          <w:lang w:eastAsia="zh-CN"/>
        </w:rPr>
      </w:pPr>
    </w:p>
    <w:p>
      <w:pPr>
        <w:pStyle w:val="2"/>
        <w:spacing w:line="243" w:lineRule="auto"/>
        <w:jc w:val="left"/>
        <w:rPr>
          <w:lang w:eastAsia="zh-CN"/>
        </w:rPr>
      </w:pPr>
    </w:p>
    <w:p>
      <w:pPr>
        <w:spacing w:before="98" w:line="369" w:lineRule="auto"/>
        <w:ind w:left="134" w:right="1594" w:firstLine="590"/>
        <w:jc w:val="left"/>
        <w:rPr>
          <w:rFonts w:ascii="宋体" w:hAnsi="宋体" w:eastAsia="宋体" w:cs="宋体"/>
          <w:spacing w:val="11"/>
          <w:sz w:val="30"/>
          <w:szCs w:val="30"/>
          <w:lang w:eastAsia="zh-CN"/>
        </w:rPr>
      </w:pPr>
    </w:p>
    <w:p>
      <w:pPr>
        <w:spacing w:before="98" w:line="369" w:lineRule="auto"/>
        <w:ind w:left="134" w:right="1594" w:firstLine="590"/>
        <w:jc w:val="left"/>
        <w:rPr>
          <w:rFonts w:ascii="宋体" w:hAnsi="宋体" w:eastAsia="宋体" w:cs="宋体"/>
          <w:spacing w:val="11"/>
          <w:sz w:val="30"/>
          <w:szCs w:val="30"/>
          <w:lang w:eastAsia="zh-CN"/>
        </w:rPr>
      </w:pPr>
    </w:p>
    <w:p>
      <w:pPr>
        <w:spacing w:before="98" w:line="560" w:lineRule="exact"/>
        <w:ind w:left="134" w:right="1594" w:firstLine="590"/>
        <w:jc w:val="left"/>
        <w:rPr>
          <w:rFonts w:hint="eastAsia" w:ascii="仿宋" w:hAnsi="仿宋" w:eastAsia="仿宋" w:cs="仿宋"/>
          <w:spacing w:val="11"/>
          <w:sz w:val="28"/>
          <w:szCs w:val="28"/>
          <w:lang w:eastAsia="zh-CN"/>
        </w:rPr>
      </w:pPr>
    </w:p>
    <w:p>
      <w:pPr>
        <w:spacing w:before="98" w:line="560" w:lineRule="exact"/>
        <w:ind w:left="134" w:right="1594" w:firstLine="590"/>
        <w:jc w:val="left"/>
        <w:rPr>
          <w:rFonts w:ascii="仿宋" w:hAnsi="仿宋" w:eastAsia="仿宋" w:cs="仿宋"/>
          <w:sz w:val="28"/>
          <w:szCs w:val="28"/>
          <w:lang w:eastAsia="zh-CN"/>
        </w:rPr>
      </w:pPr>
      <w:r>
        <w:rPr>
          <w:rFonts w:hint="eastAsia" w:ascii="仿宋" w:hAnsi="仿宋" w:eastAsia="仿宋" w:cs="仿宋"/>
          <w:spacing w:val="11"/>
          <w:sz w:val="28"/>
          <w:szCs w:val="28"/>
          <w:lang w:eastAsia="zh-CN"/>
        </w:rPr>
        <w:t>为增强财政露金支出的科学性、规范性，切实提</w:t>
      </w:r>
      <w:r>
        <w:rPr>
          <w:rFonts w:hint="eastAsia" w:ascii="仿宋" w:hAnsi="仿宋" w:eastAsia="仿宋" w:cs="仿宋"/>
          <w:spacing w:val="10"/>
          <w:sz w:val="28"/>
          <w:szCs w:val="28"/>
          <w:lang w:eastAsia="zh-CN"/>
        </w:rPr>
        <w:t>高财政</w:t>
      </w:r>
      <w:r>
        <w:rPr>
          <w:rFonts w:hint="eastAsia" w:ascii="仿宋" w:hAnsi="仿宋" w:eastAsia="仿宋" w:cs="仿宋"/>
          <w:spacing w:val="9"/>
          <w:sz w:val="28"/>
          <w:szCs w:val="28"/>
          <w:lang w:eastAsia="zh-CN"/>
        </w:rPr>
        <w:t>资金使用效益，根据财政部《中共中央国务院关于全面实施</w:t>
      </w:r>
      <w:r>
        <w:rPr>
          <w:rFonts w:hint="eastAsia" w:ascii="仿宋" w:hAnsi="仿宋" w:eastAsia="仿宋" w:cs="仿宋"/>
          <w:spacing w:val="14"/>
          <w:sz w:val="28"/>
          <w:szCs w:val="28"/>
          <w:lang w:eastAsia="zh-CN"/>
        </w:rPr>
        <w:t>预算绩效管理的意见》(中发〔2018〕34号))、《中共湖南</w:t>
      </w:r>
      <w:r>
        <w:rPr>
          <w:rFonts w:hint="eastAsia" w:ascii="仿宋" w:hAnsi="仿宋" w:eastAsia="仿宋" w:cs="仿宋"/>
          <w:spacing w:val="12"/>
          <w:sz w:val="28"/>
          <w:szCs w:val="28"/>
          <w:lang w:eastAsia="zh-CN"/>
        </w:rPr>
        <w:t>省委办公厅湖南省人民政府办公厅关于全面实施预算绩</w:t>
      </w:r>
      <w:r>
        <w:rPr>
          <w:rFonts w:hint="eastAsia" w:ascii="仿宋" w:hAnsi="仿宋" w:eastAsia="仿宋" w:cs="仿宋"/>
          <w:spacing w:val="9"/>
          <w:sz w:val="28"/>
          <w:szCs w:val="28"/>
          <w:lang w:eastAsia="zh-CN"/>
        </w:rPr>
        <w:t>效管理的实施意见》(湘办发〔2019〕10号</w:t>
      </w:r>
      <w:r>
        <w:rPr>
          <w:rFonts w:hint="eastAsia" w:ascii="仿宋" w:hAnsi="仿宋" w:eastAsia="仿宋" w:cs="仿宋"/>
          <w:spacing w:val="8"/>
          <w:sz w:val="28"/>
          <w:szCs w:val="28"/>
          <w:lang w:eastAsia="zh-CN"/>
        </w:rPr>
        <w:t>)、《湖南省预算</w:t>
      </w:r>
      <w:r>
        <w:rPr>
          <w:rFonts w:hint="eastAsia" w:ascii="仿宋" w:hAnsi="仿宋" w:eastAsia="仿宋" w:cs="仿宋"/>
          <w:sz w:val="28"/>
          <w:szCs w:val="28"/>
          <w:lang w:eastAsia="zh-CN"/>
        </w:rPr>
        <w:t xml:space="preserve"> 绩效目标管理办法》(湘财绩〔2020〕6号)、《江永县全面</w:t>
      </w:r>
      <w:r>
        <w:rPr>
          <w:rFonts w:hint="eastAsia" w:ascii="仿宋" w:hAnsi="仿宋" w:eastAsia="仿宋" w:cs="仿宋"/>
          <w:spacing w:val="19"/>
          <w:sz w:val="28"/>
          <w:szCs w:val="28"/>
          <w:lang w:eastAsia="zh-CN"/>
        </w:rPr>
        <w:t>实施预算绩效管理实施办法》(永办发〔2022〕13号)等文</w:t>
      </w:r>
      <w:r>
        <w:rPr>
          <w:rFonts w:hint="eastAsia" w:ascii="仿宋" w:hAnsi="仿宋" w:eastAsia="仿宋" w:cs="仿宋"/>
          <w:spacing w:val="10"/>
          <w:sz w:val="28"/>
          <w:szCs w:val="28"/>
          <w:lang w:eastAsia="zh-CN"/>
        </w:rPr>
        <w:t>件的要求，江永县夏层铺镇冷水铺中心幼儿园对本园2024年度整体部门支出资金进行了认真、仔细的绩效自评。现将有关情况</w:t>
      </w:r>
      <w:r>
        <w:rPr>
          <w:rFonts w:hint="eastAsia" w:ascii="仿宋" w:hAnsi="仿宋" w:eastAsia="仿宋" w:cs="仿宋"/>
          <w:sz w:val="28"/>
          <w:szCs w:val="28"/>
          <w:lang w:eastAsia="zh-CN"/>
        </w:rPr>
        <w:t>汇报如下：</w:t>
      </w:r>
    </w:p>
    <w:p>
      <w:pPr>
        <w:spacing w:before="307" w:line="560" w:lineRule="exact"/>
        <w:ind w:left="729"/>
        <w:jc w:val="left"/>
        <w:outlineLvl w:val="0"/>
        <w:rPr>
          <w:rFonts w:ascii="黑体" w:hAnsi="黑体" w:eastAsia="黑体" w:cs="黑体"/>
          <w:sz w:val="30"/>
          <w:szCs w:val="30"/>
          <w:lang w:eastAsia="zh-CN"/>
        </w:rPr>
      </w:pPr>
      <w:r>
        <w:rPr>
          <w:rFonts w:ascii="黑体" w:hAnsi="黑体" w:eastAsia="黑体" w:cs="黑体"/>
          <w:b/>
          <w:bCs/>
          <w:sz w:val="30"/>
          <w:szCs w:val="30"/>
          <w:lang w:eastAsia="zh-CN"/>
        </w:rPr>
        <w:t>一、基本情况</w:t>
      </w:r>
    </w:p>
    <w:p>
      <w:pPr>
        <w:spacing w:before="203" w:line="560" w:lineRule="exact"/>
        <w:ind w:left="729"/>
        <w:jc w:val="left"/>
        <w:rPr>
          <w:rFonts w:ascii="楷体" w:hAnsi="楷体" w:eastAsia="楷体" w:cs="楷体"/>
          <w:sz w:val="30"/>
          <w:szCs w:val="30"/>
          <w:lang w:eastAsia="zh-CN"/>
        </w:rPr>
      </w:pPr>
      <w:r>
        <w:rPr>
          <w:rFonts w:ascii="楷体" w:hAnsi="楷体" w:eastAsia="楷体" w:cs="楷体"/>
          <w:b/>
          <w:bCs/>
          <w:spacing w:val="23"/>
          <w:sz w:val="30"/>
          <w:szCs w:val="30"/>
          <w:lang w:eastAsia="zh-CN"/>
        </w:rPr>
        <w:t>(一)部门基本情况</w:t>
      </w:r>
    </w:p>
    <w:p>
      <w:pPr>
        <w:spacing w:before="135" w:line="560" w:lineRule="exact"/>
        <w:ind w:left="134" w:right="1649" w:firstLine="590"/>
        <w:jc w:val="left"/>
        <w:rPr>
          <w:rFonts w:ascii="仿宋" w:hAnsi="仿宋" w:eastAsia="仿宋" w:cs="仿宋"/>
          <w:sz w:val="30"/>
          <w:szCs w:val="30"/>
          <w:lang w:eastAsia="zh-CN"/>
        </w:rPr>
      </w:pPr>
      <w:r>
        <w:rPr>
          <w:rFonts w:ascii="仿宋" w:hAnsi="仿宋" w:eastAsia="仿宋" w:cs="仿宋"/>
          <w:spacing w:val="14"/>
          <w:sz w:val="30"/>
          <w:szCs w:val="30"/>
          <w:lang w:eastAsia="zh-CN"/>
        </w:rPr>
        <w:t>江永县</w:t>
      </w:r>
      <w:r>
        <w:rPr>
          <w:rFonts w:hint="eastAsia" w:ascii="仿宋" w:hAnsi="仿宋" w:eastAsia="仿宋" w:cs="仿宋"/>
          <w:spacing w:val="14"/>
          <w:sz w:val="30"/>
          <w:szCs w:val="30"/>
          <w:lang w:eastAsia="zh-CN"/>
        </w:rPr>
        <w:t>夏层铺镇冷水铺中心幼儿园</w:t>
      </w:r>
      <w:r>
        <w:rPr>
          <w:rFonts w:ascii="仿宋" w:hAnsi="仿宋" w:eastAsia="仿宋" w:cs="仿宋"/>
          <w:spacing w:val="14"/>
          <w:sz w:val="30"/>
          <w:szCs w:val="30"/>
          <w:lang w:eastAsia="zh-CN"/>
        </w:rPr>
        <w:t>现有教职工共</w:t>
      </w:r>
      <w:r>
        <w:rPr>
          <w:rFonts w:hint="eastAsia" w:ascii="仿宋" w:hAnsi="仿宋" w:eastAsia="仿宋" w:cs="仿宋"/>
          <w:spacing w:val="14"/>
          <w:sz w:val="30"/>
          <w:szCs w:val="30"/>
          <w:lang w:eastAsia="zh-CN"/>
        </w:rPr>
        <w:t>9人，</w:t>
      </w:r>
      <w:r>
        <w:rPr>
          <w:rFonts w:ascii="仿宋" w:hAnsi="仿宋" w:eastAsia="仿宋" w:cs="仿宋"/>
          <w:spacing w:val="13"/>
          <w:sz w:val="30"/>
          <w:szCs w:val="30"/>
          <w:lang w:eastAsia="zh-CN"/>
        </w:rPr>
        <w:t>在编</w:t>
      </w:r>
      <w:r>
        <w:rPr>
          <w:rFonts w:ascii="仿宋" w:hAnsi="仿宋" w:eastAsia="仿宋" w:cs="仿宋"/>
          <w:spacing w:val="19"/>
          <w:sz w:val="30"/>
          <w:szCs w:val="30"/>
          <w:lang w:eastAsia="zh-CN"/>
        </w:rPr>
        <w:t>职工</w:t>
      </w:r>
      <w:r>
        <w:rPr>
          <w:rFonts w:hint="eastAsia" w:ascii="仿宋" w:hAnsi="仿宋" w:eastAsia="仿宋" w:cs="仿宋"/>
          <w:spacing w:val="19"/>
          <w:sz w:val="30"/>
          <w:szCs w:val="30"/>
          <w:lang w:eastAsia="zh-CN"/>
        </w:rPr>
        <w:t>6</w:t>
      </w:r>
      <w:r>
        <w:rPr>
          <w:rFonts w:ascii="仿宋" w:hAnsi="仿宋" w:eastAsia="仿宋" w:cs="仿宋"/>
          <w:spacing w:val="19"/>
          <w:sz w:val="30"/>
          <w:szCs w:val="30"/>
          <w:lang w:eastAsia="zh-CN"/>
        </w:rPr>
        <w:t>人，临聘人员</w:t>
      </w:r>
      <w:r>
        <w:rPr>
          <w:rFonts w:hint="eastAsia" w:ascii="仿宋" w:hAnsi="仿宋" w:eastAsia="仿宋" w:cs="仿宋"/>
          <w:spacing w:val="19"/>
          <w:sz w:val="30"/>
          <w:szCs w:val="30"/>
          <w:lang w:eastAsia="zh-CN"/>
        </w:rPr>
        <w:t>2</w:t>
      </w:r>
      <w:r>
        <w:rPr>
          <w:rFonts w:ascii="仿宋" w:hAnsi="仿宋" w:eastAsia="仿宋" w:cs="仿宋"/>
          <w:spacing w:val="19"/>
          <w:sz w:val="30"/>
          <w:szCs w:val="30"/>
          <w:lang w:eastAsia="zh-CN"/>
        </w:rPr>
        <w:t>人</w:t>
      </w:r>
      <w:r>
        <w:rPr>
          <w:rFonts w:hint="eastAsia" w:ascii="仿宋" w:hAnsi="仿宋" w:eastAsia="仿宋" w:cs="仿宋"/>
          <w:spacing w:val="19"/>
          <w:sz w:val="30"/>
          <w:szCs w:val="30"/>
          <w:lang w:eastAsia="zh-CN"/>
        </w:rPr>
        <w:t>，保安1人</w:t>
      </w:r>
      <w:r>
        <w:rPr>
          <w:rFonts w:ascii="仿宋" w:hAnsi="仿宋" w:eastAsia="仿宋" w:cs="仿宋"/>
          <w:spacing w:val="19"/>
          <w:sz w:val="30"/>
          <w:szCs w:val="30"/>
          <w:lang w:eastAsia="zh-CN"/>
        </w:rPr>
        <w:t>，在编教师中：</w:t>
      </w:r>
      <w:r>
        <w:rPr>
          <w:rFonts w:hint="eastAsia" w:ascii="仿宋" w:hAnsi="仿宋" w:eastAsia="仿宋" w:cs="仿宋"/>
          <w:spacing w:val="19"/>
          <w:sz w:val="30"/>
          <w:szCs w:val="30"/>
          <w:lang w:eastAsia="zh-CN"/>
        </w:rPr>
        <w:t>中小学一级教师1人，</w:t>
      </w:r>
      <w:r>
        <w:rPr>
          <w:rFonts w:ascii="仿宋" w:hAnsi="仿宋" w:eastAsia="仿宋" w:cs="仿宋"/>
          <w:spacing w:val="19"/>
          <w:sz w:val="30"/>
          <w:szCs w:val="30"/>
          <w:lang w:eastAsia="zh-CN"/>
        </w:rPr>
        <w:t>中小学二级教师</w:t>
      </w:r>
      <w:r>
        <w:rPr>
          <w:rFonts w:hint="eastAsia" w:ascii="仿宋" w:hAnsi="仿宋" w:eastAsia="仿宋" w:cs="仿宋"/>
          <w:spacing w:val="19"/>
          <w:sz w:val="30"/>
          <w:szCs w:val="30"/>
          <w:lang w:eastAsia="zh-CN"/>
        </w:rPr>
        <w:t>5</w:t>
      </w:r>
      <w:r>
        <w:rPr>
          <w:rFonts w:ascii="仿宋" w:hAnsi="仿宋" w:eastAsia="仿宋" w:cs="仿宋"/>
          <w:spacing w:val="29"/>
          <w:sz w:val="30"/>
          <w:szCs w:val="30"/>
          <w:lang w:eastAsia="zh-CN"/>
        </w:rPr>
        <w:t>人。</w:t>
      </w:r>
    </w:p>
    <w:p>
      <w:pPr>
        <w:spacing w:before="299" w:line="560" w:lineRule="exact"/>
        <w:ind w:left="729"/>
        <w:jc w:val="left"/>
        <w:rPr>
          <w:rFonts w:ascii="黑体" w:hAnsi="黑体" w:eastAsia="黑体" w:cs="黑体"/>
          <w:sz w:val="30"/>
          <w:szCs w:val="30"/>
          <w:lang w:eastAsia="zh-CN"/>
        </w:rPr>
      </w:pPr>
      <w:r>
        <w:rPr>
          <w:rFonts w:ascii="黑体" w:hAnsi="黑体" w:eastAsia="黑体" w:cs="黑体"/>
          <w:b/>
          <w:bCs/>
          <w:spacing w:val="3"/>
          <w:position w:val="18"/>
          <w:sz w:val="30"/>
          <w:szCs w:val="30"/>
          <w:lang w:eastAsia="zh-CN"/>
        </w:rPr>
        <w:t>二、一般公共预算支出情况</w:t>
      </w:r>
    </w:p>
    <w:p>
      <w:pPr>
        <w:spacing w:before="1" w:line="560" w:lineRule="exact"/>
        <w:ind w:left="929"/>
        <w:jc w:val="left"/>
        <w:rPr>
          <w:rFonts w:ascii="楷体" w:hAnsi="楷体" w:eastAsia="楷体" w:cs="楷体"/>
          <w:sz w:val="30"/>
          <w:szCs w:val="30"/>
          <w:lang w:eastAsia="zh-CN"/>
        </w:rPr>
      </w:pPr>
      <w:r>
        <w:rPr>
          <w:rFonts w:ascii="楷体" w:hAnsi="楷体" w:eastAsia="楷体" w:cs="楷体"/>
          <w:b/>
          <w:bCs/>
          <w:spacing w:val="23"/>
          <w:sz w:val="30"/>
          <w:szCs w:val="30"/>
          <w:lang w:eastAsia="zh-CN"/>
        </w:rPr>
        <w:t>(一)基本支出情况</w:t>
      </w:r>
    </w:p>
    <w:p>
      <w:pPr>
        <w:spacing w:before="260" w:line="560" w:lineRule="exact"/>
        <w:ind w:left="134" w:right="1638" w:firstLine="590"/>
        <w:jc w:val="left"/>
        <w:rPr>
          <w:rFonts w:ascii="仿宋" w:hAnsi="仿宋" w:eastAsia="仿宋" w:cs="仿宋"/>
          <w:spacing w:val="11"/>
          <w:sz w:val="30"/>
          <w:szCs w:val="30"/>
          <w:lang w:eastAsia="zh-CN"/>
        </w:rPr>
      </w:pPr>
      <w:r>
        <w:rPr>
          <w:rFonts w:ascii="仿宋" w:hAnsi="仿宋" w:eastAsia="仿宋" w:cs="仿宋"/>
          <w:spacing w:val="8"/>
          <w:sz w:val="30"/>
          <w:szCs w:val="30"/>
          <w:lang w:eastAsia="zh-CN"/>
        </w:rPr>
        <w:t>2024年度，江永县</w:t>
      </w:r>
      <w:r>
        <w:rPr>
          <w:rFonts w:hint="eastAsia" w:ascii="仿宋" w:hAnsi="仿宋" w:eastAsia="仿宋" w:cs="仿宋"/>
          <w:spacing w:val="8"/>
          <w:sz w:val="30"/>
          <w:szCs w:val="30"/>
          <w:lang w:eastAsia="zh-CN"/>
        </w:rPr>
        <w:t>夏层铺镇冷水铺中心幼儿园</w:t>
      </w:r>
      <w:r>
        <w:rPr>
          <w:rFonts w:ascii="仿宋" w:hAnsi="仿宋" w:eastAsia="仿宋" w:cs="仿宋"/>
          <w:spacing w:val="8"/>
          <w:sz w:val="30"/>
          <w:szCs w:val="30"/>
          <w:lang w:eastAsia="zh-CN"/>
        </w:rPr>
        <w:t>基本支</w:t>
      </w:r>
      <w:r>
        <w:rPr>
          <w:rFonts w:ascii="仿宋" w:hAnsi="仿宋" w:eastAsia="仿宋" w:cs="仿宋"/>
          <w:spacing w:val="7"/>
          <w:sz w:val="30"/>
          <w:szCs w:val="30"/>
          <w:lang w:eastAsia="zh-CN"/>
        </w:rPr>
        <w:t>出</w:t>
      </w:r>
      <w:r>
        <w:rPr>
          <w:rFonts w:hint="eastAsia" w:ascii="仿宋" w:hAnsi="仿宋" w:eastAsia="仿宋" w:cs="仿宋"/>
          <w:spacing w:val="7"/>
          <w:sz w:val="30"/>
          <w:szCs w:val="30"/>
          <w:lang w:eastAsia="zh-CN"/>
        </w:rPr>
        <w:t>126.28</w:t>
      </w:r>
      <w:r>
        <w:rPr>
          <w:rFonts w:ascii="仿宋" w:hAnsi="仿宋" w:eastAsia="仿宋" w:cs="仿宋"/>
          <w:spacing w:val="9"/>
          <w:sz w:val="30"/>
          <w:szCs w:val="30"/>
          <w:lang w:eastAsia="zh-CN"/>
        </w:rPr>
        <w:t>万元。主要用于人员工资、办公费、水电费、差</w:t>
      </w:r>
      <w:r>
        <w:rPr>
          <w:rFonts w:ascii="仿宋" w:hAnsi="仿宋" w:eastAsia="仿宋" w:cs="仿宋"/>
          <w:spacing w:val="8"/>
          <w:sz w:val="30"/>
          <w:szCs w:val="30"/>
          <w:lang w:eastAsia="zh-CN"/>
        </w:rPr>
        <w:t>旅费、其它</w:t>
      </w:r>
      <w:r>
        <w:rPr>
          <w:rFonts w:ascii="仿宋" w:hAnsi="仿宋" w:eastAsia="仿宋" w:cs="仿宋"/>
          <w:spacing w:val="11"/>
          <w:sz w:val="30"/>
          <w:szCs w:val="30"/>
          <w:lang w:eastAsia="zh-CN"/>
        </w:rPr>
        <w:t>维修(护)费、公务接待费、培训费、保险费、工会经费等。</w:t>
      </w:r>
    </w:p>
    <w:p>
      <w:pPr>
        <w:spacing w:before="1" w:line="560" w:lineRule="exact"/>
        <w:ind w:left="929"/>
        <w:jc w:val="left"/>
        <w:rPr>
          <w:rFonts w:ascii="楷体" w:hAnsi="楷体" w:eastAsia="楷体" w:cs="楷体"/>
          <w:sz w:val="30"/>
          <w:szCs w:val="30"/>
          <w:lang w:eastAsia="zh-CN"/>
        </w:rPr>
      </w:pPr>
      <w:r>
        <w:rPr>
          <w:rFonts w:ascii="楷体" w:hAnsi="楷体" w:eastAsia="楷体" w:cs="楷体"/>
          <w:b/>
          <w:bCs/>
          <w:spacing w:val="23"/>
          <w:sz w:val="30"/>
          <w:szCs w:val="30"/>
          <w:lang w:eastAsia="zh-CN"/>
        </w:rPr>
        <w:t>(</w:t>
      </w:r>
      <w:r>
        <w:rPr>
          <w:rFonts w:hint="eastAsia" w:ascii="楷体" w:hAnsi="楷体" w:eastAsia="楷体" w:cs="楷体"/>
          <w:b/>
          <w:bCs/>
          <w:spacing w:val="23"/>
          <w:sz w:val="30"/>
          <w:szCs w:val="30"/>
          <w:lang w:eastAsia="zh-CN"/>
        </w:rPr>
        <w:t>二</w:t>
      </w:r>
      <w:r>
        <w:rPr>
          <w:rFonts w:ascii="楷体" w:hAnsi="楷体" w:eastAsia="楷体" w:cs="楷体"/>
          <w:b/>
          <w:bCs/>
          <w:spacing w:val="23"/>
          <w:sz w:val="30"/>
          <w:szCs w:val="30"/>
          <w:lang w:eastAsia="zh-CN"/>
        </w:rPr>
        <w:t>)</w:t>
      </w:r>
      <w:r>
        <w:rPr>
          <w:rFonts w:hint="eastAsia" w:ascii="楷体" w:hAnsi="楷体" w:eastAsia="楷体" w:cs="楷体"/>
          <w:b/>
          <w:bCs/>
          <w:spacing w:val="23"/>
          <w:sz w:val="30"/>
          <w:szCs w:val="30"/>
          <w:lang w:eastAsia="zh-CN"/>
        </w:rPr>
        <w:t>项目</w:t>
      </w:r>
      <w:r>
        <w:rPr>
          <w:rFonts w:ascii="楷体" w:hAnsi="楷体" w:eastAsia="楷体" w:cs="楷体"/>
          <w:b/>
          <w:bCs/>
          <w:spacing w:val="23"/>
          <w:sz w:val="30"/>
          <w:szCs w:val="30"/>
          <w:lang w:eastAsia="zh-CN"/>
        </w:rPr>
        <w:t>支出情况</w:t>
      </w:r>
    </w:p>
    <w:p>
      <w:pPr>
        <w:spacing w:before="260" w:line="560" w:lineRule="exact"/>
        <w:ind w:left="134" w:right="1638" w:firstLine="590"/>
        <w:jc w:val="left"/>
        <w:rPr>
          <w:rFonts w:ascii="仿宋" w:hAnsi="仿宋" w:eastAsia="仿宋" w:cs="仿宋"/>
          <w:spacing w:val="11"/>
          <w:sz w:val="30"/>
          <w:szCs w:val="30"/>
          <w:lang w:eastAsia="zh-CN"/>
        </w:rPr>
      </w:pPr>
      <w:r>
        <w:rPr>
          <w:rFonts w:ascii="仿宋" w:hAnsi="仿宋" w:eastAsia="仿宋" w:cs="仿宋"/>
          <w:spacing w:val="8"/>
          <w:sz w:val="30"/>
          <w:szCs w:val="30"/>
          <w:lang w:eastAsia="zh-CN"/>
        </w:rPr>
        <w:t>2024年度，江永县</w:t>
      </w:r>
      <w:r>
        <w:rPr>
          <w:rFonts w:hint="eastAsia" w:ascii="仿宋" w:hAnsi="仿宋" w:eastAsia="仿宋" w:cs="仿宋"/>
          <w:spacing w:val="8"/>
          <w:sz w:val="30"/>
          <w:szCs w:val="30"/>
          <w:lang w:eastAsia="zh-CN"/>
        </w:rPr>
        <w:t>夏层铺镇冷水铺中心幼儿园无项目</w:t>
      </w:r>
      <w:r>
        <w:rPr>
          <w:rFonts w:ascii="仿宋" w:hAnsi="仿宋" w:eastAsia="仿宋" w:cs="仿宋"/>
          <w:spacing w:val="8"/>
          <w:sz w:val="30"/>
          <w:szCs w:val="30"/>
          <w:lang w:eastAsia="zh-CN"/>
        </w:rPr>
        <w:t>支</w:t>
      </w:r>
      <w:r>
        <w:rPr>
          <w:rFonts w:ascii="仿宋" w:hAnsi="仿宋" w:eastAsia="仿宋" w:cs="仿宋"/>
          <w:spacing w:val="7"/>
          <w:sz w:val="30"/>
          <w:szCs w:val="30"/>
          <w:lang w:eastAsia="zh-CN"/>
        </w:rPr>
        <w:t>出</w:t>
      </w:r>
      <w:r>
        <w:rPr>
          <w:rFonts w:hint="eastAsia" w:ascii="仿宋" w:hAnsi="仿宋" w:eastAsia="仿宋" w:cs="仿宋"/>
          <w:spacing w:val="9"/>
          <w:sz w:val="30"/>
          <w:szCs w:val="30"/>
          <w:lang w:eastAsia="zh-CN"/>
        </w:rPr>
        <w:t>。</w:t>
      </w:r>
    </w:p>
    <w:p>
      <w:pPr>
        <w:spacing w:before="250" w:line="560" w:lineRule="exact"/>
        <w:ind w:left="729"/>
        <w:jc w:val="left"/>
        <w:outlineLvl w:val="0"/>
        <w:rPr>
          <w:rFonts w:ascii="黑体" w:hAnsi="黑体" w:eastAsia="黑体" w:cs="黑体"/>
          <w:sz w:val="30"/>
          <w:szCs w:val="30"/>
          <w:lang w:eastAsia="zh-CN"/>
        </w:rPr>
      </w:pPr>
      <w:r>
        <w:rPr>
          <w:rFonts w:ascii="黑体" w:hAnsi="黑体" w:eastAsia="黑体" w:cs="黑体"/>
          <w:b/>
          <w:bCs/>
          <w:sz w:val="30"/>
          <w:szCs w:val="30"/>
          <w:lang w:eastAsia="zh-CN"/>
        </w:rPr>
        <w:t>三、政府性基金预算支出情况</w:t>
      </w:r>
    </w:p>
    <w:p>
      <w:pPr>
        <w:spacing w:before="240" w:line="560" w:lineRule="exact"/>
        <w:ind w:left="724"/>
        <w:jc w:val="left"/>
        <w:rPr>
          <w:rFonts w:ascii="仿宋" w:hAnsi="仿宋" w:eastAsia="仿宋" w:cs="仿宋"/>
          <w:sz w:val="30"/>
          <w:szCs w:val="30"/>
          <w:lang w:eastAsia="zh-CN"/>
        </w:rPr>
      </w:pPr>
      <w:r>
        <w:rPr>
          <w:rFonts w:ascii="仿宋" w:hAnsi="仿宋" w:eastAsia="仿宋" w:cs="仿宋"/>
          <w:spacing w:val="17"/>
          <w:sz w:val="30"/>
          <w:szCs w:val="30"/>
          <w:lang w:eastAsia="zh-CN"/>
        </w:rPr>
        <w:t>我园2024年度无政府性基金预算支出。</w:t>
      </w:r>
    </w:p>
    <w:p>
      <w:pPr>
        <w:pStyle w:val="2"/>
        <w:spacing w:line="560" w:lineRule="exact"/>
        <w:jc w:val="left"/>
        <w:rPr>
          <w:lang w:eastAsia="zh-CN"/>
        </w:rPr>
      </w:pPr>
    </w:p>
    <w:p>
      <w:pPr>
        <w:spacing w:before="66" w:line="560" w:lineRule="exact"/>
        <w:ind w:firstLine="566" w:firstLineChars="200"/>
        <w:jc w:val="left"/>
        <w:rPr>
          <w:rFonts w:ascii="黑体" w:hAnsi="黑体" w:eastAsia="黑体" w:cs="黑体"/>
          <w:sz w:val="29"/>
          <w:szCs w:val="29"/>
          <w:lang w:eastAsia="zh-CN"/>
        </w:rPr>
      </w:pPr>
      <w:r>
        <w:rPr>
          <w:rFonts w:ascii="黑体" w:hAnsi="黑体" w:eastAsia="黑体" w:cs="黑体"/>
          <w:b/>
          <w:bCs/>
          <w:spacing w:val="-4"/>
          <w:sz w:val="29"/>
          <w:szCs w:val="29"/>
          <w:lang w:eastAsia="zh-CN"/>
        </w:rPr>
        <w:t>四、国有资本经营预算支出情况</w:t>
      </w:r>
    </w:p>
    <w:p>
      <w:pPr>
        <w:spacing w:before="253" w:line="560" w:lineRule="exact"/>
        <w:ind w:left="894"/>
        <w:jc w:val="left"/>
        <w:rPr>
          <w:rFonts w:ascii="仿宋" w:hAnsi="仿宋" w:eastAsia="仿宋" w:cs="仿宋"/>
          <w:sz w:val="29"/>
          <w:szCs w:val="29"/>
          <w:lang w:eastAsia="zh-CN"/>
        </w:rPr>
      </w:pPr>
      <w:r>
        <w:rPr>
          <w:rFonts w:hint="eastAsia" w:ascii="仿宋" w:hAnsi="仿宋" w:eastAsia="仿宋" w:cs="仿宋"/>
          <w:spacing w:val="14"/>
          <w:sz w:val="29"/>
          <w:szCs w:val="29"/>
          <w:lang w:eastAsia="zh-CN"/>
        </w:rPr>
        <w:t>我园2024年度无国有资本经营预算支出</w:t>
      </w:r>
    </w:p>
    <w:p>
      <w:pPr>
        <w:spacing w:before="153" w:line="560" w:lineRule="exact"/>
        <w:ind w:left="899"/>
        <w:jc w:val="left"/>
        <w:outlineLvl w:val="0"/>
        <w:rPr>
          <w:rFonts w:ascii="黑体" w:hAnsi="黑体" w:eastAsia="黑体" w:cs="黑体"/>
          <w:sz w:val="29"/>
          <w:szCs w:val="29"/>
          <w:lang w:eastAsia="zh-CN"/>
        </w:rPr>
      </w:pPr>
      <w:r>
        <w:rPr>
          <w:rFonts w:ascii="黑体" w:hAnsi="黑体" w:eastAsia="黑体" w:cs="黑体"/>
          <w:b/>
          <w:bCs/>
          <w:spacing w:val="1"/>
          <w:sz w:val="29"/>
          <w:szCs w:val="29"/>
          <w:lang w:eastAsia="zh-CN"/>
        </w:rPr>
        <w:t>五、部门整体支出绩效情况</w:t>
      </w:r>
    </w:p>
    <w:p>
      <w:pPr>
        <w:spacing w:before="202" w:line="560" w:lineRule="exact"/>
        <w:ind w:left="324" w:right="1776" w:firstLine="570"/>
        <w:jc w:val="left"/>
        <w:rPr>
          <w:rFonts w:ascii="仿宋" w:hAnsi="仿宋" w:eastAsia="仿宋" w:cs="仿宋"/>
          <w:sz w:val="29"/>
          <w:szCs w:val="29"/>
          <w:lang w:eastAsia="zh-CN"/>
        </w:rPr>
      </w:pPr>
      <w:r>
        <w:rPr>
          <w:rFonts w:ascii="仿宋" w:hAnsi="仿宋" w:eastAsia="仿宋" w:cs="仿宋"/>
          <w:spacing w:val="5"/>
          <w:sz w:val="29"/>
          <w:szCs w:val="29"/>
          <w:lang w:eastAsia="zh-CN"/>
        </w:rPr>
        <w:t>2024年度整体支出情况良好，对基本支出的情况进行了预算，从费用安排、资金的拨付进行了综合评价，认为费用</w:t>
      </w:r>
      <w:r>
        <w:rPr>
          <w:rFonts w:ascii="仿宋" w:hAnsi="仿宋" w:eastAsia="仿宋" w:cs="仿宋"/>
          <w:spacing w:val="6"/>
          <w:sz w:val="29"/>
          <w:szCs w:val="29"/>
          <w:lang w:eastAsia="zh-CN"/>
        </w:rPr>
        <w:t>资金到位比较及时，并制定了科学合理的实施计划</w:t>
      </w:r>
      <w:r>
        <w:rPr>
          <w:rFonts w:ascii="仿宋" w:hAnsi="仿宋" w:eastAsia="仿宋" w:cs="仿宋"/>
          <w:spacing w:val="5"/>
          <w:sz w:val="29"/>
          <w:szCs w:val="29"/>
          <w:lang w:eastAsia="zh-CN"/>
        </w:rPr>
        <w:t>，实施过</w:t>
      </w:r>
      <w:r>
        <w:rPr>
          <w:rFonts w:ascii="仿宋" w:hAnsi="仿宋" w:eastAsia="仿宋" w:cs="仿宋"/>
          <w:spacing w:val="4"/>
          <w:sz w:val="29"/>
          <w:szCs w:val="29"/>
          <w:lang w:eastAsia="zh-CN"/>
        </w:rPr>
        <w:t>程中严格按照经费管理规定执行，目前工作持续稳定进展，</w:t>
      </w:r>
      <w:r>
        <w:rPr>
          <w:rFonts w:ascii="仿宋" w:hAnsi="仿宋" w:eastAsia="仿宋" w:cs="仿宋"/>
          <w:spacing w:val="5"/>
          <w:sz w:val="29"/>
          <w:szCs w:val="29"/>
          <w:lang w:eastAsia="zh-CN"/>
        </w:rPr>
        <w:t>具有较好的经济和社会效益。我园基础数据信息真</w:t>
      </w:r>
      <w:r>
        <w:rPr>
          <w:rFonts w:ascii="仿宋" w:hAnsi="仿宋" w:eastAsia="仿宋" w:cs="仿宋"/>
          <w:spacing w:val="4"/>
          <w:sz w:val="29"/>
          <w:szCs w:val="29"/>
          <w:lang w:eastAsia="zh-CN"/>
        </w:rPr>
        <w:t>实、资料</w:t>
      </w:r>
      <w:r>
        <w:rPr>
          <w:rFonts w:ascii="仿宋" w:hAnsi="仿宋" w:eastAsia="仿宋" w:cs="仿宋"/>
          <w:spacing w:val="5"/>
          <w:sz w:val="29"/>
          <w:szCs w:val="29"/>
          <w:lang w:eastAsia="zh-CN"/>
        </w:rPr>
        <w:t>收集齐全，每一笔费用都有完整的资料，基本达到上级的要</w:t>
      </w:r>
    </w:p>
    <w:p>
      <w:pPr>
        <w:spacing w:line="560" w:lineRule="exact"/>
        <w:ind w:left="324"/>
        <w:jc w:val="left"/>
        <w:rPr>
          <w:rFonts w:ascii="仿宋" w:hAnsi="仿宋" w:eastAsia="仿宋" w:cs="仿宋"/>
          <w:sz w:val="29"/>
          <w:szCs w:val="29"/>
          <w:lang w:eastAsia="zh-CN"/>
        </w:rPr>
      </w:pPr>
      <w:r>
        <w:rPr>
          <w:rFonts w:ascii="仿宋" w:hAnsi="仿宋" w:eastAsia="仿宋" w:cs="仿宋"/>
          <w:spacing w:val="-1"/>
          <w:sz w:val="29"/>
          <w:szCs w:val="29"/>
          <w:lang w:eastAsia="zh-CN"/>
        </w:rPr>
        <w:t>求。家长对园所评价满意度高。</w:t>
      </w:r>
    </w:p>
    <w:p>
      <w:pPr>
        <w:spacing w:before="267" w:line="560" w:lineRule="exact"/>
        <w:ind w:left="899"/>
        <w:jc w:val="left"/>
        <w:outlineLvl w:val="0"/>
        <w:rPr>
          <w:rFonts w:ascii="黑体" w:hAnsi="黑体" w:eastAsia="黑体" w:cs="黑体"/>
          <w:sz w:val="29"/>
          <w:szCs w:val="29"/>
          <w:lang w:eastAsia="zh-CN"/>
        </w:rPr>
      </w:pPr>
      <w:r>
        <w:rPr>
          <w:rFonts w:ascii="黑体" w:hAnsi="黑体" w:eastAsia="黑体" w:cs="黑体"/>
          <w:b/>
          <w:bCs/>
          <w:spacing w:val="-8"/>
          <w:sz w:val="29"/>
          <w:szCs w:val="29"/>
          <w:lang w:eastAsia="zh-CN"/>
        </w:rPr>
        <w:t>六、存在的问题及原因分析</w:t>
      </w:r>
    </w:p>
    <w:p>
      <w:pPr>
        <w:spacing w:before="153" w:line="560" w:lineRule="exact"/>
        <w:ind w:left="745"/>
        <w:jc w:val="left"/>
        <w:rPr>
          <w:rFonts w:ascii="仿宋" w:hAnsi="仿宋" w:eastAsia="仿宋" w:cs="仿宋"/>
          <w:sz w:val="29"/>
          <w:szCs w:val="29"/>
          <w:lang w:eastAsia="zh-CN"/>
        </w:rPr>
      </w:pPr>
      <w:r>
        <w:rPr>
          <w:rFonts w:ascii="仿宋" w:hAnsi="仿宋" w:eastAsia="仿宋" w:cs="仿宋"/>
          <w:spacing w:val="1"/>
          <w:position w:val="21"/>
          <w:sz w:val="29"/>
          <w:szCs w:val="29"/>
          <w:lang w:eastAsia="zh-CN"/>
        </w:rPr>
        <w:t>资金拨付流程复杂，每一笔费用单位录单后不能保证及时</w:t>
      </w:r>
    </w:p>
    <w:p>
      <w:pPr>
        <w:spacing w:before="1" w:line="560" w:lineRule="exact"/>
        <w:ind w:left="324"/>
        <w:jc w:val="left"/>
        <w:rPr>
          <w:rFonts w:ascii="仿宋" w:hAnsi="仿宋" w:eastAsia="仿宋" w:cs="仿宋"/>
          <w:spacing w:val="1"/>
          <w:sz w:val="29"/>
          <w:szCs w:val="29"/>
          <w:lang w:eastAsia="zh-CN"/>
        </w:rPr>
      </w:pPr>
      <w:r>
        <w:rPr>
          <w:rFonts w:ascii="仿宋" w:hAnsi="仿宋" w:eastAsia="仿宋" w:cs="仿宋"/>
          <w:spacing w:val="1"/>
          <w:sz w:val="29"/>
          <w:szCs w:val="29"/>
          <w:lang w:eastAsia="zh-CN"/>
        </w:rPr>
        <w:t>支付，实施时间跨度大</w:t>
      </w:r>
      <w:r>
        <w:rPr>
          <w:rFonts w:hint="eastAsia" w:ascii="仿宋" w:hAnsi="仿宋" w:eastAsia="仿宋" w:cs="仿宋"/>
          <w:spacing w:val="1"/>
          <w:sz w:val="29"/>
          <w:szCs w:val="29"/>
          <w:lang w:eastAsia="zh-CN"/>
        </w:rPr>
        <w:t>。以采购、校园维修等项目支付时间跨</w:t>
      </w:r>
    </w:p>
    <w:p>
      <w:pPr>
        <w:spacing w:before="1" w:line="560" w:lineRule="exact"/>
        <w:ind w:left="324"/>
        <w:jc w:val="left"/>
        <w:rPr>
          <w:rFonts w:ascii="仿宋" w:hAnsi="仿宋" w:eastAsia="仿宋" w:cs="仿宋"/>
          <w:sz w:val="29"/>
          <w:szCs w:val="29"/>
          <w:lang w:eastAsia="zh-CN"/>
        </w:rPr>
      </w:pPr>
      <w:r>
        <w:rPr>
          <w:rFonts w:hint="eastAsia" w:ascii="仿宋" w:hAnsi="仿宋" w:eastAsia="仿宋" w:cs="仿宋"/>
          <w:spacing w:val="1"/>
          <w:sz w:val="29"/>
          <w:szCs w:val="29"/>
          <w:lang w:eastAsia="zh-CN"/>
        </w:rPr>
        <w:t>度最大最久。</w:t>
      </w:r>
    </w:p>
    <w:p>
      <w:pPr>
        <w:spacing w:before="297" w:line="560" w:lineRule="exact"/>
        <w:ind w:left="899"/>
        <w:jc w:val="left"/>
        <w:outlineLvl w:val="0"/>
        <w:rPr>
          <w:rFonts w:ascii="黑体" w:hAnsi="黑体" w:eastAsia="黑体" w:cs="黑体"/>
          <w:sz w:val="29"/>
          <w:szCs w:val="29"/>
          <w:lang w:eastAsia="zh-CN"/>
        </w:rPr>
      </w:pPr>
      <w:r>
        <w:rPr>
          <w:rFonts w:ascii="黑体" w:hAnsi="黑体" w:eastAsia="黑体" w:cs="黑体"/>
          <w:b/>
          <w:bCs/>
          <w:sz w:val="29"/>
          <w:szCs w:val="29"/>
          <w:lang w:eastAsia="zh-CN"/>
        </w:rPr>
        <w:t>七、下一步改进措施</w:t>
      </w:r>
    </w:p>
    <w:p>
      <w:pPr>
        <w:spacing w:before="213" w:line="560" w:lineRule="exact"/>
        <w:ind w:left="324" w:right="1755" w:firstLine="570"/>
        <w:jc w:val="left"/>
        <w:rPr>
          <w:rFonts w:ascii="仿宋" w:hAnsi="仿宋" w:eastAsia="仿宋" w:cs="仿宋"/>
          <w:sz w:val="29"/>
          <w:szCs w:val="29"/>
          <w:lang w:eastAsia="zh-CN"/>
        </w:rPr>
      </w:pPr>
      <w:r>
        <w:rPr>
          <w:rFonts w:ascii="仿宋" w:hAnsi="仿宋" w:eastAsia="仿宋" w:cs="仿宋"/>
          <w:spacing w:val="5"/>
          <w:sz w:val="29"/>
          <w:szCs w:val="29"/>
          <w:lang w:eastAsia="zh-CN"/>
        </w:rPr>
        <w:t>绩效评价工作要各部门协调齐头并进，制定方案，各司</w:t>
      </w:r>
      <w:r>
        <w:rPr>
          <w:rFonts w:ascii="仿宋" w:hAnsi="仿宋" w:eastAsia="仿宋" w:cs="仿宋"/>
          <w:spacing w:val="-3"/>
          <w:sz w:val="29"/>
          <w:szCs w:val="29"/>
          <w:lang w:eastAsia="zh-CN"/>
        </w:rPr>
        <w:t>其</w:t>
      </w:r>
      <w:r>
        <w:rPr>
          <w:rFonts w:hint="eastAsia" w:ascii="仿宋" w:hAnsi="仿宋" w:eastAsia="仿宋" w:cs="仿宋"/>
          <w:spacing w:val="-3"/>
          <w:sz w:val="29"/>
          <w:szCs w:val="29"/>
          <w:lang w:eastAsia="zh-CN"/>
        </w:rPr>
        <w:t>职</w:t>
      </w:r>
      <w:bookmarkStart w:id="0" w:name="_GoBack"/>
      <w:bookmarkEnd w:id="0"/>
      <w:r>
        <w:rPr>
          <w:rFonts w:ascii="仿宋" w:hAnsi="仿宋" w:eastAsia="仿宋" w:cs="仿宋"/>
          <w:spacing w:val="-3"/>
          <w:sz w:val="29"/>
          <w:szCs w:val="29"/>
          <w:lang w:eastAsia="zh-CN"/>
        </w:rPr>
        <w:t>。通过绩效评价，要加强资金的管理。</w:t>
      </w:r>
      <w:r>
        <w:rPr>
          <w:rFonts w:hint="eastAsia" w:ascii="仿宋" w:hAnsi="仿宋" w:eastAsia="仿宋" w:cs="仿宋"/>
          <w:spacing w:val="-3"/>
          <w:sz w:val="29"/>
          <w:szCs w:val="29"/>
          <w:lang w:eastAsia="zh-CN"/>
        </w:rPr>
        <w:t>一</w:t>
      </w:r>
      <w:r>
        <w:rPr>
          <w:rFonts w:ascii="仿宋" w:hAnsi="仿宋" w:eastAsia="仿宋" w:cs="仿宋"/>
          <w:spacing w:val="-3"/>
          <w:sz w:val="29"/>
          <w:szCs w:val="29"/>
          <w:lang w:eastAsia="zh-CN"/>
        </w:rPr>
        <w:t>是严格资金审</w:t>
      </w:r>
      <w:r>
        <w:rPr>
          <w:rFonts w:ascii="仿宋" w:hAnsi="仿宋" w:eastAsia="仿宋" w:cs="仿宋"/>
          <w:spacing w:val="5"/>
          <w:sz w:val="29"/>
          <w:szCs w:val="29"/>
          <w:lang w:eastAsia="zh-CN"/>
        </w:rPr>
        <w:t>批程序，确保工作顺利推进。二是强化统筹管理。实行局领</w:t>
      </w:r>
      <w:r>
        <w:rPr>
          <w:rFonts w:ascii="仿宋" w:hAnsi="仿宋" w:eastAsia="仿宋" w:cs="仿宋"/>
          <w:spacing w:val="18"/>
          <w:sz w:val="29"/>
          <w:szCs w:val="29"/>
          <w:lang w:eastAsia="zh-CN"/>
        </w:rPr>
        <w:t>导和局机关各股室负责对我园各种费用资金实施进行全过</w:t>
      </w:r>
    </w:p>
    <w:p>
      <w:pPr>
        <w:spacing w:line="560" w:lineRule="exact"/>
        <w:ind w:left="324"/>
        <w:jc w:val="left"/>
        <w:rPr>
          <w:rFonts w:ascii="仿宋" w:hAnsi="仿宋" w:eastAsia="仿宋" w:cs="仿宋"/>
          <w:sz w:val="29"/>
          <w:szCs w:val="29"/>
          <w:lang w:eastAsia="zh-CN"/>
        </w:rPr>
      </w:pPr>
      <w:r>
        <w:rPr>
          <w:rFonts w:ascii="仿宋" w:hAnsi="仿宋" w:eastAsia="仿宋" w:cs="仿宋"/>
          <w:sz w:val="29"/>
          <w:szCs w:val="29"/>
          <w:lang w:eastAsia="zh-CN"/>
        </w:rPr>
        <w:t>程监督指导。</w:t>
      </w:r>
    </w:p>
    <w:p>
      <w:pPr>
        <w:spacing w:before="254" w:line="560" w:lineRule="exact"/>
        <w:ind w:left="899"/>
        <w:jc w:val="left"/>
        <w:outlineLvl w:val="0"/>
        <w:rPr>
          <w:rFonts w:ascii="黑体" w:hAnsi="黑体" w:eastAsia="黑体" w:cs="黑体"/>
          <w:sz w:val="29"/>
          <w:szCs w:val="29"/>
          <w:lang w:eastAsia="zh-CN"/>
        </w:rPr>
      </w:pPr>
      <w:r>
        <w:rPr>
          <w:rFonts w:ascii="黑体" w:hAnsi="黑体" w:eastAsia="黑体" w:cs="黑体"/>
          <w:b/>
          <w:bCs/>
          <w:spacing w:val="-1"/>
          <w:sz w:val="29"/>
          <w:szCs w:val="29"/>
          <w:lang w:eastAsia="zh-CN"/>
        </w:rPr>
        <w:t>八、绩效自评结果拟应用和公开情况</w:t>
      </w:r>
    </w:p>
    <w:p>
      <w:pPr>
        <w:spacing w:before="237" w:line="560" w:lineRule="exact"/>
        <w:ind w:left="324" w:right="1762" w:firstLine="570"/>
        <w:jc w:val="left"/>
        <w:rPr>
          <w:rFonts w:ascii="仿宋" w:hAnsi="仿宋" w:eastAsia="仿宋" w:cs="仿宋"/>
          <w:sz w:val="29"/>
          <w:szCs w:val="29"/>
          <w:lang w:eastAsia="zh-CN"/>
        </w:rPr>
      </w:pPr>
      <w:r>
        <w:rPr>
          <w:rFonts w:ascii="仿宋" w:hAnsi="仿宋" w:eastAsia="仿宋" w:cs="仿宋"/>
          <w:spacing w:val="6"/>
          <w:sz w:val="29"/>
          <w:szCs w:val="29"/>
          <w:lang w:eastAsia="zh-CN"/>
        </w:rPr>
        <w:t>从绩效自评结果来看，我园整体支出绩效较好，有</w:t>
      </w:r>
      <w:r>
        <w:rPr>
          <w:rFonts w:ascii="仿宋" w:hAnsi="仿宋" w:eastAsia="仿宋" w:cs="仿宋"/>
          <w:spacing w:val="5"/>
          <w:sz w:val="29"/>
          <w:szCs w:val="29"/>
          <w:lang w:eastAsia="zh-CN"/>
        </w:rPr>
        <w:t>利于</w:t>
      </w:r>
      <w:r>
        <w:rPr>
          <w:rFonts w:ascii="仿宋" w:hAnsi="仿宋" w:eastAsia="仿宋" w:cs="仿宋"/>
          <w:spacing w:val="6"/>
          <w:sz w:val="29"/>
          <w:szCs w:val="29"/>
          <w:lang w:eastAsia="zh-CN"/>
        </w:rPr>
        <w:t>我园各项工作的开展。根据预算绩效评价的有关规定，我园</w:t>
      </w:r>
    </w:p>
    <w:p>
      <w:pPr>
        <w:spacing w:before="1" w:line="560" w:lineRule="exact"/>
        <w:ind w:left="324"/>
        <w:jc w:val="left"/>
        <w:rPr>
          <w:rFonts w:eastAsia="宋体"/>
          <w:lang w:eastAsia="zh-CN"/>
        </w:rPr>
      </w:pPr>
      <w:r>
        <w:rPr>
          <w:rFonts w:ascii="仿宋" w:hAnsi="仿宋" w:eastAsia="仿宋" w:cs="仿宋"/>
          <w:spacing w:val="5"/>
          <w:sz w:val="29"/>
          <w:szCs w:val="29"/>
          <w:lang w:eastAsia="zh-CN"/>
        </w:rPr>
        <w:t>及时上交绩效自评报告至相关部门查阅监督。</w:t>
      </w:r>
    </w:p>
    <w:p>
      <w:pPr>
        <w:pStyle w:val="2"/>
        <w:spacing w:line="560" w:lineRule="exact"/>
        <w:jc w:val="left"/>
        <w:rPr>
          <w:lang w:eastAsia="zh-CN"/>
        </w:rPr>
      </w:pPr>
    </w:p>
    <w:p>
      <w:pPr>
        <w:spacing w:before="104" w:line="560" w:lineRule="exact"/>
        <w:ind w:firstLine="663" w:firstLineChars="200"/>
        <w:jc w:val="left"/>
        <w:rPr>
          <w:rFonts w:ascii="黑体" w:hAnsi="黑体" w:eastAsia="黑体" w:cs="黑体"/>
          <w:sz w:val="32"/>
          <w:szCs w:val="32"/>
          <w:lang w:eastAsia="zh-CN"/>
        </w:rPr>
      </w:pPr>
      <w:r>
        <w:rPr>
          <w:rFonts w:hint="eastAsia" w:ascii="黑体" w:hAnsi="黑体" w:eastAsia="黑体" w:cs="黑体"/>
          <w:b/>
          <w:bCs/>
          <w:spacing w:val="5"/>
          <w:sz w:val="32"/>
          <w:szCs w:val="32"/>
          <w:lang w:eastAsia="zh-CN"/>
        </w:rPr>
        <w:t>九、</w:t>
      </w:r>
      <w:r>
        <w:rPr>
          <w:rFonts w:ascii="黑体" w:hAnsi="黑体" w:eastAsia="黑体" w:cs="黑体"/>
          <w:b/>
          <w:bCs/>
          <w:spacing w:val="5"/>
          <w:sz w:val="32"/>
          <w:szCs w:val="32"/>
          <w:lang w:eastAsia="zh-CN"/>
        </w:rPr>
        <w:t>其他需要说明的情况</w:t>
      </w:r>
    </w:p>
    <w:p>
      <w:pPr>
        <w:pStyle w:val="2"/>
        <w:spacing w:line="560" w:lineRule="exact"/>
        <w:jc w:val="left"/>
        <w:rPr>
          <w:lang w:eastAsia="zh-CN"/>
        </w:rPr>
      </w:pPr>
    </w:p>
    <w:p>
      <w:pPr>
        <w:pStyle w:val="2"/>
        <w:spacing w:line="560" w:lineRule="exact"/>
        <w:jc w:val="left"/>
        <w:rPr>
          <w:lang w:eastAsia="zh-CN"/>
        </w:rPr>
      </w:pPr>
    </w:p>
    <w:p>
      <w:pPr>
        <w:pStyle w:val="2"/>
        <w:spacing w:line="560" w:lineRule="exact"/>
        <w:jc w:val="left"/>
        <w:rPr>
          <w:lang w:eastAsia="zh-CN"/>
        </w:rPr>
      </w:pPr>
    </w:p>
    <w:p>
      <w:pPr>
        <w:spacing w:before="104" w:line="560" w:lineRule="exact"/>
        <w:ind w:left="4304"/>
        <w:jc w:val="right"/>
        <w:rPr>
          <w:rFonts w:ascii="仿宋" w:hAnsi="仿宋" w:eastAsia="仿宋" w:cs="仿宋"/>
          <w:spacing w:val="5"/>
          <w:sz w:val="29"/>
          <w:szCs w:val="29"/>
          <w:lang w:eastAsia="zh-CN"/>
        </w:rPr>
      </w:pPr>
      <w:r>
        <w:rPr>
          <w:rFonts w:hint="eastAsia" w:ascii="仿宋" w:hAnsi="仿宋" w:eastAsia="仿宋" w:cs="仿宋"/>
          <w:spacing w:val="5"/>
          <w:sz w:val="29"/>
          <w:szCs w:val="29"/>
          <w:lang w:eastAsia="zh-CN"/>
        </w:rPr>
        <w:t>江永县夏层铺镇冷水铺中心幼儿园</w:t>
      </w:r>
    </w:p>
    <w:p>
      <w:pPr>
        <w:spacing w:before="104" w:line="560" w:lineRule="exact"/>
        <w:ind w:left="4304"/>
        <w:jc w:val="right"/>
        <w:rPr>
          <w:rFonts w:ascii="仿宋" w:hAnsi="仿宋" w:eastAsia="仿宋" w:cs="仿宋"/>
          <w:spacing w:val="5"/>
          <w:sz w:val="29"/>
          <w:szCs w:val="29"/>
          <w:lang w:eastAsia="zh-CN"/>
        </w:rPr>
      </w:pPr>
      <w:r>
        <w:rPr>
          <w:rFonts w:ascii="仿宋" w:hAnsi="仿宋" w:eastAsia="仿宋" w:cs="仿宋"/>
          <w:spacing w:val="5"/>
          <w:sz w:val="29"/>
          <w:szCs w:val="29"/>
          <w:lang w:eastAsia="zh-CN"/>
        </w:rPr>
        <w:t>202</w:t>
      </w:r>
      <w:r>
        <w:rPr>
          <w:rFonts w:hint="eastAsia" w:ascii="仿宋" w:hAnsi="仿宋" w:eastAsia="仿宋" w:cs="仿宋"/>
          <w:spacing w:val="5"/>
          <w:sz w:val="29"/>
          <w:szCs w:val="29"/>
          <w:lang w:eastAsia="zh-CN"/>
        </w:rPr>
        <w:t>5</w:t>
      </w:r>
      <w:r>
        <w:rPr>
          <w:rFonts w:ascii="仿宋" w:hAnsi="仿宋" w:eastAsia="仿宋" w:cs="仿宋"/>
          <w:spacing w:val="5"/>
          <w:sz w:val="29"/>
          <w:szCs w:val="29"/>
          <w:lang w:eastAsia="zh-CN"/>
        </w:rPr>
        <w:t>年</w:t>
      </w:r>
      <w:r>
        <w:rPr>
          <w:rFonts w:hint="eastAsia" w:ascii="仿宋" w:hAnsi="仿宋" w:eastAsia="仿宋" w:cs="仿宋"/>
          <w:spacing w:val="5"/>
          <w:sz w:val="29"/>
          <w:szCs w:val="29"/>
          <w:lang w:eastAsia="zh-CN"/>
        </w:rPr>
        <w:t>4</w:t>
      </w:r>
      <w:r>
        <w:rPr>
          <w:rFonts w:ascii="仿宋" w:hAnsi="仿宋" w:eastAsia="仿宋" w:cs="仿宋"/>
          <w:spacing w:val="5"/>
          <w:sz w:val="29"/>
          <w:szCs w:val="29"/>
          <w:lang w:eastAsia="zh-CN"/>
        </w:rPr>
        <w:t>月</w:t>
      </w:r>
      <w:r>
        <w:rPr>
          <w:rFonts w:hint="eastAsia" w:ascii="仿宋" w:hAnsi="仿宋" w:eastAsia="仿宋" w:cs="仿宋"/>
          <w:spacing w:val="5"/>
          <w:sz w:val="29"/>
          <w:szCs w:val="29"/>
          <w:lang w:eastAsia="zh-CN"/>
        </w:rPr>
        <w:t>3日</w:t>
      </w:r>
    </w:p>
    <w:p>
      <w:pPr>
        <w:spacing w:before="68" w:line="560" w:lineRule="exact"/>
        <w:jc w:val="righ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29"/>
          <w:szCs w:val="29"/>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left"/>
        <w:rPr>
          <w:rFonts w:ascii="仿宋" w:hAnsi="仿宋" w:eastAsia="仿宋" w:cs="仿宋"/>
          <w:spacing w:val="5"/>
          <w:sz w:val="8"/>
          <w:szCs w:val="8"/>
          <w:lang w:eastAsia="zh-CN"/>
        </w:rPr>
      </w:pPr>
    </w:p>
    <w:p>
      <w:pPr>
        <w:spacing w:before="68" w:line="560" w:lineRule="exact"/>
        <w:jc w:val="both"/>
        <w:rPr>
          <w:rFonts w:ascii="仿宋" w:hAnsi="仿宋" w:eastAsia="仿宋" w:cs="仿宋"/>
          <w:spacing w:val="5"/>
          <w:sz w:val="8"/>
          <w:szCs w:val="8"/>
          <w:lang w:eastAsia="zh-CN"/>
        </w:rPr>
      </w:pPr>
    </w:p>
    <w:tbl>
      <w:tblPr>
        <w:tblStyle w:val="5"/>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100"/>
        <w:gridCol w:w="1300"/>
        <w:gridCol w:w="1400"/>
        <w:gridCol w:w="1240"/>
        <w:gridCol w:w="1380"/>
        <w:gridCol w:w="1360"/>
        <w:gridCol w:w="1440"/>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80" w:hRule="atLeast"/>
        </w:trPr>
        <w:tc>
          <w:tcPr>
            <w:tcW w:w="10220" w:type="dxa"/>
            <w:gridSpan w:val="7"/>
            <w:tcBorders>
              <w:top w:val="single" w:color="000000" w:sz="4" w:space="0"/>
              <w:left w:val="single" w:color="000000" w:sz="4" w:space="0"/>
              <w:bottom w:val="single" w:color="000000" w:sz="4" w:space="0"/>
              <w:right w:val="single" w:color="000000" w:sz="4" w:space="0"/>
            </w:tcBorders>
            <w:vAlign w:val="top"/>
          </w:tcPr>
          <w:p>
            <w:pPr>
              <w:spacing w:before="0" w:after="0" w:line="206" w:lineRule="auto"/>
              <w:jc w:val="center"/>
              <w:rPr>
                <w:sz w:val="33"/>
              </w:rPr>
            </w:pPr>
            <w:r>
              <w:rPr>
                <w:rFonts w:hint="eastAsia" w:ascii="宋体" w:hAnsi="宋体" w:eastAsia="宋体"/>
                <w:color w:val="000000"/>
                <w:sz w:val="33"/>
              </w:rPr>
              <w:t>基础数据表</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80" w:hRule="atLeast"/>
        </w:trPr>
        <w:tc>
          <w:tcPr>
            <w:tcW w:w="210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39" w:lineRule="auto"/>
              <w:ind w:firstLine="0"/>
              <w:jc w:val="both"/>
              <w:rPr>
                <w:rFonts w:hint="eastAsia" w:ascii="宋体" w:hAnsi="宋体" w:eastAsia="宋体"/>
                <w:color w:val="000000"/>
                <w:sz w:val="17"/>
              </w:rPr>
            </w:pPr>
          </w:p>
          <w:p>
            <w:pPr>
              <w:spacing w:before="187" w:after="0" w:line="239" w:lineRule="auto"/>
              <w:jc w:val="center"/>
              <w:rPr>
                <w:sz w:val="17"/>
              </w:rPr>
            </w:pPr>
            <w:r>
              <w:rPr>
                <w:rFonts w:hint="eastAsia" w:ascii="宋体" w:hAnsi="宋体" w:eastAsia="宋体"/>
                <w:color w:val="000000"/>
                <w:sz w:val="17"/>
              </w:rPr>
              <w:t>财政供养人员情况</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18" w:after="0" w:line="239" w:lineRule="auto"/>
              <w:jc w:val="center"/>
              <w:rPr>
                <w:sz w:val="17"/>
              </w:rPr>
            </w:pPr>
            <w:r>
              <w:rPr>
                <w:rFonts w:hint="eastAsia" w:ascii="宋体" w:hAnsi="宋体" w:eastAsia="宋体"/>
                <w:color w:val="000000"/>
                <w:sz w:val="17"/>
              </w:rPr>
              <w:t>编制数</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47" w:after="0" w:line="239" w:lineRule="auto"/>
              <w:jc w:val="center"/>
              <w:rPr>
                <w:sz w:val="17"/>
              </w:rPr>
            </w:pPr>
            <w:r>
              <w:rPr>
                <w:rFonts w:hint="eastAsia" w:ascii="Calibri" w:hAnsi="Calibri" w:eastAsia="Calibri"/>
                <w:color w:val="000000"/>
                <w:sz w:val="17"/>
              </w:rPr>
              <w:t>2024</w:t>
            </w:r>
            <w:r>
              <w:rPr>
                <w:rFonts w:hint="eastAsia" w:ascii="宋体" w:hAnsi="宋体" w:eastAsia="宋体"/>
                <w:color w:val="000000"/>
                <w:sz w:val="17"/>
              </w:rPr>
              <w:t>年实际在职人数</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87" w:after="0" w:line="239" w:lineRule="auto"/>
              <w:jc w:val="center"/>
              <w:rPr>
                <w:sz w:val="17"/>
              </w:rPr>
            </w:pPr>
            <w:r>
              <w:rPr>
                <w:rFonts w:hint="eastAsia" w:ascii="宋体" w:hAnsi="宋体" w:eastAsia="宋体"/>
                <w:color w:val="000000"/>
                <w:sz w:val="17"/>
              </w:rPr>
              <w:t>控制率</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2100" w:type="dxa"/>
            <w:vMerge w:val="continue"/>
            <w:tcBorders>
              <w:top w:val="single" w:color="000000" w:sz="4" w:space="0"/>
              <w:left w:val="single" w:color="000000" w:sz="4" w:space="0"/>
              <w:bottom w:val="single" w:color="000000" w:sz="4" w:space="0"/>
              <w:right w:val="single" w:color="000000" w:sz="4" w:space="0"/>
            </w:tcBorders>
          </w:tcP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16" w:after="0" w:line="239" w:lineRule="auto"/>
              <w:jc w:val="center"/>
              <w:rPr>
                <w:sz w:val="17"/>
              </w:rPr>
            </w:pPr>
            <w:r>
              <w:rPr>
                <w:rFonts w:hint="eastAsia" w:ascii="Calibri" w:hAnsi="Calibri" w:eastAsia="Calibri"/>
                <w:color w:val="000000"/>
                <w:sz w:val="17"/>
              </w:rPr>
              <w:t>6</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58" w:after="0" w:line="239" w:lineRule="auto"/>
              <w:jc w:val="center"/>
              <w:rPr>
                <w:sz w:val="17"/>
              </w:rPr>
            </w:pPr>
            <w:r>
              <w:rPr>
                <w:rFonts w:hint="eastAsia" w:ascii="Calibri" w:hAnsi="Calibri" w:eastAsia="Calibri"/>
                <w:color w:val="000000"/>
                <w:sz w:val="17"/>
              </w:rPr>
              <w:t>6</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98" w:after="0" w:line="239" w:lineRule="auto"/>
              <w:jc w:val="center"/>
              <w:rPr>
                <w:sz w:val="17"/>
              </w:rPr>
            </w:pPr>
            <w:r>
              <w:rPr>
                <w:rFonts w:hint="eastAsia" w:ascii="Calibri" w:hAnsi="Calibri" w:eastAsia="Calibri"/>
                <w:color w:val="000000"/>
                <w:sz w:val="17"/>
              </w:rPr>
              <w:t>100.00%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2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7"/>
              </w:rPr>
            </w:pPr>
          </w:p>
          <w:p>
            <w:pPr>
              <w:spacing w:before="15" w:after="0" w:line="239" w:lineRule="auto"/>
              <w:jc w:val="center"/>
              <w:rPr>
                <w:sz w:val="17"/>
              </w:rPr>
            </w:pPr>
            <w:r>
              <w:rPr>
                <w:rFonts w:hint="eastAsia" w:ascii="宋体" w:hAnsi="宋体" w:eastAsia="宋体"/>
                <w:color w:val="000000"/>
                <w:sz w:val="17"/>
              </w:rPr>
              <w:t>经费控制情况（万元）</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7"/>
              </w:rPr>
            </w:pPr>
          </w:p>
          <w:p>
            <w:pPr>
              <w:spacing w:before="15" w:after="0" w:line="239" w:lineRule="auto"/>
              <w:jc w:val="center"/>
              <w:rPr>
                <w:sz w:val="17"/>
              </w:rPr>
            </w:pPr>
            <w:r>
              <w:rPr>
                <w:rFonts w:hint="eastAsia" w:ascii="Calibri" w:hAnsi="Calibri" w:eastAsia="Calibri"/>
                <w:color w:val="000000"/>
                <w:sz w:val="17"/>
              </w:rPr>
              <w:t>2023</w:t>
            </w:r>
            <w:r>
              <w:rPr>
                <w:rFonts w:hint="eastAsia" w:ascii="宋体" w:hAnsi="宋体" w:eastAsia="宋体"/>
                <w:color w:val="000000"/>
                <w:sz w:val="17"/>
              </w:rPr>
              <w:t>年决算数</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264" w:after="0" w:line="239" w:lineRule="auto"/>
              <w:jc w:val="center"/>
              <w:rPr>
                <w:sz w:val="17"/>
              </w:rPr>
            </w:pPr>
            <w:r>
              <w:rPr>
                <w:rFonts w:hint="eastAsia" w:ascii="Calibri" w:hAnsi="Calibri" w:eastAsia="Calibri"/>
                <w:color w:val="000000"/>
                <w:sz w:val="17"/>
              </w:rPr>
              <w:t>2024</w:t>
            </w:r>
            <w:r>
              <w:rPr>
                <w:rFonts w:hint="eastAsia" w:ascii="宋体" w:hAnsi="宋体" w:eastAsia="宋体"/>
                <w:color w:val="000000"/>
                <w:sz w:val="17"/>
              </w:rPr>
              <w:t>年预算数</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224" w:after="0" w:line="239" w:lineRule="auto"/>
              <w:jc w:val="center"/>
              <w:rPr>
                <w:sz w:val="17"/>
              </w:rPr>
            </w:pPr>
            <w:r>
              <w:rPr>
                <w:rFonts w:hint="eastAsia" w:ascii="Calibri" w:hAnsi="Calibri" w:eastAsia="Calibri"/>
                <w:color w:val="000000"/>
                <w:sz w:val="17"/>
              </w:rPr>
              <w:t>2024</w:t>
            </w:r>
            <w:r>
              <w:rPr>
                <w:rFonts w:hint="eastAsia" w:ascii="宋体" w:hAnsi="宋体" w:eastAsia="宋体"/>
                <w:color w:val="000000"/>
                <w:sz w:val="17"/>
              </w:rPr>
              <w:t>年决算数</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4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81" w:after="0" w:line="239" w:lineRule="auto"/>
              <w:jc w:val="center"/>
              <w:rPr>
                <w:sz w:val="17"/>
              </w:rPr>
            </w:pPr>
            <w:r>
              <w:rPr>
                <w:rFonts w:hint="eastAsia" w:ascii="宋体" w:hAnsi="宋体" w:eastAsia="宋体"/>
                <w:color w:val="000000"/>
                <w:sz w:val="17"/>
              </w:rPr>
              <w:t>三公经费</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7"/>
              </w:rPr>
            </w:pPr>
          </w:p>
          <w:p>
            <w:pPr>
              <w:spacing w:before="0" w:after="0" w:line="196" w:lineRule="auto"/>
              <w:jc w:val="center"/>
              <w:rPr>
                <w:sz w:val="17"/>
              </w:rPr>
            </w:pPr>
            <w:r>
              <w:rPr>
                <w:rFonts w:hint="eastAsia" w:ascii="Calibri" w:hAnsi="Calibri" w:eastAsia="Calibri"/>
                <w:color w:val="000000"/>
                <w:sz w:val="17"/>
              </w:rPr>
              <w:t>0.1</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213" w:after="0" w:line="239" w:lineRule="auto"/>
              <w:jc w:val="center"/>
              <w:rPr>
                <w:sz w:val="17"/>
              </w:rPr>
            </w:pPr>
            <w:r>
              <w:rPr>
                <w:rFonts w:hint="eastAsia" w:ascii="Calibri" w:hAnsi="Calibri" w:eastAsia="Calibri"/>
                <w:color w:val="000000"/>
                <w:sz w:val="17"/>
              </w:rPr>
              <w:t>0.4</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73" w:after="0" w:line="239" w:lineRule="auto"/>
              <w:jc w:val="center"/>
              <w:rPr>
                <w:sz w:val="17"/>
              </w:rPr>
            </w:pPr>
            <w:r>
              <w:rPr>
                <w:rFonts w:hint="eastAsia" w:ascii="Calibri" w:hAnsi="Calibri" w:eastAsia="Calibri"/>
                <w:color w:val="000000"/>
                <w:sz w:val="17"/>
              </w:rPr>
              <w:t>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8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7"/>
              </w:rPr>
            </w:pPr>
          </w:p>
          <w:p>
            <w:pPr>
              <w:spacing w:before="0" w:after="0" w:line="225" w:lineRule="auto"/>
              <w:jc w:val="center"/>
              <w:rPr>
                <w:sz w:val="17"/>
              </w:rPr>
            </w:pPr>
            <w:r>
              <w:rPr>
                <w:rFonts w:hint="eastAsia" w:ascii="宋体" w:hAnsi="宋体" w:eastAsia="宋体"/>
                <w:color w:val="000000"/>
                <w:sz w:val="17"/>
              </w:rPr>
              <w:t>公务用车购置和维护经</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7"/>
              </w:rPr>
            </w:pPr>
          </w:p>
          <w:p>
            <w:pPr>
              <w:spacing w:before="0" w:after="0" w:line="196" w:lineRule="auto"/>
              <w:jc w:val="center"/>
              <w:rPr>
                <w:sz w:val="17"/>
              </w:rPr>
            </w:pPr>
            <w:r>
              <w:rPr>
                <w:rFonts w:hint="eastAsia" w:ascii="Calibri" w:hAnsi="Calibri" w:eastAsia="Calibri"/>
                <w:color w:val="000000"/>
                <w:sz w:val="17"/>
              </w:rPr>
              <w:t>0</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211" w:after="0" w:line="239" w:lineRule="auto"/>
              <w:jc w:val="center"/>
              <w:rPr>
                <w:sz w:val="17"/>
              </w:rPr>
            </w:pPr>
            <w:r>
              <w:rPr>
                <w:rFonts w:hint="eastAsia" w:ascii="Calibri" w:hAnsi="Calibri" w:eastAsia="Calibri"/>
                <w:color w:val="000000"/>
                <w:sz w:val="17"/>
              </w:rPr>
              <w:t>0</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91" w:after="0" w:line="239" w:lineRule="auto"/>
              <w:jc w:val="center"/>
              <w:rPr>
                <w:sz w:val="17"/>
              </w:rPr>
            </w:pPr>
            <w:r>
              <w:rPr>
                <w:rFonts w:hint="eastAsia" w:ascii="Calibri" w:hAnsi="Calibri" w:eastAsia="Calibri"/>
                <w:color w:val="000000"/>
                <w:sz w:val="17"/>
              </w:rPr>
              <w:t>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4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96" w:after="0" w:line="239" w:lineRule="auto"/>
              <w:jc w:val="center"/>
              <w:rPr>
                <w:sz w:val="17"/>
              </w:rPr>
            </w:pPr>
            <w:r>
              <w:rPr>
                <w:rFonts w:hint="eastAsia" w:ascii="宋体" w:hAnsi="宋体" w:eastAsia="宋体"/>
                <w:color w:val="000000"/>
                <w:sz w:val="17"/>
              </w:rPr>
              <w:t>其中：公车购置</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0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94" w:after="0" w:line="239" w:lineRule="auto"/>
              <w:jc w:val="center"/>
              <w:rPr>
                <w:sz w:val="17"/>
              </w:rPr>
            </w:pPr>
            <w:r>
              <w:rPr>
                <w:rFonts w:hint="eastAsia" w:ascii="宋体" w:hAnsi="宋体" w:eastAsia="宋体"/>
                <w:color w:val="000000"/>
                <w:sz w:val="17"/>
              </w:rPr>
              <w:t>公车运行维护</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71" w:after="0" w:line="239" w:lineRule="auto"/>
              <w:jc w:val="center"/>
              <w:rPr>
                <w:sz w:val="17"/>
              </w:rPr>
            </w:pPr>
            <w:r>
              <w:rPr>
                <w:rFonts w:hint="eastAsia" w:ascii="Calibri" w:hAnsi="Calibri" w:eastAsia="Calibri"/>
                <w:color w:val="000000"/>
                <w:sz w:val="17"/>
              </w:rPr>
              <w:t>2</w:t>
            </w:r>
            <w:r>
              <w:rPr>
                <w:rFonts w:hint="eastAsia" w:ascii="宋体" w:hAnsi="宋体" w:eastAsia="宋体"/>
                <w:color w:val="000000"/>
                <w:sz w:val="17"/>
              </w:rPr>
              <w:t>、出国经费</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8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69" w:after="0" w:line="239" w:lineRule="auto"/>
              <w:jc w:val="center"/>
              <w:rPr>
                <w:sz w:val="17"/>
              </w:rPr>
            </w:pPr>
            <w:r>
              <w:rPr>
                <w:rFonts w:hint="eastAsia" w:ascii="Calibri" w:hAnsi="Calibri" w:eastAsia="Calibri"/>
                <w:color w:val="000000"/>
                <w:sz w:val="17"/>
              </w:rPr>
              <w:t>3</w:t>
            </w:r>
            <w:r>
              <w:rPr>
                <w:rFonts w:hint="eastAsia" w:ascii="宋体" w:hAnsi="宋体" w:eastAsia="宋体"/>
                <w:color w:val="000000"/>
                <w:sz w:val="17"/>
              </w:rPr>
              <w:t>、公务接待</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241" w:after="0" w:line="239" w:lineRule="auto"/>
              <w:jc w:val="center"/>
              <w:rPr>
                <w:sz w:val="17"/>
              </w:rPr>
            </w:pPr>
            <w:r>
              <w:rPr>
                <w:rFonts w:hint="eastAsia" w:ascii="Calibri" w:hAnsi="Calibri" w:eastAsia="Calibri"/>
                <w:color w:val="000000"/>
                <w:sz w:val="17"/>
              </w:rPr>
              <w:t>0.1</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201" w:after="0" w:line="239" w:lineRule="auto"/>
              <w:jc w:val="center"/>
              <w:rPr>
                <w:sz w:val="17"/>
              </w:rPr>
            </w:pPr>
            <w:r>
              <w:rPr>
                <w:rFonts w:hint="eastAsia" w:ascii="Calibri" w:hAnsi="Calibri" w:eastAsia="Calibri"/>
                <w:color w:val="000000"/>
                <w:sz w:val="17"/>
              </w:rPr>
              <w:t>0.4</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61" w:after="0" w:line="239" w:lineRule="auto"/>
              <w:jc w:val="center"/>
              <w:rPr>
                <w:sz w:val="17"/>
              </w:rPr>
            </w:pPr>
            <w:r>
              <w:rPr>
                <w:rFonts w:hint="eastAsia" w:ascii="Calibri" w:hAnsi="Calibri" w:eastAsia="Calibri"/>
                <w:color w:val="000000"/>
                <w:sz w:val="17"/>
              </w:rPr>
              <w:t>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66" w:after="0" w:line="239" w:lineRule="auto"/>
              <w:jc w:val="center"/>
              <w:rPr>
                <w:sz w:val="17"/>
              </w:rPr>
            </w:pPr>
            <w:r>
              <w:rPr>
                <w:rFonts w:hint="eastAsia" w:ascii="宋体" w:hAnsi="宋体" w:eastAsia="宋体"/>
                <w:color w:val="000000"/>
                <w:sz w:val="17"/>
              </w:rPr>
              <w:t>项目支出：</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218" w:after="0" w:line="239" w:lineRule="auto"/>
              <w:jc w:val="center"/>
              <w:rPr>
                <w:sz w:val="17"/>
              </w:rPr>
            </w:pPr>
            <w:r>
              <w:rPr>
                <w:rFonts w:hint="eastAsia" w:ascii="Calibri" w:hAnsi="Calibri" w:eastAsia="Calibri"/>
                <w:color w:val="000000"/>
                <w:sz w:val="17"/>
              </w:rPr>
              <w:t>23.86</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98" w:after="0" w:line="239" w:lineRule="auto"/>
              <w:jc w:val="center"/>
              <w:rPr>
                <w:sz w:val="17"/>
              </w:rPr>
            </w:pPr>
            <w:r>
              <w:rPr>
                <w:rFonts w:hint="eastAsia" w:ascii="Calibri" w:hAnsi="Calibri" w:eastAsia="Calibri"/>
                <w:color w:val="000000"/>
                <w:sz w:val="17"/>
              </w:rPr>
              <w:t>0</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38" w:after="0" w:line="239" w:lineRule="auto"/>
              <w:jc w:val="center"/>
              <w:rPr>
                <w:sz w:val="17"/>
              </w:rPr>
            </w:pPr>
            <w:r>
              <w:rPr>
                <w:rFonts w:hint="eastAsia" w:ascii="Calibri" w:hAnsi="Calibri" w:eastAsia="Calibri"/>
                <w:color w:val="000000"/>
                <w:sz w:val="17"/>
              </w:rPr>
              <w:t>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8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64" w:after="0" w:line="239" w:lineRule="auto"/>
              <w:jc w:val="center"/>
              <w:rPr>
                <w:sz w:val="17"/>
              </w:rPr>
            </w:pPr>
            <w:r>
              <w:rPr>
                <w:rFonts w:hint="eastAsia" w:ascii="Calibri" w:hAnsi="Calibri" w:eastAsia="Calibri"/>
                <w:color w:val="000000"/>
                <w:sz w:val="17"/>
              </w:rPr>
              <w:t>1</w:t>
            </w:r>
            <w:r>
              <w:rPr>
                <w:rFonts w:hint="eastAsia" w:ascii="宋体" w:hAnsi="宋体" w:eastAsia="宋体"/>
                <w:color w:val="000000"/>
                <w:sz w:val="17"/>
              </w:rPr>
              <w:t>、业务工作经费</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41" w:after="0" w:line="239" w:lineRule="auto"/>
              <w:jc w:val="center"/>
              <w:rPr>
                <w:sz w:val="17"/>
              </w:rPr>
            </w:pPr>
            <w:r>
              <w:rPr>
                <w:rFonts w:hint="eastAsia" w:ascii="Calibri" w:hAnsi="Calibri" w:eastAsia="Calibri"/>
                <w:color w:val="000000"/>
                <w:sz w:val="17"/>
              </w:rPr>
              <w:t>2</w:t>
            </w:r>
            <w:r>
              <w:rPr>
                <w:rFonts w:hint="eastAsia" w:ascii="宋体" w:hAnsi="宋体" w:eastAsia="宋体"/>
                <w:color w:val="000000"/>
                <w:sz w:val="17"/>
              </w:rPr>
              <w:t>、运行维护经费</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39" w:after="0" w:line="239" w:lineRule="auto"/>
              <w:jc w:val="center"/>
              <w:rPr>
                <w:sz w:val="17"/>
              </w:rPr>
            </w:pPr>
            <w:r>
              <w:rPr>
                <w:rFonts w:hint="eastAsia" w:ascii="宋体" w:hAnsi="宋体" w:eastAsia="宋体"/>
                <w:color w:val="000000"/>
                <w:sz w:val="17"/>
              </w:rPr>
              <w:t>级专项资金（一个专项-</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211" w:after="0" w:line="239" w:lineRule="auto"/>
              <w:jc w:val="center"/>
              <w:rPr>
                <w:sz w:val="17"/>
              </w:rPr>
            </w:pPr>
            <w:r>
              <w:rPr>
                <w:rFonts w:hint="eastAsia" w:ascii="Calibri" w:hAnsi="Calibri" w:eastAsia="Calibri"/>
                <w:color w:val="000000"/>
                <w:sz w:val="17"/>
              </w:rPr>
              <w:t>23.86</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71" w:after="0" w:line="239" w:lineRule="auto"/>
              <w:jc w:val="center"/>
              <w:rPr>
                <w:sz w:val="17"/>
              </w:rPr>
            </w:pPr>
            <w:r>
              <w:rPr>
                <w:rFonts w:hint="eastAsia" w:ascii="Calibri" w:hAnsi="Calibri" w:eastAsia="Calibri"/>
                <w:color w:val="000000"/>
                <w:sz w:val="17"/>
              </w:rPr>
              <w:t>0</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31" w:after="0" w:line="239" w:lineRule="auto"/>
              <w:jc w:val="center"/>
              <w:rPr>
                <w:sz w:val="17"/>
              </w:rPr>
            </w:pPr>
            <w:r>
              <w:rPr>
                <w:rFonts w:hint="eastAsia" w:ascii="Calibri" w:hAnsi="Calibri" w:eastAsia="Calibri"/>
                <w:color w:val="000000"/>
                <w:sz w:val="17"/>
              </w:rPr>
              <w:t>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0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56" w:after="0" w:line="239" w:lineRule="auto"/>
              <w:jc w:val="center"/>
              <w:rPr>
                <w:sz w:val="17"/>
              </w:rPr>
            </w:pPr>
            <w:r>
              <w:rPr>
                <w:rFonts w:hint="eastAsia" w:ascii="宋体" w:hAnsi="宋体" w:eastAsia="宋体"/>
                <w:color w:val="000000"/>
                <w:sz w:val="17"/>
              </w:rPr>
              <w:t>中心幼儿园校门维修及围</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248" w:after="0" w:line="239" w:lineRule="auto"/>
              <w:jc w:val="center"/>
              <w:rPr>
                <w:sz w:val="17"/>
              </w:rPr>
            </w:pPr>
            <w:r>
              <w:rPr>
                <w:rFonts w:hint="eastAsia" w:ascii="Calibri" w:hAnsi="Calibri" w:eastAsia="Calibri"/>
                <w:color w:val="000000"/>
                <w:sz w:val="17"/>
              </w:rPr>
              <w:t>23.86</w:t>
            </w: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34" w:after="0" w:line="239" w:lineRule="auto"/>
              <w:jc w:val="center"/>
              <w:rPr>
                <w:sz w:val="17"/>
              </w:rPr>
            </w:pPr>
            <w:r>
              <w:rPr>
                <w:rFonts w:hint="eastAsia" w:ascii="宋体" w:hAnsi="宋体" w:eastAsia="宋体"/>
                <w:color w:val="000000"/>
                <w:sz w:val="17"/>
              </w:rPr>
              <w:t>公用经费：</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8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31" w:after="0" w:line="239" w:lineRule="auto"/>
              <w:jc w:val="center"/>
              <w:rPr>
                <w:sz w:val="17"/>
              </w:rPr>
            </w:pPr>
            <w:r>
              <w:rPr>
                <w:rFonts w:hint="eastAsia" w:ascii="宋体" w:hAnsi="宋体" w:eastAsia="宋体"/>
                <w:color w:val="000000"/>
                <w:sz w:val="17"/>
              </w:rPr>
              <w:t>其中：办公经费</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203" w:after="0" w:line="239" w:lineRule="auto"/>
              <w:jc w:val="center"/>
              <w:rPr>
                <w:sz w:val="17"/>
              </w:rPr>
            </w:pPr>
            <w:r>
              <w:rPr>
                <w:rFonts w:hint="eastAsia" w:ascii="Calibri" w:hAnsi="Calibri" w:eastAsia="Calibri"/>
                <w:color w:val="000000"/>
                <w:sz w:val="17"/>
              </w:rPr>
              <w:t>8.510331</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63" w:after="0" w:line="239" w:lineRule="auto"/>
              <w:jc w:val="center"/>
              <w:rPr>
                <w:sz w:val="17"/>
              </w:rPr>
            </w:pPr>
            <w:r>
              <w:rPr>
                <w:rFonts w:hint="eastAsia" w:ascii="Calibri" w:hAnsi="Calibri" w:eastAsia="Calibri"/>
                <w:color w:val="000000"/>
                <w:sz w:val="17"/>
              </w:rPr>
              <w:t>9.162526</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43" w:after="0" w:line="239" w:lineRule="auto"/>
              <w:jc w:val="center"/>
              <w:rPr>
                <w:sz w:val="17"/>
              </w:rPr>
            </w:pPr>
            <w:r>
              <w:rPr>
                <w:rFonts w:hint="eastAsia" w:ascii="Calibri" w:hAnsi="Calibri" w:eastAsia="Calibri"/>
                <w:color w:val="000000"/>
                <w:sz w:val="17"/>
              </w:rPr>
              <w:t>9.162526</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0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49" w:after="0" w:line="239" w:lineRule="auto"/>
              <w:jc w:val="center"/>
              <w:rPr>
                <w:sz w:val="17"/>
              </w:rPr>
            </w:pPr>
            <w:r>
              <w:rPr>
                <w:rFonts w:hint="eastAsia" w:ascii="宋体" w:hAnsi="宋体" w:eastAsia="宋体"/>
                <w:color w:val="000000"/>
                <w:sz w:val="17"/>
              </w:rPr>
              <w:t>水费、电费、差旅费</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201" w:after="0" w:line="239" w:lineRule="auto"/>
              <w:jc w:val="center"/>
              <w:rPr>
                <w:sz w:val="17"/>
              </w:rPr>
            </w:pPr>
            <w:r>
              <w:rPr>
                <w:rFonts w:hint="eastAsia" w:ascii="Calibri" w:hAnsi="Calibri" w:eastAsia="Calibri"/>
                <w:color w:val="000000"/>
                <w:sz w:val="17"/>
              </w:rPr>
              <w:t>5.130972</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61" w:after="0" w:line="239" w:lineRule="auto"/>
              <w:jc w:val="center"/>
              <w:rPr>
                <w:sz w:val="17"/>
              </w:rPr>
            </w:pPr>
            <w:r>
              <w:rPr>
                <w:rFonts w:hint="eastAsia" w:ascii="Calibri" w:hAnsi="Calibri" w:eastAsia="Calibri"/>
                <w:color w:val="000000"/>
                <w:sz w:val="17"/>
              </w:rPr>
              <w:t>2.096952</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41" w:after="0" w:line="239" w:lineRule="auto"/>
              <w:jc w:val="center"/>
              <w:rPr>
                <w:sz w:val="17"/>
              </w:rPr>
            </w:pPr>
            <w:r>
              <w:rPr>
                <w:rFonts w:hint="eastAsia" w:ascii="Calibri" w:hAnsi="Calibri" w:eastAsia="Calibri"/>
                <w:color w:val="000000"/>
                <w:sz w:val="17"/>
              </w:rPr>
              <w:t>2.096952</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26" w:after="0" w:line="239" w:lineRule="auto"/>
              <w:jc w:val="center"/>
              <w:rPr>
                <w:sz w:val="17"/>
              </w:rPr>
            </w:pPr>
            <w:r>
              <w:rPr>
                <w:rFonts w:hint="eastAsia" w:ascii="宋体" w:hAnsi="宋体" w:eastAsia="宋体"/>
                <w:color w:val="000000"/>
                <w:sz w:val="17"/>
              </w:rPr>
              <w:t>会议费、培训费</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178" w:after="0" w:line="239" w:lineRule="auto"/>
              <w:jc w:val="center"/>
              <w:rPr>
                <w:sz w:val="17"/>
              </w:rPr>
            </w:pPr>
            <w:r>
              <w:rPr>
                <w:rFonts w:hint="eastAsia" w:ascii="Calibri" w:hAnsi="Calibri" w:eastAsia="Calibri"/>
                <w:color w:val="000000"/>
                <w:sz w:val="17"/>
              </w:rPr>
              <w:t>0.11</w:t>
            </w:r>
          </w:p>
        </w:tc>
        <w:tc>
          <w:tcPr>
            <w:tcW w:w="2620" w:type="dxa"/>
            <w:gridSpan w:val="2"/>
            <w:tcBorders>
              <w:top w:val="single" w:color="000000" w:sz="4" w:space="0"/>
              <w:left w:val="single" w:color="000000" w:sz="4" w:space="0"/>
              <w:bottom w:val="single" w:color="000000" w:sz="4" w:space="0"/>
              <w:right w:val="single" w:color="000000" w:sz="4" w:space="0"/>
            </w:tcBorders>
            <w:vAlign w:val="top"/>
          </w:tcPr>
          <w:p>
            <w:pPr>
              <w:spacing w:before="138" w:after="0" w:line="239" w:lineRule="auto"/>
              <w:jc w:val="center"/>
              <w:rPr>
                <w:sz w:val="17"/>
              </w:rPr>
            </w:pPr>
            <w:r>
              <w:rPr>
                <w:rFonts w:hint="eastAsia" w:ascii="Calibri" w:hAnsi="Calibri" w:eastAsia="Calibri"/>
                <w:color w:val="000000"/>
                <w:sz w:val="17"/>
              </w:rPr>
              <w:t>0.13</w:t>
            </w:r>
          </w:p>
        </w:tc>
        <w:tc>
          <w:tcPr>
            <w:tcW w:w="2800" w:type="dxa"/>
            <w:gridSpan w:val="2"/>
            <w:tcBorders>
              <w:top w:val="single" w:color="000000" w:sz="4" w:space="0"/>
              <w:left w:val="single" w:color="000000" w:sz="4" w:space="0"/>
              <w:bottom w:val="single" w:color="000000" w:sz="4" w:space="0"/>
              <w:right w:val="single" w:color="000000" w:sz="4" w:space="0"/>
            </w:tcBorders>
            <w:vAlign w:val="top"/>
          </w:tcPr>
          <w:p>
            <w:pPr>
              <w:spacing w:before="118" w:after="0" w:line="239" w:lineRule="auto"/>
              <w:jc w:val="center"/>
              <w:rPr>
                <w:sz w:val="17"/>
              </w:rPr>
            </w:pPr>
            <w:r>
              <w:rPr>
                <w:rFonts w:hint="eastAsia" w:ascii="Calibri" w:hAnsi="Calibri" w:eastAsia="Calibri"/>
                <w:color w:val="000000"/>
                <w:sz w:val="17"/>
              </w:rPr>
              <w:t>0.13</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60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43" w:after="0" w:line="239" w:lineRule="auto"/>
              <w:jc w:val="center"/>
              <w:rPr>
                <w:sz w:val="17"/>
              </w:rPr>
            </w:pPr>
            <w:r>
              <w:rPr>
                <w:rFonts w:hint="eastAsia" w:ascii="宋体" w:hAnsi="宋体" w:eastAsia="宋体"/>
                <w:color w:val="000000"/>
                <w:sz w:val="17"/>
              </w:rPr>
              <w:t>政府采购金额</w:t>
            </w:r>
          </w:p>
        </w:tc>
        <w:tc>
          <w:tcPr>
            <w:tcW w:w="2700" w:type="dxa"/>
            <w:gridSpan w:val="2"/>
            <w:tcBorders>
              <w:top w:val="single" w:color="000000" w:sz="4" w:space="0"/>
              <w:left w:val="single" w:color="000000" w:sz="4" w:space="0"/>
              <w:bottom w:val="single" w:color="000000" w:sz="4" w:space="0"/>
              <w:right w:val="single" w:color="000000" w:sz="4" w:space="0"/>
            </w:tcBorders>
            <w:vAlign w:val="top"/>
          </w:tcPr>
          <w:p>
            <w:pPr>
              <w:spacing w:before="196" w:after="0" w:line="239" w:lineRule="auto"/>
              <w:jc w:val="center"/>
              <w:rPr>
                <w:sz w:val="17"/>
              </w:rPr>
            </w:pPr>
            <w:r>
              <w:rPr>
                <w:rFonts w:hint="eastAsia" w:ascii="Calibri" w:hAnsi="Calibri" w:eastAsia="Calibri"/>
                <w:color w:val="000000"/>
                <w:sz w:val="17"/>
              </w:rPr>
              <w:t>12.45</w:t>
            </w: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80"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21" w:after="0" w:line="239" w:lineRule="auto"/>
              <w:jc w:val="center"/>
              <w:rPr>
                <w:sz w:val="17"/>
              </w:rPr>
            </w:pPr>
            <w:r>
              <w:rPr>
                <w:rFonts w:hint="eastAsia" w:ascii="宋体" w:hAnsi="宋体" w:eastAsia="宋体"/>
                <w:color w:val="000000"/>
                <w:sz w:val="17"/>
              </w:rPr>
              <w:t>部门基本支出预算调整</w:t>
            </w:r>
          </w:p>
        </w:tc>
        <w:tc>
          <w:tcPr>
            <w:tcW w:w="27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6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280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840" w:hRule="atLeast"/>
        </w:trPr>
        <w:tc>
          <w:tcPr>
            <w:tcW w:w="210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39" w:lineRule="auto"/>
              <w:ind w:firstLine="0"/>
              <w:jc w:val="both"/>
              <w:rPr>
                <w:rFonts w:hint="eastAsia" w:ascii="宋体" w:hAnsi="宋体" w:eastAsia="宋体"/>
                <w:color w:val="000000"/>
                <w:sz w:val="17"/>
              </w:rPr>
            </w:pPr>
          </w:p>
          <w:p>
            <w:pPr>
              <w:wordWrap w:val="0"/>
              <w:spacing w:before="0" w:after="0" w:line="239" w:lineRule="auto"/>
              <w:ind w:firstLine="0"/>
              <w:jc w:val="both"/>
              <w:rPr>
                <w:rFonts w:hint="eastAsia" w:ascii="宋体" w:hAnsi="宋体" w:eastAsia="宋体"/>
                <w:color w:val="000000"/>
                <w:sz w:val="17"/>
              </w:rPr>
            </w:pPr>
          </w:p>
          <w:p>
            <w:pPr>
              <w:spacing w:before="97" w:after="0" w:line="239" w:lineRule="auto"/>
              <w:jc w:val="center"/>
              <w:rPr>
                <w:sz w:val="17"/>
              </w:rPr>
            </w:pPr>
            <w:r>
              <w:rPr>
                <w:rFonts w:hint="eastAsia" w:ascii="宋体" w:hAnsi="宋体" w:eastAsia="宋体"/>
                <w:color w:val="000000"/>
                <w:sz w:val="17"/>
              </w:rPr>
              <w:t>楼堂馆所控制情况（</w:t>
            </w:r>
            <w:r>
              <w:rPr>
                <w:rFonts w:hint="eastAsia" w:ascii="Calibri" w:hAnsi="Calibri" w:eastAsia="Calibri"/>
                <w:color w:val="000000"/>
                <w:sz w:val="17"/>
              </w:rPr>
              <w:t>2024</w:t>
            </w:r>
            <w:r>
              <w:rPr>
                <w:rFonts w:hint="eastAsia" w:ascii="宋体" w:hAnsi="宋体" w:eastAsia="宋体"/>
                <w:color w:val="000000"/>
                <w:sz w:val="17"/>
              </w:rPr>
              <w:t>年完工项目）</w:t>
            </w:r>
          </w:p>
        </w:tc>
        <w:tc>
          <w:tcPr>
            <w:tcW w:w="130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39" w:lineRule="auto"/>
              <w:ind w:firstLine="0"/>
              <w:jc w:val="both"/>
              <w:rPr>
                <w:rFonts w:hint="eastAsia" w:ascii="宋体" w:hAnsi="宋体" w:eastAsia="宋体"/>
                <w:color w:val="000000"/>
                <w:sz w:val="17"/>
              </w:rPr>
            </w:pPr>
          </w:p>
          <w:p>
            <w:pPr>
              <w:spacing w:before="18" w:after="0" w:line="239" w:lineRule="auto"/>
              <w:jc w:val="center"/>
              <w:rPr>
                <w:sz w:val="17"/>
              </w:rPr>
            </w:pPr>
            <w:r>
              <w:rPr>
                <w:rFonts w:hint="eastAsia" w:ascii="宋体" w:hAnsi="宋体" w:eastAsia="宋体"/>
                <w:color w:val="000000"/>
                <w:sz w:val="17"/>
              </w:rPr>
              <w:t>批复规模</w:t>
            </w:r>
          </w:p>
          <w:p>
            <w:pPr>
              <w:spacing w:before="0" w:after="0" w:line="235" w:lineRule="auto"/>
              <w:jc w:val="center"/>
              <w:rPr>
                <w:sz w:val="17"/>
              </w:rPr>
            </w:pPr>
            <w:r>
              <w:rPr>
                <w:rFonts w:hint="eastAsia" w:ascii="Calibri" w:hAnsi="Calibri" w:eastAsia="Calibri"/>
                <w:color w:val="000000"/>
                <w:sz w:val="17"/>
              </w:rPr>
              <w:t>(㎡)</w:t>
            </w:r>
          </w:p>
        </w:tc>
        <w:tc>
          <w:tcPr>
            <w:tcW w:w="140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39" w:lineRule="auto"/>
              <w:ind w:firstLine="0"/>
              <w:jc w:val="both"/>
              <w:rPr>
                <w:rFonts w:hint="eastAsia" w:ascii="宋体" w:hAnsi="宋体" w:eastAsia="宋体"/>
                <w:color w:val="000000"/>
                <w:sz w:val="17"/>
              </w:rPr>
            </w:pPr>
          </w:p>
          <w:p>
            <w:pPr>
              <w:spacing w:before="0" w:after="0" w:line="235" w:lineRule="auto"/>
              <w:jc w:val="center"/>
              <w:rPr>
                <w:sz w:val="17"/>
              </w:rPr>
            </w:pPr>
            <w:r>
              <w:rPr>
                <w:rFonts w:hint="eastAsia" w:ascii="宋体" w:hAnsi="宋体" w:eastAsia="宋体"/>
                <w:color w:val="000000"/>
                <w:sz w:val="17"/>
              </w:rPr>
              <w:t>实际规模</w:t>
            </w:r>
          </w:p>
          <w:p>
            <w:pPr>
              <w:spacing w:before="0" w:after="0" w:line="215" w:lineRule="auto"/>
              <w:jc w:val="center"/>
              <w:rPr>
                <w:sz w:val="17"/>
              </w:rPr>
            </w:pPr>
            <w:r>
              <w:rPr>
                <w:rFonts w:hint="eastAsia" w:ascii="Calibri" w:hAnsi="Calibri" w:eastAsia="Calibri"/>
                <w:color w:val="000000"/>
                <w:sz w:val="17"/>
              </w:rPr>
              <w:t>(㎡)</w:t>
            </w:r>
          </w:p>
        </w:tc>
        <w:tc>
          <w:tcPr>
            <w:tcW w:w="124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39" w:lineRule="auto"/>
              <w:ind w:firstLine="0"/>
              <w:jc w:val="both"/>
              <w:rPr>
                <w:rFonts w:hint="eastAsia" w:ascii="宋体" w:hAnsi="宋体" w:eastAsia="宋体"/>
                <w:color w:val="000000"/>
                <w:sz w:val="17"/>
              </w:rPr>
            </w:pPr>
          </w:p>
          <w:p>
            <w:pPr>
              <w:spacing w:before="98" w:after="0" w:line="239" w:lineRule="auto"/>
              <w:jc w:val="center"/>
              <w:rPr>
                <w:sz w:val="17"/>
              </w:rPr>
            </w:pPr>
            <w:r>
              <w:rPr>
                <w:rFonts w:hint="eastAsia" w:ascii="宋体" w:hAnsi="宋体" w:eastAsia="宋体"/>
                <w:color w:val="000000"/>
                <w:sz w:val="17"/>
              </w:rPr>
              <w:t>规模控制率</w:t>
            </w:r>
          </w:p>
        </w:tc>
        <w:tc>
          <w:tcPr>
            <w:tcW w:w="1380" w:type="dxa"/>
            <w:tcBorders>
              <w:top w:val="single" w:color="000000" w:sz="4" w:space="0"/>
              <w:left w:val="single" w:color="000000" w:sz="4" w:space="0"/>
              <w:bottom w:val="single" w:color="000000" w:sz="4" w:space="0"/>
              <w:right w:val="single" w:color="000000" w:sz="4" w:space="0"/>
            </w:tcBorders>
            <w:vAlign w:val="top"/>
          </w:tcPr>
          <w:p>
            <w:pPr>
              <w:spacing w:before="178" w:after="0" w:line="239" w:lineRule="auto"/>
              <w:jc w:val="center"/>
              <w:rPr>
                <w:sz w:val="17"/>
              </w:rPr>
            </w:pPr>
            <w:r>
              <w:rPr>
                <w:rFonts w:hint="eastAsia" w:ascii="宋体" w:hAnsi="宋体" w:eastAsia="宋体"/>
                <w:color w:val="000000"/>
                <w:sz w:val="17"/>
              </w:rPr>
              <w:t>预算投资</w:t>
            </w:r>
          </w:p>
          <w:p>
            <w:pPr>
              <w:spacing w:before="0" w:after="0" w:line="235" w:lineRule="auto"/>
              <w:jc w:val="center"/>
              <w:rPr>
                <w:sz w:val="17"/>
              </w:rPr>
            </w:pPr>
            <w:r>
              <w:rPr>
                <w:rFonts w:hint="eastAsia" w:ascii="宋体" w:hAnsi="宋体" w:eastAsia="宋体"/>
                <w:color w:val="000000"/>
                <w:sz w:val="17"/>
              </w:rPr>
              <w:t>（万元）</w:t>
            </w:r>
          </w:p>
        </w:tc>
        <w:tc>
          <w:tcPr>
            <w:tcW w:w="1360" w:type="dxa"/>
            <w:tcBorders>
              <w:top w:val="single" w:color="000000" w:sz="4" w:space="0"/>
              <w:left w:val="single" w:color="000000" w:sz="4" w:space="0"/>
              <w:bottom w:val="single" w:color="000000" w:sz="4" w:space="0"/>
              <w:right w:val="single" w:color="000000" w:sz="4" w:space="0"/>
            </w:tcBorders>
            <w:vAlign w:val="top"/>
          </w:tcPr>
          <w:p>
            <w:pPr>
              <w:spacing w:before="189" w:after="0" w:line="239" w:lineRule="auto"/>
              <w:jc w:val="center"/>
              <w:rPr>
                <w:sz w:val="17"/>
              </w:rPr>
            </w:pPr>
            <w:r>
              <w:rPr>
                <w:rFonts w:hint="eastAsia" w:ascii="宋体" w:hAnsi="宋体" w:eastAsia="宋体"/>
                <w:color w:val="000000"/>
                <w:sz w:val="17"/>
              </w:rPr>
              <w:t>实际投资（万元）</w:t>
            </w:r>
          </w:p>
        </w:tc>
        <w:tc>
          <w:tcPr>
            <w:tcW w:w="144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39" w:lineRule="auto"/>
              <w:ind w:firstLine="0"/>
              <w:jc w:val="both"/>
              <w:rPr>
                <w:rFonts w:hint="eastAsia" w:ascii="宋体" w:hAnsi="宋体" w:eastAsia="宋体"/>
                <w:color w:val="000000"/>
                <w:sz w:val="17"/>
              </w:rPr>
            </w:pPr>
          </w:p>
          <w:p>
            <w:pPr>
              <w:spacing w:before="38" w:after="0" w:line="239" w:lineRule="auto"/>
              <w:jc w:val="center"/>
              <w:rPr>
                <w:sz w:val="17"/>
              </w:rPr>
            </w:pPr>
            <w:r>
              <w:rPr>
                <w:rFonts w:hint="eastAsia" w:ascii="宋体" w:hAnsi="宋体" w:eastAsia="宋体"/>
                <w:color w:val="000000"/>
                <w:sz w:val="17"/>
              </w:rPr>
              <w:t>投资概算控制率</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9" w:hRule="atLeast"/>
        </w:trPr>
        <w:tc>
          <w:tcPr>
            <w:tcW w:w="2100" w:type="dxa"/>
            <w:vMerge w:val="continue"/>
            <w:tcBorders>
              <w:top w:val="single" w:color="000000" w:sz="4" w:space="0"/>
              <w:left w:val="single" w:color="000000" w:sz="4" w:space="0"/>
              <w:bottom w:val="single" w:color="000000" w:sz="4" w:space="0"/>
              <w:right w:val="single" w:color="000000" w:sz="4" w:space="0"/>
            </w:tcBorders>
          </w:tcPr>
          <w:p/>
        </w:tc>
        <w:tc>
          <w:tcPr>
            <w:tcW w:w="130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140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124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138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136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144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36" w:hRule="atLeast"/>
        </w:trPr>
        <w:tc>
          <w:tcPr>
            <w:tcW w:w="2100" w:type="dxa"/>
            <w:tcBorders>
              <w:top w:val="single" w:color="000000" w:sz="4" w:space="0"/>
              <w:left w:val="single" w:color="000000" w:sz="4" w:space="0"/>
              <w:bottom w:val="single" w:color="000000" w:sz="4" w:space="0"/>
              <w:right w:val="single" w:color="000000" w:sz="4" w:space="0"/>
            </w:tcBorders>
            <w:vAlign w:val="top"/>
          </w:tcPr>
          <w:p>
            <w:pPr>
              <w:spacing w:before="292" w:after="0" w:line="239" w:lineRule="auto"/>
              <w:jc w:val="center"/>
              <w:rPr>
                <w:sz w:val="17"/>
              </w:rPr>
            </w:pPr>
            <w:r>
              <w:rPr>
                <w:rFonts w:hint="eastAsia" w:ascii="宋体" w:hAnsi="宋体" w:eastAsia="宋体"/>
                <w:color w:val="000000"/>
                <w:sz w:val="17"/>
              </w:rPr>
              <w:t>厉行节约保障措施</w:t>
            </w:r>
          </w:p>
        </w:tc>
        <w:tc>
          <w:tcPr>
            <w:tcW w:w="8120" w:type="dxa"/>
            <w:gridSpan w:val="6"/>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r>
    </w:tbl>
    <w:p>
      <w:pPr>
        <w:spacing w:line="1" w:lineRule="exact"/>
        <w:sectPr>
          <w:pgSz w:w="11900" w:h="16838"/>
          <w:pgMar w:top="420" w:right="386" w:bottom="420" w:left="386" w:header="360" w:footer="600" w:gutter="0"/>
          <w:cols w:space="720" w:num="1"/>
        </w:sectPr>
      </w:pPr>
    </w:p>
    <w:tbl>
      <w:tblPr>
        <w:tblStyle w:val="5"/>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720"/>
        <w:gridCol w:w="820"/>
        <w:gridCol w:w="1760"/>
        <w:gridCol w:w="900"/>
        <w:gridCol w:w="20"/>
        <w:gridCol w:w="880"/>
        <w:gridCol w:w="680"/>
        <w:gridCol w:w="940"/>
        <w:gridCol w:w="1220"/>
        <w:gridCol w:w="720"/>
        <w:gridCol w:w="1120"/>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9780" w:type="dxa"/>
            <w:gridSpan w:val="11"/>
            <w:tcBorders>
              <w:top w:val="single" w:color="000000" w:sz="4" w:space="0"/>
              <w:left w:val="single" w:color="000000" w:sz="4" w:space="0"/>
              <w:bottom w:val="single" w:color="000000" w:sz="4" w:space="0"/>
              <w:right w:val="single" w:color="000000" w:sz="4" w:space="0"/>
            </w:tcBorders>
            <w:vAlign w:val="top"/>
          </w:tcPr>
          <w:p>
            <w:pPr>
              <w:spacing w:before="0" w:after="0" w:line="211" w:lineRule="auto"/>
              <w:jc w:val="center"/>
              <w:rPr>
                <w:sz w:val="27"/>
              </w:rPr>
            </w:pPr>
            <w:r>
              <w:rPr>
                <w:rFonts w:hint="eastAsia" w:ascii="宋体" w:hAnsi="宋体" w:eastAsia="宋体"/>
                <w:color w:val="000000"/>
                <w:sz w:val="27"/>
              </w:rPr>
              <w:t>自评表</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154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06" w:lineRule="auto"/>
              <w:jc w:val="center"/>
              <w:rPr>
                <w:sz w:val="13"/>
              </w:rPr>
            </w:pPr>
            <w:r>
              <w:rPr>
                <w:rFonts w:hint="eastAsia" w:ascii="宋体" w:hAnsi="宋体" w:eastAsia="宋体"/>
                <w:color w:val="000000"/>
                <w:sz w:val="13"/>
              </w:rPr>
              <w:t>预算部门名称</w:t>
            </w:r>
          </w:p>
        </w:tc>
        <w:tc>
          <w:tcPr>
            <w:tcW w:w="8240" w:type="dxa"/>
            <w:gridSpan w:val="9"/>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36" w:after="0" w:line="239" w:lineRule="auto"/>
              <w:jc w:val="center"/>
              <w:rPr>
                <w:sz w:val="13"/>
              </w:rPr>
            </w:pPr>
            <w:r>
              <w:rPr>
                <w:rFonts w:hint="eastAsia" w:ascii="宋体" w:hAnsi="宋体" w:eastAsia="宋体"/>
                <w:color w:val="000000"/>
                <w:sz w:val="13"/>
              </w:rPr>
              <w:t>江永县夏层铺镇冷水铺中心幼儿园</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trPr>
        <w:tc>
          <w:tcPr>
            <w:tcW w:w="1540" w:type="dxa"/>
            <w:gridSpan w:val="2"/>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spacing w:before="19" w:after="0" w:line="239" w:lineRule="auto"/>
              <w:jc w:val="center"/>
              <w:rPr>
                <w:sz w:val="13"/>
              </w:rPr>
            </w:pPr>
            <w:r>
              <w:rPr>
                <w:rFonts w:hint="eastAsia" w:ascii="宋体" w:hAnsi="宋体" w:eastAsia="宋体"/>
                <w:color w:val="000000"/>
                <w:sz w:val="13"/>
              </w:rPr>
              <w:t>年度预算申请（万元）</w:t>
            </w:r>
          </w:p>
        </w:tc>
        <w:tc>
          <w:tcPr>
            <w:tcW w:w="176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384" w:lineRule="auto"/>
              <w:ind w:firstLine="0"/>
              <w:jc w:val="both"/>
              <w:rPr>
                <w:rFonts w:hint="eastAsia" w:ascii="宋体" w:hAnsi="宋体" w:eastAsia="宋体"/>
                <w:color w:val="000000"/>
                <w:sz w:val="21"/>
              </w:rPr>
            </w:pPr>
          </w:p>
        </w:tc>
        <w:tc>
          <w:tcPr>
            <w:tcW w:w="900" w:type="dxa"/>
            <w:tcBorders>
              <w:top w:val="single" w:color="000000" w:sz="4" w:space="0"/>
              <w:left w:val="single" w:color="000000" w:sz="4" w:space="0"/>
              <w:bottom w:val="single" w:color="000000" w:sz="4" w:space="0"/>
              <w:right w:val="single" w:color="000000" w:sz="4" w:space="0"/>
            </w:tcBorders>
            <w:vAlign w:val="top"/>
          </w:tcPr>
          <w:p>
            <w:pPr>
              <w:spacing w:before="105" w:after="0" w:line="239" w:lineRule="auto"/>
              <w:jc w:val="center"/>
              <w:rPr>
                <w:sz w:val="13"/>
              </w:rPr>
            </w:pPr>
            <w:r>
              <w:rPr>
                <w:rFonts w:hint="eastAsia" w:ascii="宋体" w:hAnsi="宋体" w:eastAsia="宋体"/>
                <w:color w:val="000000"/>
                <w:sz w:val="13"/>
              </w:rPr>
              <w:t>年初预算数</w:t>
            </w:r>
          </w:p>
          <w:p>
            <w:pPr>
              <w:spacing w:before="31" w:after="0" w:line="239" w:lineRule="auto"/>
              <w:jc w:val="center"/>
              <w:rPr>
                <w:sz w:val="13"/>
              </w:rPr>
            </w:pPr>
            <w:r>
              <w:rPr>
                <w:rFonts w:hint="eastAsia" w:ascii="宋体" w:hAnsi="宋体" w:eastAsia="宋体"/>
                <w:color w:val="000000"/>
                <w:sz w:val="13"/>
              </w:rPr>
              <w:t>（万元）</w:t>
            </w:r>
          </w:p>
        </w:tc>
        <w:tc>
          <w:tcPr>
            <w:tcW w:w="900" w:type="dxa"/>
            <w:gridSpan w:val="2"/>
            <w:tcBorders>
              <w:top w:val="single" w:color="000000" w:sz="4" w:space="0"/>
              <w:left w:val="single" w:color="000000" w:sz="4" w:space="0"/>
              <w:bottom w:val="single" w:color="000000" w:sz="4" w:space="0"/>
              <w:right w:val="single" w:color="000000" w:sz="4" w:space="0"/>
            </w:tcBorders>
            <w:vAlign w:val="top"/>
          </w:tcPr>
          <w:p>
            <w:pPr>
              <w:spacing w:before="102" w:after="0" w:line="263" w:lineRule="auto"/>
              <w:jc w:val="center"/>
              <w:rPr>
                <w:sz w:val="13"/>
              </w:rPr>
            </w:pPr>
            <w:r>
              <w:rPr>
                <w:rFonts w:hint="eastAsia" w:ascii="宋体" w:hAnsi="宋体" w:eastAsia="宋体"/>
                <w:color w:val="000000"/>
                <w:sz w:val="13"/>
              </w:rPr>
              <w:t>全年预算数（万元）</w:t>
            </w:r>
          </w:p>
        </w:tc>
        <w:tc>
          <w:tcPr>
            <w:tcW w:w="1620" w:type="dxa"/>
            <w:gridSpan w:val="2"/>
            <w:tcBorders>
              <w:top w:val="single" w:color="000000" w:sz="4" w:space="0"/>
              <w:left w:val="single" w:color="000000" w:sz="4" w:space="0"/>
              <w:bottom w:val="single" w:color="000000" w:sz="4" w:space="0"/>
              <w:right w:val="single" w:color="000000" w:sz="4" w:space="0"/>
            </w:tcBorders>
            <w:vAlign w:val="top"/>
          </w:tcPr>
          <w:p>
            <w:pPr>
              <w:spacing w:before="125" w:after="0" w:line="239" w:lineRule="auto"/>
              <w:jc w:val="center"/>
              <w:rPr>
                <w:sz w:val="13"/>
              </w:rPr>
            </w:pPr>
            <w:r>
              <w:rPr>
                <w:rFonts w:hint="eastAsia" w:ascii="宋体" w:hAnsi="宋体" w:eastAsia="宋体"/>
                <w:color w:val="000000"/>
                <w:sz w:val="13"/>
              </w:rPr>
              <w:t>全年执行数</w:t>
            </w:r>
          </w:p>
          <w:p>
            <w:pPr>
              <w:spacing w:before="11" w:after="0" w:line="239" w:lineRule="auto"/>
              <w:jc w:val="center"/>
              <w:rPr>
                <w:sz w:val="13"/>
              </w:rPr>
            </w:pPr>
            <w:r>
              <w:rPr>
                <w:rFonts w:hint="eastAsia" w:ascii="宋体" w:hAnsi="宋体" w:eastAsia="宋体"/>
                <w:color w:val="000000"/>
                <w:sz w:val="13"/>
              </w:rPr>
              <w:t>（万元）</w:t>
            </w:r>
          </w:p>
        </w:tc>
        <w:tc>
          <w:tcPr>
            <w:tcW w:w="12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39" w:after="0" w:line="239" w:lineRule="auto"/>
              <w:jc w:val="center"/>
              <w:rPr>
                <w:sz w:val="13"/>
              </w:rPr>
            </w:pPr>
            <w:r>
              <w:rPr>
                <w:rFonts w:hint="eastAsia" w:ascii="宋体" w:hAnsi="宋体" w:eastAsia="宋体"/>
                <w:color w:val="000000"/>
                <w:sz w:val="13"/>
              </w:rPr>
              <w:t>分值</w:t>
            </w:r>
          </w:p>
        </w:tc>
        <w:tc>
          <w:tcPr>
            <w:tcW w:w="7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38" w:after="0" w:line="239" w:lineRule="auto"/>
              <w:jc w:val="center"/>
              <w:rPr>
                <w:sz w:val="13"/>
              </w:rPr>
            </w:pPr>
            <w:r>
              <w:rPr>
                <w:rFonts w:hint="eastAsia" w:ascii="宋体" w:hAnsi="宋体" w:eastAsia="宋体"/>
                <w:color w:val="000000"/>
                <w:sz w:val="13"/>
              </w:rPr>
              <w:t>执行率</w:t>
            </w:r>
          </w:p>
        </w:tc>
        <w:tc>
          <w:tcPr>
            <w:tcW w:w="11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39" w:after="0" w:line="239" w:lineRule="auto"/>
              <w:jc w:val="center"/>
              <w:rPr>
                <w:sz w:val="13"/>
              </w:rPr>
            </w:pPr>
            <w:r>
              <w:rPr>
                <w:rFonts w:hint="eastAsia" w:ascii="宋体" w:hAnsi="宋体" w:eastAsia="宋体"/>
                <w:color w:val="000000"/>
                <w:sz w:val="13"/>
              </w:rPr>
              <w:t>得分</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11" w:lineRule="auto"/>
              <w:jc w:val="center"/>
              <w:rPr>
                <w:sz w:val="13"/>
              </w:rPr>
            </w:pPr>
            <w:r>
              <w:rPr>
                <w:rFonts w:hint="eastAsia" w:ascii="宋体" w:hAnsi="宋体" w:eastAsia="宋体"/>
                <w:color w:val="000000"/>
                <w:sz w:val="13"/>
              </w:rPr>
              <w:t>年度资金总额：</w:t>
            </w:r>
          </w:p>
        </w:tc>
        <w:tc>
          <w:tcPr>
            <w:tcW w:w="90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191" w:lineRule="auto"/>
              <w:jc w:val="center"/>
              <w:rPr>
                <w:sz w:val="13"/>
              </w:rPr>
            </w:pPr>
            <w:r>
              <w:rPr>
                <w:rFonts w:hint="eastAsia" w:ascii="Calibri" w:hAnsi="Calibri" w:eastAsia="Calibri"/>
                <w:color w:val="000000"/>
                <w:sz w:val="13"/>
              </w:rPr>
              <w:t>126.28</w:t>
            </w:r>
          </w:p>
        </w:tc>
        <w:tc>
          <w:tcPr>
            <w:tcW w:w="90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25" w:lineRule="auto"/>
              <w:jc w:val="center"/>
              <w:rPr>
                <w:sz w:val="13"/>
              </w:rPr>
            </w:pPr>
            <w:r>
              <w:rPr>
                <w:rFonts w:hint="eastAsia" w:ascii="Calibri" w:hAnsi="Calibri" w:eastAsia="Calibri"/>
                <w:color w:val="000000"/>
                <w:sz w:val="13"/>
              </w:rPr>
              <w:t>126.28</w:t>
            </w:r>
          </w:p>
        </w:tc>
        <w:tc>
          <w:tcPr>
            <w:tcW w:w="162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25" w:lineRule="auto"/>
              <w:jc w:val="center"/>
              <w:rPr>
                <w:sz w:val="13"/>
              </w:rPr>
            </w:pPr>
            <w:r>
              <w:rPr>
                <w:rFonts w:hint="eastAsia" w:ascii="Calibri" w:hAnsi="Calibri" w:eastAsia="Calibri"/>
                <w:color w:val="000000"/>
                <w:sz w:val="13"/>
              </w:rPr>
              <w:t>126.28</w:t>
            </w:r>
          </w:p>
        </w:tc>
        <w:tc>
          <w:tcPr>
            <w:tcW w:w="12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11" w:after="0" w:line="239" w:lineRule="auto"/>
              <w:jc w:val="center"/>
              <w:rPr>
                <w:sz w:val="13"/>
              </w:rPr>
            </w:pPr>
            <w:r>
              <w:rPr>
                <w:rFonts w:hint="eastAsia" w:ascii="Calibri" w:hAnsi="Calibri" w:eastAsia="Calibri"/>
                <w:color w:val="000000"/>
                <w:sz w:val="13"/>
              </w:rPr>
              <w:t>10</w:t>
            </w:r>
          </w:p>
        </w:tc>
        <w:tc>
          <w:tcPr>
            <w:tcW w:w="7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25" w:lineRule="auto"/>
              <w:jc w:val="center"/>
              <w:rPr>
                <w:sz w:val="13"/>
              </w:rPr>
            </w:pPr>
            <w:r>
              <w:rPr>
                <w:rFonts w:hint="eastAsia" w:ascii="Calibri" w:hAnsi="Calibri" w:eastAsia="Calibri"/>
                <w:color w:val="000000"/>
                <w:sz w:val="13"/>
              </w:rPr>
              <w:t>100.00%</w:t>
            </w:r>
          </w:p>
        </w:tc>
        <w:tc>
          <w:tcPr>
            <w:tcW w:w="11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11" w:after="0" w:line="239" w:lineRule="auto"/>
              <w:jc w:val="center"/>
              <w:rPr>
                <w:sz w:val="13"/>
              </w:rPr>
            </w:pPr>
            <w:r>
              <w:rPr>
                <w:rFonts w:hint="eastAsia" w:ascii="Calibri" w:hAnsi="Calibri" w:eastAsia="Calibri"/>
                <w:color w:val="000000"/>
                <w:sz w:val="13"/>
              </w:rPr>
              <w:t>10.00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5180" w:type="dxa"/>
            <w:gridSpan w:val="6"/>
            <w:tcBorders>
              <w:top w:val="single" w:color="000000" w:sz="4" w:space="0"/>
              <w:left w:val="single" w:color="000000" w:sz="4" w:space="0"/>
              <w:bottom w:val="single" w:color="000000" w:sz="4" w:space="0"/>
              <w:right w:val="single" w:color="000000" w:sz="4" w:space="0"/>
            </w:tcBorders>
            <w:vAlign w:val="top"/>
          </w:tcPr>
          <w:p>
            <w:pPr>
              <w:spacing w:before="129" w:after="0" w:line="239" w:lineRule="auto"/>
              <w:ind w:firstLine="146"/>
              <w:jc w:val="both"/>
              <w:rPr>
                <w:sz w:val="13"/>
              </w:rPr>
            </w:pPr>
            <w:r>
              <w:rPr>
                <w:rFonts w:hint="eastAsia" w:ascii="宋体" w:hAnsi="宋体" w:eastAsia="宋体"/>
                <w:color w:val="000000"/>
                <w:sz w:val="13"/>
              </w:rPr>
              <w:t>按收入性质分：</w:t>
            </w:r>
          </w:p>
        </w:tc>
        <w:tc>
          <w:tcPr>
            <w:tcW w:w="3060" w:type="dxa"/>
            <w:gridSpan w:val="3"/>
            <w:tcBorders>
              <w:top w:val="single" w:color="000000" w:sz="4" w:space="0"/>
              <w:left w:val="single" w:color="000000" w:sz="4" w:space="0"/>
              <w:bottom w:val="single" w:color="000000" w:sz="4" w:space="0"/>
              <w:right w:val="single" w:color="000000" w:sz="4" w:space="0"/>
            </w:tcBorders>
            <w:vAlign w:val="top"/>
          </w:tcPr>
          <w:p>
            <w:pPr>
              <w:spacing w:before="169" w:after="0" w:line="239" w:lineRule="auto"/>
              <w:ind w:firstLine="67"/>
              <w:jc w:val="both"/>
              <w:rPr>
                <w:sz w:val="13"/>
              </w:rPr>
            </w:pPr>
            <w:r>
              <w:rPr>
                <w:rFonts w:hint="eastAsia" w:ascii="宋体" w:hAnsi="宋体" w:eastAsia="宋体"/>
                <w:color w:val="000000"/>
                <w:sz w:val="13"/>
              </w:rPr>
              <w:t>按支出性质分：</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8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229" w:after="0" w:line="239" w:lineRule="auto"/>
              <w:jc w:val="center"/>
              <w:rPr>
                <w:sz w:val="13"/>
              </w:rPr>
            </w:pPr>
            <w:r>
              <w:rPr>
                <w:rFonts w:hint="eastAsia" w:ascii="宋体" w:hAnsi="宋体" w:eastAsia="宋体"/>
                <w:color w:val="000000"/>
                <w:sz w:val="13"/>
              </w:rPr>
              <w:t>一般公共预算：</w:t>
            </w:r>
          </w:p>
        </w:tc>
        <w:tc>
          <w:tcPr>
            <w:tcW w:w="3420" w:type="dxa"/>
            <w:gridSpan w:val="5"/>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3"/>
              </w:rPr>
            </w:pPr>
          </w:p>
          <w:p>
            <w:pPr>
              <w:spacing w:before="4" w:after="0" w:line="239" w:lineRule="auto"/>
              <w:jc w:val="center"/>
              <w:rPr>
                <w:sz w:val="13"/>
              </w:rPr>
            </w:pPr>
            <w:r>
              <w:rPr>
                <w:rFonts w:hint="eastAsia" w:ascii="Calibri" w:hAnsi="Calibri" w:eastAsia="Calibri"/>
                <w:color w:val="000000"/>
                <w:sz w:val="13"/>
              </w:rPr>
              <w:t>126 28</w:t>
            </w:r>
          </w:p>
        </w:tc>
        <w:tc>
          <w:tcPr>
            <w:tcW w:w="12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384" w:lineRule="auto"/>
              <w:ind w:firstLine="0"/>
              <w:jc w:val="both"/>
              <w:rPr>
                <w:rFonts w:hint="eastAsia" w:ascii="宋体" w:hAnsi="宋体" w:eastAsia="宋体"/>
                <w:color w:val="000000"/>
                <w:sz w:val="13"/>
              </w:rPr>
            </w:pPr>
          </w:p>
          <w:p>
            <w:pPr>
              <w:spacing w:before="167" w:after="0" w:line="239" w:lineRule="auto"/>
              <w:jc w:val="center"/>
              <w:rPr>
                <w:sz w:val="13"/>
              </w:rPr>
            </w:pPr>
            <w:r>
              <w:rPr>
                <w:rFonts w:hint="eastAsia" w:ascii="宋体" w:hAnsi="宋体" w:eastAsia="宋体"/>
                <w:color w:val="000000"/>
                <w:sz w:val="13"/>
              </w:rPr>
              <w:t>其中：基本支出：</w:t>
            </w:r>
          </w:p>
        </w:tc>
        <w:tc>
          <w:tcPr>
            <w:tcW w:w="1840" w:type="dxa"/>
            <w:gridSpan w:val="2"/>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spacing w:before="0" w:after="0" w:line="220" w:lineRule="auto"/>
              <w:jc w:val="center"/>
              <w:rPr>
                <w:sz w:val="13"/>
              </w:rPr>
            </w:pPr>
            <w:r>
              <w:rPr>
                <w:rFonts w:hint="eastAsia" w:ascii="Calibri" w:hAnsi="Calibri" w:eastAsia="Calibri"/>
                <w:color w:val="000000"/>
                <w:sz w:val="13"/>
              </w:rPr>
              <w:t>126.28</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53" w:after="0" w:line="239" w:lineRule="auto"/>
              <w:jc w:val="center"/>
              <w:rPr>
                <w:sz w:val="13"/>
              </w:rPr>
            </w:pPr>
            <w:r>
              <w:rPr>
                <w:rFonts w:hint="eastAsia" w:ascii="宋体" w:hAnsi="宋体" w:eastAsia="宋体"/>
                <w:color w:val="000000"/>
                <w:sz w:val="13"/>
              </w:rPr>
              <w:t>政府性基金拨款：</w:t>
            </w:r>
          </w:p>
        </w:tc>
        <w:tc>
          <w:tcPr>
            <w:tcW w:w="3420" w:type="dxa"/>
            <w:gridSpan w:val="5"/>
            <w:tcBorders>
              <w:top w:val="single" w:color="000000" w:sz="4" w:space="0"/>
              <w:left w:val="single" w:color="000000" w:sz="4" w:space="0"/>
              <w:bottom w:val="single" w:color="000000" w:sz="4" w:space="0"/>
              <w:right w:val="single" w:color="000000" w:sz="4" w:space="0"/>
            </w:tcBorders>
            <w:vAlign w:val="top"/>
          </w:tcPr>
          <w:p>
            <w:pPr>
              <w:spacing w:before="142" w:after="0" w:line="239" w:lineRule="auto"/>
              <w:jc w:val="center"/>
              <w:rPr>
                <w:sz w:val="13"/>
              </w:rPr>
            </w:pPr>
            <w:r>
              <w:rPr>
                <w:rFonts w:hint="eastAsia" w:ascii="Calibri" w:hAnsi="Calibri" w:eastAsia="Calibri"/>
                <w:color w:val="000000"/>
                <w:sz w:val="13"/>
              </w:rPr>
              <w:t>0.00</w:t>
            </w:r>
          </w:p>
        </w:tc>
        <w:tc>
          <w:tcPr>
            <w:tcW w:w="1220" w:type="dxa"/>
            <w:vMerge w:val="continue"/>
            <w:tcBorders>
              <w:top w:val="single" w:color="000000" w:sz="4" w:space="0"/>
              <w:left w:val="single" w:color="000000" w:sz="4" w:space="0"/>
              <w:bottom w:val="single" w:color="000000" w:sz="4" w:space="0"/>
              <w:right w:val="single" w:color="000000" w:sz="4" w:space="0"/>
            </w:tcBorders>
          </w:tcPr>
          <w:p/>
        </w:tc>
        <w:tc>
          <w:tcPr>
            <w:tcW w:w="1840" w:type="dxa"/>
            <w:gridSpan w:val="2"/>
            <w:vMerge w:val="continue"/>
            <w:tcBorders>
              <w:top w:val="single" w:color="000000" w:sz="4" w:space="0"/>
              <w:left w:val="single" w:color="000000" w:sz="4" w:space="0"/>
              <w:bottom w:val="single" w:color="000000" w:sz="4" w:space="0"/>
              <w:right w:val="single" w:color="000000" w:sz="4" w:space="0"/>
            </w:tcBorders>
          </w:tc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0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3" w:after="0" w:line="263" w:lineRule="auto"/>
              <w:jc w:val="center"/>
              <w:rPr>
                <w:sz w:val="13"/>
              </w:rPr>
            </w:pPr>
            <w:r>
              <w:rPr>
                <w:rFonts w:hint="eastAsia" w:ascii="宋体" w:hAnsi="宋体" w:eastAsia="宋体"/>
                <w:color w:val="000000"/>
                <w:sz w:val="13"/>
              </w:rPr>
              <w:t>纳入专户管理的非税收入拨款：</w:t>
            </w:r>
          </w:p>
        </w:tc>
        <w:tc>
          <w:tcPr>
            <w:tcW w:w="3420" w:type="dxa"/>
            <w:gridSpan w:val="5"/>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16.76</w:t>
            </w:r>
          </w:p>
        </w:tc>
        <w:tc>
          <w:tcPr>
            <w:tcW w:w="12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3"/>
              </w:rPr>
            </w:pPr>
          </w:p>
          <w:p>
            <w:pPr>
              <w:spacing w:before="99" w:after="0" w:line="239" w:lineRule="auto"/>
              <w:jc w:val="center"/>
              <w:rPr>
                <w:sz w:val="13"/>
              </w:rPr>
            </w:pPr>
            <w:r>
              <w:rPr>
                <w:rFonts w:hint="eastAsia" w:ascii="宋体" w:hAnsi="宋体" w:eastAsia="宋体"/>
                <w:color w:val="000000"/>
                <w:sz w:val="13"/>
              </w:rPr>
              <w:t>项目支出：</w:t>
            </w:r>
          </w:p>
        </w:tc>
        <w:tc>
          <w:tcPr>
            <w:tcW w:w="1840" w:type="dxa"/>
            <w:gridSpan w:val="2"/>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spacing w:before="0" w:after="0" w:line="196" w:lineRule="auto"/>
              <w:jc w:val="center"/>
              <w:rPr>
                <w:sz w:val="13"/>
              </w:rPr>
            </w:pPr>
            <w:r>
              <w:rPr>
                <w:rFonts w:hint="eastAsia" w:ascii="Calibri" w:hAnsi="Calibri" w:eastAsia="Calibri"/>
                <w:color w:val="000000"/>
                <w:sz w:val="13"/>
              </w:rPr>
              <w:t>0.00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37" w:after="0" w:line="239" w:lineRule="auto"/>
              <w:jc w:val="center"/>
              <w:rPr>
                <w:sz w:val="13"/>
              </w:rPr>
            </w:pPr>
            <w:r>
              <w:rPr>
                <w:rFonts w:hint="eastAsia" w:ascii="宋体" w:hAnsi="宋体" w:eastAsia="宋体"/>
                <w:color w:val="000000"/>
                <w:sz w:val="13"/>
              </w:rPr>
              <w:t>其他资金</w:t>
            </w:r>
          </w:p>
        </w:tc>
        <w:tc>
          <w:tcPr>
            <w:tcW w:w="3420" w:type="dxa"/>
            <w:gridSpan w:val="5"/>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0.00</w:t>
            </w:r>
          </w:p>
        </w:tc>
        <w:tc>
          <w:tcPr>
            <w:tcW w:w="1220" w:type="dxa"/>
            <w:vMerge w:val="continue"/>
            <w:tcBorders>
              <w:top w:val="single" w:color="000000" w:sz="4" w:space="0"/>
              <w:left w:val="single" w:color="000000" w:sz="4" w:space="0"/>
              <w:bottom w:val="single" w:color="000000" w:sz="4" w:space="0"/>
              <w:right w:val="single" w:color="000000" w:sz="4" w:space="0"/>
            </w:tcBorders>
          </w:tcPr>
          <w:p/>
        </w:tc>
        <w:tc>
          <w:tcPr>
            <w:tcW w:w="1840" w:type="dxa"/>
            <w:gridSpan w:val="2"/>
            <w:vMerge w:val="continue"/>
            <w:tcBorders>
              <w:top w:val="single" w:color="000000" w:sz="4" w:space="0"/>
              <w:left w:val="single" w:color="000000" w:sz="4" w:space="0"/>
              <w:bottom w:val="single" w:color="000000" w:sz="4" w:space="0"/>
              <w:right w:val="single" w:color="000000" w:sz="4" w:space="0"/>
            </w:tcBorders>
          </w:tc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1540" w:type="dxa"/>
            <w:gridSpan w:val="2"/>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spacing w:before="11" w:after="0" w:line="239" w:lineRule="auto"/>
              <w:jc w:val="center"/>
              <w:rPr>
                <w:sz w:val="13"/>
              </w:rPr>
            </w:pPr>
            <w:r>
              <w:rPr>
                <w:rFonts w:hint="eastAsia" w:ascii="宋体" w:hAnsi="宋体" w:eastAsia="宋体"/>
                <w:color w:val="000000"/>
                <w:sz w:val="13"/>
              </w:rPr>
              <w:t>年度总体目标</w:t>
            </w:r>
          </w:p>
        </w:tc>
        <w:tc>
          <w:tcPr>
            <w:tcW w:w="5180" w:type="dxa"/>
            <w:gridSpan w:val="6"/>
            <w:tcBorders>
              <w:top w:val="single" w:color="000000" w:sz="4" w:space="0"/>
              <w:left w:val="single" w:color="000000" w:sz="4" w:space="0"/>
              <w:bottom w:val="single" w:color="000000" w:sz="4" w:space="0"/>
              <w:right w:val="single" w:color="000000" w:sz="4" w:space="0"/>
            </w:tcBorders>
            <w:vAlign w:val="top"/>
          </w:tcPr>
          <w:p>
            <w:pPr>
              <w:spacing w:before="138" w:after="0" w:line="239" w:lineRule="auto"/>
              <w:jc w:val="center"/>
              <w:rPr>
                <w:sz w:val="13"/>
              </w:rPr>
            </w:pPr>
            <w:r>
              <w:rPr>
                <w:rFonts w:hint="eastAsia" w:ascii="宋体" w:hAnsi="宋体" w:eastAsia="宋体"/>
                <w:color w:val="000000"/>
                <w:sz w:val="13"/>
              </w:rPr>
              <w:t>预期目标</w:t>
            </w:r>
          </w:p>
        </w:tc>
        <w:tc>
          <w:tcPr>
            <w:tcW w:w="3060" w:type="dxa"/>
            <w:gridSpan w:val="3"/>
            <w:tcBorders>
              <w:top w:val="single" w:color="000000" w:sz="4" w:space="0"/>
              <w:left w:val="single" w:color="000000" w:sz="4" w:space="0"/>
              <w:bottom w:val="single" w:color="000000" w:sz="4" w:space="0"/>
              <w:right w:val="single" w:color="000000" w:sz="4" w:space="0"/>
            </w:tcBorders>
            <w:vAlign w:val="top"/>
          </w:tcPr>
          <w:p>
            <w:pPr>
              <w:spacing w:before="138" w:after="0" w:line="239" w:lineRule="auto"/>
              <w:jc w:val="center"/>
              <w:rPr>
                <w:sz w:val="13"/>
              </w:rPr>
            </w:pPr>
            <w:r>
              <w:rPr>
                <w:rFonts w:hint="eastAsia" w:ascii="宋体" w:hAnsi="宋体" w:eastAsia="宋体"/>
                <w:color w:val="000000"/>
                <w:sz w:val="13"/>
              </w:rPr>
              <w:t>实际完成情况</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1600" w:hRule="atLeast"/>
        </w:trPr>
        <w:tc>
          <w:tcPr>
            <w:tcW w:w="1540" w:type="dxa"/>
            <w:gridSpan w:val="2"/>
            <w:vMerge w:val="continue"/>
            <w:tcBorders>
              <w:top w:val="single" w:color="000000" w:sz="4" w:space="0"/>
              <w:left w:val="single" w:color="000000" w:sz="4" w:space="0"/>
              <w:bottom w:val="single" w:color="000000" w:sz="4" w:space="0"/>
              <w:right w:val="single" w:color="000000" w:sz="4" w:space="0"/>
            </w:tcBorders>
          </w:tcPr>
          <w:p/>
        </w:tc>
        <w:tc>
          <w:tcPr>
            <w:tcW w:w="5180" w:type="dxa"/>
            <w:gridSpan w:val="6"/>
            <w:tcBorders>
              <w:top w:val="single" w:color="000000" w:sz="4" w:space="0"/>
              <w:left w:val="single" w:color="000000" w:sz="4" w:space="0"/>
              <w:bottom w:val="single" w:color="000000" w:sz="4" w:space="0"/>
              <w:right w:val="single" w:color="000000" w:sz="4" w:space="0"/>
            </w:tcBorders>
            <w:vAlign w:val="top"/>
          </w:tcPr>
          <w:p>
            <w:pPr>
              <w:spacing w:before="18" w:after="0" w:line="273" w:lineRule="auto"/>
              <w:jc w:val="center"/>
              <w:rPr>
                <w:sz w:val="13"/>
              </w:rPr>
            </w:pPr>
            <w:r>
              <w:rPr>
                <w:rFonts w:hint="eastAsia" w:ascii="宋体" w:hAnsi="宋体" w:eastAsia="宋体"/>
                <w:color w:val="000000"/>
                <w:sz w:val="13"/>
              </w:rPr>
              <w:t>目标</w:t>
            </w:r>
            <w:r>
              <w:rPr>
                <w:rFonts w:hint="eastAsia" w:ascii="Calibri" w:hAnsi="Calibri" w:eastAsia="Calibri"/>
                <w:color w:val="000000"/>
                <w:sz w:val="13"/>
              </w:rPr>
              <w:t>1</w:t>
            </w:r>
            <w:r>
              <w:rPr>
                <w:rFonts w:hint="eastAsia" w:ascii="宋体" w:hAnsi="宋体" w:eastAsia="宋体"/>
                <w:color w:val="000000"/>
                <w:sz w:val="13"/>
              </w:rPr>
              <w:t>：确保师生在校期间饮食安全。目标</w:t>
            </w:r>
            <w:r>
              <w:rPr>
                <w:rFonts w:hint="eastAsia" w:ascii="Calibri" w:hAnsi="Calibri" w:eastAsia="Calibri"/>
                <w:color w:val="000000"/>
                <w:sz w:val="13"/>
              </w:rPr>
              <w:t>2</w:t>
            </w:r>
            <w:r>
              <w:rPr>
                <w:rFonts w:hint="eastAsia" w:ascii="宋体" w:hAnsi="宋体" w:eastAsia="宋体"/>
                <w:color w:val="000000"/>
                <w:sz w:val="13"/>
              </w:rPr>
              <w:t>：购置相关仪器设备，保证教学质量，目标</w:t>
            </w:r>
            <w:r>
              <w:rPr>
                <w:rFonts w:hint="eastAsia" w:ascii="Calibri" w:hAnsi="Calibri" w:eastAsia="Calibri"/>
                <w:color w:val="000000"/>
                <w:sz w:val="13"/>
              </w:rPr>
              <w:t>3</w:t>
            </w:r>
            <w:r>
              <w:rPr>
                <w:rFonts w:hint="eastAsia" w:ascii="宋体" w:hAnsi="宋体" w:eastAsia="宋体"/>
                <w:color w:val="000000"/>
                <w:sz w:val="13"/>
              </w:rPr>
              <w:t>：做好后勤保障管理工作，解决师生后顾之忧，为师生提供良好的教学环境。目标</w:t>
            </w:r>
            <w:r>
              <w:rPr>
                <w:rFonts w:hint="eastAsia" w:ascii="Calibri" w:hAnsi="Calibri" w:eastAsia="Calibri"/>
                <w:color w:val="000000"/>
                <w:sz w:val="13"/>
              </w:rPr>
              <w:t>4</w:t>
            </w:r>
            <w:r>
              <w:rPr>
                <w:rFonts w:hint="eastAsia" w:ascii="宋体" w:hAnsi="宋体" w:eastAsia="宋体"/>
                <w:color w:val="000000"/>
                <w:sz w:val="13"/>
              </w:rPr>
              <w:t>：完成年初既定学生招生工作。目标</w:t>
            </w:r>
            <w:r>
              <w:rPr>
                <w:rFonts w:hint="eastAsia" w:ascii="Calibri" w:hAnsi="Calibri" w:eastAsia="Calibri"/>
                <w:color w:val="000000"/>
                <w:sz w:val="13"/>
              </w:rPr>
              <w:t>5</w:t>
            </w:r>
            <w:r>
              <w:rPr>
                <w:rFonts w:hint="eastAsia" w:ascii="宋体" w:hAnsi="宋体" w:eastAsia="宋体"/>
                <w:color w:val="000000"/>
                <w:sz w:val="13"/>
              </w:rPr>
              <w:t>：引进优质教师，开展教师培训工作，建立优质的师资队伍。目标</w:t>
            </w:r>
            <w:r>
              <w:rPr>
                <w:rFonts w:hint="eastAsia" w:ascii="Calibri" w:hAnsi="Calibri" w:eastAsia="Calibri"/>
                <w:color w:val="000000"/>
                <w:sz w:val="13"/>
              </w:rPr>
              <w:t>6</w:t>
            </w:r>
            <w:r>
              <w:rPr>
                <w:rFonts w:hint="eastAsia" w:ascii="宋体" w:hAnsi="宋体" w:eastAsia="宋体"/>
                <w:color w:val="000000"/>
                <w:sz w:val="13"/>
              </w:rPr>
              <w:t>：合理制定后勤及安全管理工作发展规划和计划，保障学校正常教学秩序、消防安全等。目标</w:t>
            </w:r>
            <w:r>
              <w:rPr>
                <w:rFonts w:hint="eastAsia" w:ascii="Calibri" w:hAnsi="Calibri" w:eastAsia="Calibri"/>
                <w:color w:val="000000"/>
                <w:sz w:val="13"/>
              </w:rPr>
              <w:t>7</w:t>
            </w:r>
            <w:r>
              <w:rPr>
                <w:rFonts w:hint="eastAsia" w:ascii="宋体" w:hAnsi="宋体" w:eastAsia="宋体"/>
                <w:color w:val="000000"/>
                <w:sz w:val="13"/>
              </w:rPr>
              <w:t>：加强校园基础设施建设、保障学生与教师的校园生活。目标</w:t>
            </w:r>
            <w:r>
              <w:rPr>
                <w:rFonts w:hint="eastAsia" w:ascii="Calibri" w:hAnsi="Calibri" w:eastAsia="Calibri"/>
                <w:color w:val="000000"/>
                <w:sz w:val="13"/>
              </w:rPr>
              <w:t>8</w:t>
            </w:r>
            <w:r>
              <w:rPr>
                <w:rFonts w:hint="eastAsia" w:ascii="宋体" w:hAnsi="宋体" w:eastAsia="宋体"/>
                <w:color w:val="000000"/>
                <w:sz w:val="13"/>
              </w:rPr>
              <w:t>：做好设施维修工作，确保环境安全。目标</w:t>
            </w:r>
            <w:r>
              <w:rPr>
                <w:rFonts w:hint="eastAsia" w:ascii="Calibri" w:hAnsi="Calibri" w:eastAsia="Calibri"/>
                <w:color w:val="000000"/>
                <w:sz w:val="13"/>
              </w:rPr>
              <w:t>9</w:t>
            </w:r>
            <w:r>
              <w:rPr>
                <w:rFonts w:hint="eastAsia" w:ascii="宋体" w:hAnsi="宋体" w:eastAsia="宋体"/>
                <w:color w:val="000000"/>
                <w:sz w:val="13"/>
              </w:rPr>
              <w:t>：坚持政治理论学习和业务能力培养，坚持建立正确有效的学校价值体系和文化，创建浓厚的学习氛围。目标</w:t>
            </w:r>
            <w:r>
              <w:rPr>
                <w:rFonts w:hint="eastAsia" w:ascii="Calibri" w:hAnsi="Calibri" w:eastAsia="Calibri"/>
                <w:color w:val="000000"/>
                <w:sz w:val="13"/>
              </w:rPr>
              <w:t>10</w:t>
            </w:r>
            <w:r>
              <w:rPr>
                <w:rFonts w:hint="eastAsia" w:ascii="宋体" w:hAnsi="宋体" w:eastAsia="宋体"/>
                <w:color w:val="000000"/>
                <w:sz w:val="13"/>
              </w:rPr>
              <w:t>：不断完善和提高学校的整体形象和水平，起引领示范的带头作用</w:t>
            </w:r>
          </w:p>
        </w:tc>
        <w:tc>
          <w:tcPr>
            <w:tcW w:w="3060" w:type="dxa"/>
            <w:gridSpan w:val="3"/>
            <w:tcBorders>
              <w:top w:val="single" w:color="000000" w:sz="4" w:space="0"/>
              <w:left w:val="single" w:color="000000" w:sz="4" w:space="0"/>
              <w:bottom w:val="single" w:color="000000" w:sz="4" w:space="0"/>
              <w:right w:val="single" w:color="000000" w:sz="4" w:space="0"/>
            </w:tcBorders>
            <w:vAlign w:val="top"/>
          </w:tcPr>
          <w:p>
            <w:pPr>
              <w:spacing w:before="18" w:after="0" w:line="273" w:lineRule="auto"/>
              <w:jc w:val="center"/>
              <w:rPr>
                <w:sz w:val="13"/>
              </w:rPr>
            </w:pPr>
            <w:r>
              <w:rPr>
                <w:rFonts w:hint="eastAsia" w:ascii="宋体" w:hAnsi="宋体" w:eastAsia="宋体"/>
                <w:color w:val="000000"/>
                <w:sz w:val="13"/>
              </w:rPr>
              <w:t>冷水铺中心幼儿园在局领导的指导园领导的带领下</w:t>
            </w:r>
            <w:r>
              <w:rPr>
                <w:rFonts w:hint="eastAsia" w:ascii="Calibri" w:hAnsi="Calibri" w:eastAsia="Calibri"/>
                <w:color w:val="000000"/>
                <w:sz w:val="13"/>
              </w:rPr>
              <w:t>2024</w:t>
            </w:r>
            <w:r>
              <w:rPr>
                <w:rFonts w:hint="eastAsia" w:ascii="宋体" w:hAnsi="宋体" w:eastAsia="宋体"/>
                <w:color w:val="000000"/>
                <w:sz w:val="13"/>
              </w:rPr>
              <w:t>年度工作目标基本完成。年初合理制定后勤及安全管理工作发展规划和计划，保障学校正常教学秩序、消防安全等。师生在校期间饮食安全卫生，购置一批玩教具，保证教学质量。园长带领教师坚持政治理论学习和业务能力培养，坚持建立正确有效的学校价值体系和文化，创建浓厚的学习氛围。不断完善和提高学校的整体形象和水平。</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7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80" w:after="0" w:line="239" w:lineRule="auto"/>
              <w:jc w:val="center"/>
              <w:rPr>
                <w:sz w:val="13"/>
              </w:rPr>
            </w:pPr>
            <w:r>
              <w:rPr>
                <w:rFonts w:hint="eastAsia" w:ascii="宋体" w:hAnsi="宋体" w:eastAsia="宋体"/>
                <w:color w:val="000000"/>
                <w:sz w:val="13"/>
              </w:rPr>
              <w:t>绩效指标</w:t>
            </w:r>
          </w:p>
        </w:tc>
        <w:tc>
          <w:tcPr>
            <w:tcW w:w="82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81" w:after="0" w:line="239" w:lineRule="auto"/>
              <w:jc w:val="center"/>
              <w:rPr>
                <w:sz w:val="13"/>
              </w:rPr>
            </w:pPr>
            <w:r>
              <w:rPr>
                <w:rFonts w:hint="eastAsia" w:ascii="宋体" w:hAnsi="宋体" w:eastAsia="宋体"/>
                <w:color w:val="000000"/>
                <w:sz w:val="13"/>
              </w:rPr>
              <w:t>一级指标</w:t>
            </w:r>
          </w:p>
        </w:tc>
        <w:tc>
          <w:tcPr>
            <w:tcW w:w="176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61" w:after="0" w:line="239" w:lineRule="auto"/>
              <w:jc w:val="center"/>
              <w:rPr>
                <w:sz w:val="13"/>
              </w:rPr>
            </w:pPr>
            <w:r>
              <w:rPr>
                <w:rFonts w:hint="eastAsia" w:ascii="宋体" w:hAnsi="宋体" w:eastAsia="宋体"/>
                <w:color w:val="000000"/>
                <w:sz w:val="13"/>
              </w:rPr>
              <w:t>三级指标</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81" w:after="0" w:line="239" w:lineRule="auto"/>
              <w:jc w:val="center"/>
              <w:rPr>
                <w:sz w:val="13"/>
              </w:rPr>
            </w:pPr>
            <w:r>
              <w:rPr>
                <w:rFonts w:hint="eastAsia" w:ascii="宋体" w:hAnsi="宋体" w:eastAsia="宋体"/>
                <w:color w:val="000000"/>
                <w:sz w:val="13"/>
              </w:rPr>
              <w:t>年度指标值</w:t>
            </w:r>
          </w:p>
        </w:tc>
        <w:tc>
          <w:tcPr>
            <w:tcW w:w="88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81" w:after="0" w:line="239" w:lineRule="auto"/>
              <w:jc w:val="center"/>
              <w:rPr>
                <w:sz w:val="13"/>
              </w:rPr>
            </w:pPr>
            <w:r>
              <w:rPr>
                <w:rFonts w:hint="eastAsia" w:ascii="宋体" w:hAnsi="宋体" w:eastAsia="宋体"/>
                <w:color w:val="000000"/>
                <w:sz w:val="13"/>
              </w:rPr>
              <w:t>实际完成值</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65" w:after="0" w:line="239" w:lineRule="auto"/>
              <w:ind w:firstLine="480"/>
              <w:jc w:val="right"/>
              <w:rPr>
                <w:sz w:val="13"/>
              </w:rPr>
            </w:pPr>
            <w:r>
              <w:rPr>
                <w:rFonts w:hint="eastAsia" w:ascii="Calibri" w:hAnsi="Calibri" w:eastAsia="Calibri"/>
                <w:color w:val="000000"/>
                <w:sz w:val="13"/>
              </w:rPr>
              <w:t>。</w:t>
            </w:r>
          </w:p>
          <w:p>
            <w:pPr>
              <w:spacing w:before="32" w:after="0" w:line="239" w:lineRule="auto"/>
              <w:jc w:val="center"/>
              <w:rPr>
                <w:sz w:val="13"/>
              </w:rPr>
            </w:pPr>
            <w:r>
              <w:rPr>
                <w:rFonts w:hint="eastAsia" w:ascii="宋体" w:hAnsi="宋体" w:eastAsia="宋体"/>
                <w:color w:val="000000"/>
                <w:sz w:val="13"/>
              </w:rPr>
              <w:t>分值</w:t>
            </w:r>
          </w:p>
        </w:tc>
        <w:tc>
          <w:tcPr>
            <w:tcW w:w="94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81" w:after="0" w:line="239" w:lineRule="auto"/>
              <w:jc w:val="center"/>
              <w:rPr>
                <w:sz w:val="13"/>
              </w:rPr>
            </w:pPr>
            <w:r>
              <w:rPr>
                <w:rFonts w:hint="eastAsia" w:ascii="宋体" w:hAnsi="宋体" w:eastAsia="宋体"/>
                <w:color w:val="000000"/>
                <w:sz w:val="13"/>
              </w:rPr>
              <w:t>得分</w:t>
            </w:r>
          </w:p>
        </w:tc>
        <w:tc>
          <w:tcPr>
            <w:tcW w:w="3060" w:type="dxa"/>
            <w:gridSpan w:val="3"/>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81" w:after="0" w:line="239" w:lineRule="auto"/>
              <w:jc w:val="center"/>
              <w:rPr>
                <w:sz w:val="13"/>
              </w:rPr>
            </w:pPr>
            <w:r>
              <w:rPr>
                <w:rFonts w:hint="eastAsia" w:ascii="宋体" w:hAnsi="宋体" w:eastAsia="宋体"/>
                <w:color w:val="000000"/>
                <w:sz w:val="13"/>
              </w:rPr>
              <w:t>偏差原因分析及改进措施</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spacing w:before="8" w:after="0" w:line="239" w:lineRule="auto"/>
              <w:jc w:val="center"/>
              <w:rPr>
                <w:sz w:val="13"/>
              </w:rPr>
            </w:pPr>
            <w:r>
              <w:rPr>
                <w:rFonts w:hint="eastAsia" w:ascii="宋体" w:hAnsi="宋体" w:eastAsia="宋体"/>
                <w:color w:val="000000"/>
                <w:sz w:val="13"/>
              </w:rPr>
              <w:t>绩效指标</w:t>
            </w:r>
          </w:p>
        </w:tc>
        <w:tc>
          <w:tcPr>
            <w:tcW w:w="8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wordWrap w:val="0"/>
              <w:spacing w:before="0" w:after="0" w:line="335" w:lineRule="auto"/>
              <w:ind w:firstLine="0"/>
              <w:jc w:val="both"/>
              <w:rPr>
                <w:rFonts w:hint="eastAsia" w:ascii="宋体" w:hAnsi="宋体" w:eastAsia="宋体"/>
                <w:color w:val="000000"/>
                <w:sz w:val="13"/>
              </w:rPr>
            </w:pPr>
          </w:p>
          <w:p>
            <w:pPr>
              <w:spacing w:before="97" w:after="0" w:line="239" w:lineRule="auto"/>
              <w:jc w:val="center"/>
              <w:rPr>
                <w:sz w:val="13"/>
              </w:rPr>
            </w:pPr>
            <w:r>
              <w:rPr>
                <w:rFonts w:hint="eastAsia" w:ascii="宋体" w:hAnsi="宋体" w:eastAsia="宋体"/>
                <w:color w:val="000000"/>
                <w:sz w:val="13"/>
              </w:rPr>
              <w:t>产出指标</w:t>
            </w: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宋体" w:hAnsi="宋体" w:eastAsia="宋体"/>
                <w:color w:val="000000"/>
                <w:sz w:val="13"/>
              </w:rPr>
              <w:t>保障人员经费发放人数</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6</w:t>
            </w:r>
            <w:r>
              <w:rPr>
                <w:rFonts w:hint="eastAsia" w:ascii="宋体" w:hAnsi="宋体" w:eastAsia="宋体"/>
                <w:color w:val="000000"/>
                <w:sz w:val="13"/>
              </w:rPr>
              <w:t>人</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6</w:t>
            </w:r>
            <w:r>
              <w:rPr>
                <w:rFonts w:hint="eastAsia" w:ascii="宋体" w:hAnsi="宋体" w:eastAsia="宋体"/>
                <w:color w:val="000000"/>
                <w:sz w:val="13"/>
              </w:rPr>
              <w:t>人</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8"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196"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30" w:after="0" w:line="239" w:lineRule="auto"/>
              <w:jc w:val="center"/>
              <w:rPr>
                <w:sz w:val="13"/>
              </w:rPr>
            </w:pPr>
            <w:r>
              <w:rPr>
                <w:rFonts w:hint="eastAsia" w:ascii="宋体" w:hAnsi="宋体" w:eastAsia="宋体"/>
                <w:color w:val="000000"/>
                <w:sz w:val="13"/>
              </w:rPr>
              <w:t>教师培训次数</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4</w:t>
            </w:r>
            <w:r>
              <w:rPr>
                <w:rFonts w:hint="eastAsia" w:ascii="宋体" w:hAnsi="宋体" w:eastAsia="宋体"/>
                <w:color w:val="000000"/>
                <w:sz w:val="13"/>
              </w:rPr>
              <w:t>次</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4</w:t>
            </w:r>
            <w:r>
              <w:rPr>
                <w:rFonts w:hint="eastAsia" w:ascii="宋体" w:hAnsi="宋体" w:eastAsia="宋体"/>
                <w:color w:val="000000"/>
                <w:sz w:val="13"/>
              </w:rPr>
              <w:t>次</w:t>
            </w:r>
          </w:p>
        </w:tc>
        <w:tc>
          <w:tcPr>
            <w:tcW w:w="68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01"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32" w:after="0" w:line="239" w:lineRule="auto"/>
              <w:jc w:val="center"/>
              <w:rPr>
                <w:sz w:val="13"/>
              </w:rPr>
            </w:pPr>
            <w:r>
              <w:rPr>
                <w:rFonts w:hint="eastAsia" w:ascii="宋体" w:hAnsi="宋体" w:eastAsia="宋体"/>
                <w:color w:val="000000"/>
                <w:sz w:val="13"/>
              </w:rPr>
              <w:t>学生招生数量</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80</w:t>
            </w:r>
            <w:r>
              <w:rPr>
                <w:rFonts w:hint="eastAsia" w:ascii="宋体" w:hAnsi="宋体" w:eastAsia="宋体"/>
                <w:color w:val="000000"/>
                <w:sz w:val="13"/>
              </w:rPr>
              <w:t>人</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104</w:t>
            </w:r>
            <w:r>
              <w:rPr>
                <w:rFonts w:hint="eastAsia" w:ascii="宋体" w:hAnsi="宋体" w:eastAsia="宋体"/>
                <w:color w:val="000000"/>
                <w:sz w:val="13"/>
              </w:rPr>
              <w:t>人</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33" w:after="0" w:line="239" w:lineRule="auto"/>
              <w:jc w:val="center"/>
              <w:rPr>
                <w:sz w:val="13"/>
              </w:rPr>
            </w:pPr>
            <w:r>
              <w:rPr>
                <w:rFonts w:hint="eastAsia" w:ascii="宋体" w:hAnsi="宋体" w:eastAsia="宋体"/>
                <w:color w:val="000000"/>
                <w:sz w:val="13"/>
              </w:rPr>
              <w:t>教师考核人数</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6</w:t>
            </w:r>
            <w:r>
              <w:rPr>
                <w:rFonts w:hint="eastAsia" w:ascii="宋体" w:hAnsi="宋体" w:eastAsia="宋体"/>
                <w:color w:val="000000"/>
                <w:sz w:val="13"/>
              </w:rPr>
              <w:t>人</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6</w:t>
            </w:r>
            <w:r>
              <w:rPr>
                <w:rFonts w:hint="eastAsia" w:ascii="宋体" w:hAnsi="宋体" w:eastAsia="宋体"/>
                <w:color w:val="000000"/>
                <w:sz w:val="13"/>
              </w:rPr>
              <w:t>人</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10</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10</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35" w:after="0" w:line="239" w:lineRule="auto"/>
              <w:jc w:val="center"/>
              <w:rPr>
                <w:sz w:val="13"/>
              </w:rPr>
            </w:pPr>
            <w:r>
              <w:rPr>
                <w:rFonts w:hint="eastAsia" w:ascii="宋体" w:hAnsi="宋体" w:eastAsia="宋体"/>
                <w:color w:val="000000"/>
                <w:sz w:val="13"/>
              </w:rPr>
              <w:t>经费使用准确率</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44" w:after="0" w:line="239" w:lineRule="auto"/>
              <w:jc w:val="center"/>
              <w:rPr>
                <w:sz w:val="13"/>
              </w:rPr>
            </w:pPr>
            <w:r>
              <w:rPr>
                <w:rFonts w:hint="eastAsia" w:ascii="Calibri" w:hAnsi="Calibri" w:eastAsia="Calibri"/>
                <w:color w:val="000000"/>
                <w:sz w:val="13"/>
              </w:rPr>
              <w:t>100%</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44" w:after="0" w:line="239" w:lineRule="auto"/>
              <w:jc w:val="center"/>
              <w:rPr>
                <w:sz w:val="13"/>
              </w:rPr>
            </w:pPr>
            <w:r>
              <w:rPr>
                <w:rFonts w:hint="eastAsia" w:ascii="Calibri" w:hAnsi="Calibri" w:eastAsia="Calibri"/>
                <w:color w:val="000000"/>
                <w:sz w:val="13"/>
              </w:rPr>
              <w:t>100%</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44"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0" w:after="0" w:line="206"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98"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17" w:after="0" w:line="239" w:lineRule="auto"/>
              <w:jc w:val="center"/>
              <w:rPr>
                <w:sz w:val="13"/>
              </w:rPr>
            </w:pPr>
            <w:r>
              <w:rPr>
                <w:rFonts w:hint="eastAsia" w:ascii="宋体" w:hAnsi="宋体" w:eastAsia="宋体"/>
                <w:color w:val="000000"/>
                <w:sz w:val="13"/>
              </w:rPr>
              <w:t>校园伙食保障情况</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37" w:after="0" w:line="239" w:lineRule="auto"/>
              <w:jc w:val="center"/>
              <w:rPr>
                <w:sz w:val="13"/>
              </w:rPr>
            </w:pPr>
            <w:r>
              <w:rPr>
                <w:rFonts w:hint="eastAsia" w:ascii="宋体" w:hAnsi="宋体" w:eastAsia="宋体"/>
                <w:color w:val="000000"/>
                <w:sz w:val="13"/>
              </w:rPr>
              <w:t>保障</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37" w:after="0" w:line="239" w:lineRule="auto"/>
              <w:jc w:val="center"/>
              <w:rPr>
                <w:sz w:val="13"/>
              </w:rPr>
            </w:pPr>
            <w:r>
              <w:rPr>
                <w:rFonts w:hint="eastAsia" w:ascii="宋体" w:hAnsi="宋体" w:eastAsia="宋体"/>
                <w:color w:val="000000"/>
                <w:sz w:val="13"/>
              </w:rPr>
              <w:t>保障</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46"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18" w:after="0" w:line="239" w:lineRule="auto"/>
              <w:jc w:val="center"/>
              <w:rPr>
                <w:sz w:val="13"/>
              </w:rPr>
            </w:pPr>
            <w:r>
              <w:rPr>
                <w:rFonts w:hint="eastAsia" w:ascii="宋体" w:hAnsi="宋体" w:eastAsia="宋体"/>
                <w:color w:val="000000"/>
                <w:sz w:val="13"/>
              </w:rPr>
              <w:t>食品安全达标率</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27" w:after="0" w:line="239" w:lineRule="auto"/>
              <w:jc w:val="center"/>
              <w:rPr>
                <w:sz w:val="13"/>
              </w:rPr>
            </w:pPr>
            <w:r>
              <w:rPr>
                <w:rFonts w:hint="eastAsia" w:ascii="Calibri" w:hAnsi="Calibri" w:eastAsia="Calibri"/>
                <w:color w:val="000000"/>
                <w:sz w:val="13"/>
              </w:rPr>
              <w:t>100%</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27" w:after="0" w:line="239" w:lineRule="auto"/>
              <w:jc w:val="center"/>
              <w:rPr>
                <w:sz w:val="13"/>
              </w:rPr>
            </w:pPr>
            <w:r>
              <w:rPr>
                <w:rFonts w:hint="eastAsia" w:ascii="Calibri" w:hAnsi="Calibri" w:eastAsia="Calibri"/>
                <w:color w:val="000000"/>
                <w:sz w:val="13"/>
              </w:rPr>
              <w:t>100%</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27"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0" w:after="0" w:line="191"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40" w:after="0" w:line="239" w:lineRule="auto"/>
              <w:jc w:val="center"/>
              <w:rPr>
                <w:sz w:val="13"/>
              </w:rPr>
            </w:pPr>
            <w:r>
              <w:rPr>
                <w:rFonts w:hint="eastAsia" w:ascii="宋体" w:hAnsi="宋体" w:eastAsia="宋体"/>
                <w:color w:val="000000"/>
                <w:sz w:val="13"/>
              </w:rPr>
              <w:t>设备验收合格率</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29" w:after="0" w:line="239" w:lineRule="auto"/>
              <w:jc w:val="center"/>
              <w:rPr>
                <w:sz w:val="13"/>
              </w:rPr>
            </w:pPr>
            <w:r>
              <w:rPr>
                <w:rFonts w:hint="eastAsia" w:ascii="Calibri" w:hAnsi="Calibri" w:eastAsia="Calibri"/>
                <w:color w:val="000000"/>
                <w:sz w:val="13"/>
              </w:rPr>
              <w:t>100%</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29" w:after="0" w:line="239" w:lineRule="auto"/>
              <w:jc w:val="center"/>
              <w:rPr>
                <w:sz w:val="13"/>
              </w:rPr>
            </w:pPr>
            <w:r>
              <w:rPr>
                <w:rFonts w:hint="eastAsia" w:ascii="Calibri" w:hAnsi="Calibri" w:eastAsia="Calibri"/>
                <w:color w:val="000000"/>
                <w:sz w:val="13"/>
              </w:rPr>
              <w:t>100%</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49"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49" w:after="0" w:line="239"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98"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21" w:after="0" w:line="239" w:lineRule="auto"/>
              <w:jc w:val="center"/>
              <w:rPr>
                <w:sz w:val="13"/>
              </w:rPr>
            </w:pPr>
            <w:r>
              <w:rPr>
                <w:rFonts w:hint="eastAsia" w:ascii="宋体" w:hAnsi="宋体" w:eastAsia="宋体"/>
                <w:color w:val="000000"/>
                <w:sz w:val="13"/>
              </w:rPr>
              <w:t>教师培训完成率</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31" w:after="0" w:line="239" w:lineRule="auto"/>
              <w:jc w:val="center"/>
              <w:rPr>
                <w:sz w:val="13"/>
              </w:rPr>
            </w:pPr>
            <w:r>
              <w:rPr>
                <w:rFonts w:hint="eastAsia" w:ascii="Calibri" w:hAnsi="Calibri" w:eastAsia="Calibri"/>
                <w:color w:val="000000"/>
                <w:sz w:val="13"/>
              </w:rPr>
              <w:t>100%</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31" w:after="0" w:line="239" w:lineRule="auto"/>
              <w:jc w:val="center"/>
              <w:rPr>
                <w:sz w:val="13"/>
              </w:rPr>
            </w:pPr>
            <w:r>
              <w:rPr>
                <w:rFonts w:hint="eastAsia" w:ascii="Calibri" w:hAnsi="Calibri" w:eastAsia="Calibri"/>
                <w:color w:val="000000"/>
                <w:sz w:val="13"/>
              </w:rPr>
              <w:t>100%</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31"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51" w:after="0" w:line="239"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98"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03" w:after="0" w:line="239" w:lineRule="auto"/>
              <w:jc w:val="center"/>
              <w:rPr>
                <w:sz w:val="13"/>
              </w:rPr>
            </w:pPr>
            <w:r>
              <w:rPr>
                <w:rFonts w:hint="eastAsia" w:ascii="宋体" w:hAnsi="宋体" w:eastAsia="宋体"/>
                <w:color w:val="000000"/>
                <w:sz w:val="13"/>
              </w:rPr>
              <w:t>完成时间</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 w:after="0" w:line="239" w:lineRule="auto"/>
              <w:jc w:val="center"/>
              <w:rPr>
                <w:sz w:val="13"/>
              </w:rPr>
            </w:pPr>
            <w:r>
              <w:rPr>
                <w:rFonts w:hint="eastAsia" w:ascii="Calibri" w:hAnsi="Calibri" w:eastAsia="Calibri"/>
                <w:color w:val="000000"/>
                <w:sz w:val="13"/>
              </w:rPr>
              <w:t>2024</w:t>
            </w:r>
            <w:r>
              <w:rPr>
                <w:rFonts w:hint="eastAsia" w:ascii="宋体" w:hAnsi="宋体" w:eastAsia="宋体"/>
                <w:color w:val="000000"/>
                <w:sz w:val="13"/>
              </w:rPr>
              <w:t>年内完成</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0" w:after="0" w:line="220" w:lineRule="auto"/>
              <w:jc w:val="center"/>
              <w:rPr>
                <w:sz w:val="13"/>
              </w:rPr>
            </w:pPr>
            <w:r>
              <w:rPr>
                <w:rFonts w:hint="eastAsia" w:ascii="Calibri" w:hAnsi="Calibri" w:eastAsia="Calibri"/>
                <w:color w:val="000000"/>
                <w:sz w:val="13"/>
              </w:rPr>
              <w:t>2024</w:t>
            </w:r>
            <w:r>
              <w:rPr>
                <w:rFonts w:hint="eastAsia" w:ascii="宋体" w:hAnsi="宋体" w:eastAsia="宋体"/>
                <w:color w:val="000000"/>
                <w:sz w:val="13"/>
              </w:rPr>
              <w:t>年内已完成</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12"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12" w:after="0" w:line="239"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wordWrap w:val="0"/>
              <w:spacing w:before="0" w:after="0" w:line="263" w:lineRule="auto"/>
              <w:ind w:firstLine="0"/>
              <w:jc w:val="both"/>
              <w:rPr>
                <w:rFonts w:hint="eastAsia" w:ascii="宋体" w:hAnsi="宋体" w:eastAsia="宋体"/>
                <w:color w:val="000000"/>
                <w:sz w:val="13"/>
              </w:rPr>
            </w:pPr>
          </w:p>
          <w:p>
            <w:pPr>
              <w:spacing w:before="102" w:after="0" w:line="239" w:lineRule="auto"/>
              <w:jc w:val="center"/>
              <w:rPr>
                <w:sz w:val="13"/>
              </w:rPr>
            </w:pPr>
            <w:r>
              <w:rPr>
                <w:rFonts w:hint="eastAsia" w:ascii="宋体" w:hAnsi="宋体" w:eastAsia="宋体"/>
                <w:color w:val="000000"/>
                <w:sz w:val="13"/>
              </w:rPr>
              <w:t>效益指标</w:t>
            </w: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24" w:after="0" w:line="239" w:lineRule="auto"/>
              <w:jc w:val="center"/>
              <w:rPr>
                <w:sz w:val="13"/>
              </w:rPr>
            </w:pPr>
            <w:r>
              <w:rPr>
                <w:rFonts w:hint="eastAsia" w:ascii="宋体" w:hAnsi="宋体" w:eastAsia="宋体"/>
                <w:color w:val="000000"/>
                <w:sz w:val="13"/>
              </w:rPr>
              <w:t>提高教师生活水平</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0" w:after="0" w:line="235" w:lineRule="auto"/>
              <w:jc w:val="center"/>
              <w:rPr>
                <w:sz w:val="13"/>
              </w:rPr>
            </w:pPr>
            <w:r>
              <w:rPr>
                <w:rFonts w:hint="eastAsia" w:ascii="宋体" w:hAnsi="宋体" w:eastAsia="宋体"/>
                <w:color w:val="000000"/>
                <w:sz w:val="13"/>
              </w:rPr>
              <w:t>提高教师生活水平</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24" w:after="0" w:line="239" w:lineRule="auto"/>
              <w:jc w:val="center"/>
              <w:rPr>
                <w:sz w:val="13"/>
              </w:rPr>
            </w:pPr>
            <w:r>
              <w:rPr>
                <w:rFonts w:hint="eastAsia" w:ascii="宋体" w:hAnsi="宋体" w:eastAsia="宋体"/>
                <w:color w:val="000000"/>
                <w:sz w:val="13"/>
              </w:rPr>
              <w:t>基本提高</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34"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34" w:after="0" w:line="239" w:lineRule="auto"/>
              <w:jc w:val="center"/>
              <w:rPr>
                <w:sz w:val="13"/>
              </w:rPr>
            </w:pPr>
            <w:r>
              <w:rPr>
                <w:rFonts w:hint="eastAsia" w:ascii="Calibri" w:hAnsi="Calibri" w:eastAsia="Calibri"/>
                <w:color w:val="000000"/>
                <w:sz w:val="13"/>
              </w:rPr>
              <w:t>3</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98"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0" w:after="0" w:line="235" w:lineRule="auto"/>
              <w:jc w:val="center"/>
              <w:rPr>
                <w:sz w:val="13"/>
              </w:rPr>
            </w:pPr>
            <w:r>
              <w:rPr>
                <w:rFonts w:hint="eastAsia" w:ascii="宋体" w:hAnsi="宋体" w:eastAsia="宋体"/>
                <w:color w:val="000000"/>
                <w:sz w:val="13"/>
              </w:rPr>
              <w:t>对提高单位工作效率的影响程度</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26" w:after="0" w:line="239" w:lineRule="auto"/>
              <w:jc w:val="center"/>
              <w:rPr>
                <w:sz w:val="13"/>
              </w:rPr>
            </w:pPr>
            <w:r>
              <w:rPr>
                <w:rFonts w:hint="eastAsia" w:ascii="宋体" w:hAnsi="宋体" w:eastAsia="宋体"/>
                <w:color w:val="000000"/>
                <w:sz w:val="13"/>
              </w:rPr>
              <w:t>提高</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26" w:after="0" w:line="239" w:lineRule="auto"/>
              <w:jc w:val="center"/>
              <w:rPr>
                <w:sz w:val="13"/>
              </w:rPr>
            </w:pPr>
            <w:r>
              <w:rPr>
                <w:rFonts w:hint="eastAsia" w:ascii="宋体" w:hAnsi="宋体" w:eastAsia="宋体"/>
                <w:color w:val="000000"/>
                <w:sz w:val="13"/>
              </w:rPr>
              <w:t>基本提高</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15"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35" w:after="0" w:line="239" w:lineRule="auto"/>
              <w:jc w:val="center"/>
              <w:rPr>
                <w:sz w:val="13"/>
              </w:rPr>
            </w:pPr>
            <w:r>
              <w:rPr>
                <w:rFonts w:hint="eastAsia" w:ascii="Calibri" w:hAnsi="Calibri" w:eastAsia="Calibri"/>
                <w:color w:val="000000"/>
                <w:sz w:val="13"/>
              </w:rPr>
              <w:t>3</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98"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0" w:after="0" w:line="220" w:lineRule="auto"/>
              <w:jc w:val="center"/>
              <w:rPr>
                <w:sz w:val="13"/>
              </w:rPr>
            </w:pPr>
            <w:r>
              <w:rPr>
                <w:rFonts w:hint="eastAsia" w:ascii="宋体" w:hAnsi="宋体" w:eastAsia="宋体"/>
                <w:color w:val="000000"/>
                <w:sz w:val="13"/>
              </w:rPr>
              <w:t>使教师和学生拥有良好的教育氛围</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0" w:after="0" w:line="220" w:lineRule="auto"/>
              <w:jc w:val="center"/>
              <w:rPr>
                <w:sz w:val="13"/>
              </w:rPr>
            </w:pPr>
            <w:r>
              <w:rPr>
                <w:rFonts w:hint="eastAsia" w:ascii="宋体" w:hAnsi="宋体" w:eastAsia="宋体"/>
                <w:color w:val="000000"/>
                <w:sz w:val="13"/>
              </w:rPr>
              <w:t>使教师和学生拥有良好</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6" w:after="0" w:line="239" w:lineRule="auto"/>
              <w:jc w:val="center"/>
              <w:rPr>
                <w:sz w:val="13"/>
              </w:rPr>
            </w:pPr>
            <w:r>
              <w:rPr>
                <w:rFonts w:hint="eastAsia" w:ascii="宋体" w:hAnsi="宋体" w:eastAsia="宋体"/>
                <w:color w:val="000000"/>
                <w:sz w:val="13"/>
              </w:rPr>
              <w:t>拥有良好氛围</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97"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97" w:after="0" w:line="239"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89" w:after="0" w:line="239" w:lineRule="auto"/>
              <w:jc w:val="center"/>
              <w:rPr>
                <w:sz w:val="13"/>
              </w:rPr>
            </w:pPr>
            <w:r>
              <w:rPr>
                <w:rFonts w:hint="eastAsia" w:ascii="宋体" w:hAnsi="宋体" w:eastAsia="宋体"/>
                <w:color w:val="000000"/>
                <w:sz w:val="13"/>
              </w:rPr>
              <w:t>改善校园环境</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09" w:after="0" w:line="239" w:lineRule="auto"/>
              <w:jc w:val="center"/>
              <w:rPr>
                <w:sz w:val="13"/>
              </w:rPr>
            </w:pPr>
            <w:r>
              <w:rPr>
                <w:rFonts w:hint="eastAsia" w:ascii="宋体" w:hAnsi="宋体" w:eastAsia="宋体"/>
                <w:color w:val="000000"/>
                <w:sz w:val="13"/>
              </w:rPr>
              <w:t>改善</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09" w:after="0" w:line="239" w:lineRule="auto"/>
              <w:jc w:val="center"/>
              <w:rPr>
                <w:sz w:val="13"/>
              </w:rPr>
            </w:pPr>
            <w:r>
              <w:rPr>
                <w:rFonts w:hint="eastAsia" w:ascii="宋体" w:hAnsi="宋体" w:eastAsia="宋体"/>
                <w:color w:val="000000"/>
                <w:sz w:val="13"/>
              </w:rPr>
              <w:t>基本改善</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18"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98" w:after="0" w:line="239" w:lineRule="auto"/>
              <w:jc w:val="center"/>
              <w:rPr>
                <w:sz w:val="13"/>
              </w:rPr>
            </w:pPr>
            <w:r>
              <w:rPr>
                <w:rFonts w:hint="eastAsia" w:ascii="Calibri" w:hAnsi="Calibri" w:eastAsia="Calibri"/>
                <w:color w:val="000000"/>
                <w:sz w:val="13"/>
              </w:rPr>
              <w:t>4</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10" w:after="0" w:line="239" w:lineRule="auto"/>
              <w:jc w:val="center"/>
              <w:rPr>
                <w:sz w:val="13"/>
              </w:rPr>
            </w:pPr>
            <w:r>
              <w:rPr>
                <w:rFonts w:hint="eastAsia" w:ascii="宋体" w:hAnsi="宋体" w:eastAsia="宋体"/>
                <w:color w:val="000000"/>
                <w:sz w:val="13"/>
              </w:rPr>
              <w:t>可持续发展</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10" w:after="0" w:line="239" w:lineRule="auto"/>
              <w:jc w:val="center"/>
              <w:rPr>
                <w:sz w:val="13"/>
              </w:rPr>
            </w:pPr>
            <w:r>
              <w:rPr>
                <w:rFonts w:hint="eastAsia" w:ascii="宋体" w:hAnsi="宋体" w:eastAsia="宋体"/>
                <w:color w:val="000000"/>
                <w:sz w:val="13"/>
              </w:rPr>
              <w:t>可持续发展</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30" w:after="0" w:line="239" w:lineRule="auto"/>
              <w:jc w:val="center"/>
              <w:rPr>
                <w:sz w:val="13"/>
              </w:rPr>
            </w:pPr>
            <w:r>
              <w:rPr>
                <w:rFonts w:hint="eastAsia" w:ascii="宋体" w:hAnsi="宋体" w:eastAsia="宋体"/>
                <w:color w:val="000000"/>
                <w:sz w:val="13"/>
              </w:rPr>
              <w:t>可持续发展</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20"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20" w:after="0" w:line="239"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6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263" w:lineRule="auto"/>
              <w:ind w:firstLine="0"/>
              <w:jc w:val="both"/>
              <w:rPr>
                <w:rFonts w:hint="eastAsia" w:ascii="宋体" w:hAnsi="宋体" w:eastAsia="宋体"/>
                <w:color w:val="000000"/>
                <w:sz w:val="13"/>
              </w:rPr>
            </w:pPr>
          </w:p>
          <w:p>
            <w:pPr>
              <w:spacing w:before="25" w:after="0" w:line="239" w:lineRule="auto"/>
              <w:jc w:val="center"/>
              <w:rPr>
                <w:sz w:val="13"/>
              </w:rPr>
            </w:pPr>
            <w:r>
              <w:rPr>
                <w:rFonts w:hint="eastAsia" w:ascii="宋体" w:hAnsi="宋体" w:eastAsia="宋体"/>
                <w:color w:val="000000"/>
                <w:sz w:val="13"/>
              </w:rPr>
              <w:t>满意度指标</w:t>
            </w: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112" w:after="0" w:line="239" w:lineRule="auto"/>
              <w:jc w:val="center"/>
              <w:rPr>
                <w:sz w:val="13"/>
              </w:rPr>
            </w:pPr>
            <w:r>
              <w:rPr>
                <w:rFonts w:hint="eastAsia" w:ascii="宋体" w:hAnsi="宋体" w:eastAsia="宋体"/>
                <w:color w:val="000000"/>
                <w:sz w:val="13"/>
              </w:rPr>
              <w:t>教师满意度</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101" w:after="0" w:line="239" w:lineRule="auto"/>
              <w:jc w:val="center"/>
              <w:rPr>
                <w:sz w:val="13"/>
              </w:rPr>
            </w:pPr>
            <w:r>
              <w:rPr>
                <w:rFonts w:hint="eastAsia" w:ascii="Calibri" w:hAnsi="Calibri" w:eastAsia="Calibri"/>
                <w:color w:val="000000"/>
                <w:sz w:val="13"/>
              </w:rPr>
              <w:t>90%</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101" w:after="0" w:line="239" w:lineRule="auto"/>
              <w:jc w:val="center"/>
              <w:rPr>
                <w:sz w:val="13"/>
              </w:rPr>
            </w:pPr>
            <w:r>
              <w:rPr>
                <w:rFonts w:hint="eastAsia" w:ascii="Calibri" w:hAnsi="Calibri" w:eastAsia="Calibri"/>
                <w:color w:val="000000"/>
                <w:sz w:val="13"/>
              </w:rPr>
              <w:t>95%</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21" w:after="0" w:line="239" w:lineRule="auto"/>
              <w:jc w:val="center"/>
              <w:rPr>
                <w:sz w:val="13"/>
              </w:rPr>
            </w:pPr>
            <w:r>
              <w:rPr>
                <w:rFonts w:hint="eastAsia" w:ascii="Calibri" w:hAnsi="Calibri" w:eastAsia="Calibri"/>
                <w:color w:val="000000"/>
                <w:sz w:val="13"/>
              </w:rPr>
              <w:t>2</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21" w:after="0" w:line="239" w:lineRule="auto"/>
              <w:jc w:val="center"/>
              <w:rPr>
                <w:sz w:val="13"/>
              </w:rPr>
            </w:pPr>
            <w:r>
              <w:rPr>
                <w:rFonts w:hint="eastAsia" w:ascii="Calibri" w:hAnsi="Calibri" w:eastAsia="Calibri"/>
                <w:color w:val="000000"/>
                <w:sz w:val="13"/>
              </w:rPr>
              <w:t>2</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98"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74" w:after="0" w:line="239" w:lineRule="auto"/>
              <w:jc w:val="center"/>
              <w:rPr>
                <w:sz w:val="13"/>
              </w:rPr>
            </w:pPr>
            <w:r>
              <w:rPr>
                <w:rFonts w:hint="eastAsia" w:ascii="宋体" w:hAnsi="宋体" w:eastAsia="宋体"/>
                <w:color w:val="000000"/>
                <w:sz w:val="13"/>
              </w:rPr>
              <w:t>家长满意度</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83" w:after="0" w:line="239" w:lineRule="auto"/>
              <w:jc w:val="center"/>
              <w:rPr>
                <w:sz w:val="13"/>
              </w:rPr>
            </w:pPr>
            <w:r>
              <w:rPr>
                <w:rFonts w:hint="eastAsia" w:ascii="Calibri" w:hAnsi="Calibri" w:eastAsia="Calibri"/>
                <w:color w:val="000000"/>
                <w:sz w:val="13"/>
              </w:rPr>
              <w:t>90%</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83" w:after="0" w:line="239" w:lineRule="auto"/>
              <w:jc w:val="center"/>
              <w:rPr>
                <w:sz w:val="13"/>
              </w:rPr>
            </w:pPr>
            <w:r>
              <w:rPr>
                <w:rFonts w:hint="eastAsia" w:ascii="Calibri" w:hAnsi="Calibri" w:eastAsia="Calibri"/>
                <w:color w:val="000000"/>
                <w:sz w:val="13"/>
              </w:rPr>
              <w:t>92%</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83" w:after="0" w:line="239" w:lineRule="auto"/>
              <w:jc w:val="center"/>
              <w:rPr>
                <w:sz w:val="13"/>
              </w:rPr>
            </w:pPr>
            <w:r>
              <w:rPr>
                <w:rFonts w:hint="eastAsia" w:ascii="Calibri" w:hAnsi="Calibri" w:eastAsia="Calibri"/>
                <w:color w:val="000000"/>
                <w:sz w:val="13"/>
              </w:rPr>
              <w:t>3</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03" w:after="0" w:line="239" w:lineRule="auto"/>
              <w:jc w:val="center"/>
              <w:rPr>
                <w:sz w:val="13"/>
              </w:rPr>
            </w:pPr>
            <w:r>
              <w:rPr>
                <w:rFonts w:hint="eastAsia" w:ascii="Calibri" w:hAnsi="Calibri" w:eastAsia="Calibri"/>
                <w:color w:val="000000"/>
                <w:sz w:val="13"/>
              </w:rPr>
              <w:t>3</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restart"/>
            <w:tcBorders>
              <w:top w:val="single" w:color="000000" w:sz="4" w:space="0"/>
              <w:left w:val="single" w:color="000000" w:sz="4" w:space="0"/>
              <w:bottom w:val="single" w:color="000000" w:sz="4" w:space="0"/>
              <w:right w:val="single" w:color="000000" w:sz="4" w:space="0"/>
            </w:tcBorders>
            <w:vAlign w:val="top"/>
          </w:tcPr>
          <w:p>
            <w:pPr>
              <w:wordWrap w:val="0"/>
              <w:spacing w:before="0" w:after="0" w:line="335" w:lineRule="auto"/>
              <w:ind w:firstLine="0"/>
              <w:jc w:val="both"/>
              <w:rPr>
                <w:rFonts w:hint="eastAsia" w:ascii="宋体" w:hAnsi="宋体" w:eastAsia="宋体"/>
                <w:color w:val="000000"/>
                <w:sz w:val="13"/>
              </w:rPr>
            </w:pPr>
          </w:p>
          <w:p>
            <w:pPr>
              <w:spacing w:before="0" w:after="0" w:line="191" w:lineRule="auto"/>
              <w:jc w:val="center"/>
              <w:rPr>
                <w:sz w:val="13"/>
              </w:rPr>
            </w:pPr>
            <w:r>
              <w:rPr>
                <w:rFonts w:hint="eastAsia" w:ascii="宋体" w:hAnsi="宋体" w:eastAsia="宋体"/>
                <w:color w:val="000000"/>
                <w:sz w:val="13"/>
              </w:rPr>
              <w:t>成本指标</w:t>
            </w:r>
          </w:p>
        </w:tc>
        <w:tc>
          <w:tcPr>
            <w:tcW w:w="1760" w:type="dxa"/>
            <w:tcBorders>
              <w:top w:val="single" w:color="000000" w:sz="4" w:space="0"/>
              <w:left w:val="single" w:color="000000" w:sz="4" w:space="0"/>
              <w:bottom w:val="single" w:color="000000" w:sz="4" w:space="0"/>
              <w:right w:val="single" w:color="000000" w:sz="4" w:space="0"/>
            </w:tcBorders>
            <w:vAlign w:val="top"/>
          </w:tcPr>
          <w:p>
            <w:pPr>
              <w:spacing w:before="75" w:after="0" w:line="239" w:lineRule="auto"/>
              <w:jc w:val="center"/>
              <w:rPr>
                <w:sz w:val="13"/>
              </w:rPr>
            </w:pPr>
            <w:r>
              <w:rPr>
                <w:rFonts w:hint="eastAsia" w:ascii="宋体" w:hAnsi="宋体" w:eastAsia="宋体"/>
                <w:color w:val="000000"/>
                <w:sz w:val="13"/>
              </w:rPr>
              <w:t>部门整体控制数</w:t>
            </w:r>
          </w:p>
        </w:tc>
        <w:tc>
          <w:tcPr>
            <w:tcW w:w="920" w:type="dxa"/>
            <w:gridSpan w:val="2"/>
            <w:tcBorders>
              <w:top w:val="single" w:color="000000" w:sz="4" w:space="0"/>
              <w:left w:val="single" w:color="000000" w:sz="4" w:space="0"/>
              <w:bottom w:val="single" w:color="000000" w:sz="4" w:space="0"/>
              <w:right w:val="single" w:color="000000" w:sz="4" w:space="0"/>
            </w:tcBorders>
            <w:vAlign w:val="top"/>
          </w:tcPr>
          <w:p>
            <w:pPr>
              <w:spacing w:before="75" w:after="0" w:line="239" w:lineRule="auto"/>
              <w:jc w:val="center"/>
              <w:rPr>
                <w:sz w:val="13"/>
              </w:rPr>
            </w:pPr>
            <w:r>
              <w:rPr>
                <w:rFonts w:hint="eastAsia" w:ascii="Calibri" w:hAnsi="Calibri" w:eastAsia="Calibri"/>
                <w:color w:val="000000"/>
                <w:sz w:val="13"/>
              </w:rPr>
              <w:t>47.61</w:t>
            </w:r>
            <w:r>
              <w:rPr>
                <w:rFonts w:hint="eastAsia" w:ascii="宋体" w:hAnsi="宋体" w:eastAsia="宋体"/>
                <w:color w:val="000000"/>
                <w:sz w:val="13"/>
              </w:rPr>
              <w:t>万元</w:t>
            </w:r>
          </w:p>
        </w:tc>
        <w:tc>
          <w:tcPr>
            <w:tcW w:w="880" w:type="dxa"/>
            <w:tcBorders>
              <w:top w:val="single" w:color="000000" w:sz="4" w:space="0"/>
              <w:left w:val="single" w:color="000000" w:sz="4" w:space="0"/>
              <w:bottom w:val="single" w:color="000000" w:sz="4" w:space="0"/>
              <w:right w:val="single" w:color="000000" w:sz="4" w:space="0"/>
            </w:tcBorders>
            <w:vAlign w:val="top"/>
          </w:tcPr>
          <w:p>
            <w:pPr>
              <w:spacing w:before="75" w:after="0" w:line="239" w:lineRule="auto"/>
              <w:jc w:val="center"/>
              <w:rPr>
                <w:sz w:val="13"/>
              </w:rPr>
            </w:pPr>
            <w:r>
              <w:rPr>
                <w:rFonts w:hint="eastAsia" w:ascii="Calibri" w:hAnsi="Calibri" w:eastAsia="Calibri"/>
                <w:color w:val="000000"/>
                <w:sz w:val="13"/>
              </w:rPr>
              <w:t>47.61</w:t>
            </w:r>
            <w:r>
              <w:rPr>
                <w:rFonts w:hint="eastAsia" w:ascii="宋体" w:hAnsi="宋体" w:eastAsia="宋体"/>
                <w:color w:val="000000"/>
                <w:sz w:val="13"/>
              </w:rPr>
              <w:t>万元</w:t>
            </w:r>
          </w:p>
        </w:tc>
        <w:tc>
          <w:tcPr>
            <w:tcW w:w="680" w:type="dxa"/>
            <w:tcBorders>
              <w:top w:val="single" w:color="000000" w:sz="4" w:space="0"/>
              <w:left w:val="single" w:color="000000" w:sz="4" w:space="0"/>
              <w:bottom w:val="single" w:color="000000" w:sz="4" w:space="0"/>
              <w:right w:val="single" w:color="000000" w:sz="4" w:space="0"/>
            </w:tcBorders>
            <w:vAlign w:val="top"/>
          </w:tcPr>
          <w:p>
            <w:pPr>
              <w:spacing w:before="104" w:after="0" w:line="239" w:lineRule="auto"/>
              <w:jc w:val="center"/>
              <w:rPr>
                <w:sz w:val="13"/>
              </w:rPr>
            </w:pPr>
            <w:r>
              <w:rPr>
                <w:rFonts w:hint="eastAsia" w:ascii="Calibri" w:hAnsi="Calibri" w:eastAsia="Calibri"/>
                <w:color w:val="000000"/>
                <w:sz w:val="13"/>
              </w:rPr>
              <w:t>5</w:t>
            </w:r>
          </w:p>
        </w:tc>
        <w:tc>
          <w:tcPr>
            <w:tcW w:w="940" w:type="dxa"/>
            <w:tcBorders>
              <w:top w:val="single" w:color="000000" w:sz="4" w:space="0"/>
              <w:left w:val="single" w:color="000000" w:sz="4" w:space="0"/>
              <w:bottom w:val="single" w:color="000000" w:sz="4" w:space="0"/>
              <w:right w:val="single" w:color="000000" w:sz="4" w:space="0"/>
            </w:tcBorders>
            <w:vAlign w:val="top"/>
          </w:tcPr>
          <w:p>
            <w:pPr>
              <w:spacing w:before="104" w:after="0" w:line="239" w:lineRule="auto"/>
              <w:jc w:val="center"/>
              <w:rPr>
                <w:sz w:val="13"/>
              </w:rPr>
            </w:pPr>
            <w:r>
              <w:rPr>
                <w:rFonts w:hint="eastAsia" w:ascii="Calibri" w:hAnsi="Calibri" w:eastAsia="Calibri"/>
                <w:color w:val="000000"/>
                <w:sz w:val="13"/>
              </w:rPr>
              <w:t>5</w:t>
            </w: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9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88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68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94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40" w:hRule="atLeast"/>
        </w:trPr>
        <w:tc>
          <w:tcPr>
            <w:tcW w:w="720" w:type="dxa"/>
            <w:vMerge w:val="continue"/>
            <w:tcBorders>
              <w:top w:val="single" w:color="000000" w:sz="4" w:space="0"/>
              <w:left w:val="single" w:color="000000" w:sz="4" w:space="0"/>
              <w:bottom w:val="single" w:color="000000" w:sz="4" w:space="0"/>
              <w:right w:val="single" w:color="000000" w:sz="4" w:space="0"/>
            </w:tcBorders>
          </w:tcPr>
          <w:p/>
        </w:tc>
        <w:tc>
          <w:tcPr>
            <w:tcW w:w="820" w:type="dxa"/>
            <w:vMerge w:val="continue"/>
            <w:tcBorders>
              <w:top w:val="single" w:color="000000" w:sz="4" w:space="0"/>
              <w:left w:val="single" w:color="000000" w:sz="4" w:space="0"/>
              <w:bottom w:val="single" w:color="000000" w:sz="4" w:space="0"/>
              <w:right w:val="single" w:color="000000" w:sz="4" w:space="0"/>
            </w:tcBorders>
          </w:tcPr>
          <w:p/>
        </w:tc>
        <w:tc>
          <w:tcPr>
            <w:tcW w:w="176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920" w:type="dxa"/>
            <w:gridSpan w:val="2"/>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88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68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940" w:type="dxa"/>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c>
          <w:tcPr>
            <w:tcW w:w="3060" w:type="dxa"/>
            <w:gridSpan w:val="3"/>
            <w:tcBorders>
              <w:top w:val="single" w:color="000000" w:sz="4" w:space="0"/>
              <w:left w:val="single" w:color="000000" w:sz="4" w:space="0"/>
              <w:bottom w:val="single" w:color="000000" w:sz="4" w:space="0"/>
              <w:right w:val="single" w:color="000000" w:sz="4" w:space="0"/>
            </w:tcBorders>
            <w:vAlign w:val="center"/>
          </w:tcPr>
          <w:p>
            <w:pPr>
              <w:wordWrap w:val="0"/>
              <w:spacing w:before="0" w:after="0" w:line="280" w:lineRule="auto"/>
              <w:ind w:firstLine="0"/>
              <w:jc w:val="both"/>
              <w:rPr>
                <w:rFonts w:hint="eastAsia" w:ascii="宋体" w:hAnsi="宋体" w:eastAsia="宋体"/>
                <w:color w:val="000000"/>
                <w:sz w:val="21"/>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300" w:hRule="atLeast"/>
        </w:trPr>
        <w:tc>
          <w:tcPr>
            <w:tcW w:w="1540" w:type="dxa"/>
            <w:gridSpan w:val="2"/>
            <w:tcBorders>
              <w:top w:val="single" w:color="000000" w:sz="4" w:space="0"/>
              <w:left w:val="single" w:color="000000" w:sz="4" w:space="0"/>
              <w:bottom w:val="single" w:color="000000" w:sz="4" w:space="0"/>
              <w:right w:val="single" w:color="000000" w:sz="4" w:space="0"/>
            </w:tcBorders>
            <w:vAlign w:val="top"/>
          </w:tcPr>
          <w:p>
            <w:pPr>
              <w:spacing w:before="60" w:after="0" w:line="239" w:lineRule="auto"/>
              <w:jc w:val="center"/>
              <w:rPr>
                <w:sz w:val="13"/>
              </w:rPr>
            </w:pPr>
            <w:r>
              <w:rPr>
                <w:rFonts w:hint="eastAsia" w:ascii="宋体" w:hAnsi="宋体" w:eastAsia="宋体"/>
                <w:color w:val="000000"/>
                <w:sz w:val="13"/>
              </w:rPr>
              <w:t>总分</w:t>
            </w:r>
          </w:p>
        </w:tc>
        <w:tc>
          <w:tcPr>
            <w:tcW w:w="8240" w:type="dxa"/>
            <w:gridSpan w:val="9"/>
            <w:tcBorders>
              <w:top w:val="single" w:color="000000" w:sz="4" w:space="0"/>
              <w:left w:val="single" w:color="000000" w:sz="4" w:space="0"/>
              <w:bottom w:val="single" w:color="000000" w:sz="4" w:space="0"/>
              <w:right w:val="single" w:color="000000" w:sz="4" w:space="0"/>
            </w:tcBorders>
            <w:vAlign w:val="top"/>
          </w:tcPr>
          <w:p>
            <w:pPr>
              <w:spacing w:before="89" w:after="0" w:line="239" w:lineRule="auto"/>
              <w:jc w:val="center"/>
              <w:rPr>
                <w:sz w:val="13"/>
              </w:rPr>
            </w:pPr>
            <w:r>
              <w:rPr>
                <w:rFonts w:hint="eastAsia" w:ascii="Calibri" w:hAnsi="Calibri" w:eastAsia="Calibri"/>
                <w:color w:val="000000"/>
                <w:sz w:val="13"/>
              </w:rPr>
              <w:t>85</w:t>
            </w:r>
          </w:p>
        </w:tc>
      </w:tr>
    </w:tbl>
    <w:p>
      <w:pPr>
        <w:spacing w:line="1" w:lineRule="exact"/>
      </w:pPr>
    </w:p>
    <w:p>
      <w:pPr>
        <w:spacing w:before="68" w:line="560" w:lineRule="exact"/>
        <w:jc w:val="center"/>
        <w:rPr>
          <w:rFonts w:ascii="仿宋" w:hAnsi="仿宋" w:eastAsia="仿宋" w:cs="仿宋"/>
          <w:spacing w:val="5"/>
          <w:sz w:val="29"/>
          <w:szCs w:val="29"/>
          <w:lang w:eastAsia="zh-CN"/>
        </w:rPr>
      </w:pPr>
    </w:p>
    <w:p>
      <w:pPr>
        <w:spacing w:before="68" w:line="560" w:lineRule="exact"/>
        <w:jc w:val="center"/>
        <w:rPr>
          <w:rFonts w:ascii="仿宋" w:hAnsi="仿宋" w:eastAsia="仿宋" w:cs="仿宋"/>
          <w:spacing w:val="5"/>
          <w:sz w:val="29"/>
          <w:szCs w:val="29"/>
          <w:lang w:eastAsia="zh-CN"/>
        </w:rPr>
      </w:pPr>
    </w:p>
    <w:p>
      <w:pPr>
        <w:widowControl/>
        <w:rPr>
          <w:rFonts w:ascii="黑体" w:hAnsi="黑体" w:eastAsia="黑体"/>
          <w:kern w:val="0"/>
          <w:sz w:val="32"/>
          <w:szCs w:val="32"/>
        </w:rPr>
      </w:pPr>
    </w:p>
    <w:p>
      <w:pPr>
        <w:widowControl/>
        <w:rPr>
          <w:rFonts w:ascii="Times New Roman" w:hAnsi="Times New Roman"/>
          <w:kern w:val="0"/>
          <w:sz w:val="40"/>
          <w:szCs w:val="40"/>
        </w:rPr>
      </w:pPr>
      <w:r>
        <w:rPr>
          <w:rFonts w:hint="eastAsia" w:ascii="方正小标宋_GBK" w:hAnsi="方正小标宋_GBK" w:eastAsia="方正小标宋_GBK"/>
          <w:kern w:val="0"/>
          <w:sz w:val="40"/>
          <w:szCs w:val="40"/>
        </w:rPr>
        <w:t>冷水铺中心幼儿园</w:t>
      </w:r>
      <w:r>
        <w:rPr>
          <w:rFonts w:ascii="方正小标宋_GBK" w:hAnsi="方正小标宋_GBK" w:eastAsia="方正小标宋_GBK"/>
          <w:kern w:val="0"/>
          <w:sz w:val="40"/>
          <w:szCs w:val="40"/>
        </w:rPr>
        <w:t>部门整体支出绩效评价表</w:t>
      </w:r>
    </w:p>
    <w:tbl>
      <w:tblPr>
        <w:tblStyle w:val="5"/>
        <w:tblpPr w:leftFromText="180" w:rightFromText="180" w:vertAnchor="text" w:horzAnchor="page" w:tblpX="1292" w:tblpY="715"/>
        <w:tblOverlap w:val="never"/>
        <w:tblW w:w="10608" w:type="dxa"/>
        <w:tblInd w:w="0" w:type="dxa"/>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gridCol w:w="8"/>
      </w:tblGrid>
      <w:tr>
        <w:tblPrEx>
          <w:tblCellMar>
            <w:top w:w="0" w:type="dxa"/>
            <w:left w:w="108" w:type="dxa"/>
            <w:bottom w:w="0" w:type="dxa"/>
            <w:right w:w="108" w:type="dxa"/>
          </w:tblCellMar>
        </w:tblPrEx>
        <w:trPr>
          <w:gridAfter w:val="1"/>
          <w:wAfter w:w="8" w:type="dxa"/>
        </w:trPr>
        <w:tc>
          <w:tcPr>
            <w:tcW w:w="518" w:type="dxa"/>
            <w:tcBorders>
              <w:top w:val="single" w:color="auto" w:sz="4" w:space="0"/>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三级</w:t>
            </w:r>
          </w:p>
          <w:p>
            <w:pPr>
              <w:widowControl/>
              <w:jc w:val="center"/>
              <w:rPr>
                <w:rFonts w:eastAsia="仿宋_GB2312"/>
                <w:kern w:val="0"/>
                <w:sz w:val="20"/>
                <w:szCs w:val="20"/>
              </w:rPr>
            </w:pPr>
            <w:r>
              <w:rPr>
                <w:rFonts w:eastAsia="仿宋_GB2312"/>
                <w:kern w:val="0"/>
                <w:sz w:val="20"/>
                <w:szCs w:val="20"/>
              </w:rPr>
              <w:t>指标</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分值</w:t>
            </w:r>
          </w:p>
        </w:tc>
        <w:tc>
          <w:tcPr>
            <w:tcW w:w="2977"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得分</w:t>
            </w:r>
          </w:p>
        </w:tc>
      </w:tr>
      <w:tr>
        <w:tblPrEx>
          <w:tblCellMar>
            <w:top w:w="0" w:type="dxa"/>
            <w:left w:w="108" w:type="dxa"/>
            <w:bottom w:w="0" w:type="dxa"/>
            <w:right w:w="108" w:type="dxa"/>
          </w:tblCellMar>
        </w:tblPrEx>
        <w:trPr>
          <w:gridAfter w:val="1"/>
          <w:wAfter w:w="8" w:type="dxa"/>
          <w:trHeight w:val="1814" w:hRule="atLeast"/>
        </w:trPr>
        <w:tc>
          <w:tcPr>
            <w:tcW w:w="518" w:type="dxa"/>
            <w:vMerge w:val="restart"/>
            <w:tcBorders>
              <w:top w:val="nil"/>
              <w:left w:val="single" w:color="auto" w:sz="4" w:space="0"/>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noWrap/>
            <w:vAlign w:val="center"/>
          </w:tcPr>
          <w:p>
            <w:pPr>
              <w:widowControl/>
              <w:jc w:val="left"/>
              <w:rPr>
                <w:rFonts w:eastAsia="仿宋_GB2312"/>
                <w:kern w:val="0"/>
                <w:sz w:val="20"/>
                <w:szCs w:val="20"/>
              </w:rPr>
            </w:pPr>
            <w:r>
              <w:rPr>
                <w:rFonts w:eastAsia="仿宋_GB2312"/>
                <w:kern w:val="0"/>
                <w:sz w:val="20"/>
                <w:szCs w:val="20"/>
              </w:rPr>
              <w:t>以100%</w:t>
            </w:r>
            <w:r>
              <w:rPr>
                <w:rFonts w:ascii="仿宋_GB2312" w:hAnsi="仿宋_GB2312" w:eastAsia="仿宋_GB2312"/>
                <w:kern w:val="0"/>
                <w:sz w:val="20"/>
                <w:szCs w:val="20"/>
              </w:rPr>
              <w:t>为标准。在职人员控制率</w:t>
            </w:r>
            <w:r>
              <w:rPr>
                <w:rFonts w:hint="eastAsia" w:ascii="宋体" w:hAnsi="宋体"/>
                <w:kern w:val="0"/>
                <w:sz w:val="20"/>
                <w:szCs w:val="20"/>
              </w:rPr>
              <w:t>≦</w:t>
            </w:r>
            <w:r>
              <w:rPr>
                <w:rFonts w:eastAsia="仿宋_GB2312"/>
                <w:kern w:val="0"/>
                <w:sz w:val="20"/>
                <w:szCs w:val="20"/>
              </w:rPr>
              <w:t>100%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分；每超过一个百分点扣</w:t>
            </w:r>
            <w:r>
              <w:rPr>
                <w:rFonts w:eastAsia="仿宋_GB2312"/>
                <w:kern w:val="0"/>
                <w:sz w:val="20"/>
                <w:szCs w:val="20"/>
              </w:rPr>
              <w:t>0.5</w:t>
            </w:r>
            <w:r>
              <w:rPr>
                <w:rFonts w:ascii="仿宋_GB2312" w:hAnsi="仿宋_GB2312" w:eastAsia="仿宋_GB2312"/>
                <w:kern w:val="0"/>
                <w:sz w:val="20"/>
                <w:szCs w:val="20"/>
              </w:rPr>
              <w:t>分，扣完为止。</w:t>
            </w:r>
          </w:p>
        </w:tc>
        <w:tc>
          <w:tcPr>
            <w:tcW w:w="3402" w:type="dxa"/>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在职人员控制率=</w:t>
            </w:r>
            <w:r>
              <w:rPr>
                <w:rFonts w:ascii="仿宋_GB2312" w:hAnsi="仿宋_GB2312" w:eastAsia="仿宋_GB2312"/>
                <w:kern w:val="0"/>
                <w:sz w:val="20"/>
                <w:szCs w:val="20"/>
              </w:rPr>
              <w:t>（在职人员数</w:t>
            </w:r>
            <w:r>
              <w:rPr>
                <w:rFonts w:eastAsia="仿宋_GB2312"/>
                <w:kern w:val="0"/>
                <w:sz w:val="20"/>
                <w:szCs w:val="20"/>
              </w:rPr>
              <w:t>/</w:t>
            </w:r>
            <w:r>
              <w:rPr>
                <w:rFonts w:ascii="仿宋_GB2312" w:hAnsi="仿宋_GB2312" w:eastAsia="仿宋_GB2312"/>
                <w:kern w:val="0"/>
                <w:sz w:val="20"/>
                <w:szCs w:val="20"/>
              </w:rPr>
              <w:t>编制数）</w:t>
            </w:r>
            <w:r>
              <w:rPr>
                <w:rFonts w:eastAsia="仿宋_GB2312"/>
                <w:kern w:val="0"/>
                <w:sz w:val="20"/>
                <w:szCs w:val="20"/>
              </w:rPr>
              <w:t>×100%</w:t>
            </w:r>
            <w:r>
              <w:rPr>
                <w:rFonts w:ascii="仿宋_GB2312" w:hAnsi="仿宋_GB2312" w:eastAsia="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hint="eastAsia" w:ascii="宋体" w:hAnsi="宋体"/>
                <w:kern w:val="0"/>
                <w:sz w:val="20"/>
                <w:szCs w:val="20"/>
              </w:rPr>
              <w:t>≦</w:t>
            </w:r>
            <w:r>
              <w:rPr>
                <w:rFonts w:eastAsia="仿宋_GB2312"/>
                <w:kern w:val="0"/>
                <w:sz w:val="20"/>
                <w:szCs w:val="20"/>
              </w:rPr>
              <w:t>0,</w:t>
            </w:r>
            <w:r>
              <w:rPr>
                <w:rFonts w:ascii="仿宋_GB2312" w:hAnsi="仿宋_GB2312" w:eastAsia="仿宋_GB2312"/>
                <w:kern w:val="0"/>
                <w:sz w:val="20"/>
                <w:szCs w:val="20"/>
              </w:rPr>
              <w:t>计</w:t>
            </w:r>
            <w:r>
              <w:rPr>
                <w:kern w:val="0"/>
                <w:sz w:val="20"/>
                <w:szCs w:val="20"/>
              </w:rPr>
              <w:t>5</w:t>
            </w:r>
            <w:r>
              <w:rPr>
                <w:rFonts w:eastAsia="仿宋_GB2312"/>
                <w:kern w:val="0"/>
                <w:sz w:val="20"/>
                <w:szCs w:val="20"/>
              </w:rPr>
              <w:t>分；“</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0</w:t>
            </w:r>
            <w:r>
              <w:rPr>
                <w:rFonts w:ascii="仿宋_GB2312" w:hAnsi="仿宋_GB2312" w:eastAsia="仿宋_GB2312"/>
                <w:kern w:val="0"/>
                <w:sz w:val="20"/>
                <w:szCs w:val="20"/>
              </w:rPr>
              <w:t>，每超过一个百分点扣</w:t>
            </w:r>
            <w:r>
              <w:rPr>
                <w:rFonts w:eastAsia="仿宋_GB2312"/>
                <w:kern w:val="0"/>
                <w:sz w:val="20"/>
                <w:szCs w:val="20"/>
              </w:rPr>
              <w:t>0.8</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变动率</w:t>
            </w:r>
            <w:r>
              <w:rPr>
                <w:rFonts w:eastAsia="仿宋_GB2312"/>
                <w:kern w:val="0"/>
                <w:sz w:val="20"/>
                <w:szCs w:val="20"/>
              </w:rPr>
              <w:t>=[</w:t>
            </w:r>
            <w:r>
              <w:rPr>
                <w:rFonts w:ascii="仿宋_GB2312" w:hAnsi="仿宋_GB2312" w:eastAsia="仿宋_GB2312"/>
                <w:kern w:val="0"/>
                <w:sz w:val="20"/>
                <w:szCs w:val="20"/>
              </w:rPr>
              <w:t>（本年度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w:t>
            </w:r>
            <w:r>
              <w:rPr>
                <w:rFonts w:ascii="仿宋_GB2312" w:hAnsi="仿宋_GB2312" w:eastAsia="仿宋_GB2312"/>
                <w:kern w:val="0"/>
                <w:sz w:val="20"/>
                <w:szCs w:val="20"/>
              </w:rPr>
              <w:t>上年度</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计满分，每低于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预算完成率=</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年末结余）</w:t>
            </w:r>
            <w:r>
              <w:rPr>
                <w:rFonts w:eastAsia="仿宋_GB2312"/>
                <w:kern w:val="0"/>
                <w:sz w:val="20"/>
                <w:szCs w:val="20"/>
              </w:rPr>
              <w:t>/</w:t>
            </w:r>
            <w:r>
              <w:rPr>
                <w:rFonts w:ascii="仿宋_GB2312" w:hAnsi="仿宋_GB2312" w:eastAsia="仿宋_GB2312"/>
                <w:kern w:val="0"/>
                <w:sz w:val="20"/>
                <w:szCs w:val="20"/>
              </w:rPr>
              <w:t>（上年结转</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w:t>
            </w:r>
            <w:r>
              <w:rPr>
                <w:rFonts w:ascii="仿宋_GB2312" w:hAnsi="仿宋_GB2312" w:eastAsia="仿宋_GB2312"/>
                <w:kern w:val="0"/>
                <w:sz w:val="20"/>
                <w:szCs w:val="20"/>
              </w:rPr>
              <w:t>本年追加预算）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4</w:t>
            </w:r>
          </w:p>
        </w:tc>
      </w:tr>
      <w:tr>
        <w:tblPrEx>
          <w:tblCellMar>
            <w:top w:w="0" w:type="dxa"/>
            <w:left w:w="108" w:type="dxa"/>
            <w:bottom w:w="0" w:type="dxa"/>
            <w:right w:w="108" w:type="dxa"/>
          </w:tblCellMar>
        </w:tblPrEx>
        <w:trPr>
          <w:gridAfter w:val="1"/>
          <w:wAfter w:w="8" w:type="dxa"/>
          <w:trHeight w:val="127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预算控制率=0</w:t>
            </w:r>
            <w:r>
              <w:rPr>
                <w:rFonts w:ascii="仿宋_GB2312" w:hAnsi="仿宋_GB2312" w:eastAsia="仿宋_GB2312"/>
                <w:kern w:val="0"/>
                <w:sz w:val="20"/>
                <w:szCs w:val="20"/>
              </w:rPr>
              <w:t>，计</w:t>
            </w:r>
            <w:r>
              <w:rPr>
                <w:rFonts w:eastAsia="仿宋_GB2312"/>
                <w:kern w:val="0"/>
                <w:sz w:val="20"/>
                <w:szCs w:val="20"/>
              </w:rPr>
              <w:t>5</w:t>
            </w:r>
            <w:r>
              <w:rPr>
                <w:rFonts w:ascii="仿宋_GB2312" w:hAnsi="仿宋_GB2312" w:eastAsia="仿宋_GB2312"/>
                <w:kern w:val="0"/>
                <w:sz w:val="20"/>
                <w:szCs w:val="20"/>
              </w:rPr>
              <w:t>分；</w:t>
            </w:r>
            <w:r>
              <w:rPr>
                <w:rFonts w:eastAsia="仿宋_GB2312"/>
                <w:kern w:val="0"/>
                <w:sz w:val="20"/>
                <w:szCs w:val="20"/>
              </w:rPr>
              <w:t>0-10%</w:t>
            </w:r>
            <w:r>
              <w:rPr>
                <w:rFonts w:ascii="仿宋_GB2312" w:hAnsi="仿宋_GB2312" w:eastAsia="仿宋_GB2312"/>
                <w:kern w:val="0"/>
                <w:sz w:val="20"/>
                <w:szCs w:val="20"/>
              </w:rPr>
              <w:t>（含），计</w:t>
            </w:r>
            <w:r>
              <w:rPr>
                <w:rFonts w:eastAsia="仿宋_GB2312"/>
                <w:kern w:val="0"/>
                <w:sz w:val="20"/>
                <w:szCs w:val="20"/>
              </w:rPr>
              <w:t>4</w:t>
            </w:r>
            <w:r>
              <w:rPr>
                <w:rFonts w:ascii="仿宋_GB2312" w:hAnsi="仿宋_GB2312" w:eastAsia="仿宋_GB2312"/>
                <w:kern w:val="0"/>
                <w:sz w:val="20"/>
                <w:szCs w:val="20"/>
              </w:rPr>
              <w:t>分；</w:t>
            </w:r>
            <w:r>
              <w:rPr>
                <w:rFonts w:eastAsia="仿宋_GB2312"/>
                <w:kern w:val="0"/>
                <w:sz w:val="20"/>
                <w:szCs w:val="20"/>
              </w:rPr>
              <w:t>10-20%</w:t>
            </w:r>
            <w:r>
              <w:rPr>
                <w:rFonts w:ascii="仿宋_GB2312" w:hAnsi="仿宋_GB2312" w:eastAsia="仿宋_GB2312"/>
                <w:kern w:val="0"/>
                <w:sz w:val="20"/>
                <w:szCs w:val="20"/>
              </w:rPr>
              <w:t>（含），计</w:t>
            </w:r>
            <w:r>
              <w:rPr>
                <w:rFonts w:eastAsia="仿宋_GB2312"/>
                <w:kern w:val="0"/>
                <w:sz w:val="20"/>
                <w:szCs w:val="20"/>
              </w:rPr>
              <w:t>3</w:t>
            </w:r>
            <w:r>
              <w:rPr>
                <w:rFonts w:ascii="仿宋_GB2312" w:hAnsi="仿宋_GB2312" w:eastAsia="仿宋_GB2312"/>
                <w:kern w:val="0"/>
                <w:sz w:val="20"/>
                <w:szCs w:val="20"/>
              </w:rPr>
              <w:t>分；</w:t>
            </w:r>
            <w:r>
              <w:rPr>
                <w:rFonts w:eastAsia="仿宋_GB2312"/>
                <w:kern w:val="0"/>
                <w:sz w:val="20"/>
                <w:szCs w:val="20"/>
              </w:rPr>
              <w:t>20-30%</w:t>
            </w:r>
            <w:r>
              <w:rPr>
                <w:rFonts w:ascii="仿宋_GB2312" w:hAnsi="仿宋_GB2312" w:eastAsia="仿宋_GB2312"/>
                <w:kern w:val="0"/>
                <w:sz w:val="20"/>
                <w:szCs w:val="20"/>
              </w:rPr>
              <w:t>（含），计</w:t>
            </w:r>
            <w:r>
              <w:rPr>
                <w:rFonts w:eastAsia="仿宋_GB2312"/>
                <w:kern w:val="0"/>
                <w:sz w:val="20"/>
                <w:szCs w:val="20"/>
              </w:rPr>
              <w:t>2</w:t>
            </w:r>
            <w:r>
              <w:rPr>
                <w:rFonts w:ascii="仿宋_GB2312" w:hAnsi="仿宋_GB2312" w:eastAsia="仿宋_GB2312"/>
                <w:kern w:val="0"/>
                <w:sz w:val="20"/>
                <w:szCs w:val="20"/>
              </w:rPr>
              <w:t>分；大于</w:t>
            </w:r>
            <w:r>
              <w:rPr>
                <w:rFonts w:eastAsia="仿宋_GB2312"/>
                <w:kern w:val="0"/>
                <w:sz w:val="20"/>
                <w:szCs w:val="20"/>
              </w:rPr>
              <w:t>30%</w:t>
            </w:r>
            <w:r>
              <w:rPr>
                <w:rFonts w:ascii="仿宋_GB2312" w:hAnsi="仿宋_GB2312" w:eastAsia="仿宋_GB2312"/>
                <w:kern w:val="0"/>
                <w:sz w:val="20"/>
                <w:szCs w:val="20"/>
              </w:rPr>
              <w:t>不得分。</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预算控制率=</w:t>
            </w:r>
            <w:r>
              <w:rPr>
                <w:rFonts w:ascii="仿宋_GB2312" w:hAnsi="仿宋_GB2312" w:eastAsia="仿宋_GB2312"/>
                <w:kern w:val="0"/>
                <w:sz w:val="20"/>
                <w:szCs w:val="20"/>
              </w:rPr>
              <w:t>（本年追加预算</w:t>
            </w:r>
            <w:r>
              <w:rPr>
                <w:rFonts w:eastAsia="仿宋_GB2312"/>
                <w:kern w:val="0"/>
                <w:sz w:val="20"/>
                <w:szCs w:val="20"/>
              </w:rPr>
              <w:t>/</w:t>
            </w:r>
            <w:r>
              <w:rPr>
                <w:rFonts w:ascii="仿宋_GB2312" w:hAnsi="仿宋_GB2312" w:eastAsia="仿宋_GB2312"/>
                <w:kern w:val="0"/>
                <w:sz w:val="20"/>
                <w:szCs w:val="20"/>
              </w:rPr>
              <w:t>年初预算）</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4</w:t>
            </w:r>
          </w:p>
        </w:tc>
      </w:tr>
      <w:tr>
        <w:tblPrEx>
          <w:tblCellMar>
            <w:top w:w="0" w:type="dxa"/>
            <w:left w:w="108" w:type="dxa"/>
            <w:bottom w:w="0" w:type="dxa"/>
            <w:right w:w="108" w:type="dxa"/>
          </w:tblCellMar>
        </w:tblPrEx>
        <w:trPr>
          <w:gridAfter w:val="1"/>
          <w:wAfter w:w="8" w:type="dxa"/>
          <w:trHeight w:val="1325"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分，扣完为止。没有楼堂馆所项目的部门按满分计算。</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楼堂馆所面积控制率=</w:t>
            </w:r>
            <w:r>
              <w:rPr>
                <w:rFonts w:ascii="仿宋_GB2312" w:hAnsi="仿宋_GB2312" w:eastAsia="仿宋_GB2312"/>
                <w:kern w:val="0"/>
                <w:sz w:val="20"/>
                <w:szCs w:val="20"/>
              </w:rPr>
              <w:t>实际建设面积</w:t>
            </w:r>
            <w:r>
              <w:rPr>
                <w:rFonts w:eastAsia="仿宋_GB2312"/>
                <w:kern w:val="0"/>
                <w:sz w:val="20"/>
                <w:szCs w:val="20"/>
              </w:rPr>
              <w:t>/</w:t>
            </w:r>
            <w:r>
              <w:rPr>
                <w:rFonts w:ascii="仿宋_GB2312" w:hAnsi="仿宋_GB2312" w:eastAsia="仿宋_GB2312"/>
                <w:kern w:val="0"/>
                <w:sz w:val="20"/>
                <w:szCs w:val="20"/>
              </w:rPr>
              <w:t>批准建设面积</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w:t>
            </w:r>
            <w:r>
              <w:rPr>
                <w:rFonts w:hint="eastAsia" w:eastAsia="仿宋_GB2312"/>
                <w:kern w:val="0"/>
                <w:sz w:val="20"/>
                <w:szCs w:val="20"/>
              </w:rPr>
              <w:t>24</w:t>
            </w:r>
            <w:r>
              <w:rPr>
                <w:rFonts w:eastAsia="仿宋_GB2312"/>
                <w:kern w:val="0"/>
                <w:sz w:val="20"/>
                <w:szCs w:val="20"/>
              </w:rPr>
              <w:t>年完工的新建楼堂馆所为评价内容。</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4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楼堂馆所投资预算控制率=</w:t>
            </w:r>
            <w:r>
              <w:rPr>
                <w:rFonts w:ascii="仿宋_GB2312" w:hAnsi="仿宋_GB2312" w:eastAsia="仿宋_GB2312"/>
                <w:kern w:val="0"/>
                <w:sz w:val="20"/>
                <w:szCs w:val="20"/>
              </w:rPr>
              <w:t>实际投资金额</w:t>
            </w:r>
            <w:r>
              <w:rPr>
                <w:rFonts w:eastAsia="仿宋_GB2312"/>
                <w:kern w:val="0"/>
                <w:sz w:val="20"/>
                <w:szCs w:val="20"/>
              </w:rPr>
              <w:t>/</w:t>
            </w:r>
            <w:r>
              <w:rPr>
                <w:rFonts w:ascii="仿宋_GB2312" w:hAnsi="仿宋_GB2312" w:eastAsia="仿宋_GB2312"/>
                <w:kern w:val="0"/>
                <w:sz w:val="20"/>
                <w:szCs w:val="20"/>
              </w:rPr>
              <w:t>批准投资金额</w:t>
            </w:r>
            <w:r>
              <w:rPr>
                <w:rFonts w:eastAsia="仿宋_GB2312"/>
                <w:kern w:val="0"/>
                <w:sz w:val="20"/>
                <w:szCs w:val="20"/>
              </w:rPr>
              <w:t xml:space="preserve">×100% </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该指标以2024年完工的新建楼堂馆所为评价内容。</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Height w:val="1562"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公用经费控制率=</w:t>
            </w:r>
            <w:r>
              <w:rPr>
                <w:rFonts w:ascii="仿宋_GB2312" w:hAnsi="仿宋_GB2312" w:eastAsia="仿宋_GB2312"/>
                <w:kern w:val="0"/>
                <w:sz w:val="20"/>
                <w:szCs w:val="20"/>
              </w:rPr>
              <w:t>（实际支出公用经费总额</w:t>
            </w:r>
            <w:r>
              <w:rPr>
                <w:rFonts w:eastAsia="仿宋_GB2312"/>
                <w:kern w:val="0"/>
                <w:sz w:val="20"/>
                <w:szCs w:val="20"/>
              </w:rPr>
              <w:t>/</w:t>
            </w:r>
            <w:r>
              <w:rPr>
                <w:rFonts w:ascii="仿宋_GB2312" w:hAnsi="仿宋_GB2312" w:eastAsia="仿宋_GB2312"/>
                <w:kern w:val="0"/>
                <w:sz w:val="20"/>
                <w:szCs w:val="20"/>
              </w:rPr>
              <w:t>预算安排公用经费总额）</w:t>
            </w:r>
            <w:r>
              <w:rPr>
                <w:rFonts w:eastAsia="仿宋_GB2312"/>
                <w:kern w:val="0"/>
                <w:sz w:val="20"/>
                <w:szCs w:val="20"/>
              </w:rPr>
              <w:t>×100%</w:t>
            </w:r>
            <w:r>
              <w:rPr>
                <w:rFonts w:ascii="仿宋_GB2312" w:hAnsi="仿宋_GB2312" w:eastAsia="仿宋_GB2312"/>
                <w:kern w:val="0"/>
                <w:sz w:val="20"/>
                <w:szCs w:val="20"/>
              </w:rPr>
              <w:t>。</w:t>
            </w:r>
          </w:p>
          <w:p>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107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以下（含）计满分，每超出</w:t>
            </w:r>
            <w:r>
              <w:rPr>
                <w:rFonts w:eastAsia="仿宋_GB2312"/>
                <w:kern w:val="0"/>
                <w:sz w:val="20"/>
                <w:szCs w:val="20"/>
              </w:rPr>
              <w:t>1%</w:t>
            </w:r>
            <w:r>
              <w:rPr>
                <w:rFonts w:ascii="仿宋_GB2312" w:hAnsi="仿宋_GB2312" w:eastAsia="仿宋_GB2312"/>
                <w:kern w:val="0"/>
                <w:sz w:val="20"/>
                <w:szCs w:val="20"/>
              </w:rPr>
              <w:t>扣</w:t>
            </w:r>
            <w:r>
              <w:rPr>
                <w:rFonts w:eastAsia="仿宋_GB2312"/>
                <w:kern w:val="0"/>
                <w:sz w:val="20"/>
                <w:szCs w:val="20"/>
              </w:rPr>
              <w:t>1</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控制率</w:t>
            </w:r>
            <w:r>
              <w:rPr>
                <w:rFonts w:eastAsia="仿宋_GB2312"/>
                <w:kern w:val="0"/>
                <w:sz w:val="20"/>
                <w:szCs w:val="20"/>
              </w:rPr>
              <w:t>-</w:t>
            </w:r>
            <w:r>
              <w:rPr>
                <w:rFonts w:ascii="仿宋_GB2312" w:hAnsi="仿宋_GB2312" w:eastAsia="仿宋_GB2312"/>
                <w:kern w:val="0"/>
                <w:sz w:val="20"/>
                <w:szCs w:val="20"/>
              </w:rPr>
              <w:t>（</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实际支出数</w:t>
            </w:r>
            <w:r>
              <w:rPr>
                <w:rFonts w:eastAsia="仿宋_GB2312"/>
                <w:kern w:val="0"/>
                <w:sz w:val="20"/>
                <w:szCs w:val="20"/>
              </w:rPr>
              <w:t>/“</w:t>
            </w:r>
            <w:r>
              <w:rPr>
                <w:rFonts w:ascii="仿宋_GB2312" w:hAnsi="仿宋_GB2312" w:eastAsia="仿宋_GB2312"/>
                <w:kern w:val="0"/>
                <w:sz w:val="20"/>
                <w:szCs w:val="20"/>
              </w:rPr>
              <w:t>三公经费</w:t>
            </w:r>
            <w:r>
              <w:rPr>
                <w:rFonts w:eastAsia="仿宋_GB2312"/>
                <w:kern w:val="0"/>
                <w:sz w:val="20"/>
                <w:szCs w:val="20"/>
              </w:rPr>
              <w:t>”</w:t>
            </w:r>
            <w:r>
              <w:rPr>
                <w:rFonts w:ascii="仿宋_GB2312" w:hAnsi="仿宋_GB2312" w:eastAsia="仿宋_GB2312"/>
                <w:kern w:val="0"/>
                <w:sz w:val="20"/>
                <w:szCs w:val="20"/>
              </w:rPr>
              <w:t>预算安排数）</w:t>
            </w:r>
            <w:r>
              <w:rPr>
                <w:rFonts w:eastAsia="仿宋_GB2312"/>
                <w:kern w:val="0"/>
                <w:sz w:val="20"/>
                <w:szCs w:val="20"/>
              </w:rPr>
              <w:t>×100%</w:t>
            </w:r>
            <w:r>
              <w:rPr>
                <w:rFonts w:ascii="仿宋_GB2312" w:hAnsi="仿宋_GB2312" w:eastAsia="仿宋_GB2312"/>
                <w:kern w:val="0"/>
                <w:sz w:val="20"/>
                <w:szCs w:val="20"/>
              </w:rPr>
              <w:t>。</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7</w:t>
            </w:r>
          </w:p>
        </w:tc>
      </w:tr>
      <w:tr>
        <w:tblPrEx>
          <w:tblCellMar>
            <w:top w:w="0" w:type="dxa"/>
            <w:left w:w="108" w:type="dxa"/>
            <w:bottom w:w="0" w:type="dxa"/>
            <w:right w:w="108" w:type="dxa"/>
          </w:tblCellMar>
        </w:tblPrEx>
        <w:trPr>
          <w:gridAfter w:val="1"/>
          <w:wAfter w:w="8" w:type="dxa"/>
          <w:trHeight w:val="918"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100%</w:t>
            </w:r>
            <w:r>
              <w:rPr>
                <w:rFonts w:ascii="仿宋_GB2312" w:hAnsi="仿宋_GB2312" w:eastAsia="仿宋_GB2312"/>
                <w:kern w:val="0"/>
                <w:sz w:val="20"/>
                <w:szCs w:val="20"/>
              </w:rPr>
              <w:t>计满分，每超过（降低）</w:t>
            </w:r>
            <w:r>
              <w:rPr>
                <w:rFonts w:eastAsia="仿宋_GB2312"/>
                <w:kern w:val="0"/>
                <w:sz w:val="20"/>
                <w:szCs w:val="20"/>
              </w:rPr>
              <w:t>5%</w:t>
            </w:r>
            <w:r>
              <w:rPr>
                <w:rFonts w:ascii="仿宋_GB2312" w:hAnsi="仿宋_GB2312" w:eastAsia="仿宋_GB2312"/>
                <w:kern w:val="0"/>
                <w:sz w:val="20"/>
                <w:szCs w:val="20"/>
              </w:rPr>
              <w:t>扣</w:t>
            </w:r>
            <w:r>
              <w:rPr>
                <w:rFonts w:eastAsia="仿宋_GB2312"/>
                <w:kern w:val="0"/>
                <w:sz w:val="20"/>
                <w:szCs w:val="20"/>
              </w:rPr>
              <w:t>2</w:t>
            </w:r>
            <w:r>
              <w:rPr>
                <w:rFonts w:ascii="仿宋_GB2312" w:hAnsi="仿宋_GB2312" w:eastAsia="仿宋_GB2312"/>
                <w:kern w:val="0"/>
                <w:sz w:val="20"/>
                <w:szCs w:val="20"/>
              </w:rPr>
              <w:t>分。扣完为止。</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政府采购执行率=</w:t>
            </w:r>
            <w:r>
              <w:rPr>
                <w:rFonts w:ascii="仿宋_GB2312" w:hAnsi="仿宋_GB2312" w:eastAsia="仿宋_GB2312"/>
                <w:kern w:val="0"/>
                <w:sz w:val="20"/>
                <w:szCs w:val="20"/>
              </w:rPr>
              <w:t>（实际政府采购金额</w:t>
            </w:r>
            <w:r>
              <w:rPr>
                <w:rFonts w:eastAsia="仿宋_GB2312"/>
                <w:kern w:val="0"/>
                <w:sz w:val="20"/>
                <w:szCs w:val="20"/>
              </w:rPr>
              <w:t>/</w:t>
            </w:r>
            <w:r>
              <w:rPr>
                <w:rFonts w:ascii="仿宋_GB2312" w:hAnsi="仿宋_GB2312" w:eastAsia="仿宋_GB2312"/>
                <w:kern w:val="0"/>
                <w:sz w:val="20"/>
                <w:szCs w:val="20"/>
              </w:rPr>
              <w:t>政府采购预算数）</w:t>
            </w:r>
            <w:r>
              <w:rPr>
                <w:rFonts w:eastAsia="仿宋_GB2312"/>
                <w:kern w:val="0"/>
                <w:sz w:val="20"/>
                <w:szCs w:val="20"/>
              </w:rPr>
              <w:t>×100%</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pPr>
              <w:jc w:val="left"/>
              <w:rPr>
                <w:rFonts w:eastAsia="仿宋_GB2312"/>
                <w:kern w:val="0"/>
                <w:sz w:val="20"/>
                <w:szCs w:val="20"/>
              </w:rPr>
            </w:pPr>
            <w:r>
              <w:rPr>
                <w:rFonts w:eastAsia="仿宋_GB2312"/>
                <w:kern w:val="0"/>
                <w:sz w:val="20"/>
                <w:szCs w:val="20"/>
              </w:rPr>
              <w:t>过                                                                                                                                       程</w:t>
            </w:r>
          </w:p>
        </w:tc>
        <w:tc>
          <w:tcPr>
            <w:tcW w:w="416" w:type="dxa"/>
            <w:vMerge w:val="restart"/>
            <w:tcBorders>
              <w:top w:val="nil"/>
              <w:left w:val="nil"/>
              <w:bottom w:val="single" w:color="000000" w:sz="4" w:space="0"/>
              <w:right w:val="single" w:color="auto" w:sz="4" w:space="0"/>
            </w:tcBorders>
            <w:noWrap/>
            <w:vAlign w:val="center"/>
          </w:tcPr>
          <w:p>
            <w:pPr>
              <w:jc w:val="left"/>
              <w:rPr>
                <w:rFonts w:eastAsia="仿宋_GB2312"/>
                <w:kern w:val="0"/>
                <w:sz w:val="20"/>
                <w:szCs w:val="20"/>
              </w:rPr>
            </w:pPr>
          </w:p>
        </w:tc>
        <w:tc>
          <w:tcPr>
            <w:tcW w:w="677" w:type="dxa"/>
            <w:gridSpan w:val="2"/>
            <w:vMerge w:val="restart"/>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预算管理</w:t>
            </w: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有内部财务管理制度、会计核算制度等管理制度，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hint="eastAsia" w:ascii="宋体" w:hAnsi="宋体"/>
                <w:kern w:val="0"/>
                <w:sz w:val="20"/>
                <w:szCs w:val="20"/>
              </w:rPr>
              <w:t>②</w:t>
            </w:r>
            <w:r>
              <w:rPr>
                <w:rFonts w:ascii="仿宋_GB2312" w:hAnsi="仿宋_GB2312" w:eastAsia="仿宋_GB2312"/>
                <w:kern w:val="0"/>
                <w:sz w:val="20"/>
                <w:szCs w:val="20"/>
              </w:rPr>
              <w:t>有本部门厉行节约制度</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hint="eastAsia" w:ascii="宋体" w:hAnsi="宋体"/>
                <w:kern w:val="0"/>
                <w:sz w:val="20"/>
                <w:szCs w:val="20"/>
              </w:rPr>
              <w:t>③</w:t>
            </w:r>
            <w:r>
              <w:rPr>
                <w:rFonts w:ascii="仿宋_GB2312" w:hAnsi="仿宋_GB2312" w:eastAsia="仿宋_GB2312"/>
                <w:kern w:val="0"/>
                <w:sz w:val="20"/>
                <w:szCs w:val="20"/>
              </w:rPr>
              <w:t>相关管理制度合法、合规、完整，</w:t>
            </w:r>
            <w:r>
              <w:rPr>
                <w:rFonts w:eastAsia="仿宋_GB2312"/>
                <w:kern w:val="0"/>
                <w:sz w:val="20"/>
                <w:szCs w:val="20"/>
              </w:rPr>
              <w:t>2</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相关管理制度得到有效执行，</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color="auto" w:sz="4" w:space="0"/>
              <w:right w:val="single" w:color="auto" w:sz="4" w:space="0"/>
            </w:tcBorders>
            <w:noWrap/>
            <w:vAlign w:val="center"/>
          </w:tcPr>
          <w:p>
            <w:pPr>
              <w:widowControl/>
              <w:jc w:val="left"/>
              <w:rPr>
                <w:rFonts w:ascii="仿宋_GB2312" w:hAnsi="仿宋_GB2312"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支出符合国家财经法规和财务管理制度规定以及有关专项资金管理办法的规定；</w:t>
            </w:r>
            <w:r>
              <w:rPr>
                <w:rFonts w:hint="eastAsia" w:ascii="宋体" w:hAnsi="宋体"/>
                <w:kern w:val="0"/>
                <w:sz w:val="20"/>
                <w:szCs w:val="20"/>
              </w:rPr>
              <w:t>②</w:t>
            </w:r>
            <w:r>
              <w:rPr>
                <w:rFonts w:ascii="仿宋_GB2312" w:hAnsi="仿宋_GB2312" w:eastAsia="仿宋_GB2312"/>
                <w:kern w:val="0"/>
                <w:sz w:val="20"/>
                <w:szCs w:val="20"/>
              </w:rPr>
              <w:t>资金拨付有完整的审批程序和手续；</w:t>
            </w:r>
            <w:r>
              <w:rPr>
                <w:rFonts w:hint="eastAsia" w:ascii="宋体" w:hAnsi="宋体"/>
                <w:kern w:val="0"/>
                <w:sz w:val="20"/>
                <w:szCs w:val="20"/>
              </w:rPr>
              <w:t>③</w:t>
            </w:r>
            <w:r>
              <w:rPr>
                <w:rFonts w:ascii="仿宋_GB2312" w:hAnsi="仿宋_GB2312" w:eastAsia="仿宋_GB2312"/>
                <w:kern w:val="0"/>
                <w:sz w:val="20"/>
                <w:szCs w:val="20"/>
              </w:rPr>
              <w:t>项目支出按规定经过评估论证；</w:t>
            </w:r>
            <w:r>
              <w:rPr>
                <w:rFonts w:hint="eastAsia" w:ascii="宋体" w:hAnsi="宋体"/>
                <w:kern w:val="0"/>
                <w:sz w:val="20"/>
                <w:szCs w:val="20"/>
              </w:rPr>
              <w:t>④</w:t>
            </w:r>
            <w:r>
              <w:rPr>
                <w:rFonts w:ascii="仿宋_GB2312" w:hAnsi="仿宋_GB2312" w:eastAsia="仿宋_GB2312"/>
                <w:kern w:val="0"/>
                <w:sz w:val="20"/>
                <w:szCs w:val="20"/>
              </w:rPr>
              <w:t>支出符合部门预算批复的用途；</w:t>
            </w:r>
            <w:r>
              <w:rPr>
                <w:rFonts w:hint="eastAsia" w:ascii="宋体" w:hAnsi="宋体"/>
                <w:kern w:val="0"/>
                <w:sz w:val="20"/>
                <w:szCs w:val="20"/>
              </w:rPr>
              <w:t>⑤</w:t>
            </w:r>
            <w:r>
              <w:rPr>
                <w:rFonts w:ascii="仿宋_GB2312" w:hAnsi="仿宋_GB2312" w:eastAsia="仿宋_GB2312"/>
                <w:kern w:val="0"/>
                <w:sz w:val="20"/>
                <w:szCs w:val="20"/>
              </w:rPr>
              <w:t>资金使用无截留、挤占、挪用、虚列支出等情况。</w:t>
            </w:r>
          </w:p>
          <w:p>
            <w:pPr>
              <w:widowControl/>
              <w:jc w:val="left"/>
              <w:rPr>
                <w:rFonts w:eastAsia="仿宋_GB2312"/>
                <w:kern w:val="0"/>
                <w:sz w:val="20"/>
                <w:szCs w:val="20"/>
              </w:rPr>
            </w:pPr>
            <w:r>
              <w:rPr>
                <w:rFonts w:eastAsia="仿宋_GB2312"/>
                <w:kern w:val="0"/>
                <w:sz w:val="20"/>
                <w:szCs w:val="20"/>
              </w:rPr>
              <w:t>以上情况每出现一例不符合要求的扣1</w:t>
            </w:r>
            <w:r>
              <w:rPr>
                <w:rFonts w:ascii="仿宋_GB2312" w:hAnsi="仿宋_GB2312" w:eastAsia="仿宋_GB2312"/>
                <w:kern w:val="0"/>
                <w:sz w:val="20"/>
                <w:szCs w:val="20"/>
              </w:rPr>
              <w:t>分，扣完为止。</w:t>
            </w:r>
          </w:p>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hint="eastAsia" w:ascii="宋体" w:hAnsi="宋体"/>
                <w:kern w:val="0"/>
                <w:sz w:val="20"/>
                <w:szCs w:val="20"/>
              </w:rPr>
              <w:t>①</w:t>
            </w:r>
            <w:r>
              <w:rPr>
                <w:rFonts w:ascii="仿宋_GB2312" w:hAnsi="仿宋_GB2312" w:eastAsia="仿宋_GB2312"/>
                <w:kern w:val="0"/>
                <w:sz w:val="20"/>
                <w:szCs w:val="20"/>
              </w:rPr>
              <w:t>按规定内容公开预决算信息，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②</w:t>
            </w:r>
            <w:r>
              <w:rPr>
                <w:rFonts w:ascii="仿宋_GB2312" w:hAnsi="仿宋_GB2312" w:eastAsia="仿宋_GB2312"/>
                <w:kern w:val="0"/>
                <w:sz w:val="20"/>
                <w:szCs w:val="20"/>
              </w:rPr>
              <w:t>按规定时限公开预决算信息，</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③</w:t>
            </w:r>
            <w:r>
              <w:rPr>
                <w:rFonts w:ascii="仿宋_GB2312" w:hAnsi="仿宋_GB2312" w:eastAsia="仿宋_GB2312"/>
                <w:kern w:val="0"/>
                <w:sz w:val="20"/>
                <w:szCs w:val="20"/>
              </w:rPr>
              <w:t>基础数据信息和会计信息资料真实，</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④</w:t>
            </w:r>
            <w:r>
              <w:rPr>
                <w:rFonts w:ascii="仿宋_GB2312" w:hAnsi="仿宋_GB2312" w:eastAsia="仿宋_GB2312"/>
                <w:kern w:val="0"/>
                <w:sz w:val="20"/>
                <w:szCs w:val="20"/>
              </w:rPr>
              <w:t>基础数据信息和会计信息资料完整，</w:t>
            </w:r>
            <w:r>
              <w:rPr>
                <w:rFonts w:eastAsia="仿宋_GB2312"/>
                <w:kern w:val="0"/>
                <w:sz w:val="20"/>
                <w:szCs w:val="20"/>
              </w:rPr>
              <w:t>1</w:t>
            </w:r>
            <w:r>
              <w:rPr>
                <w:rFonts w:ascii="仿宋_GB2312" w:hAnsi="仿宋_GB2312" w:eastAsia="仿宋_GB2312"/>
                <w:kern w:val="0"/>
                <w:sz w:val="20"/>
                <w:szCs w:val="20"/>
              </w:rPr>
              <w:t>分；</w:t>
            </w:r>
            <w:r>
              <w:rPr>
                <w:rFonts w:hint="eastAsia" w:ascii="宋体" w:hAnsi="宋体"/>
                <w:kern w:val="0"/>
                <w:sz w:val="20"/>
                <w:szCs w:val="20"/>
              </w:rPr>
              <w:t>⑤</w:t>
            </w:r>
            <w:r>
              <w:rPr>
                <w:rFonts w:ascii="仿宋_GB2312" w:hAnsi="仿宋_GB2312" w:eastAsia="仿宋_GB2312"/>
                <w:kern w:val="0"/>
                <w:sz w:val="20"/>
                <w:szCs w:val="20"/>
              </w:rPr>
              <w:t>基础数据信息和汇集信息资料准确，</w:t>
            </w:r>
            <w:r>
              <w:rPr>
                <w:rFonts w:eastAsia="仿宋_GB2312"/>
                <w:kern w:val="0"/>
                <w:sz w:val="20"/>
                <w:szCs w:val="20"/>
              </w:rPr>
              <w:t>1</w:t>
            </w:r>
            <w:r>
              <w:rPr>
                <w:rFonts w:ascii="仿宋_GB2312" w:hAnsi="仿宋_GB2312" w:eastAsia="仿宋_GB2312"/>
                <w:kern w:val="0"/>
                <w:sz w:val="20"/>
                <w:szCs w:val="20"/>
              </w:rPr>
              <w:t xml:space="preserve">分。  </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5</w:t>
            </w:r>
          </w:p>
        </w:tc>
      </w:tr>
      <w:tr>
        <w:tblPrEx>
          <w:tblCellMar>
            <w:top w:w="0" w:type="dxa"/>
            <w:left w:w="108" w:type="dxa"/>
            <w:bottom w:w="0" w:type="dxa"/>
            <w:right w:w="108" w:type="dxa"/>
          </w:tblCellMar>
        </w:tblPrEx>
        <w:trPr>
          <w:gridAfter w:val="1"/>
          <w:wAfter w:w="8" w:type="dxa"/>
        </w:trPr>
        <w:tc>
          <w:tcPr>
            <w:tcW w:w="518" w:type="dxa"/>
            <w:vMerge w:val="restart"/>
            <w:tcBorders>
              <w:top w:val="nil"/>
              <w:left w:val="single" w:color="auto" w:sz="4" w:space="0"/>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根据绩效办2024年对各部门为民办实事和部门重点工程与重点工作考核分数折算。</w:t>
            </w:r>
          </w:p>
          <w:p>
            <w:pPr>
              <w:widowControl/>
              <w:jc w:val="left"/>
              <w:rPr>
                <w:rFonts w:eastAsia="仿宋_GB2312"/>
                <w:kern w:val="0"/>
                <w:sz w:val="20"/>
                <w:szCs w:val="20"/>
              </w:rPr>
            </w:pPr>
            <w:r>
              <w:rPr>
                <w:rFonts w:eastAsia="仿宋_GB2312"/>
                <w:kern w:val="0"/>
                <w:sz w:val="20"/>
                <w:szCs w:val="20"/>
              </w:rPr>
              <w:t>该项得分=</w:t>
            </w:r>
            <w:r>
              <w:rPr>
                <w:rFonts w:ascii="仿宋_GB2312" w:hAnsi="仿宋_GB2312" w:eastAsia="仿宋_GB2312"/>
                <w:kern w:val="0"/>
                <w:sz w:val="20"/>
                <w:szCs w:val="20"/>
              </w:rPr>
              <w:t>（绩效办对应部分考核得分</w:t>
            </w:r>
            <w:r>
              <w:rPr>
                <w:rFonts w:eastAsia="仿宋_GB2312"/>
                <w:kern w:val="0"/>
                <w:sz w:val="20"/>
                <w:szCs w:val="20"/>
              </w:rPr>
              <w:t>/350</w:t>
            </w:r>
            <w:r>
              <w:rPr>
                <w:rFonts w:ascii="仿宋_GB2312" w:hAnsi="仿宋_GB2312" w:eastAsia="仿宋_GB2312"/>
                <w:kern w:val="0"/>
                <w:sz w:val="20"/>
                <w:szCs w:val="20"/>
              </w:rPr>
              <w:t>）</w:t>
            </w:r>
            <w:r>
              <w:rPr>
                <w:rFonts w:eastAsia="仿宋_GB2312"/>
                <w:kern w:val="0"/>
                <w:sz w:val="20"/>
                <w:szCs w:val="20"/>
              </w:rPr>
              <w:t>*8</w:t>
            </w:r>
          </w:p>
        </w:tc>
        <w:tc>
          <w:tcPr>
            <w:tcW w:w="3402"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　</w:t>
            </w:r>
          </w:p>
        </w:tc>
        <w:tc>
          <w:tcPr>
            <w:tcW w:w="522" w:type="dxa"/>
            <w:tcBorders>
              <w:top w:val="nil"/>
              <w:left w:val="nil"/>
              <w:bottom w:val="single" w:color="auto" w:sz="4" w:space="0"/>
              <w:right w:val="single" w:color="auto" w:sz="4" w:space="0"/>
            </w:tcBorders>
            <w:noWrap/>
            <w:vAlign w:val="center"/>
          </w:tcPr>
          <w:p>
            <w:pPr>
              <w:widowControl/>
              <w:jc w:val="left"/>
              <w:rPr>
                <w:kern w:val="0"/>
                <w:sz w:val="24"/>
              </w:rPr>
            </w:pPr>
            <w:r>
              <w:rPr>
                <w:kern w:val="0"/>
                <w:sz w:val="24"/>
              </w:rPr>
              <w:t>　</w:t>
            </w:r>
            <w:r>
              <w:rPr>
                <w:rFonts w:hint="eastAsia"/>
                <w:kern w:val="0"/>
                <w:sz w:val="24"/>
              </w:rPr>
              <w:t>8</w:t>
            </w:r>
          </w:p>
        </w:tc>
      </w:tr>
      <w:tr>
        <w:tblPrEx>
          <w:tblCellMar>
            <w:top w:w="0" w:type="dxa"/>
            <w:left w:w="108" w:type="dxa"/>
            <w:bottom w:w="0" w:type="dxa"/>
            <w:right w:w="108" w:type="dxa"/>
          </w:tblCellMar>
        </w:tblPrEx>
        <w:trPr>
          <w:gridAfter w:val="1"/>
          <w:wAfter w:w="8" w:type="dxa"/>
          <w:trHeight w:val="445"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履职 效益</w:t>
            </w: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1194"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color="000000" w:sz="4" w:space="0"/>
            </w:tcBorders>
            <w:noWrap/>
            <w:vAlign w:val="center"/>
          </w:tcPr>
          <w:p>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r>
              <w:rPr>
                <w:rFonts w:hint="eastAsia"/>
                <w:kern w:val="0"/>
                <w:sz w:val="24"/>
              </w:rPr>
              <w:t>7</w:t>
            </w:r>
          </w:p>
        </w:tc>
      </w:tr>
      <w:tr>
        <w:tblPrEx>
          <w:tblCellMar>
            <w:top w:w="0" w:type="dxa"/>
            <w:left w:w="108" w:type="dxa"/>
            <w:bottom w:w="0" w:type="dxa"/>
            <w:right w:w="108" w:type="dxa"/>
          </w:tblCellMar>
        </w:tblPrEx>
        <w:trPr>
          <w:gridAfter w:val="1"/>
          <w:wAfter w:w="8" w:type="dxa"/>
          <w:trHeight w:val="383" w:hRule="atLeast"/>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社会效益</w:t>
            </w:r>
          </w:p>
        </w:tc>
        <w:tc>
          <w:tcPr>
            <w:tcW w:w="478"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379" w:type="dxa"/>
            <w:gridSpan w:val="2"/>
            <w:vMerge w:val="continue"/>
            <w:tcBorders>
              <w:top w:val="nil"/>
              <w:left w:val="nil"/>
              <w:bottom w:val="nil"/>
              <w:right w:val="single" w:color="000000" w:sz="4" w:space="0"/>
            </w:tcBorders>
            <w:noWrap/>
            <w:vAlign w:val="center"/>
          </w:tcPr>
          <w:p>
            <w:pPr>
              <w:widowControl/>
              <w:jc w:val="left"/>
              <w:rPr>
                <w:rFonts w:eastAsia="仿宋_GB2312"/>
                <w:kern w:val="0"/>
                <w:sz w:val="20"/>
                <w:szCs w:val="20"/>
              </w:rPr>
            </w:pP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p>
        </w:tc>
      </w:tr>
      <w:tr>
        <w:tblPrEx>
          <w:tblCellMar>
            <w:top w:w="0" w:type="dxa"/>
            <w:left w:w="108" w:type="dxa"/>
            <w:bottom w:w="0" w:type="dxa"/>
            <w:right w:w="108" w:type="dxa"/>
          </w:tblCellMar>
        </w:tblPrEx>
        <w:trPr>
          <w:gridAfter w:val="1"/>
          <w:wAfter w:w="8" w:type="dxa"/>
        </w:trPr>
        <w:tc>
          <w:tcPr>
            <w:tcW w:w="518" w:type="dxa"/>
            <w:vMerge w:val="continue"/>
            <w:tcBorders>
              <w:top w:val="nil"/>
              <w:left w:val="single" w:color="auto" w:sz="4" w:space="0"/>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single" w:color="000000" w:sz="4" w:space="0"/>
              <w:right w:val="single" w:color="auto" w:sz="4" w:space="0"/>
            </w:tcBorders>
            <w:noWrap/>
            <w:vAlign w:val="center"/>
          </w:tcPr>
          <w:p>
            <w:pPr>
              <w:widowControl/>
              <w:jc w:val="left"/>
              <w:rPr>
                <w:rFonts w:eastAsia="仿宋_GB2312"/>
                <w:kern w:val="0"/>
                <w:sz w:val="20"/>
                <w:szCs w:val="20"/>
              </w:rPr>
            </w:pPr>
          </w:p>
        </w:tc>
        <w:tc>
          <w:tcPr>
            <w:tcW w:w="416" w:type="dxa"/>
            <w:vMerge w:val="restart"/>
            <w:tcBorders>
              <w:top w:val="nil"/>
              <w:left w:val="nil"/>
              <w:bottom w:val="single" w:color="000000"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color="auto" w:sz="4" w:space="0"/>
              <w:left w:val="nil"/>
              <w:bottom w:val="single" w:color="auto" w:sz="4" w:space="0"/>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促进部门改进文风会风，加强经费及资产管理，推动网上办事，提高行政效率，降低行政成本效果较好的计6</w:t>
            </w:r>
            <w:r>
              <w:rPr>
                <w:rFonts w:ascii="仿宋_GB2312" w:hAnsi="仿宋_GB2312" w:eastAsia="仿宋_GB2312"/>
                <w:kern w:val="0"/>
                <w:sz w:val="20"/>
                <w:szCs w:val="20"/>
              </w:rPr>
              <w:t>分；一般</w:t>
            </w:r>
            <w:r>
              <w:rPr>
                <w:rFonts w:eastAsia="仿宋_GB2312"/>
                <w:kern w:val="0"/>
                <w:sz w:val="20"/>
                <w:szCs w:val="20"/>
              </w:rPr>
              <w:t>3</w:t>
            </w:r>
            <w:r>
              <w:rPr>
                <w:rFonts w:ascii="仿宋_GB2312" w:hAnsi="仿宋_GB2312" w:eastAsia="仿宋_GB2312"/>
                <w:kern w:val="0"/>
                <w:sz w:val="20"/>
                <w:szCs w:val="20"/>
              </w:rPr>
              <w:t>分；无效果或者效果不明显</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single" w:color="auto" w:sz="4" w:space="0"/>
              <w:left w:val="nil"/>
              <w:bottom w:val="single" w:color="auto" w:sz="4" w:space="0"/>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color="auto" w:sz="4" w:space="0"/>
              <w:left w:val="nil"/>
              <w:bottom w:val="single" w:color="auto" w:sz="4" w:space="0"/>
              <w:right w:val="single" w:color="auto" w:sz="4" w:space="0"/>
            </w:tcBorders>
            <w:noWrap/>
            <w:vAlign w:val="center"/>
          </w:tcPr>
          <w:p>
            <w:pPr>
              <w:widowControl/>
              <w:jc w:val="left"/>
              <w:rPr>
                <w:kern w:val="0"/>
                <w:sz w:val="24"/>
              </w:rPr>
            </w:pPr>
            <w:r>
              <w:rPr>
                <w:rFonts w:hint="eastAsia"/>
                <w:kern w:val="0"/>
                <w:sz w:val="24"/>
              </w:rPr>
              <w:t>6</w:t>
            </w:r>
            <w:r>
              <w:rPr>
                <w:kern w:val="0"/>
                <w:sz w:val="24"/>
              </w:rPr>
              <w:t>　</w:t>
            </w:r>
          </w:p>
        </w:tc>
      </w:tr>
      <w:tr>
        <w:tblPrEx>
          <w:tblCellMar>
            <w:top w:w="0" w:type="dxa"/>
            <w:left w:w="108" w:type="dxa"/>
            <w:bottom w:w="0" w:type="dxa"/>
            <w:right w:w="108" w:type="dxa"/>
          </w:tblCellMar>
        </w:tblPrEx>
        <w:trPr>
          <w:gridAfter w:val="1"/>
          <w:wAfter w:w="8" w:type="dxa"/>
          <w:trHeight w:val="1241" w:hRule="atLeast"/>
        </w:trPr>
        <w:tc>
          <w:tcPr>
            <w:tcW w:w="518" w:type="dxa"/>
            <w:vMerge w:val="continue"/>
            <w:tcBorders>
              <w:top w:val="nil"/>
              <w:left w:val="single" w:color="auto" w:sz="4" w:space="0"/>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677" w:type="dxa"/>
            <w:gridSpan w:val="2"/>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416" w:type="dxa"/>
            <w:vMerge w:val="continue"/>
            <w:tcBorders>
              <w:top w:val="nil"/>
              <w:left w:val="nil"/>
              <w:bottom w:val="nil"/>
              <w:right w:val="single" w:color="auto" w:sz="4" w:space="0"/>
            </w:tcBorders>
            <w:noWrap/>
            <w:vAlign w:val="center"/>
          </w:tcPr>
          <w:p>
            <w:pPr>
              <w:widowControl/>
              <w:jc w:val="left"/>
              <w:rPr>
                <w:rFonts w:eastAsia="仿宋_GB2312"/>
                <w:kern w:val="0"/>
                <w:sz w:val="20"/>
                <w:szCs w:val="20"/>
              </w:rPr>
            </w:pPr>
          </w:p>
        </w:tc>
        <w:tc>
          <w:tcPr>
            <w:tcW w:w="1194"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color="auto" w:sz="4" w:space="0"/>
            </w:tcBorders>
            <w:noWrap/>
            <w:vAlign w:val="center"/>
          </w:tcPr>
          <w:p>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color="auto" w:sz="4" w:space="0"/>
            </w:tcBorders>
            <w:noWrap/>
            <w:vAlign w:val="center"/>
          </w:tcPr>
          <w:p>
            <w:pPr>
              <w:widowControl/>
              <w:jc w:val="left"/>
              <w:rPr>
                <w:rFonts w:ascii="仿宋_GB2312" w:hAnsi="仿宋_GB2312" w:eastAsia="仿宋_GB2312"/>
                <w:kern w:val="0"/>
                <w:sz w:val="20"/>
                <w:szCs w:val="20"/>
              </w:rPr>
            </w:pPr>
            <w:r>
              <w:rPr>
                <w:rFonts w:eastAsia="仿宋_GB2312"/>
                <w:kern w:val="0"/>
                <w:sz w:val="20"/>
                <w:szCs w:val="20"/>
              </w:rPr>
              <w:t>90%</w:t>
            </w:r>
            <w:r>
              <w:rPr>
                <w:rFonts w:ascii="仿宋_GB2312" w:hAnsi="仿宋_GB2312" w:eastAsia="仿宋_GB2312"/>
                <w:kern w:val="0"/>
                <w:sz w:val="20"/>
                <w:szCs w:val="20"/>
              </w:rPr>
              <w:t>（含）以上计</w:t>
            </w:r>
            <w:r>
              <w:rPr>
                <w:rFonts w:eastAsia="仿宋_GB2312"/>
                <w:kern w:val="0"/>
                <w:sz w:val="20"/>
                <w:szCs w:val="20"/>
              </w:rPr>
              <w:t>6</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80%</w:t>
            </w:r>
            <w:r>
              <w:rPr>
                <w:rFonts w:ascii="仿宋_GB2312" w:hAnsi="仿宋_GB2312" w:eastAsia="仿宋_GB2312"/>
                <w:kern w:val="0"/>
                <w:sz w:val="20"/>
                <w:szCs w:val="20"/>
              </w:rPr>
              <w:t>（含）</w:t>
            </w:r>
            <w:r>
              <w:rPr>
                <w:rFonts w:eastAsia="仿宋_GB2312"/>
                <w:kern w:val="0"/>
                <w:sz w:val="20"/>
                <w:szCs w:val="20"/>
              </w:rPr>
              <w:t>-90%</w:t>
            </w:r>
            <w:r>
              <w:rPr>
                <w:rFonts w:ascii="仿宋_GB2312" w:hAnsi="仿宋_GB2312" w:eastAsia="仿宋_GB2312"/>
                <w:kern w:val="0"/>
                <w:sz w:val="20"/>
                <w:szCs w:val="20"/>
              </w:rPr>
              <w:t>，计</w:t>
            </w:r>
            <w:r>
              <w:rPr>
                <w:rFonts w:eastAsia="仿宋_GB2312"/>
                <w:kern w:val="0"/>
                <w:sz w:val="20"/>
                <w:szCs w:val="20"/>
              </w:rPr>
              <w:t>4</w:t>
            </w:r>
            <w:r>
              <w:rPr>
                <w:rFonts w:ascii="仿宋_GB2312" w:hAnsi="仿宋_GB2312" w:eastAsia="仿宋_GB2312"/>
                <w:kern w:val="0"/>
                <w:sz w:val="20"/>
                <w:szCs w:val="20"/>
              </w:rPr>
              <w:t>分；</w:t>
            </w:r>
          </w:p>
          <w:p>
            <w:pPr>
              <w:widowControl/>
              <w:jc w:val="left"/>
              <w:rPr>
                <w:rFonts w:ascii="仿宋_GB2312" w:hAnsi="仿宋_GB2312" w:eastAsia="仿宋_GB2312"/>
                <w:kern w:val="0"/>
                <w:sz w:val="20"/>
                <w:szCs w:val="20"/>
              </w:rPr>
            </w:pPr>
            <w:r>
              <w:rPr>
                <w:rFonts w:eastAsia="仿宋_GB2312"/>
                <w:kern w:val="0"/>
                <w:sz w:val="20"/>
                <w:szCs w:val="20"/>
              </w:rPr>
              <w:t>70%</w:t>
            </w:r>
            <w:r>
              <w:rPr>
                <w:rFonts w:ascii="仿宋_GB2312" w:hAnsi="仿宋_GB2312" w:eastAsia="仿宋_GB2312"/>
                <w:kern w:val="0"/>
                <w:sz w:val="20"/>
                <w:szCs w:val="20"/>
              </w:rPr>
              <w:t>（含）</w:t>
            </w:r>
            <w:r>
              <w:rPr>
                <w:rFonts w:eastAsia="仿宋_GB2312"/>
                <w:kern w:val="0"/>
                <w:sz w:val="20"/>
                <w:szCs w:val="20"/>
              </w:rPr>
              <w:t>-80%</w:t>
            </w:r>
            <w:r>
              <w:rPr>
                <w:rFonts w:ascii="仿宋_GB2312" w:hAnsi="仿宋_GB2312" w:eastAsia="仿宋_GB2312"/>
                <w:kern w:val="0"/>
                <w:sz w:val="20"/>
                <w:szCs w:val="20"/>
              </w:rPr>
              <w:t>，计</w:t>
            </w:r>
            <w:r>
              <w:rPr>
                <w:rFonts w:eastAsia="仿宋_GB2312"/>
                <w:kern w:val="0"/>
                <w:sz w:val="20"/>
                <w:szCs w:val="20"/>
              </w:rPr>
              <w:t>2</w:t>
            </w:r>
            <w:r>
              <w:rPr>
                <w:rFonts w:ascii="仿宋_GB2312" w:hAnsi="仿宋_GB2312" w:eastAsia="仿宋_GB2312"/>
                <w:kern w:val="0"/>
                <w:sz w:val="20"/>
                <w:szCs w:val="20"/>
              </w:rPr>
              <w:t>分；</w:t>
            </w:r>
          </w:p>
          <w:p>
            <w:pPr>
              <w:widowControl/>
              <w:jc w:val="left"/>
              <w:rPr>
                <w:rFonts w:eastAsia="仿宋_GB2312"/>
                <w:kern w:val="0"/>
                <w:sz w:val="20"/>
                <w:szCs w:val="20"/>
              </w:rPr>
            </w:pPr>
            <w:r>
              <w:rPr>
                <w:rFonts w:eastAsia="仿宋_GB2312"/>
                <w:kern w:val="0"/>
                <w:sz w:val="20"/>
                <w:szCs w:val="20"/>
              </w:rPr>
              <w:t>低于70%</w:t>
            </w:r>
            <w:r>
              <w:rPr>
                <w:rFonts w:ascii="仿宋_GB2312" w:hAnsi="仿宋_GB2312" w:eastAsia="仿宋_GB2312"/>
                <w:kern w:val="0"/>
                <w:sz w:val="20"/>
                <w:szCs w:val="20"/>
              </w:rPr>
              <w:t>计</w:t>
            </w:r>
            <w:r>
              <w:rPr>
                <w:rFonts w:eastAsia="仿宋_GB2312"/>
                <w:kern w:val="0"/>
                <w:sz w:val="20"/>
                <w:szCs w:val="20"/>
              </w:rPr>
              <w:t>0</w:t>
            </w:r>
            <w:r>
              <w:rPr>
                <w:rFonts w:ascii="仿宋_GB2312" w:hAnsi="仿宋_GB2312" w:eastAsia="仿宋_GB2312"/>
                <w:kern w:val="0"/>
                <w:sz w:val="20"/>
                <w:szCs w:val="20"/>
              </w:rPr>
              <w:t>分。</w:t>
            </w:r>
          </w:p>
        </w:tc>
        <w:tc>
          <w:tcPr>
            <w:tcW w:w="3402" w:type="dxa"/>
            <w:tcBorders>
              <w:top w:val="nil"/>
              <w:left w:val="nil"/>
              <w:bottom w:val="nil"/>
              <w:right w:val="single" w:color="auto" w:sz="4" w:space="0"/>
            </w:tcBorders>
            <w:noWrap/>
            <w:vAlign w:val="center"/>
          </w:tcPr>
          <w:p>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ign w:val="center"/>
          </w:tcPr>
          <w:p>
            <w:pPr>
              <w:widowControl/>
              <w:jc w:val="left"/>
              <w:rPr>
                <w:kern w:val="0"/>
                <w:sz w:val="24"/>
              </w:rPr>
            </w:pPr>
            <w:r>
              <w:rPr>
                <w:kern w:val="0"/>
                <w:sz w:val="24"/>
              </w:rPr>
              <w:t>　</w:t>
            </w:r>
            <w:r>
              <w:rPr>
                <w:rFonts w:hint="eastAsia"/>
                <w:kern w:val="0"/>
                <w:sz w:val="24"/>
              </w:rPr>
              <w:t>6</w:t>
            </w:r>
          </w:p>
        </w:tc>
      </w:tr>
      <w:tr>
        <w:tblPrEx>
          <w:tblCellMar>
            <w:top w:w="0" w:type="dxa"/>
            <w:left w:w="108" w:type="dxa"/>
            <w:bottom w:w="0" w:type="dxa"/>
            <w:right w:w="108" w:type="dxa"/>
          </w:tblCellMar>
        </w:tblPrEx>
        <w:trPr>
          <w:trHeight w:val="90" w:hRule="atLeast"/>
        </w:trPr>
        <w:tc>
          <w:tcPr>
            <w:tcW w:w="1366" w:type="dxa"/>
            <w:gridSpan w:val="3"/>
            <w:tcBorders>
              <w:top w:val="single" w:color="auto" w:sz="4" w:space="0"/>
              <w:left w:val="single" w:color="auto" w:sz="4" w:space="0"/>
              <w:bottom w:val="single" w:color="auto" w:sz="4" w:space="0"/>
              <w:right w:val="single" w:color="auto" w:sz="4" w:space="0"/>
            </w:tcBorders>
            <w:noWrap/>
          </w:tcPr>
          <w:p>
            <w:pPr>
              <w:widowControl/>
              <w:jc w:val="left"/>
              <w:rPr>
                <w:rFonts w:ascii="仿宋_GB2312" w:hAnsi="宋体"/>
                <w:color w:val="000000"/>
                <w:kern w:val="0"/>
                <w:sz w:val="20"/>
                <w:szCs w:val="20"/>
              </w:rPr>
            </w:pPr>
            <w:r>
              <w:rPr>
                <w:rFonts w:hint="eastAsia" w:ascii="仿宋_GB2312" w:hAnsi="宋体"/>
                <w:color w:val="000000"/>
                <w:kern w:val="0"/>
                <w:sz w:val="20"/>
                <w:szCs w:val="20"/>
              </w:rPr>
              <w:t>合计(分)</w:t>
            </w:r>
          </w:p>
        </w:tc>
        <w:tc>
          <w:tcPr>
            <w:tcW w:w="9242" w:type="dxa"/>
            <w:gridSpan w:val="8"/>
            <w:tcBorders>
              <w:top w:val="single" w:color="auto" w:sz="4" w:space="0"/>
              <w:left w:val="nil"/>
              <w:bottom w:val="single" w:color="auto" w:sz="4" w:space="0"/>
              <w:right w:val="single" w:color="auto" w:sz="4" w:space="0"/>
            </w:tcBorders>
            <w:noWrap/>
            <w:vAlign w:val="center"/>
          </w:tcPr>
          <w:p>
            <w:pPr>
              <w:widowControl/>
              <w:jc w:val="right"/>
              <w:rPr>
                <w:rFonts w:ascii="宋体" w:hAnsi="宋体"/>
                <w:color w:val="000000"/>
                <w:kern w:val="0"/>
                <w:sz w:val="24"/>
              </w:rPr>
            </w:pPr>
            <w:r>
              <w:rPr>
                <w:rFonts w:hint="eastAsia" w:ascii="宋体" w:hAnsi="宋体"/>
                <w:color w:val="000000"/>
                <w:kern w:val="0"/>
                <w:sz w:val="24"/>
              </w:rPr>
              <w:t>95</w:t>
            </w:r>
          </w:p>
        </w:tc>
      </w:tr>
    </w:tbl>
    <w:p>
      <w:pPr>
        <w:spacing w:line="600" w:lineRule="exact"/>
        <w:rPr>
          <w:rFonts w:eastAsia="黑体"/>
          <w:kern w:val="0"/>
          <w:sz w:val="32"/>
          <w:szCs w:val="32"/>
        </w:rPr>
      </w:pPr>
    </w:p>
    <w:p>
      <w:pPr>
        <w:widowControl/>
      </w:pPr>
    </w:p>
    <w:p>
      <w:pPr>
        <w:widowControl/>
      </w:pPr>
    </w:p>
    <w:p/>
    <w:p>
      <w:pPr>
        <w:spacing w:before="68" w:line="560" w:lineRule="exact"/>
        <w:jc w:val="center"/>
        <w:rPr>
          <w:rFonts w:ascii="仿宋" w:hAnsi="仿宋" w:eastAsia="仿宋" w:cs="仿宋"/>
          <w:spacing w:val="5"/>
          <w:sz w:val="29"/>
          <w:szCs w:val="29"/>
          <w:lang w:eastAsia="zh-CN"/>
        </w:rPr>
      </w:pPr>
    </w:p>
    <w:sectPr>
      <w:footerReference r:id="rId3" w:type="default"/>
      <w:pgSz w:w="11900" w:h="16840"/>
      <w:pgMar w:top="689" w:right="305" w:bottom="400" w:left="1785"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3Yjc2N2Q3OTg2NmU4ODUzZmNlY2E0OWJkYmYzODgifQ=="/>
  </w:docVars>
  <w:rsids>
    <w:rsidRoot w:val="00231EAA"/>
    <w:rsid w:val="000B6769"/>
    <w:rsid w:val="00231EAA"/>
    <w:rsid w:val="00280D97"/>
    <w:rsid w:val="006D5F80"/>
    <w:rsid w:val="00933611"/>
    <w:rsid w:val="0093780A"/>
    <w:rsid w:val="00A22516"/>
    <w:rsid w:val="00E960AE"/>
    <w:rsid w:val="060F1042"/>
    <w:rsid w:val="0BC419DA"/>
    <w:rsid w:val="18972950"/>
    <w:rsid w:val="235C209C"/>
    <w:rsid w:val="2BD31A99"/>
    <w:rsid w:val="2E81431C"/>
    <w:rsid w:val="47057C7C"/>
    <w:rsid w:val="49B12756"/>
    <w:rsid w:val="608B14E5"/>
    <w:rsid w:val="737938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style>
  <w:style w:type="paragraph" w:styleId="3">
    <w:name w:val="footer"/>
    <w:basedOn w:val="1"/>
    <w:link w:val="9"/>
    <w:qFormat/>
    <w:uiPriority w:val="0"/>
    <w:pPr>
      <w:tabs>
        <w:tab w:val="center" w:pos="4153"/>
        <w:tab w:val="right" w:pos="8306"/>
      </w:tabs>
    </w:pPr>
    <w:rPr>
      <w:sz w:val="18"/>
      <w:szCs w:val="18"/>
    </w:rPr>
  </w:style>
  <w:style w:type="paragraph" w:styleId="4">
    <w:name w:val="header"/>
    <w:basedOn w:val="1"/>
    <w:link w:val="8"/>
    <w:qFormat/>
    <w:uiPriority w:val="0"/>
    <w:pPr>
      <w:pBdr>
        <w:bottom w:val="single" w:color="auto" w:sz="6" w:space="1"/>
      </w:pBd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页眉 Char"/>
    <w:basedOn w:val="6"/>
    <w:link w:val="4"/>
    <w:qFormat/>
    <w:uiPriority w:val="0"/>
    <w:rPr>
      <w:rFonts w:eastAsia="Arial"/>
      <w:snapToGrid w:val="0"/>
      <w:color w:val="000000"/>
      <w:sz w:val="18"/>
      <w:szCs w:val="18"/>
      <w:lang w:eastAsia="en-US"/>
    </w:rPr>
  </w:style>
  <w:style w:type="character" w:customStyle="1" w:styleId="9">
    <w:name w:val="页脚 Char"/>
    <w:basedOn w:val="6"/>
    <w:link w:val="3"/>
    <w:qFormat/>
    <w:uiPriority w:val="0"/>
    <w:rPr>
      <w:rFonts w:eastAsia="Arial"/>
      <w:snapToGrid w:val="0"/>
      <w:color w:val="00000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1075</Words>
  <Characters>1124</Characters>
  <Lines>8</Lines>
  <Paragraphs>2</Paragraphs>
  <TotalTime>3</TotalTime>
  <ScaleCrop>false</ScaleCrop>
  <LinksUpToDate>false</LinksUpToDate>
  <CharactersWithSpaces>1125</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2025-04-02T03:08:00Z</dcterms:created>
  <dc:creator>Administrator</dc:creator>
  <cp:lastModifiedBy>Administrator</cp:lastModifiedBy>
  <cp:lastPrinted>2025-04-07T01:52:00Z</cp:lastPrinted>
  <dcterms:modified xsi:type="dcterms:W3CDTF">2025-05-30T05:36:06Z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2024-04-17T10:18:51Z</vt:filetime>
  </property>
  <property fmtid="{D5CDD505-2E9C-101B-9397-08002B2CF9AE}" pid="4" name="UsrData">
    <vt:lpwstr>661f31874e9286001fb79357wl</vt:lpwstr>
  </property>
  <property fmtid="{D5CDD505-2E9C-101B-9397-08002B2CF9AE}" pid="5" name="KSOProductBuildVer">
    <vt:lpwstr>2052-11.8.2.12055</vt:lpwstr>
  </property>
  <property fmtid="{D5CDD505-2E9C-101B-9397-08002B2CF9AE}" pid="6" name="ICV">
    <vt:lpwstr>528D5E99D6234899927AF5FF11A61A7C_13</vt:lpwstr>
  </property>
  <property fmtid="{D5CDD505-2E9C-101B-9397-08002B2CF9AE}" pid="7" name="KSOTemplateDocerSaveRecord">
    <vt:lpwstr>eyJoZGlkIjoiMTI3Yjc2N2Q3OTg2NmU4ODUzZmNlY2E0OWJkYmYzODgiLCJ1c2VySWQiOiIyMzk5NTM4MTYifQ==</vt:lpwstr>
  </property>
</Properties>
</file>