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E43A09">
      <w:pPr>
        <w:jc w:val="center"/>
        <w:rPr>
          <w:rFonts w:eastAsia="方正小标宋_GBK"/>
          <w:sz w:val="48"/>
          <w:szCs w:val="48"/>
        </w:rPr>
      </w:pPr>
      <w:r>
        <w:rPr>
          <w:rFonts w:hint="eastAsia" w:eastAsia="方正小标宋_GBK"/>
          <w:sz w:val="48"/>
          <w:szCs w:val="48"/>
          <w:lang w:val="en-US" w:eastAsia="zh-CN"/>
        </w:rPr>
        <w:t>2024</w:t>
      </w:r>
      <w:r>
        <w:rPr>
          <w:rFonts w:eastAsia="方正小标宋_GBK"/>
          <w:sz w:val="48"/>
          <w:szCs w:val="48"/>
        </w:rPr>
        <w:t>年度</w:t>
      </w:r>
      <w:r>
        <w:rPr>
          <w:rFonts w:hint="eastAsia" w:eastAsia="方正小标宋_GBK"/>
          <w:sz w:val="48"/>
          <w:szCs w:val="48"/>
          <w:lang w:val="en-US" w:eastAsia="zh-CN"/>
        </w:rPr>
        <w:t>江永县千家峒瑶族乡中心幼儿园</w:t>
      </w:r>
      <w:r>
        <w:rPr>
          <w:rFonts w:eastAsia="方正小标宋_GBK"/>
          <w:sz w:val="48"/>
          <w:szCs w:val="48"/>
        </w:rPr>
        <w:t>整体支出</w:t>
      </w:r>
    </w:p>
    <w:p w14:paraId="00B15BF1">
      <w:pPr>
        <w:jc w:val="center"/>
        <w:rPr>
          <w:rFonts w:eastAsia="方正小标宋_GBK"/>
          <w:sz w:val="48"/>
          <w:szCs w:val="48"/>
        </w:rPr>
      </w:pPr>
      <w:r>
        <w:rPr>
          <w:rFonts w:eastAsia="方正小标宋_GBK"/>
          <w:sz w:val="48"/>
          <w:szCs w:val="48"/>
        </w:rPr>
        <w:t>绩效自评报告</w:t>
      </w:r>
    </w:p>
    <w:p w14:paraId="38993F77">
      <w:pPr>
        <w:jc w:val="center"/>
        <w:rPr>
          <w:rFonts w:eastAsia="黑体"/>
          <w:sz w:val="32"/>
          <w:szCs w:val="32"/>
        </w:rPr>
      </w:pPr>
    </w:p>
    <w:p w14:paraId="65344737">
      <w:pPr>
        <w:jc w:val="center"/>
        <w:rPr>
          <w:rFonts w:eastAsia="黑体"/>
          <w:sz w:val="32"/>
          <w:szCs w:val="32"/>
        </w:rPr>
      </w:pPr>
    </w:p>
    <w:p w14:paraId="16941FE1">
      <w:pPr>
        <w:jc w:val="center"/>
        <w:rPr>
          <w:rFonts w:eastAsia="黑体"/>
          <w:sz w:val="32"/>
          <w:szCs w:val="32"/>
        </w:rPr>
      </w:pPr>
    </w:p>
    <w:p w14:paraId="5452300A">
      <w:pPr>
        <w:jc w:val="center"/>
        <w:rPr>
          <w:rFonts w:eastAsia="黑体"/>
          <w:sz w:val="32"/>
          <w:szCs w:val="32"/>
        </w:rPr>
      </w:pPr>
    </w:p>
    <w:p w14:paraId="1EA06D31">
      <w:pPr>
        <w:jc w:val="center"/>
        <w:rPr>
          <w:rFonts w:eastAsia="黑体"/>
          <w:sz w:val="32"/>
          <w:szCs w:val="32"/>
        </w:rPr>
      </w:pPr>
    </w:p>
    <w:p w14:paraId="0FA7C7D1">
      <w:pPr>
        <w:jc w:val="center"/>
        <w:rPr>
          <w:rFonts w:eastAsia="黑体"/>
          <w:sz w:val="32"/>
          <w:szCs w:val="32"/>
        </w:rPr>
      </w:pPr>
    </w:p>
    <w:p w14:paraId="088C15E1">
      <w:pPr>
        <w:ind w:firstLine="880" w:firstLineChars="200"/>
        <w:jc w:val="center"/>
        <w:rPr>
          <w:rFonts w:eastAsia="黑体"/>
          <w:sz w:val="44"/>
          <w:szCs w:val="44"/>
        </w:rPr>
      </w:pPr>
    </w:p>
    <w:p w14:paraId="577B6CE2">
      <w:pPr>
        <w:ind w:firstLine="880" w:firstLineChars="200"/>
        <w:jc w:val="center"/>
        <w:rPr>
          <w:rFonts w:eastAsia="黑体"/>
          <w:sz w:val="44"/>
          <w:szCs w:val="44"/>
        </w:rPr>
      </w:pPr>
    </w:p>
    <w:p w14:paraId="42F17A52">
      <w:pPr>
        <w:jc w:val="both"/>
        <w:rPr>
          <w:rFonts w:eastAsia="黑体"/>
          <w:sz w:val="44"/>
          <w:szCs w:val="44"/>
        </w:rPr>
      </w:pPr>
    </w:p>
    <w:p w14:paraId="2A0B4B35">
      <w:pPr>
        <w:ind w:firstLine="880" w:firstLineChars="200"/>
        <w:jc w:val="center"/>
        <w:rPr>
          <w:rFonts w:eastAsia="黑体"/>
          <w:sz w:val="44"/>
          <w:szCs w:val="44"/>
        </w:rPr>
      </w:pPr>
    </w:p>
    <w:p w14:paraId="1A5C0D75">
      <w:pPr>
        <w:ind w:firstLine="880" w:firstLineChars="200"/>
        <w:jc w:val="center"/>
        <w:rPr>
          <w:rFonts w:eastAsia="黑体"/>
          <w:sz w:val="44"/>
          <w:szCs w:val="44"/>
        </w:rPr>
      </w:pPr>
    </w:p>
    <w:p w14:paraId="7D73CE7F">
      <w:pPr>
        <w:ind w:firstLine="880" w:firstLineChars="200"/>
        <w:jc w:val="center"/>
        <w:rPr>
          <w:rFonts w:eastAsia="黑体"/>
          <w:sz w:val="44"/>
          <w:szCs w:val="44"/>
        </w:rPr>
      </w:pPr>
    </w:p>
    <w:p w14:paraId="43BF4DCD">
      <w:pPr>
        <w:ind w:firstLine="880" w:firstLineChars="200"/>
        <w:jc w:val="center"/>
        <w:rPr>
          <w:rFonts w:eastAsia="黑体"/>
          <w:sz w:val="44"/>
          <w:szCs w:val="44"/>
        </w:rPr>
      </w:pPr>
    </w:p>
    <w:p w14:paraId="2DEBE631">
      <w:pPr>
        <w:jc w:val="center"/>
        <w:rPr>
          <w:rFonts w:hint="default" w:eastAsia="黑体"/>
          <w:sz w:val="36"/>
          <w:szCs w:val="36"/>
          <w:lang w:val="en-US" w:eastAsia="zh-CN"/>
        </w:rPr>
      </w:pPr>
      <w:r>
        <w:rPr>
          <w:rFonts w:eastAsia="黑体"/>
          <w:sz w:val="36"/>
          <w:szCs w:val="36"/>
        </w:rPr>
        <w:t>单位名称（盖章）：</w:t>
      </w:r>
      <w:r>
        <w:rPr>
          <w:rFonts w:hint="eastAsia" w:eastAsia="黑体"/>
          <w:sz w:val="36"/>
          <w:szCs w:val="36"/>
          <w:lang w:val="en-US" w:eastAsia="zh-CN"/>
        </w:rPr>
        <w:t>江永县千家峒瑶族乡中心幼儿园</w:t>
      </w:r>
    </w:p>
    <w:p w14:paraId="0E25AC28">
      <w:pPr>
        <w:jc w:val="both"/>
        <w:rPr>
          <w:rFonts w:eastAsia="仿宋_GB2312"/>
          <w:sz w:val="32"/>
          <w:szCs w:val="32"/>
        </w:rPr>
      </w:pPr>
    </w:p>
    <w:p w14:paraId="63C7CEA7">
      <w:pPr>
        <w:spacing w:line="600" w:lineRule="exact"/>
        <w:ind w:firstLine="640" w:firstLineChars="200"/>
        <w:rPr>
          <w:rFonts w:eastAsia="黑体"/>
          <w:sz w:val="32"/>
          <w:szCs w:val="32"/>
        </w:rPr>
      </w:pPr>
      <w:r>
        <w:rPr>
          <w:rFonts w:eastAsia="仿宋_GB2312"/>
          <w:sz w:val="32"/>
          <w:szCs w:val="32"/>
        </w:rPr>
        <w:br w:type="page"/>
      </w:r>
    </w:p>
    <w:p w14:paraId="43ABFDCC">
      <w:pPr>
        <w:widowControl/>
        <w:jc w:val="center"/>
        <w:rPr>
          <w:rFonts w:ascii="仿宋" w:hAnsi="仿宋" w:eastAsia="仿宋"/>
          <w:b/>
          <w:sz w:val="32"/>
          <w:szCs w:val="32"/>
        </w:rPr>
      </w:pPr>
      <w:r>
        <w:rPr>
          <w:rFonts w:hint="eastAsia" w:ascii="仿宋" w:hAnsi="仿宋" w:eastAsia="仿宋" w:cs="方正小标宋_GBK"/>
          <w:b/>
          <w:sz w:val="44"/>
          <w:szCs w:val="44"/>
        </w:rPr>
        <w:t>202</w:t>
      </w:r>
      <w:r>
        <w:rPr>
          <w:rFonts w:hint="eastAsia" w:ascii="仿宋" w:hAnsi="仿宋" w:eastAsia="仿宋" w:cs="方正小标宋_GBK"/>
          <w:b/>
          <w:sz w:val="44"/>
          <w:szCs w:val="44"/>
          <w:lang w:val="en-US" w:eastAsia="zh-CN"/>
        </w:rPr>
        <w:t>4</w:t>
      </w:r>
      <w:r>
        <w:rPr>
          <w:rFonts w:hint="eastAsia" w:ascii="仿宋" w:hAnsi="仿宋" w:eastAsia="仿宋" w:cs="方正小标宋_GBK"/>
          <w:b/>
          <w:sz w:val="44"/>
          <w:szCs w:val="44"/>
        </w:rPr>
        <w:t>年度江永县千家峒瑶族乡中心幼儿园整体支出</w:t>
      </w:r>
    </w:p>
    <w:p w14:paraId="6842DDE1">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一、基本情况</w:t>
      </w:r>
    </w:p>
    <w:p w14:paraId="4DD7BEC3">
      <w:pPr>
        <w:spacing w:line="600" w:lineRule="exact"/>
        <w:ind w:firstLine="640" w:firstLineChars="200"/>
        <w:rPr>
          <w:rFonts w:ascii="仿宋" w:hAnsi="仿宋" w:eastAsia="仿宋" w:cs="楷体"/>
          <w:sz w:val="32"/>
          <w:szCs w:val="32"/>
        </w:rPr>
      </w:pPr>
      <w:r>
        <w:rPr>
          <w:rFonts w:hint="eastAsia" w:ascii="仿宋" w:hAnsi="仿宋" w:eastAsia="仿宋" w:cs="楷体"/>
          <w:sz w:val="32"/>
          <w:szCs w:val="32"/>
        </w:rPr>
        <w:t>（一）单位基本情况</w:t>
      </w:r>
    </w:p>
    <w:p w14:paraId="65BD8CD9">
      <w:pPr>
        <w:spacing w:line="600" w:lineRule="exact"/>
        <w:ind w:firstLine="640" w:firstLineChars="200"/>
        <w:rPr>
          <w:rFonts w:ascii="仿宋" w:hAnsi="仿宋" w:eastAsia="仿宋" w:cs="方正仿宋_GB2312"/>
          <w:sz w:val="32"/>
          <w:szCs w:val="32"/>
        </w:rPr>
      </w:pPr>
      <w:r>
        <w:rPr>
          <w:rFonts w:hint="eastAsia" w:ascii="仿宋" w:hAnsi="仿宋" w:eastAsia="仿宋" w:cs="方正仿宋_GB2312"/>
          <w:sz w:val="32"/>
          <w:szCs w:val="32"/>
        </w:rPr>
        <w:t>千家峒瑶族乡中心幼儿园占地面积约680m</w:t>
      </w:r>
      <w:r>
        <w:rPr>
          <w:rFonts w:hint="eastAsia" w:ascii="仿宋" w:hAnsi="方正仿宋_GB2312" w:eastAsia="方正仿宋_GB2312" w:cs="方正仿宋_GB2312"/>
          <w:sz w:val="32"/>
          <w:szCs w:val="32"/>
          <w:vertAlign w:val="superscript"/>
        </w:rPr>
        <w:t>2</w:t>
      </w:r>
      <w:r>
        <w:rPr>
          <w:rFonts w:hint="eastAsia" w:ascii="仿宋" w:hAnsi="仿宋" w:eastAsia="仿宋" w:cs="方正仿宋_GB2312"/>
          <w:sz w:val="32"/>
          <w:szCs w:val="32"/>
        </w:rPr>
        <w:t>，建筑面积约330 m</w:t>
      </w:r>
      <w:r>
        <w:rPr>
          <w:rFonts w:hint="eastAsia" w:ascii="仿宋" w:hAnsi="方正仿宋_GB2312" w:eastAsia="方正仿宋_GB2312" w:cs="方正仿宋_GB2312"/>
          <w:sz w:val="32"/>
          <w:szCs w:val="32"/>
          <w:vertAlign w:val="superscript"/>
        </w:rPr>
        <w:t>2</w:t>
      </w:r>
      <w:r>
        <w:rPr>
          <w:rFonts w:hint="eastAsia" w:ascii="仿宋" w:hAnsi="仿宋" w:eastAsia="仿宋" w:cs="方正仿宋_GB2312"/>
          <w:sz w:val="32"/>
          <w:szCs w:val="32"/>
        </w:rPr>
        <w:t>，是一栋由老教学楼改造而来的，整体充满着古着而又质朴的气息。由于考虑到上下楼梯存在的安全隐患，所以将幼儿日常的活动室都放在了一楼。全园共有两个活动室、两个寝室、一个图书室、一个区域活动室、两个卫生间、一个保健室、一个隔离室、两个仓库放杂物，一个办公室还有一个面积大概为300m</w:t>
      </w:r>
      <w:r>
        <w:rPr>
          <w:rFonts w:hint="eastAsia" w:ascii="仿宋" w:hAnsi="方正仿宋_GB2312" w:eastAsia="方正仿宋_GB2312" w:cs="方正仿宋_GB2312"/>
          <w:sz w:val="32"/>
          <w:szCs w:val="32"/>
          <w:vertAlign w:val="superscript"/>
        </w:rPr>
        <w:t>2</w:t>
      </w:r>
      <w:r>
        <w:rPr>
          <w:rFonts w:hint="eastAsia" w:ascii="仿宋" w:hAnsi="仿宋" w:eastAsia="仿宋" w:cs="方正仿宋_GB2312"/>
          <w:sz w:val="32"/>
          <w:szCs w:val="32"/>
        </w:rPr>
        <w:t>的户外场地。</w:t>
      </w:r>
    </w:p>
    <w:p w14:paraId="40DD3545">
      <w:pPr>
        <w:spacing w:line="600" w:lineRule="exact"/>
        <w:ind w:firstLine="640" w:firstLineChars="200"/>
        <w:rPr>
          <w:rFonts w:ascii="仿宋" w:hAnsi="仿宋" w:eastAsia="仿宋" w:cs="方正仿宋_GB2312"/>
          <w:sz w:val="32"/>
          <w:szCs w:val="32"/>
        </w:rPr>
      </w:pPr>
      <w:r>
        <w:rPr>
          <w:rFonts w:hint="eastAsia" w:ascii="仿宋" w:hAnsi="仿宋" w:eastAsia="仿宋" w:cs="方正仿宋_GB2312"/>
          <w:sz w:val="32"/>
          <w:szCs w:val="32"/>
        </w:rPr>
        <w:t>本园办园宗旨：育之以爱，教之以情；轻松学习，健康成长。</w:t>
      </w:r>
    </w:p>
    <w:p w14:paraId="5C334F90">
      <w:pPr>
        <w:spacing w:line="600" w:lineRule="exact"/>
        <w:ind w:firstLine="640" w:firstLineChars="200"/>
        <w:rPr>
          <w:rFonts w:ascii="仿宋" w:hAnsi="仿宋" w:eastAsia="仿宋" w:cs="楷体"/>
          <w:sz w:val="32"/>
          <w:szCs w:val="32"/>
        </w:rPr>
      </w:pPr>
      <w:r>
        <w:rPr>
          <w:rFonts w:hint="eastAsia" w:ascii="仿宋" w:hAnsi="仿宋" w:eastAsia="仿宋" w:cs="楷体"/>
          <w:sz w:val="32"/>
          <w:szCs w:val="32"/>
        </w:rPr>
        <w:t>（二）项目绩效目标</w:t>
      </w:r>
    </w:p>
    <w:p w14:paraId="787D5FAA">
      <w:pPr>
        <w:spacing w:line="600" w:lineRule="exact"/>
        <w:ind w:firstLine="640" w:firstLineChars="200"/>
        <w:rPr>
          <w:rFonts w:ascii="仿宋" w:hAnsi="仿宋" w:eastAsia="仿宋" w:cs="方正仿宋_GB2312"/>
          <w:sz w:val="32"/>
          <w:szCs w:val="32"/>
        </w:rPr>
      </w:pPr>
      <w:r>
        <w:rPr>
          <w:rFonts w:hint="eastAsia" w:ascii="仿宋" w:hAnsi="仿宋" w:eastAsia="仿宋" w:cs="方正仿宋_GB2312"/>
          <w:sz w:val="32"/>
          <w:szCs w:val="32"/>
        </w:rPr>
        <w:t>贯彻执行国家教育方针政策，深化教育改革，稳步提高教育质量，巩固学前教育五大领域的成功，促进教育失业的发展，保障人员经费，提高教师队伍的幸福感，管好永华预算内资金，改善和优化幼儿园的办园条件，促进幼儿的全面发展，把教育教学质量放在首位，办人民满意的教育。</w:t>
      </w:r>
    </w:p>
    <w:p w14:paraId="5E8DBE30">
      <w:pPr>
        <w:spacing w:line="600" w:lineRule="exact"/>
        <w:ind w:firstLine="643" w:firstLineChars="200"/>
        <w:rPr>
          <w:rFonts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1.202</w:t>
      </w:r>
      <w:r>
        <w:rPr>
          <w:rFonts w:hint="eastAsia" w:ascii="方正仿宋_GB2312" w:hAnsi="方正仿宋_GB2312" w:eastAsia="方正仿宋_GB2312" w:cs="方正仿宋_GB2312"/>
          <w:b/>
          <w:bCs/>
          <w:sz w:val="32"/>
          <w:szCs w:val="32"/>
          <w:lang w:val="en-US" w:eastAsia="zh-CN"/>
        </w:rPr>
        <w:t>4</w:t>
      </w:r>
      <w:r>
        <w:rPr>
          <w:rFonts w:hint="eastAsia" w:ascii="方正仿宋_GB2312" w:hAnsi="方正仿宋_GB2312" w:eastAsia="方正仿宋_GB2312" w:cs="方正仿宋_GB2312"/>
          <w:b/>
          <w:bCs/>
          <w:sz w:val="32"/>
          <w:szCs w:val="32"/>
        </w:rPr>
        <w:t>年度整体支出绩效目标</w:t>
      </w:r>
    </w:p>
    <w:p w14:paraId="31D8CA01">
      <w:pPr>
        <w:spacing w:line="600" w:lineRule="exact"/>
        <w:ind w:firstLine="640" w:firstLineChars="200"/>
        <w:rPr>
          <w:rFonts w:ascii="仿宋" w:hAnsi="仿宋" w:eastAsia="仿宋" w:cs="方正仿宋_GB2312"/>
          <w:sz w:val="32"/>
          <w:szCs w:val="32"/>
        </w:rPr>
      </w:pPr>
      <w:r>
        <w:rPr>
          <w:rFonts w:hint="eastAsia" w:ascii="仿宋" w:hAnsi="仿宋" w:eastAsia="仿宋" w:cs="方正仿宋_GB2312"/>
          <w:sz w:val="32"/>
          <w:szCs w:val="32"/>
        </w:rPr>
        <w:t>我园严格按照部门绩效考核的指标开展工作、做到预决 算公开，在公示栏进行公示，并接受全体教职工、家长的监 督；做到经费管理有制度、实施有计划。建立健全资金分配 规程和各项财务管理制度，做好年度教职工履职履责考核， 完善奖惩考核机制。在存量资金管理、资产管理、三公经费控制、内部管理制度建设等方面的设定及完成情况均为100%。财政资金按预算专款专用，预算完成率尽量达到100%。</w:t>
      </w:r>
    </w:p>
    <w:p w14:paraId="19F3AAA3">
      <w:pPr>
        <w:spacing w:line="600" w:lineRule="exact"/>
        <w:ind w:firstLine="640" w:firstLineChars="200"/>
        <w:rPr>
          <w:rFonts w:ascii="仿宋" w:hAnsi="仿宋" w:eastAsia="仿宋" w:cs="方正仿宋_GB2312"/>
          <w:sz w:val="32"/>
          <w:szCs w:val="32"/>
        </w:rPr>
      </w:pPr>
      <w:r>
        <w:rPr>
          <w:rFonts w:hint="eastAsia" w:ascii="仿宋" w:hAnsi="仿宋" w:eastAsia="仿宋" w:cs="方正仿宋_GB2312"/>
          <w:sz w:val="32"/>
          <w:szCs w:val="32"/>
        </w:rPr>
        <w:t>固定资产管理严格报废程序，管好、用好资产，固定资产使用率100%。</w:t>
      </w:r>
    </w:p>
    <w:p w14:paraId="651C7296">
      <w:pPr>
        <w:spacing w:line="600" w:lineRule="exact"/>
        <w:ind w:firstLine="643" w:firstLineChars="200"/>
        <w:rPr>
          <w:rFonts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2.202</w:t>
      </w:r>
      <w:r>
        <w:rPr>
          <w:rFonts w:hint="eastAsia" w:ascii="方正仿宋_GB2312" w:hAnsi="方正仿宋_GB2312" w:eastAsia="方正仿宋_GB2312" w:cs="方正仿宋_GB2312"/>
          <w:b/>
          <w:bCs/>
          <w:sz w:val="32"/>
          <w:szCs w:val="32"/>
          <w:lang w:val="en-US" w:eastAsia="zh-CN"/>
        </w:rPr>
        <w:t>4</w:t>
      </w:r>
      <w:r>
        <w:rPr>
          <w:rFonts w:hint="eastAsia" w:ascii="方正仿宋_GB2312" w:hAnsi="方正仿宋_GB2312" w:eastAsia="方正仿宋_GB2312" w:cs="方正仿宋_GB2312"/>
          <w:b/>
          <w:bCs/>
          <w:sz w:val="32"/>
          <w:szCs w:val="32"/>
        </w:rPr>
        <w:t>年度项目支出绩效目标</w:t>
      </w:r>
    </w:p>
    <w:p w14:paraId="7988F22E">
      <w:pPr>
        <w:spacing w:line="600" w:lineRule="exact"/>
        <w:ind w:firstLine="640" w:firstLineChars="200"/>
        <w:rPr>
          <w:rFonts w:ascii="方正仿宋_GB2312" w:hAnsi="方正仿宋_GB2312" w:eastAsia="方正仿宋_GB2312" w:cs="方正仿宋_GB2312"/>
          <w:sz w:val="32"/>
          <w:szCs w:val="32"/>
        </w:rPr>
      </w:pPr>
      <w:r>
        <w:rPr>
          <w:rFonts w:hint="eastAsia" w:ascii="仿宋" w:hAnsi="仿宋" w:eastAsia="仿宋" w:cs="方正仿宋_GB2312"/>
          <w:sz w:val="32"/>
          <w:szCs w:val="32"/>
        </w:rPr>
        <w:t>通过江永县千家峒瑶族乡中心幼儿园项目支出项目的实 施，充分发挥资金经济性、效率性和效益性，贯彻落实党和国家的教育方针政策、法律法规，全面实施素质教育，努力提高教育教学质量，稳步推进全县教育事业持续健康协调发展</w:t>
      </w:r>
      <w:r>
        <w:rPr>
          <w:rFonts w:hint="eastAsia" w:ascii="方正仿宋_GB2312" w:hAnsi="方正仿宋_GB2312" w:eastAsia="方正仿宋_GB2312" w:cs="方正仿宋_GB2312"/>
          <w:sz w:val="32"/>
          <w:szCs w:val="32"/>
        </w:rPr>
        <w:t>。</w:t>
      </w:r>
    </w:p>
    <w:p w14:paraId="637596E2">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二、一般公共预算支出情况</w:t>
      </w:r>
    </w:p>
    <w:p w14:paraId="06ABAEB7">
      <w:pPr>
        <w:spacing w:line="600" w:lineRule="exact"/>
        <w:ind w:firstLine="640" w:firstLineChars="200"/>
        <w:rPr>
          <w:rFonts w:ascii="楷体" w:hAnsi="楷体" w:eastAsia="楷体" w:cs="楷体"/>
          <w:sz w:val="32"/>
          <w:szCs w:val="32"/>
        </w:rPr>
      </w:pPr>
      <w:r>
        <w:rPr>
          <w:rFonts w:hint="eastAsia" w:ascii="楷体" w:hAnsi="楷体" w:eastAsia="楷体" w:cs="楷体"/>
          <w:sz w:val="32"/>
          <w:szCs w:val="32"/>
        </w:rPr>
        <w:t>（一）基本支出情况</w:t>
      </w:r>
    </w:p>
    <w:p w14:paraId="6D76D04E">
      <w:pPr>
        <w:spacing w:line="600" w:lineRule="exact"/>
        <w:ind w:firstLine="640" w:firstLineChars="200"/>
        <w:rPr>
          <w:rFonts w:hint="eastAsia" w:ascii="仿宋" w:hAnsi="仿宋" w:eastAsia="仿宋" w:cs="方正仿宋_GB2312"/>
          <w:sz w:val="32"/>
          <w:szCs w:val="32"/>
          <w:lang w:eastAsia="zh-CN"/>
        </w:rPr>
      </w:pPr>
      <w:r>
        <w:rPr>
          <w:rFonts w:hint="eastAsia" w:ascii="方正仿宋_GB2312" w:hAnsi="方正仿宋_GB2312" w:eastAsia="方正仿宋_GB2312" w:cs="方正仿宋_GB2312"/>
          <w:sz w:val="32"/>
          <w:szCs w:val="32"/>
        </w:rPr>
        <w:t>江永县千家峒瑶族乡中心幼儿园基本支出资金</w:t>
      </w:r>
      <w:r>
        <w:rPr>
          <w:rFonts w:hint="eastAsia" w:ascii="方正仿宋_GB2312" w:hAnsi="方正仿宋_GB2312" w:eastAsia="方正仿宋_GB2312" w:cs="方正仿宋_GB2312"/>
          <w:sz w:val="32"/>
          <w:szCs w:val="32"/>
          <w:lang w:val="en-US" w:eastAsia="zh-CN"/>
        </w:rPr>
        <w:t>70.96</w:t>
      </w:r>
      <w:r>
        <w:rPr>
          <w:rFonts w:hint="eastAsia" w:ascii="方正仿宋_GB2312" w:hAnsi="方正仿宋_GB2312" w:eastAsia="方正仿宋_GB2312" w:cs="方正仿宋_GB2312"/>
          <w:sz w:val="32"/>
          <w:szCs w:val="32"/>
        </w:rPr>
        <w:t>万元，其中：工资福利支出</w:t>
      </w:r>
      <w:r>
        <w:rPr>
          <w:rFonts w:hint="eastAsia" w:ascii="方正仿宋_GB2312" w:hAnsi="方正仿宋_GB2312" w:eastAsia="方正仿宋_GB2312" w:cs="方正仿宋_GB2312"/>
          <w:sz w:val="32"/>
          <w:szCs w:val="32"/>
          <w:lang w:val="en-US" w:eastAsia="zh-CN"/>
        </w:rPr>
        <w:t>36.03</w:t>
      </w:r>
      <w:r>
        <w:rPr>
          <w:rFonts w:hint="eastAsia" w:ascii="方正仿宋_GB2312" w:hAnsi="方正仿宋_GB2312" w:eastAsia="方正仿宋_GB2312" w:cs="方正仿宋_GB2312"/>
          <w:sz w:val="32"/>
          <w:szCs w:val="32"/>
        </w:rPr>
        <w:t>万元，教师保险支出</w:t>
      </w:r>
      <w:r>
        <w:rPr>
          <w:rFonts w:hint="eastAsia" w:ascii="方正仿宋_GB2312" w:hAnsi="方正仿宋_GB2312" w:eastAsia="方正仿宋_GB2312" w:cs="方正仿宋_GB2312"/>
          <w:sz w:val="32"/>
          <w:szCs w:val="32"/>
          <w:lang w:val="en-US" w:eastAsia="zh-CN"/>
        </w:rPr>
        <w:t>10.31</w:t>
      </w:r>
      <w:r>
        <w:rPr>
          <w:rFonts w:hint="eastAsia" w:ascii="方正仿宋_GB2312" w:hAnsi="方正仿宋_GB2312" w:eastAsia="方正仿宋_GB2312" w:cs="方正仿宋_GB2312"/>
          <w:sz w:val="32"/>
          <w:szCs w:val="32"/>
        </w:rPr>
        <w:t>元，公用经费支出</w:t>
      </w:r>
      <w:r>
        <w:rPr>
          <w:rFonts w:hint="eastAsia" w:ascii="方正仿宋_GB2312" w:hAnsi="方正仿宋_GB2312" w:eastAsia="方正仿宋_GB2312" w:cs="方正仿宋_GB2312"/>
          <w:sz w:val="32"/>
          <w:szCs w:val="32"/>
          <w:lang w:val="en-US" w:eastAsia="zh-CN"/>
        </w:rPr>
        <w:t>3.76</w:t>
      </w:r>
      <w:r>
        <w:rPr>
          <w:rFonts w:hint="eastAsia" w:ascii="方正仿宋_GB2312" w:hAnsi="方正仿宋_GB2312" w:eastAsia="方正仿宋_GB2312" w:cs="方正仿宋_GB2312"/>
          <w:sz w:val="32"/>
          <w:szCs w:val="32"/>
        </w:rPr>
        <w:t>万元</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lang w:val="en-US" w:eastAsia="zh-CN"/>
        </w:rPr>
        <w:t>其他支出：21万元</w:t>
      </w:r>
      <w:r>
        <w:rPr>
          <w:rFonts w:hint="eastAsia" w:ascii="方正仿宋_GB2312" w:hAnsi="方正仿宋_GB2312" w:eastAsia="方正仿宋_GB2312" w:cs="方正仿宋_GB2312"/>
          <w:sz w:val="32"/>
          <w:szCs w:val="32"/>
        </w:rPr>
        <w:t>。</w:t>
      </w:r>
    </w:p>
    <w:p w14:paraId="1971B964">
      <w:pPr>
        <w:spacing w:line="600" w:lineRule="exact"/>
        <w:ind w:firstLine="640" w:firstLineChars="200"/>
        <w:rPr>
          <w:rFonts w:ascii="方正仿宋_GB2312" w:hAnsi="方正仿宋_GB2312" w:eastAsia="方正仿宋_GB2312" w:cs="方正仿宋_GB2312"/>
          <w:sz w:val="32"/>
          <w:szCs w:val="32"/>
        </w:rPr>
      </w:pPr>
      <w:r>
        <w:rPr>
          <w:rFonts w:hint="eastAsia" w:ascii="黑体" w:hAnsi="黑体" w:eastAsia="黑体" w:cs="黑体"/>
          <w:sz w:val="32"/>
          <w:szCs w:val="32"/>
        </w:rPr>
        <w:t>三、政府性基金预算支出情况</w:t>
      </w:r>
    </w:p>
    <w:p w14:paraId="5ABD663C">
      <w:pPr>
        <w:spacing w:line="600" w:lineRule="exact"/>
        <w:ind w:firstLine="643" w:firstLineChars="200"/>
        <w:rPr>
          <w:rFonts w:ascii="方正仿宋_GB2312" w:hAnsi="方正仿宋_GB2312" w:eastAsia="方正仿宋_GB2312" w:cs="方正仿宋_GB2312"/>
          <w:b/>
          <w:bCs/>
          <w:sz w:val="32"/>
          <w:szCs w:val="32"/>
        </w:rPr>
      </w:pPr>
      <w:r>
        <w:rPr>
          <w:rFonts w:hint="eastAsia" w:ascii="仿宋" w:hAnsi="仿宋" w:eastAsia="仿宋" w:cs="方正仿宋_GB2312"/>
          <w:b/>
          <w:bCs/>
          <w:sz w:val="32"/>
          <w:szCs w:val="32"/>
        </w:rPr>
        <w:t>江永县千家峒瑶族乡中心幼儿园无政府性基金预算支出情况</w:t>
      </w:r>
      <w:r>
        <w:rPr>
          <w:rFonts w:hint="eastAsia" w:ascii="方正仿宋_GB2312" w:hAnsi="方正仿宋_GB2312" w:eastAsia="方正仿宋_GB2312" w:cs="方正仿宋_GB2312"/>
          <w:b/>
          <w:bCs/>
          <w:sz w:val="32"/>
          <w:szCs w:val="32"/>
        </w:rPr>
        <w:t>。</w:t>
      </w:r>
    </w:p>
    <w:p w14:paraId="132B56B9">
      <w:pPr>
        <w:spacing w:line="600" w:lineRule="exact"/>
        <w:ind w:firstLine="640" w:firstLineChars="200"/>
        <w:rPr>
          <w:rFonts w:ascii="方正仿宋_GB2312" w:hAnsi="方正仿宋_GB2312" w:eastAsia="方正仿宋_GB2312" w:cs="方正仿宋_GB2312"/>
          <w:sz w:val="32"/>
          <w:szCs w:val="32"/>
        </w:rPr>
      </w:pPr>
      <w:r>
        <w:rPr>
          <w:rFonts w:hint="eastAsia" w:ascii="黑体" w:hAnsi="黑体" w:eastAsia="黑体" w:cs="黑体"/>
          <w:sz w:val="32"/>
          <w:szCs w:val="32"/>
        </w:rPr>
        <w:t>四、国有资本经营预算支出情况</w:t>
      </w:r>
    </w:p>
    <w:p w14:paraId="5928BFCA">
      <w:pPr>
        <w:spacing w:line="600" w:lineRule="exact"/>
        <w:ind w:firstLine="643" w:firstLineChars="200"/>
        <w:rPr>
          <w:rFonts w:ascii="仿宋" w:hAnsi="仿宋" w:eastAsia="仿宋" w:cs="方正仿宋_GB2312"/>
          <w:sz w:val="32"/>
          <w:szCs w:val="32"/>
        </w:rPr>
      </w:pPr>
      <w:r>
        <w:rPr>
          <w:rFonts w:hint="eastAsia" w:ascii="仿宋" w:hAnsi="仿宋" w:eastAsia="仿宋" w:cs="方正仿宋_GB2312"/>
          <w:b/>
          <w:bCs/>
          <w:sz w:val="32"/>
          <w:szCs w:val="32"/>
        </w:rPr>
        <w:t>江永县千家峒瑶族乡中心幼儿园无国有资本经营预算支出情况。</w:t>
      </w:r>
    </w:p>
    <w:p w14:paraId="76AD8002">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五、社会保险基金预算支出情况</w:t>
      </w:r>
    </w:p>
    <w:p w14:paraId="522F7033">
      <w:pPr>
        <w:spacing w:line="600" w:lineRule="exact"/>
        <w:ind w:firstLine="643" w:firstLineChars="200"/>
        <w:rPr>
          <w:rFonts w:ascii="仿宋" w:hAnsi="仿宋" w:eastAsia="仿宋" w:cs="方正仿宋_GB2312"/>
          <w:sz w:val="32"/>
          <w:szCs w:val="32"/>
        </w:rPr>
      </w:pPr>
      <w:r>
        <w:rPr>
          <w:rFonts w:hint="eastAsia" w:ascii="仿宋" w:hAnsi="仿宋" w:eastAsia="仿宋" w:cs="方正仿宋_GB2312"/>
          <w:b/>
          <w:bCs/>
          <w:sz w:val="32"/>
          <w:szCs w:val="32"/>
        </w:rPr>
        <w:t>江永县千家峒瑶族乡中心幼儿园无社会保险基金预算支出情况。</w:t>
      </w:r>
    </w:p>
    <w:p w14:paraId="43934A12">
      <w:pPr>
        <w:spacing w:line="600" w:lineRule="exact"/>
        <w:ind w:firstLine="640" w:firstLineChars="200"/>
        <w:rPr>
          <w:rFonts w:ascii="方正仿宋_GB2312" w:hAnsi="方正仿宋_GB2312" w:eastAsia="方正仿宋_GB2312" w:cs="方正仿宋_GB2312"/>
          <w:sz w:val="32"/>
          <w:szCs w:val="32"/>
        </w:rPr>
      </w:pPr>
      <w:r>
        <w:rPr>
          <w:rFonts w:hint="eastAsia" w:ascii="黑体" w:hAnsi="黑体" w:eastAsia="黑体" w:cs="黑体"/>
          <w:sz w:val="32"/>
          <w:szCs w:val="32"/>
        </w:rPr>
        <w:t>六、部门整体支出绩效情况</w:t>
      </w:r>
    </w:p>
    <w:p w14:paraId="6BCC2375">
      <w:pPr>
        <w:spacing w:line="600" w:lineRule="exact"/>
        <w:ind w:firstLine="640" w:firstLineChars="200"/>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在过去</w:t>
      </w:r>
      <w:r>
        <w:rPr>
          <w:rFonts w:hint="eastAsia" w:ascii="宋体" w:hAnsi="宋体" w:cs="宋体"/>
          <w:sz w:val="32"/>
          <w:szCs w:val="32"/>
        </w:rPr>
        <w:t>一</w:t>
      </w:r>
      <w:r>
        <w:rPr>
          <w:rFonts w:hint="eastAsia" w:ascii="方正仿宋_GB2312" w:hAnsi="方正仿宋_GB2312" w:eastAsia="方正仿宋_GB2312" w:cs="方正仿宋_GB2312"/>
          <w:sz w:val="32"/>
          <w:szCs w:val="32"/>
        </w:rPr>
        <w:t>年中，我们购置了</w:t>
      </w:r>
      <w:r>
        <w:rPr>
          <w:rFonts w:hint="eastAsia" w:ascii="方正仿宋_GB2312" w:hAnsi="方正仿宋_GB2312" w:eastAsia="方正仿宋_GB2312" w:cs="方正仿宋_GB2312"/>
          <w:sz w:val="32"/>
          <w:szCs w:val="32"/>
          <w:lang w:val="en-US" w:eastAsia="zh-CN"/>
        </w:rPr>
        <w:t>教育教学</w:t>
      </w:r>
      <w:r>
        <w:rPr>
          <w:rFonts w:hint="eastAsia" w:ascii="方正仿宋_GB2312" w:hAnsi="方正仿宋_GB2312" w:eastAsia="方正仿宋_GB2312" w:cs="方正仿宋_GB2312"/>
          <w:sz w:val="32"/>
          <w:szCs w:val="32"/>
        </w:rPr>
        <w:t>设备、幼儿游戏设备等一批教学设备。这些设备的购置标准严格按照国家相关规定，能够有效提升教学质量和效果。经过使用情况的观察和师生满意度调查，我们发现这些设备的使用率高，对幼儿的学习积极性和兴趣激发起到了积极的促进作用。</w:t>
      </w:r>
    </w:p>
    <w:p w14:paraId="3965E1F6">
      <w:pPr>
        <w:spacing w:line="600" w:lineRule="exact"/>
        <w:ind w:firstLine="640" w:firstLineChars="200"/>
        <w:rPr>
          <w:rFonts w:ascii="仿宋" w:hAnsi="仿宋" w:eastAsia="仿宋" w:cs="楷体"/>
          <w:sz w:val="32"/>
          <w:szCs w:val="32"/>
        </w:rPr>
      </w:pPr>
      <w:r>
        <w:rPr>
          <w:rFonts w:hint="eastAsia" w:ascii="仿宋" w:hAnsi="仿宋" w:eastAsia="仿宋" w:cs="楷体"/>
          <w:sz w:val="32"/>
          <w:szCs w:val="32"/>
        </w:rPr>
        <w:t>(一)绩效评价的目的</w:t>
      </w:r>
    </w:p>
    <w:p w14:paraId="08AAB934">
      <w:pPr>
        <w:spacing w:line="600" w:lineRule="exact"/>
        <w:ind w:firstLine="640" w:firstLineChars="200"/>
        <w:rPr>
          <w:rFonts w:ascii="仿宋" w:hAnsi="仿宋" w:eastAsia="仿宋" w:cs="方正仿宋_GB2312"/>
          <w:sz w:val="32"/>
          <w:szCs w:val="32"/>
        </w:rPr>
      </w:pPr>
      <w:r>
        <w:rPr>
          <w:rFonts w:hint="eastAsia" w:ascii="仿宋" w:hAnsi="仿宋" w:eastAsia="仿宋" w:cs="方正仿宋_GB2312"/>
          <w:sz w:val="32"/>
          <w:szCs w:val="32"/>
        </w:rPr>
        <w:t>通过绩效评价，能更具体了解江永县千家峒瑶族乡中心幼儿园整体部门支出资金投入、分配和使用情况，资金管理制度、措施制定和实施情况，资金使用效果和资金项目目标实现情况。有利于总结经验，发现问题，及时改进。进一步加强我园整体部门支出资金管理，提升教职工和学生家长的幸福指数，打造一个学生满意、家长满意、社会满意的幼儿园。实现资金使用效益最大化，提高政府管理效能和财政资金使用效益，切实保证财政资金安全。</w:t>
      </w:r>
    </w:p>
    <w:p w14:paraId="0BC0A37A">
      <w:pPr>
        <w:spacing w:line="600" w:lineRule="exact"/>
        <w:ind w:firstLine="640" w:firstLineChars="200"/>
        <w:rPr>
          <w:rFonts w:ascii="仿宋" w:hAnsi="仿宋" w:eastAsia="仿宋" w:cs="楷体"/>
          <w:sz w:val="32"/>
          <w:szCs w:val="32"/>
        </w:rPr>
      </w:pPr>
      <w:r>
        <w:rPr>
          <w:rFonts w:hint="eastAsia" w:ascii="仿宋" w:hAnsi="仿宋" w:eastAsia="仿宋" w:cs="楷体"/>
          <w:sz w:val="32"/>
          <w:szCs w:val="32"/>
        </w:rPr>
        <w:t>(二)绩效评价原则、评价指标体系、评价方法</w:t>
      </w:r>
    </w:p>
    <w:p w14:paraId="075E47C9">
      <w:pPr>
        <w:tabs>
          <w:tab w:val="left" w:pos="1890"/>
        </w:tabs>
        <w:spacing w:line="600" w:lineRule="exact"/>
        <w:ind w:firstLine="643" w:firstLineChars="200"/>
        <w:rPr>
          <w:rFonts w:ascii="仿宋" w:hAnsi="仿宋" w:eastAsia="仿宋" w:cs="方正仿宋_GB2312"/>
          <w:sz w:val="32"/>
          <w:szCs w:val="32"/>
        </w:rPr>
      </w:pPr>
      <w:r>
        <w:rPr>
          <w:rFonts w:hint="eastAsia" w:ascii="仿宋" w:hAnsi="仿宋" w:eastAsia="仿宋" w:cs="方正仿宋_GB2312"/>
          <w:b/>
          <w:bCs/>
          <w:sz w:val="32"/>
          <w:szCs w:val="32"/>
        </w:rPr>
        <w:t>1.评价原则：</w:t>
      </w:r>
      <w:r>
        <w:rPr>
          <w:rFonts w:hint="eastAsia" w:ascii="仿宋" w:hAnsi="仿宋" w:eastAsia="仿宋" w:cs="方正仿宋_GB2312"/>
          <w:sz w:val="32"/>
          <w:szCs w:val="32"/>
        </w:rPr>
        <w:t>我们遵循“科学性、规范性、客观性和公正性”的原则，以《江永县预算支出绩效评价管理办法》(江</w:t>
      </w:r>
    </w:p>
    <w:p w14:paraId="3FDF6738">
      <w:pPr>
        <w:spacing w:line="600" w:lineRule="exact"/>
        <w:rPr>
          <w:rFonts w:ascii="仿宋" w:hAnsi="仿宋" w:eastAsia="仿宋" w:cs="方正仿宋_GB2312"/>
          <w:sz w:val="32"/>
          <w:szCs w:val="32"/>
        </w:rPr>
      </w:pPr>
      <w:r>
        <w:rPr>
          <w:rFonts w:hint="eastAsia" w:ascii="仿宋" w:hAnsi="仿宋" w:eastAsia="仿宋" w:cs="方正仿宋_GB2312"/>
          <w:sz w:val="32"/>
          <w:szCs w:val="32"/>
        </w:rPr>
        <w:t>永财发〔2024〕3号)、《江永县县级预算部门绩效自评操作规程》(江永财发(2023)39 号)文件精神，以及中央、 省有关预算绩效管理的政策规定、财务会计制度等为指导， 由点到面、稳步推进，对我园整体部门支出资金的管理及产生生态、经济和社会效益进行自我评价。</w:t>
      </w:r>
    </w:p>
    <w:p w14:paraId="67A17100">
      <w:pPr>
        <w:spacing w:line="600" w:lineRule="exact"/>
        <w:ind w:firstLine="643" w:firstLineChars="200"/>
        <w:rPr>
          <w:rFonts w:ascii="仿宋" w:hAnsi="仿宋" w:eastAsia="仿宋" w:cs="方正仿宋_GB2312"/>
          <w:sz w:val="32"/>
          <w:szCs w:val="32"/>
        </w:rPr>
      </w:pPr>
      <w:r>
        <w:rPr>
          <w:rFonts w:hint="eastAsia" w:ascii="仿宋" w:hAnsi="仿宋" w:eastAsia="仿宋" w:cs="方正仿宋_GB2312"/>
          <w:b/>
          <w:bCs/>
          <w:sz w:val="32"/>
          <w:szCs w:val="32"/>
        </w:rPr>
        <w:t>2.评价指标体系：</w:t>
      </w:r>
      <w:r>
        <w:rPr>
          <w:rFonts w:hint="eastAsia" w:ascii="仿宋" w:hAnsi="仿宋" w:eastAsia="仿宋" w:cs="方正仿宋_GB2312"/>
          <w:sz w:val="32"/>
          <w:szCs w:val="32"/>
        </w:rPr>
        <w:t>设投入、过程、产出及效率3个一级 指标、下分5个二级指标和17个三级指标，按照评价指标设定评价内容，分值为9</w:t>
      </w:r>
      <w:r>
        <w:rPr>
          <w:rFonts w:hint="eastAsia" w:ascii="仿宋" w:hAnsi="仿宋" w:eastAsia="仿宋" w:cs="方正仿宋_GB2312"/>
          <w:sz w:val="32"/>
          <w:szCs w:val="32"/>
          <w:lang w:val="en-US" w:eastAsia="zh-CN"/>
        </w:rPr>
        <w:t>6</w:t>
      </w:r>
      <w:r>
        <w:rPr>
          <w:rFonts w:hint="eastAsia" w:ascii="仿宋" w:hAnsi="仿宋" w:eastAsia="仿宋" w:cs="方正仿宋_GB2312"/>
          <w:sz w:val="32"/>
          <w:szCs w:val="32"/>
        </w:rPr>
        <w:t>分。  (详见评价指标体系评分表)</w:t>
      </w:r>
    </w:p>
    <w:p w14:paraId="34976935">
      <w:pPr>
        <w:spacing w:line="600" w:lineRule="exact"/>
        <w:ind w:firstLine="640" w:firstLineChars="200"/>
        <w:rPr>
          <w:rFonts w:ascii="仿宋" w:hAnsi="仿宋" w:eastAsia="仿宋" w:cs="方正仿宋_GB2312"/>
          <w:sz w:val="32"/>
          <w:szCs w:val="32"/>
        </w:rPr>
      </w:pPr>
      <w:r>
        <w:rPr>
          <w:rFonts w:hint="eastAsia" w:ascii="仿宋" w:hAnsi="仿宋" w:eastAsia="仿宋" w:cs="方正仿宋_GB2312"/>
          <w:sz w:val="32"/>
          <w:szCs w:val="32"/>
        </w:rPr>
        <w:t>我们充分利用专项经费开展了师生培训及进修活动。通过参加国培、线上线下的一个培训，来提升教师的自我修养。同时提高了教师的专业素养和教学水平。我们也为有需要的老师提供了相关的学习机会，进一步提高了教师的教育教学能力和教学效果。师生培训及进修活动的实施成效得到了师生的一致好评，同时也有效地提升了幼儿园的整体绩效。</w:t>
      </w:r>
    </w:p>
    <w:p w14:paraId="5EF5663B">
      <w:pPr>
        <w:spacing w:line="600" w:lineRule="exact"/>
        <w:ind w:firstLine="640" w:firstLineChars="200"/>
        <w:rPr>
          <w:rFonts w:ascii="仿宋" w:hAnsi="仿宋" w:eastAsia="仿宋" w:cs="方正仿宋_GB2312"/>
          <w:sz w:val="32"/>
          <w:szCs w:val="32"/>
        </w:rPr>
      </w:pPr>
      <w:r>
        <w:rPr>
          <w:rFonts w:hint="eastAsia" w:ascii="仿宋" w:hAnsi="仿宋" w:eastAsia="仿宋" w:cs="方正仿宋_GB2312"/>
          <w:sz w:val="32"/>
          <w:szCs w:val="32"/>
        </w:rPr>
        <w:t>我们通过专项经费进行了教学环境的改造。在过去一年中，我们对教学楼进行了日常维修、增设户外器械设施、装修等一系列工作，以提供更优质的教学环境。观察和学生反馈显示，改造后的教学环境更加舒适、明亮、美观，对幼儿的学习积极性和兴趣起到了积极的促进作用。</w:t>
      </w:r>
    </w:p>
    <w:p w14:paraId="396AAFDD">
      <w:pPr>
        <w:spacing w:line="600" w:lineRule="exact"/>
        <w:ind w:firstLine="640" w:firstLineChars="200"/>
        <w:rPr>
          <w:rFonts w:ascii="仿宋" w:hAnsi="仿宋" w:eastAsia="仿宋" w:cs="楷体"/>
          <w:sz w:val="32"/>
          <w:szCs w:val="32"/>
        </w:rPr>
      </w:pPr>
      <w:r>
        <w:rPr>
          <w:rFonts w:hint="eastAsia" w:ascii="仿宋" w:hAnsi="仿宋" w:eastAsia="仿宋" w:cs="楷体"/>
          <w:sz w:val="32"/>
          <w:szCs w:val="32"/>
        </w:rPr>
        <w:t>(三)评价结果</w:t>
      </w:r>
    </w:p>
    <w:p w14:paraId="047DC049">
      <w:pPr>
        <w:spacing w:line="600" w:lineRule="exact"/>
        <w:ind w:firstLine="640" w:firstLineChars="200"/>
        <w:rPr>
          <w:rFonts w:ascii="仿宋" w:hAnsi="仿宋" w:eastAsia="仿宋" w:cs="方正仿宋_GB2312"/>
          <w:sz w:val="32"/>
          <w:szCs w:val="32"/>
        </w:rPr>
      </w:pPr>
      <w:r>
        <w:rPr>
          <w:rFonts w:hint="eastAsia" w:ascii="仿宋" w:hAnsi="仿宋" w:eastAsia="仿宋" w:cs="方正仿宋_GB2312"/>
          <w:sz w:val="32"/>
          <w:szCs w:val="32"/>
        </w:rPr>
        <w:t>在资金使用和管理方面，进一步强化资金统筹，优化资 金结构，明确开支范围，细化资金用途，确保部门职责任务 顺利完成。全年基本支出保证了部门的正常运行和日常工作 的正常开展，达到预期绩效目标。职责履行良好方面，履职 效益明显方面。社会公众或服务对象满意度均为满意。预算配置科学方面。预算安排优先保障工资发放、社保缴费，再安排公用经费支出等。预算执行有效方面。项目实施主体明确，保障措施有力，资金安排严格按照预算进度进行结算和 支付，财务管理规范。管理制度较为完善、措施可行，完成了各项绩效指标，各项支出对促进我园履职绩效目标发挥了较好的作用。</w:t>
      </w:r>
    </w:p>
    <w:p w14:paraId="299DE701">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七、存在的问题及原因分析</w:t>
      </w:r>
    </w:p>
    <w:p w14:paraId="618FEF03">
      <w:pPr>
        <w:spacing w:line="600" w:lineRule="exact"/>
        <w:ind w:firstLine="640" w:firstLineChars="200"/>
        <w:rPr>
          <w:rFonts w:ascii="仿宋" w:hAnsi="仿宋" w:eastAsia="仿宋" w:cs="方正仿宋_GB2312"/>
          <w:sz w:val="32"/>
          <w:szCs w:val="32"/>
        </w:rPr>
      </w:pPr>
      <w:r>
        <w:rPr>
          <w:rFonts w:hint="eastAsia" w:ascii="仿宋" w:hAnsi="仿宋" w:eastAsia="仿宋" w:cs="方正仿宋_GB2312"/>
          <w:sz w:val="32"/>
          <w:szCs w:val="32"/>
        </w:rPr>
        <w:t>资金拨付流程较为复杂，下达时间不定，需得在预算一体化系统录单再支付，实施时间跨度大，部分资金未能及时拨付到位。由于园所整体教学楼过于老化，</w:t>
      </w:r>
      <w:r>
        <w:rPr>
          <w:rFonts w:hint="eastAsia" w:ascii="仿宋" w:hAnsi="仿宋" w:eastAsia="仿宋" w:cs="方正仿宋_GB2312"/>
          <w:sz w:val="32"/>
          <w:szCs w:val="32"/>
          <w:lang w:val="en-US" w:eastAsia="zh-CN"/>
        </w:rPr>
        <w:t>环境问题仍旧存在</w:t>
      </w:r>
      <w:r>
        <w:rPr>
          <w:rFonts w:hint="eastAsia" w:ascii="仿宋" w:hAnsi="仿宋" w:eastAsia="仿宋" w:cs="方正仿宋_GB2312"/>
          <w:sz w:val="32"/>
          <w:szCs w:val="32"/>
        </w:rPr>
        <w:t>，因此扎账的整理工作还需要继续加强。</w:t>
      </w:r>
    </w:p>
    <w:p w14:paraId="5AD40629">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八、下一步改进措施</w:t>
      </w:r>
    </w:p>
    <w:p w14:paraId="0E6613F7">
      <w:pPr>
        <w:spacing w:line="600" w:lineRule="exact"/>
        <w:ind w:firstLine="640" w:firstLineChars="200"/>
        <w:rPr>
          <w:rFonts w:ascii="仿宋" w:hAnsi="仿宋" w:eastAsia="仿宋" w:cs="方正仿宋_GB2312"/>
          <w:sz w:val="32"/>
          <w:szCs w:val="32"/>
        </w:rPr>
      </w:pPr>
      <w:r>
        <w:rPr>
          <w:rFonts w:hint="eastAsia" w:ascii="仿宋" w:hAnsi="仿宋" w:eastAsia="仿宋" w:cs="方正仿宋_GB2312"/>
          <w:sz w:val="32"/>
          <w:szCs w:val="32"/>
        </w:rPr>
        <w:t>继续完善绩效管理财务制度，严格按照相关财务制度实 行。加强绩效评价以及资金管理，按照流程规范办理项目的拨付，提高教育经费的使用效益。</w:t>
      </w:r>
    </w:p>
    <w:p w14:paraId="08F666B9">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九、绩效自评结果拟应用和公开情况</w:t>
      </w:r>
    </w:p>
    <w:p w14:paraId="1AAF27EE">
      <w:pPr>
        <w:spacing w:line="600" w:lineRule="exact"/>
        <w:ind w:firstLine="640" w:firstLineChars="200"/>
        <w:rPr>
          <w:rFonts w:hint="eastAsia" w:ascii="仿宋" w:hAnsi="仿宋" w:eastAsia="仿宋" w:cs="方正仿宋_GB2312"/>
          <w:sz w:val="32"/>
          <w:szCs w:val="32"/>
        </w:rPr>
      </w:pPr>
      <w:r>
        <w:rPr>
          <w:rFonts w:hint="eastAsia" w:ascii="仿宋" w:hAnsi="仿宋" w:eastAsia="仿宋" w:cs="方正仿宋_GB2312"/>
          <w:sz w:val="32"/>
          <w:szCs w:val="32"/>
        </w:rPr>
        <w:t>从绩效自评结果来看，江永县</w:t>
      </w:r>
      <w:r>
        <w:rPr>
          <w:rFonts w:hint="eastAsia" w:ascii="仿宋" w:hAnsi="仿宋" w:eastAsia="仿宋" w:cs="方正仿宋_GB2312"/>
          <w:sz w:val="32"/>
          <w:szCs w:val="32"/>
          <w:lang w:val="en-US" w:eastAsia="zh-CN"/>
        </w:rPr>
        <w:t>千家峒瑶族乡</w:t>
      </w:r>
      <w:r>
        <w:rPr>
          <w:rFonts w:hint="eastAsia" w:ascii="仿宋" w:hAnsi="仿宋" w:eastAsia="仿宋" w:cs="方正仿宋_GB2312"/>
          <w:sz w:val="32"/>
          <w:szCs w:val="32"/>
        </w:rPr>
        <w:t>中心幼儿园部门整体支出绩效较好，有力推动了幼儿园教育事业持续健康 发展。根据预算绩效评价的有关规定，江永县</w:t>
      </w:r>
      <w:r>
        <w:rPr>
          <w:rFonts w:hint="eastAsia" w:ascii="仿宋" w:hAnsi="仿宋" w:eastAsia="仿宋" w:cs="方正仿宋_GB2312"/>
          <w:sz w:val="32"/>
          <w:szCs w:val="32"/>
          <w:lang w:val="en-US" w:eastAsia="zh-CN"/>
        </w:rPr>
        <w:t>千家峒</w:t>
      </w:r>
      <w:r>
        <w:rPr>
          <w:rFonts w:hint="eastAsia" w:ascii="仿宋" w:hAnsi="仿宋" w:eastAsia="仿宋" w:cs="方正仿宋_GB2312"/>
          <w:sz w:val="32"/>
          <w:szCs w:val="32"/>
        </w:rPr>
        <w:t>瑶族乡将在江永政府网公示绩效自评报告。</w:t>
      </w:r>
    </w:p>
    <w:p w14:paraId="06505250">
      <w:pPr>
        <w:spacing w:line="600" w:lineRule="exact"/>
        <w:ind w:firstLine="640" w:firstLineChars="200"/>
        <w:rPr>
          <w:rFonts w:hint="eastAsia" w:ascii="仿宋" w:hAnsi="仿宋" w:eastAsia="仿宋" w:cs="方正仿宋_GB2312"/>
          <w:sz w:val="32"/>
          <w:szCs w:val="32"/>
        </w:rPr>
      </w:pPr>
    </w:p>
    <w:p w14:paraId="44B3898D">
      <w:pPr>
        <w:spacing w:line="600" w:lineRule="exact"/>
        <w:ind w:firstLine="640" w:firstLineChars="200"/>
        <w:jc w:val="right"/>
        <w:rPr>
          <w:rFonts w:ascii="仿宋" w:hAnsi="仿宋" w:eastAsia="仿宋" w:cs="宋体"/>
          <w:color w:val="000000"/>
          <w:sz w:val="32"/>
          <w:szCs w:val="32"/>
        </w:rPr>
      </w:pPr>
      <w:r>
        <w:rPr>
          <w:rFonts w:hint="eastAsia" w:ascii="仿宋" w:hAnsi="仿宋" w:eastAsia="仿宋" w:cs="宋体"/>
          <w:color w:val="000000"/>
          <w:sz w:val="32"/>
          <w:szCs w:val="32"/>
        </w:rPr>
        <w:t>江永县千家峒瑶族乡中心幼儿园</w:t>
      </w:r>
    </w:p>
    <w:p w14:paraId="6A2267B1">
      <w:pPr>
        <w:spacing w:line="600" w:lineRule="exact"/>
        <w:ind w:firstLine="640" w:firstLineChars="200"/>
        <w:jc w:val="right"/>
        <w:rPr>
          <w:rFonts w:hint="eastAsia" w:ascii="仿宋" w:hAnsi="仿宋" w:eastAsia="仿宋" w:cs="宋体"/>
          <w:color w:val="000000"/>
          <w:sz w:val="32"/>
          <w:szCs w:val="32"/>
        </w:rPr>
      </w:pPr>
      <w:r>
        <w:rPr>
          <w:rFonts w:hint="eastAsia" w:ascii="仿宋" w:hAnsi="仿宋" w:eastAsia="仿宋" w:cs="宋体"/>
          <w:color w:val="000000"/>
          <w:sz w:val="32"/>
          <w:szCs w:val="32"/>
        </w:rPr>
        <w:t>202</w:t>
      </w:r>
      <w:r>
        <w:rPr>
          <w:rFonts w:hint="eastAsia" w:ascii="仿宋" w:hAnsi="仿宋" w:eastAsia="仿宋" w:cs="宋体"/>
          <w:color w:val="000000"/>
          <w:sz w:val="32"/>
          <w:szCs w:val="32"/>
          <w:lang w:val="en-US" w:eastAsia="zh-CN"/>
        </w:rPr>
        <w:t>5</w:t>
      </w:r>
      <w:r>
        <w:rPr>
          <w:rFonts w:hint="eastAsia" w:ascii="仿宋" w:hAnsi="仿宋" w:eastAsia="仿宋" w:cs="宋体"/>
          <w:color w:val="000000"/>
          <w:sz w:val="32"/>
          <w:szCs w:val="32"/>
        </w:rPr>
        <w:t xml:space="preserve">年4月18日 </w:t>
      </w:r>
    </w:p>
    <w:p w14:paraId="3E95086A">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 w:hAnsi="仿宋" w:eastAsia="仿宋" w:cs="宋体"/>
          <w:color w:val="000000"/>
          <w:sz w:val="32"/>
          <w:szCs w:val="32"/>
        </w:rPr>
      </w:pPr>
      <w:r>
        <w:rPr>
          <w:rFonts w:hint="eastAsia" w:ascii="仿宋" w:hAnsi="仿宋" w:eastAsia="仿宋" w:cs="宋体"/>
          <w:color w:val="000000"/>
          <w:sz w:val="32"/>
          <w:szCs w:val="32"/>
        </w:rPr>
        <w:object>
          <v:shape id="_x0000_i1027" o:spt="75" type="#_x0000_t75" style="height:637pt;width:414.85pt;" o:ole="t" filled="f" o:preferrelative="t" stroked="f" coordsize="21600,21600">
            <v:path/>
            <v:fill on="f" focussize="0,0"/>
            <v:stroke on="f"/>
            <v:imagedata r:id="rId5" o:title=""/>
            <o:lock v:ext="edit" aspectratio="f"/>
            <w10:wrap type="none"/>
            <w10:anchorlock/>
          </v:shape>
          <o:OLEObject Type="Embed" ProgID="Excel.Sheet.12" ShapeID="_x0000_i1027" DrawAspect="Content" ObjectID="_1468075725" r:id="rId4">
            <o:LockedField>false</o:LockedField>
          </o:OLEObject>
        </w:object>
      </w:r>
    </w:p>
    <w:p w14:paraId="309DA0F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 w:hAnsi="仿宋" w:eastAsia="仿宋" w:cs="宋体"/>
          <w:color w:val="000000"/>
          <w:sz w:val="32"/>
          <w:szCs w:val="32"/>
        </w:rPr>
      </w:pPr>
    </w:p>
    <w:p w14:paraId="53B0223C">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 w:hAnsi="仿宋" w:eastAsia="仿宋" w:cs="宋体"/>
          <w:color w:val="000000"/>
          <w:sz w:val="32"/>
          <w:szCs w:val="32"/>
        </w:rPr>
      </w:pPr>
    </w:p>
    <w:p w14:paraId="1D43FA07">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 w:hAnsi="仿宋" w:eastAsia="仿宋" w:cs="宋体"/>
          <w:color w:val="000000"/>
          <w:sz w:val="32"/>
          <w:szCs w:val="32"/>
        </w:rPr>
      </w:pPr>
      <w:r>
        <w:rPr>
          <w:rFonts w:hint="eastAsia" w:ascii="仿宋" w:hAnsi="仿宋" w:eastAsia="仿宋" w:cs="宋体"/>
          <w:color w:val="000000"/>
          <w:sz w:val="32"/>
          <w:szCs w:val="32"/>
        </w:rPr>
        <w:object>
          <v:shape id="_x0000_i1028" o:spt="75" type="#_x0000_t75" style="height:697.55pt;width:414.9pt;" o:ole="t" filled="f" o:preferrelative="t" stroked="f" coordsize="21600,21600">
            <v:path/>
            <v:fill on="f" focussize="0,0"/>
            <v:stroke on="f"/>
            <v:imagedata r:id="rId7" o:title=""/>
            <o:lock v:ext="edit" aspectratio="f"/>
            <w10:wrap type="none"/>
            <w10:anchorlock/>
          </v:shape>
          <o:OLEObject Type="Embed" ProgID="Excel.Sheet.12" ShapeID="_x0000_i1028" DrawAspect="Content" ObjectID="_1468075726" r:id="rId6">
            <o:LockedField>false</o:LockedField>
          </o:OLEObject>
        </w:object>
      </w:r>
    </w:p>
    <w:p w14:paraId="45F406AA">
      <w:pPr>
        <w:spacing w:line="560" w:lineRule="exact"/>
        <w:jc w:val="center"/>
        <w:rPr>
          <w:rFonts w:hint="eastAsia" w:ascii="Times New Roman" w:hAnsi="Times New Roman"/>
          <w:kern w:val="0"/>
          <w:sz w:val="44"/>
          <w:szCs w:val="44"/>
        </w:rPr>
      </w:pPr>
      <w:r>
        <w:rPr>
          <w:rFonts w:hint="eastAsia" w:ascii="方正小标宋_GBK" w:hAnsi="方正小标宋_GBK" w:eastAsia="方正小标宋_GBK"/>
          <w:kern w:val="0"/>
          <w:sz w:val="44"/>
          <w:szCs w:val="44"/>
          <w:lang w:val="en-US" w:eastAsia="zh-CN"/>
        </w:rPr>
        <w:t>江永县千家峒瑶族乡中心幼儿园</w:t>
      </w:r>
      <w:r>
        <w:rPr>
          <w:rFonts w:ascii="方正小标宋_GBK" w:hAnsi="方正小标宋_GBK" w:eastAsia="方正小标宋_GBK"/>
          <w:kern w:val="0"/>
          <w:sz w:val="44"/>
          <w:szCs w:val="44"/>
        </w:rPr>
        <w:t>部门整体支出绩效评价表</w:t>
      </w:r>
    </w:p>
    <w:tbl>
      <w:tblPr>
        <w:tblStyle w:val="2"/>
        <w:tblW w:w="10608" w:type="dxa"/>
        <w:jc w:val="center"/>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14:paraId="0B606C43">
        <w:tblPrEx>
          <w:tblCellMar>
            <w:top w:w="0" w:type="dxa"/>
            <w:left w:w="108" w:type="dxa"/>
            <w:bottom w:w="0" w:type="dxa"/>
            <w:right w:w="108" w:type="dxa"/>
          </w:tblCellMar>
        </w:tblPrEx>
        <w:trPr>
          <w:gridAfter w:val="1"/>
          <w:wAfter w:w="8" w:type="dxa"/>
          <w:jc w:val="center"/>
        </w:trPr>
        <w:tc>
          <w:tcPr>
            <w:tcW w:w="518" w:type="dxa"/>
            <w:tcBorders>
              <w:top w:val="single" w:color="auto" w:sz="4" w:space="0"/>
              <w:left w:val="single" w:color="auto" w:sz="4" w:space="0"/>
              <w:bottom w:val="single" w:color="auto" w:sz="4" w:space="0"/>
              <w:right w:val="single" w:color="auto" w:sz="4" w:space="0"/>
            </w:tcBorders>
            <w:noWrap w:val="0"/>
            <w:vAlign w:val="center"/>
          </w:tcPr>
          <w:p w14:paraId="2F1E2DA8">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color="auto" w:sz="4" w:space="0"/>
              <w:left w:val="nil"/>
              <w:bottom w:val="single" w:color="auto" w:sz="4" w:space="0"/>
              <w:right w:val="single" w:color="auto" w:sz="4" w:space="0"/>
            </w:tcBorders>
            <w:noWrap w:val="0"/>
            <w:vAlign w:val="center"/>
          </w:tcPr>
          <w:p w14:paraId="4FA182C7">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noWrap w:val="0"/>
            <w:vAlign w:val="center"/>
          </w:tcPr>
          <w:p w14:paraId="70405951">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noWrap w:val="0"/>
            <w:vAlign w:val="center"/>
          </w:tcPr>
          <w:p w14:paraId="549053CF">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noWrap w:val="0"/>
            <w:vAlign w:val="center"/>
          </w:tcPr>
          <w:p w14:paraId="428574DA">
            <w:pPr>
              <w:widowControl/>
              <w:jc w:val="center"/>
              <w:rPr>
                <w:rFonts w:eastAsia="仿宋_GB2312"/>
                <w:kern w:val="0"/>
                <w:sz w:val="20"/>
                <w:szCs w:val="20"/>
              </w:rPr>
            </w:pPr>
            <w:r>
              <w:rPr>
                <w:rFonts w:eastAsia="仿宋_GB2312"/>
                <w:kern w:val="0"/>
                <w:sz w:val="20"/>
                <w:szCs w:val="20"/>
              </w:rPr>
              <w:t>三级</w:t>
            </w:r>
          </w:p>
          <w:p w14:paraId="3D9343D7">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noWrap w:val="0"/>
            <w:vAlign w:val="center"/>
          </w:tcPr>
          <w:p w14:paraId="1925DB6C">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noWrap w:val="0"/>
            <w:vAlign w:val="center"/>
          </w:tcPr>
          <w:p w14:paraId="3B9AEA69">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noWrap w:val="0"/>
            <w:vAlign w:val="center"/>
          </w:tcPr>
          <w:p w14:paraId="7F0CEA0A">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noWrap w:val="0"/>
            <w:vAlign w:val="center"/>
          </w:tcPr>
          <w:p w14:paraId="2AD2C514">
            <w:pPr>
              <w:widowControl/>
              <w:jc w:val="center"/>
              <w:rPr>
                <w:rFonts w:eastAsia="仿宋_GB2312"/>
                <w:kern w:val="0"/>
                <w:sz w:val="20"/>
                <w:szCs w:val="20"/>
              </w:rPr>
            </w:pPr>
            <w:r>
              <w:rPr>
                <w:rFonts w:eastAsia="仿宋_GB2312"/>
                <w:kern w:val="0"/>
                <w:sz w:val="20"/>
                <w:szCs w:val="20"/>
              </w:rPr>
              <w:t>得分</w:t>
            </w:r>
          </w:p>
        </w:tc>
      </w:tr>
      <w:tr w14:paraId="33157024">
        <w:tblPrEx>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noWrap w:val="0"/>
            <w:vAlign w:val="center"/>
          </w:tcPr>
          <w:p w14:paraId="76B2F2CB">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noWrap w:val="0"/>
            <w:vAlign w:val="center"/>
          </w:tcPr>
          <w:p w14:paraId="60700B81">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noWrap w:val="0"/>
            <w:vAlign w:val="center"/>
          </w:tcPr>
          <w:p w14:paraId="322513DD">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noWrap w:val="0"/>
            <w:vAlign w:val="center"/>
          </w:tcPr>
          <w:p w14:paraId="61F06B30">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noWrap w:val="0"/>
            <w:vAlign w:val="center"/>
          </w:tcPr>
          <w:p w14:paraId="1670E61F">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noWrap w:val="0"/>
            <w:vAlign w:val="center"/>
          </w:tcPr>
          <w:p w14:paraId="27E9AE9D">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noWrap w:val="0"/>
            <w:vAlign w:val="center"/>
          </w:tcPr>
          <w:p w14:paraId="7622E7EC">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noWrap w:val="0"/>
            <w:vAlign w:val="center"/>
          </w:tcPr>
          <w:p w14:paraId="0E47D705">
            <w:pPr>
              <w:widowControl/>
              <w:jc w:val="left"/>
              <w:rPr>
                <w:rFonts w:hint="eastAsia"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14:paraId="49008E75">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noWrap w:val="0"/>
            <w:vAlign w:val="center"/>
          </w:tcPr>
          <w:p w14:paraId="3142DF7B">
            <w:pPr>
              <w:widowControl/>
              <w:jc w:val="left"/>
              <w:rPr>
                <w:kern w:val="0"/>
                <w:sz w:val="24"/>
              </w:rPr>
            </w:pPr>
            <w:r>
              <w:rPr>
                <w:kern w:val="0"/>
                <w:sz w:val="24"/>
              </w:rPr>
              <w:t>　</w:t>
            </w:r>
            <w:r>
              <w:rPr>
                <w:rFonts w:hint="eastAsia"/>
                <w:kern w:val="0"/>
                <w:sz w:val="24"/>
                <w:lang w:val="en-US" w:eastAsia="zh-CN"/>
              </w:rPr>
              <w:t>5</w:t>
            </w:r>
          </w:p>
        </w:tc>
      </w:tr>
      <w:tr w14:paraId="36A84F55">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noWrap w:val="0"/>
            <w:vAlign w:val="center"/>
          </w:tcPr>
          <w:p w14:paraId="3FBB2F08">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4FF9FAAC">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14:paraId="247E871B">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20A5BF92">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4577A12A">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noWrap w:val="0"/>
            <w:vAlign w:val="center"/>
          </w:tcPr>
          <w:p w14:paraId="5657899F">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noWrap w:val="0"/>
            <w:vAlign w:val="center"/>
          </w:tcPr>
          <w:p w14:paraId="1B5F9FC0">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7D8482DF">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0"/>
            <w:vAlign w:val="center"/>
          </w:tcPr>
          <w:p w14:paraId="7EA81F76">
            <w:pPr>
              <w:widowControl/>
              <w:jc w:val="left"/>
              <w:rPr>
                <w:kern w:val="0"/>
                <w:sz w:val="24"/>
              </w:rPr>
            </w:pPr>
            <w:r>
              <w:rPr>
                <w:kern w:val="0"/>
                <w:sz w:val="24"/>
              </w:rPr>
              <w:t>　</w:t>
            </w:r>
            <w:r>
              <w:rPr>
                <w:rFonts w:hint="eastAsia"/>
                <w:kern w:val="0"/>
                <w:sz w:val="24"/>
                <w:lang w:val="en-US" w:eastAsia="zh-CN"/>
              </w:rPr>
              <w:t>5</w:t>
            </w:r>
          </w:p>
        </w:tc>
      </w:tr>
      <w:tr w14:paraId="7A22C302">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14:paraId="1E961FDE">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14:paraId="693A0CA2">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noWrap w:val="0"/>
            <w:vAlign w:val="center"/>
          </w:tcPr>
          <w:p w14:paraId="39F00D7C">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noWrap w:val="0"/>
            <w:vAlign w:val="center"/>
          </w:tcPr>
          <w:p w14:paraId="5693D960">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noWrap w:val="0"/>
            <w:vAlign w:val="center"/>
          </w:tcPr>
          <w:p w14:paraId="59BC7D51">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noWrap w:val="0"/>
            <w:vAlign w:val="center"/>
          </w:tcPr>
          <w:p w14:paraId="0010AFFE">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366BB815">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5E5FF31D">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14:paraId="512FBCA7">
            <w:pPr>
              <w:widowControl/>
              <w:jc w:val="left"/>
              <w:rPr>
                <w:kern w:val="0"/>
                <w:sz w:val="24"/>
              </w:rPr>
            </w:pPr>
            <w:r>
              <w:rPr>
                <w:kern w:val="0"/>
                <w:sz w:val="24"/>
              </w:rPr>
              <w:t>　</w:t>
            </w:r>
            <w:r>
              <w:rPr>
                <w:rFonts w:hint="eastAsia"/>
                <w:kern w:val="0"/>
                <w:sz w:val="24"/>
                <w:lang w:val="en-US" w:eastAsia="zh-CN"/>
              </w:rPr>
              <w:t>3</w:t>
            </w:r>
          </w:p>
        </w:tc>
      </w:tr>
      <w:tr w14:paraId="7C471ECE">
        <w:tblPrEx>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69FB3222">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7D881EBB">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4818B6A3">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2DD00774">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72BF31F1">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noWrap w:val="0"/>
            <w:vAlign w:val="center"/>
          </w:tcPr>
          <w:p w14:paraId="4D5DE792">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1EA80CB0">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noWrap w:val="0"/>
            <w:vAlign w:val="center"/>
          </w:tcPr>
          <w:p w14:paraId="250D71F9">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14:paraId="66C6081B">
            <w:pPr>
              <w:widowControl/>
              <w:jc w:val="left"/>
              <w:rPr>
                <w:kern w:val="0"/>
                <w:sz w:val="24"/>
              </w:rPr>
            </w:pPr>
            <w:r>
              <w:rPr>
                <w:kern w:val="0"/>
                <w:sz w:val="24"/>
              </w:rPr>
              <w:t>　</w:t>
            </w:r>
            <w:r>
              <w:rPr>
                <w:rFonts w:hint="eastAsia"/>
                <w:kern w:val="0"/>
                <w:sz w:val="24"/>
                <w:lang w:val="en-US" w:eastAsia="zh-CN"/>
              </w:rPr>
              <w:t>4</w:t>
            </w:r>
          </w:p>
        </w:tc>
      </w:tr>
      <w:tr w14:paraId="5B3FE245">
        <w:tblPrEx>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7456FEB3">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737C6C75">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54924FFD">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060F519C">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09FE9687">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noWrap w:val="0"/>
            <w:vAlign w:val="center"/>
          </w:tcPr>
          <w:p w14:paraId="57EE16A7">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21344D1E">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noWrap w:val="0"/>
            <w:vAlign w:val="center"/>
          </w:tcPr>
          <w:p w14:paraId="27012315">
            <w:pPr>
              <w:widowControl/>
              <w:jc w:val="left"/>
              <w:rPr>
                <w:rFonts w:hint="eastAsia" w:ascii="仿宋_GB2312" w:hAnsi="仿宋_GB2312"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14:paraId="7C87E872">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24</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0"/>
            <w:vAlign w:val="center"/>
          </w:tcPr>
          <w:p w14:paraId="2D58AA5B">
            <w:pPr>
              <w:widowControl/>
              <w:jc w:val="left"/>
              <w:rPr>
                <w:kern w:val="0"/>
                <w:sz w:val="24"/>
              </w:rPr>
            </w:pPr>
            <w:r>
              <w:rPr>
                <w:kern w:val="0"/>
                <w:sz w:val="24"/>
              </w:rPr>
              <w:t>　</w:t>
            </w:r>
            <w:r>
              <w:rPr>
                <w:rFonts w:hint="eastAsia"/>
                <w:kern w:val="0"/>
                <w:sz w:val="24"/>
                <w:lang w:val="en-US" w:eastAsia="zh-CN"/>
              </w:rPr>
              <w:t>5</w:t>
            </w:r>
          </w:p>
        </w:tc>
      </w:tr>
      <w:tr w14:paraId="435F9060">
        <w:tblPrEx>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737033AE">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0FAB59F9">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0D3B4888">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1E402298">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74976478">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noWrap w:val="0"/>
            <w:vAlign w:val="center"/>
          </w:tcPr>
          <w:p w14:paraId="75F0724C">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3C299F5B">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32C2DD12">
            <w:pPr>
              <w:widowControl/>
              <w:jc w:val="left"/>
              <w:rPr>
                <w:rFonts w:hint="eastAsia" w:ascii="仿宋_GB2312" w:hAnsi="仿宋_GB2312"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p w14:paraId="3283FF8E">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24</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0"/>
            <w:vAlign w:val="center"/>
          </w:tcPr>
          <w:p w14:paraId="4150133A">
            <w:pPr>
              <w:widowControl/>
              <w:jc w:val="left"/>
              <w:rPr>
                <w:kern w:val="0"/>
                <w:sz w:val="24"/>
              </w:rPr>
            </w:pPr>
            <w:r>
              <w:rPr>
                <w:kern w:val="0"/>
                <w:sz w:val="24"/>
              </w:rPr>
              <w:t>　</w:t>
            </w:r>
            <w:r>
              <w:rPr>
                <w:rFonts w:hint="eastAsia"/>
                <w:kern w:val="0"/>
                <w:sz w:val="24"/>
                <w:lang w:val="en-US" w:eastAsia="zh-CN"/>
              </w:rPr>
              <w:t>5</w:t>
            </w:r>
          </w:p>
        </w:tc>
      </w:tr>
      <w:tr w14:paraId="35EA00F4">
        <w:tblPrEx>
          <w:tblCellMar>
            <w:top w:w="0" w:type="dxa"/>
            <w:left w:w="108" w:type="dxa"/>
            <w:bottom w:w="0" w:type="dxa"/>
            <w:right w:w="108" w:type="dxa"/>
          </w:tblCellMar>
        </w:tblPrEx>
        <w:trPr>
          <w:gridAfter w:val="1"/>
          <w:wAfter w:w="8" w:type="dxa"/>
          <w:trHeight w:val="1562"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7F398402">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0A1E19A8">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14:paraId="1D0073B9">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noWrap w:val="0"/>
            <w:vAlign w:val="center"/>
          </w:tcPr>
          <w:p w14:paraId="2059A9D5">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noWrap w:val="0"/>
            <w:vAlign w:val="center"/>
          </w:tcPr>
          <w:p w14:paraId="42339F54">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noWrap w:val="0"/>
            <w:vAlign w:val="center"/>
          </w:tcPr>
          <w:p w14:paraId="2CDF14CE">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14:paraId="333F67E9">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42A7DECB">
            <w:pPr>
              <w:widowControl/>
              <w:jc w:val="left"/>
              <w:rPr>
                <w:rFonts w:hint="eastAsia" w:ascii="仿宋_GB2312" w:hAnsi="仿宋_GB2312"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14:paraId="7EB877A7">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noWrap w:val="0"/>
            <w:vAlign w:val="center"/>
          </w:tcPr>
          <w:p w14:paraId="435528CF">
            <w:pPr>
              <w:widowControl/>
              <w:jc w:val="left"/>
              <w:rPr>
                <w:kern w:val="0"/>
                <w:sz w:val="24"/>
              </w:rPr>
            </w:pPr>
            <w:r>
              <w:rPr>
                <w:kern w:val="0"/>
                <w:sz w:val="24"/>
              </w:rPr>
              <w:t>　</w:t>
            </w:r>
            <w:r>
              <w:rPr>
                <w:rFonts w:hint="eastAsia"/>
                <w:kern w:val="0"/>
                <w:sz w:val="24"/>
                <w:lang w:val="en-US" w:eastAsia="zh-CN"/>
              </w:rPr>
              <w:t>8</w:t>
            </w:r>
          </w:p>
        </w:tc>
      </w:tr>
      <w:tr w14:paraId="6136464C">
        <w:tblPrEx>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028747F5">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6AE492B4">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0787EDC0">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2EF30C57">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596496E2">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noWrap w:val="0"/>
            <w:vAlign w:val="center"/>
          </w:tcPr>
          <w:p w14:paraId="409B4319">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noWrap w:val="0"/>
            <w:vAlign w:val="center"/>
          </w:tcPr>
          <w:p w14:paraId="182C36F9">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421DEA68">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实际支出数</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14:paraId="5EA98A61">
            <w:pPr>
              <w:widowControl/>
              <w:jc w:val="left"/>
              <w:rPr>
                <w:kern w:val="0"/>
                <w:sz w:val="24"/>
              </w:rPr>
            </w:pPr>
            <w:r>
              <w:rPr>
                <w:kern w:val="0"/>
                <w:sz w:val="24"/>
              </w:rPr>
              <w:t>　</w:t>
            </w:r>
            <w:r>
              <w:rPr>
                <w:rFonts w:hint="eastAsia"/>
                <w:kern w:val="0"/>
                <w:sz w:val="24"/>
                <w:lang w:val="en-US" w:eastAsia="zh-CN"/>
              </w:rPr>
              <w:t>7</w:t>
            </w:r>
          </w:p>
        </w:tc>
      </w:tr>
      <w:tr w14:paraId="62DEF30E">
        <w:tblPrEx>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4FD1ED4F">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0E8015C1">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16E8DE42">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3DA178E1">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64CE8730">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noWrap w:val="0"/>
            <w:vAlign w:val="center"/>
          </w:tcPr>
          <w:p w14:paraId="1D603E76">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noWrap w:val="0"/>
            <w:vAlign w:val="center"/>
          </w:tcPr>
          <w:p w14:paraId="3E5C4C06">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7E441D1C">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0"/>
            <w:vAlign w:val="center"/>
          </w:tcPr>
          <w:p w14:paraId="74CA4D66">
            <w:pPr>
              <w:widowControl/>
              <w:jc w:val="left"/>
              <w:rPr>
                <w:rFonts w:hint="eastAsia" w:eastAsia="宋体"/>
                <w:kern w:val="0"/>
                <w:sz w:val="24"/>
                <w:lang w:val="en-US" w:eastAsia="zh-CN"/>
              </w:rPr>
            </w:pPr>
            <w:r>
              <w:rPr>
                <w:kern w:val="0"/>
                <w:sz w:val="24"/>
              </w:rPr>
              <w:t>　</w:t>
            </w:r>
            <w:r>
              <w:rPr>
                <w:rFonts w:hint="eastAsia"/>
                <w:kern w:val="0"/>
                <w:sz w:val="24"/>
                <w:lang w:val="en-US" w:eastAsia="zh-CN"/>
              </w:rPr>
              <w:t>6</w:t>
            </w:r>
          </w:p>
        </w:tc>
      </w:tr>
      <w:tr w14:paraId="7C4585C0">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14:paraId="569F446E">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14:paraId="7C85AC40">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noWrap w:val="0"/>
            <w:vAlign w:val="center"/>
          </w:tcPr>
          <w:p w14:paraId="1DAEADD0">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noWrap w:val="0"/>
            <w:vAlign w:val="center"/>
          </w:tcPr>
          <w:p w14:paraId="2676A612">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0402ECA9">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noWrap w:val="0"/>
            <w:vAlign w:val="center"/>
          </w:tcPr>
          <w:p w14:paraId="7C739028">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noWrap w:val="0"/>
            <w:vAlign w:val="center"/>
          </w:tcPr>
          <w:p w14:paraId="3383EF74">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14:paraId="1748837C">
            <w:pPr>
              <w:widowControl/>
              <w:jc w:val="left"/>
              <w:rPr>
                <w:rFonts w:hint="eastAsia" w:ascii="仿宋_GB2312" w:hAnsi="仿宋_GB2312" w:eastAsia="仿宋_GB2312"/>
                <w:kern w:val="0"/>
                <w:sz w:val="20"/>
                <w:szCs w:val="20"/>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14:paraId="42E47D25">
            <w:pPr>
              <w:widowControl/>
              <w:jc w:val="left"/>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14:paraId="4F8EA045">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14:paraId="6414067D">
            <w:pPr>
              <w:widowControl/>
              <w:jc w:val="left"/>
              <w:rPr>
                <w:kern w:val="0"/>
                <w:sz w:val="24"/>
              </w:rPr>
            </w:pPr>
            <w:r>
              <w:rPr>
                <w:kern w:val="0"/>
                <w:sz w:val="24"/>
              </w:rPr>
              <w:t>　</w:t>
            </w:r>
            <w:r>
              <w:rPr>
                <w:rFonts w:hint="eastAsia"/>
                <w:kern w:val="0"/>
                <w:sz w:val="24"/>
                <w:lang w:val="en-US" w:eastAsia="zh-CN"/>
              </w:rPr>
              <w:t>7</w:t>
            </w:r>
          </w:p>
        </w:tc>
      </w:tr>
      <w:tr w14:paraId="0887FFD0">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74C37A85">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169C6C77">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14:paraId="1FC55B24">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0F246E67">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71F872E0">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noWrap w:val="0"/>
            <w:vAlign w:val="center"/>
          </w:tcPr>
          <w:p w14:paraId="62BDB752">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noWrap w:val="0"/>
            <w:vAlign w:val="center"/>
          </w:tcPr>
          <w:p w14:paraId="0645C464">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14:paraId="7D7511E1">
            <w:pPr>
              <w:widowControl/>
              <w:jc w:val="left"/>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14:paraId="5D63BE07">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14:paraId="5C05BFF9">
            <w:pPr>
              <w:widowControl/>
              <w:jc w:val="left"/>
              <w:rPr>
                <w:kern w:val="0"/>
                <w:sz w:val="24"/>
              </w:rPr>
            </w:pPr>
            <w:r>
              <w:rPr>
                <w:kern w:val="0"/>
                <w:sz w:val="24"/>
              </w:rPr>
              <w:t>　</w:t>
            </w:r>
            <w:r>
              <w:rPr>
                <w:rFonts w:hint="eastAsia"/>
                <w:kern w:val="0"/>
                <w:sz w:val="24"/>
                <w:lang w:val="en-US" w:eastAsia="zh-CN"/>
              </w:rPr>
              <w:t>6</w:t>
            </w:r>
          </w:p>
        </w:tc>
      </w:tr>
      <w:tr w14:paraId="03E66BBC">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26C211B6">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3E9776C7">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14:paraId="135ADD4A">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4578723E">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30960D9D">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noWrap w:val="0"/>
            <w:vAlign w:val="center"/>
          </w:tcPr>
          <w:p w14:paraId="198165AB">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5A9D604B">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noWrap w:val="0"/>
            <w:vAlign w:val="center"/>
          </w:tcPr>
          <w:p w14:paraId="176ED8A7">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noWrap w:val="0"/>
            <w:vAlign w:val="center"/>
          </w:tcPr>
          <w:p w14:paraId="6D486B4B">
            <w:pPr>
              <w:widowControl/>
              <w:jc w:val="left"/>
              <w:rPr>
                <w:kern w:val="0"/>
                <w:sz w:val="24"/>
              </w:rPr>
            </w:pPr>
            <w:r>
              <w:rPr>
                <w:kern w:val="0"/>
                <w:sz w:val="24"/>
              </w:rPr>
              <w:t>　</w:t>
            </w:r>
            <w:r>
              <w:rPr>
                <w:rFonts w:hint="eastAsia"/>
                <w:kern w:val="0"/>
                <w:sz w:val="24"/>
                <w:lang w:val="en-US" w:eastAsia="zh-CN"/>
              </w:rPr>
              <w:t>5</w:t>
            </w:r>
          </w:p>
        </w:tc>
      </w:tr>
      <w:tr w14:paraId="2445CD91">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14:paraId="29531977">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noWrap w:val="0"/>
            <w:vAlign w:val="center"/>
          </w:tcPr>
          <w:p w14:paraId="18502EBC">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noWrap w:val="0"/>
            <w:vAlign w:val="center"/>
          </w:tcPr>
          <w:p w14:paraId="717D1EFA">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noWrap w:val="0"/>
            <w:vAlign w:val="center"/>
          </w:tcPr>
          <w:p w14:paraId="692EEA10">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noWrap w:val="0"/>
            <w:vAlign w:val="center"/>
          </w:tcPr>
          <w:p w14:paraId="5447518B">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noWrap w:val="0"/>
            <w:vAlign w:val="center"/>
          </w:tcPr>
          <w:p w14:paraId="739FAE74">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14:paraId="07DE9589">
            <w:pPr>
              <w:widowControl/>
              <w:jc w:val="left"/>
              <w:rPr>
                <w:rFonts w:hint="eastAsia" w:eastAsia="仿宋_GB2312"/>
                <w:kern w:val="0"/>
                <w:sz w:val="20"/>
                <w:szCs w:val="20"/>
              </w:rPr>
            </w:pPr>
            <w:r>
              <w:rPr>
                <w:rFonts w:eastAsia="仿宋_GB2312"/>
                <w:kern w:val="0"/>
                <w:sz w:val="20"/>
                <w:szCs w:val="20"/>
              </w:rPr>
              <w:t>根据绩效办20</w:t>
            </w:r>
            <w:r>
              <w:rPr>
                <w:rFonts w:hint="eastAsia" w:eastAsia="仿宋_GB2312"/>
                <w:kern w:val="0"/>
                <w:sz w:val="20"/>
                <w:szCs w:val="20"/>
              </w:rPr>
              <w:t>24</w:t>
            </w:r>
            <w:r>
              <w:rPr>
                <w:rFonts w:eastAsia="仿宋_GB2312"/>
                <w:kern w:val="0"/>
                <w:sz w:val="20"/>
                <w:szCs w:val="20"/>
              </w:rPr>
              <w:t>年对各部门为民办实事和部门重点工程与重点工作考核分数折算。</w:t>
            </w:r>
          </w:p>
          <w:p w14:paraId="325A50A7">
            <w:pPr>
              <w:widowControl/>
              <w:jc w:val="left"/>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noWrap w:val="0"/>
            <w:vAlign w:val="center"/>
          </w:tcPr>
          <w:p w14:paraId="2B84DA72">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14:paraId="7E727CE7">
            <w:pPr>
              <w:widowControl/>
              <w:jc w:val="left"/>
              <w:rPr>
                <w:kern w:val="0"/>
                <w:sz w:val="24"/>
              </w:rPr>
            </w:pPr>
            <w:r>
              <w:rPr>
                <w:kern w:val="0"/>
                <w:sz w:val="24"/>
              </w:rPr>
              <w:t>　</w:t>
            </w:r>
            <w:r>
              <w:rPr>
                <w:rFonts w:hint="eastAsia"/>
                <w:kern w:val="0"/>
                <w:sz w:val="24"/>
                <w:lang w:val="en-US" w:eastAsia="zh-CN"/>
              </w:rPr>
              <w:t>8</w:t>
            </w:r>
          </w:p>
        </w:tc>
      </w:tr>
      <w:tr w14:paraId="6E89BBF6">
        <w:tblPrEx>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17CCD883">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141F5A87">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14:paraId="7C19B6AA">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noWrap w:val="0"/>
            <w:vAlign w:val="center"/>
          </w:tcPr>
          <w:p w14:paraId="3146DAB8">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noWrap w:val="0"/>
            <w:vAlign w:val="center"/>
          </w:tcPr>
          <w:p w14:paraId="48217A8A">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noWrap w:val="0"/>
            <w:vAlign w:val="center"/>
          </w:tcPr>
          <w:p w14:paraId="49AB6C26">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noWrap w:val="0"/>
            <w:vAlign w:val="center"/>
          </w:tcPr>
          <w:p w14:paraId="47103E03">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noWrap w:val="0"/>
            <w:vAlign w:val="center"/>
          </w:tcPr>
          <w:p w14:paraId="7224BEB5">
            <w:pPr>
              <w:widowControl/>
              <w:jc w:val="left"/>
              <w:rPr>
                <w:kern w:val="0"/>
                <w:sz w:val="24"/>
              </w:rPr>
            </w:pPr>
            <w:r>
              <w:rPr>
                <w:kern w:val="0"/>
                <w:sz w:val="24"/>
              </w:rPr>
              <w:t>　</w:t>
            </w:r>
            <w:r>
              <w:rPr>
                <w:rFonts w:hint="eastAsia"/>
                <w:kern w:val="0"/>
                <w:sz w:val="24"/>
                <w:lang w:val="en-US" w:eastAsia="zh-CN"/>
              </w:rPr>
              <w:t>10</w:t>
            </w:r>
          </w:p>
        </w:tc>
      </w:tr>
      <w:tr w14:paraId="39C5E180">
        <w:tblPrEx>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2C42CC50">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79F6579C">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47C88C66">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20858C2A">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7650BDDD">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noWrap w:val="0"/>
            <w:vAlign w:val="center"/>
          </w:tcPr>
          <w:p w14:paraId="54350197">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noWrap w:val="0"/>
            <w:vAlign w:val="center"/>
          </w:tcPr>
          <w:p w14:paraId="74268BC5">
            <w:pPr>
              <w:widowControl/>
              <w:jc w:val="left"/>
              <w:rPr>
                <w:rFonts w:eastAsia="仿宋_GB2312"/>
                <w:kern w:val="0"/>
                <w:sz w:val="20"/>
                <w:szCs w:val="20"/>
              </w:rPr>
            </w:pPr>
          </w:p>
        </w:tc>
        <w:tc>
          <w:tcPr>
            <w:tcW w:w="522" w:type="dxa"/>
            <w:tcBorders>
              <w:top w:val="nil"/>
              <w:left w:val="nil"/>
              <w:bottom w:val="nil"/>
              <w:right w:val="single" w:color="auto" w:sz="4" w:space="0"/>
            </w:tcBorders>
            <w:noWrap w:val="0"/>
            <w:vAlign w:val="center"/>
          </w:tcPr>
          <w:p w14:paraId="50DC34CE">
            <w:pPr>
              <w:widowControl/>
              <w:jc w:val="left"/>
              <w:rPr>
                <w:kern w:val="0"/>
                <w:sz w:val="24"/>
              </w:rPr>
            </w:pPr>
            <w:r>
              <w:rPr>
                <w:kern w:val="0"/>
                <w:sz w:val="24"/>
              </w:rPr>
              <w:t>　</w:t>
            </w:r>
          </w:p>
        </w:tc>
      </w:tr>
      <w:tr w14:paraId="43A5B07E">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45293C93">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7290BC1A">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487B3CB4">
            <w:pPr>
              <w:widowControl/>
              <w:jc w:val="left"/>
              <w:rPr>
                <w:rFonts w:eastAsia="仿宋_GB2312"/>
                <w:kern w:val="0"/>
                <w:sz w:val="20"/>
                <w:szCs w:val="20"/>
              </w:rPr>
            </w:pPr>
          </w:p>
        </w:tc>
        <w:tc>
          <w:tcPr>
            <w:tcW w:w="416" w:type="dxa"/>
            <w:vMerge w:val="restart"/>
            <w:tcBorders>
              <w:top w:val="nil"/>
              <w:left w:val="nil"/>
              <w:bottom w:val="single" w:color="000000" w:sz="4" w:space="0"/>
              <w:right w:val="single" w:color="auto" w:sz="4" w:space="0"/>
            </w:tcBorders>
            <w:noWrap w:val="0"/>
            <w:vAlign w:val="center"/>
          </w:tcPr>
          <w:p w14:paraId="6C146519">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noWrap w:val="0"/>
            <w:vAlign w:val="center"/>
          </w:tcPr>
          <w:p w14:paraId="51F2DE5A">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noWrap w:val="0"/>
            <w:vAlign w:val="center"/>
          </w:tcPr>
          <w:p w14:paraId="1294F37E">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noWrap w:val="0"/>
            <w:vAlign w:val="center"/>
          </w:tcPr>
          <w:p w14:paraId="290F61F4">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noWrap w:val="0"/>
            <w:vAlign w:val="center"/>
          </w:tcPr>
          <w:p w14:paraId="557C2B44">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noWrap w:val="0"/>
            <w:vAlign w:val="center"/>
          </w:tcPr>
          <w:p w14:paraId="7959F753">
            <w:pPr>
              <w:widowControl/>
              <w:jc w:val="left"/>
              <w:rPr>
                <w:kern w:val="0"/>
                <w:sz w:val="24"/>
              </w:rPr>
            </w:pPr>
            <w:r>
              <w:rPr>
                <w:kern w:val="0"/>
                <w:sz w:val="24"/>
              </w:rPr>
              <w:t>　</w:t>
            </w:r>
            <w:r>
              <w:rPr>
                <w:rFonts w:hint="eastAsia"/>
                <w:kern w:val="0"/>
                <w:sz w:val="24"/>
                <w:lang w:val="en-US" w:eastAsia="zh-CN"/>
              </w:rPr>
              <w:t>6</w:t>
            </w:r>
          </w:p>
        </w:tc>
      </w:tr>
      <w:tr w14:paraId="40449BAD">
        <w:tblPrEx>
          <w:tblCellMar>
            <w:top w:w="0" w:type="dxa"/>
            <w:left w:w="108" w:type="dxa"/>
            <w:bottom w:w="0" w:type="dxa"/>
            <w:right w:w="108" w:type="dxa"/>
          </w:tblCellMar>
        </w:tblPrEx>
        <w:trPr>
          <w:gridAfter w:val="1"/>
          <w:wAfter w:w="8" w:type="dxa"/>
          <w:trHeight w:val="1241" w:hRule="atLeast"/>
          <w:jc w:val="center"/>
        </w:trPr>
        <w:tc>
          <w:tcPr>
            <w:tcW w:w="518" w:type="dxa"/>
            <w:vMerge w:val="continue"/>
            <w:tcBorders>
              <w:top w:val="nil"/>
              <w:left w:val="single" w:color="auto" w:sz="4" w:space="0"/>
              <w:bottom w:val="nil"/>
              <w:right w:val="single" w:color="auto" w:sz="4" w:space="0"/>
            </w:tcBorders>
            <w:noWrap w:val="0"/>
            <w:vAlign w:val="center"/>
          </w:tcPr>
          <w:p w14:paraId="1ACA7D63">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14:paraId="248AD4DA">
            <w:pPr>
              <w:widowControl/>
              <w:jc w:val="left"/>
              <w:rPr>
                <w:rFonts w:eastAsia="仿宋_GB2312"/>
                <w:kern w:val="0"/>
                <w:sz w:val="20"/>
                <w:szCs w:val="20"/>
              </w:rPr>
            </w:pPr>
          </w:p>
        </w:tc>
        <w:tc>
          <w:tcPr>
            <w:tcW w:w="677" w:type="dxa"/>
            <w:gridSpan w:val="2"/>
            <w:vMerge w:val="continue"/>
            <w:tcBorders>
              <w:top w:val="nil"/>
              <w:left w:val="nil"/>
              <w:bottom w:val="nil"/>
              <w:right w:val="single" w:color="auto" w:sz="4" w:space="0"/>
            </w:tcBorders>
            <w:noWrap w:val="0"/>
            <w:vAlign w:val="center"/>
          </w:tcPr>
          <w:p w14:paraId="68D7F7DC">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14:paraId="676917B9">
            <w:pPr>
              <w:widowControl/>
              <w:jc w:val="left"/>
              <w:rPr>
                <w:rFonts w:eastAsia="仿宋_GB2312"/>
                <w:kern w:val="0"/>
                <w:sz w:val="20"/>
                <w:szCs w:val="20"/>
              </w:rPr>
            </w:pPr>
          </w:p>
        </w:tc>
        <w:tc>
          <w:tcPr>
            <w:tcW w:w="1194" w:type="dxa"/>
            <w:tcBorders>
              <w:top w:val="nil"/>
              <w:left w:val="nil"/>
              <w:bottom w:val="nil"/>
              <w:right w:val="single" w:color="auto" w:sz="4" w:space="0"/>
            </w:tcBorders>
            <w:noWrap w:val="0"/>
            <w:vAlign w:val="center"/>
          </w:tcPr>
          <w:p w14:paraId="2A8D589F">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noWrap w:val="0"/>
            <w:vAlign w:val="center"/>
          </w:tcPr>
          <w:p w14:paraId="5F5C5FA6">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noWrap w:val="0"/>
            <w:vAlign w:val="center"/>
          </w:tcPr>
          <w:p w14:paraId="0ABA2030">
            <w:pPr>
              <w:widowControl/>
              <w:jc w:val="left"/>
              <w:rPr>
                <w:rFonts w:hint="eastAsia" w:ascii="仿宋_GB2312" w:hAnsi="仿宋_GB2312"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p>
          <w:p w14:paraId="50A16177">
            <w:pPr>
              <w:widowControl/>
              <w:jc w:val="left"/>
              <w:rPr>
                <w:rFonts w:hint="eastAsia" w:ascii="仿宋_GB2312" w:hAnsi="仿宋_GB2312" w:eastAsia="仿宋_GB2312"/>
                <w:kern w:val="0"/>
                <w:sz w:val="20"/>
                <w:szCs w:val="20"/>
              </w:rPr>
            </w:pP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p>
          <w:p w14:paraId="26C50A6C">
            <w:pPr>
              <w:widowControl/>
              <w:jc w:val="left"/>
              <w:rPr>
                <w:rFonts w:hint="eastAsia" w:ascii="仿宋_GB2312" w:hAnsi="仿宋_GB2312" w:eastAsia="仿宋_GB2312"/>
                <w:kern w:val="0"/>
                <w:sz w:val="20"/>
                <w:szCs w:val="20"/>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p>
          <w:p w14:paraId="4653ACAD">
            <w:pPr>
              <w:widowControl/>
              <w:jc w:val="left"/>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noWrap w:val="0"/>
            <w:vAlign w:val="center"/>
          </w:tcPr>
          <w:p w14:paraId="0439614F">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noWrap w:val="0"/>
            <w:vAlign w:val="center"/>
          </w:tcPr>
          <w:p w14:paraId="63A33C1C">
            <w:pPr>
              <w:widowControl/>
              <w:jc w:val="left"/>
              <w:rPr>
                <w:kern w:val="0"/>
                <w:sz w:val="24"/>
              </w:rPr>
            </w:pPr>
            <w:r>
              <w:rPr>
                <w:kern w:val="0"/>
                <w:sz w:val="24"/>
              </w:rPr>
              <w:t>　</w:t>
            </w:r>
            <w:r>
              <w:rPr>
                <w:rFonts w:hint="eastAsia"/>
                <w:kern w:val="0"/>
                <w:sz w:val="24"/>
                <w:lang w:val="en-US" w:eastAsia="zh-CN"/>
              </w:rPr>
              <w:t>6</w:t>
            </w:r>
          </w:p>
        </w:tc>
      </w:tr>
      <w:tr w14:paraId="14359F65">
        <w:tblPrEx>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noWrap w:val="0"/>
            <w:vAlign w:val="top"/>
          </w:tcPr>
          <w:p w14:paraId="0F7EF82B">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noWrap w:val="0"/>
            <w:vAlign w:val="center"/>
          </w:tcPr>
          <w:p w14:paraId="2FD9EDFB">
            <w:pPr>
              <w:widowControl/>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96</w:t>
            </w:r>
          </w:p>
        </w:tc>
      </w:tr>
    </w:tbl>
    <w:p w14:paraId="68CDBC7D">
      <w:pPr>
        <w:spacing w:line="600" w:lineRule="exact"/>
        <w:rPr>
          <w:rFonts w:eastAsia="黑体"/>
          <w:kern w:val="0"/>
          <w:sz w:val="32"/>
          <w:szCs w:val="32"/>
        </w:rPr>
      </w:pPr>
    </w:p>
    <w:p w14:paraId="75A3751F">
      <w:pPr>
        <w:spacing w:line="600" w:lineRule="exact"/>
        <w:rPr>
          <w:rFonts w:eastAsia="黑体"/>
          <w:kern w:val="0"/>
          <w:sz w:val="32"/>
          <w:szCs w:val="32"/>
        </w:rPr>
      </w:pPr>
    </w:p>
    <w:p w14:paraId="42DB38DD"/>
    <w:p w14:paraId="5871CCF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 w:hAnsi="仿宋" w:eastAsia="仿宋" w:cs="宋体"/>
          <w:color w:val="000000"/>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8AF71E0-09FE-47CC-A018-6CEB9C41AFF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F6376A1-1A6A-4BD3-971F-596894DBE913}"/>
  </w:font>
  <w:font w:name="仿宋_GB2312">
    <w:altName w:val="仿宋"/>
    <w:panose1 w:val="02010609030101010101"/>
    <w:charset w:val="86"/>
    <w:family w:val="modern"/>
    <w:pitch w:val="default"/>
    <w:sig w:usb0="00000000" w:usb1="00000000" w:usb2="00000010" w:usb3="00000000" w:csb0="00040000" w:csb1="00000000"/>
    <w:embedRegular r:id="rId3" w:fontKey="{432EA96B-3746-45A4-9531-BE63B0C32573}"/>
  </w:font>
  <w:font w:name="仿宋">
    <w:panose1 w:val="02010609060101010101"/>
    <w:charset w:val="86"/>
    <w:family w:val="auto"/>
    <w:pitch w:val="default"/>
    <w:sig w:usb0="800002BF" w:usb1="38CF7CFA" w:usb2="00000016" w:usb3="00000000" w:csb0="00040001" w:csb1="00000000"/>
    <w:embedRegular r:id="rId4" w:fontKey="{234718CC-2E91-43A5-89E2-5689BD35C9D0}"/>
  </w:font>
  <w:font w:name="楷体">
    <w:panose1 w:val="02010609060101010101"/>
    <w:charset w:val="86"/>
    <w:family w:val="auto"/>
    <w:pitch w:val="default"/>
    <w:sig w:usb0="800002BF" w:usb1="38CF7CFA" w:usb2="00000016" w:usb3="00000000" w:csb0="00040001" w:csb1="00000000"/>
    <w:embedRegular r:id="rId5" w:fontKey="{9B6976E7-13E0-4EF7-BB04-B2D917B172F4}"/>
  </w:font>
  <w:font w:name="方正仿宋_GB2312">
    <w:panose1 w:val="02000000000000000000"/>
    <w:charset w:val="86"/>
    <w:family w:val="auto"/>
    <w:pitch w:val="default"/>
    <w:sig w:usb0="A00002BF" w:usb1="184F6CFA" w:usb2="00000012" w:usb3="00000000" w:csb0="00040001" w:csb1="00000000"/>
    <w:embedRegular r:id="rId6" w:fontKey="{B247FAE4-1E9F-401D-9348-BC7504FE4671}"/>
  </w:font>
  <w:font w:name="Microsoft YaHei UI">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4"/>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FD0C52"/>
    <w:rsid w:val="019B3634"/>
    <w:rsid w:val="029F0776"/>
    <w:rsid w:val="1B0D744D"/>
    <w:rsid w:val="4C5A7DCD"/>
    <w:rsid w:val="6ADB00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2421</Words>
  <Characters>2491</Characters>
  <Lines>0</Lines>
  <Paragraphs>0</Paragraphs>
  <TotalTime>0</TotalTime>
  <ScaleCrop>false</ScaleCrop>
  <LinksUpToDate>false</LinksUpToDate>
  <CharactersWithSpaces>2511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2025-04-24T05:04:00Z</dcterms:created>
  <dc:creator>lenovo</dc:creator>
  <cp:lastModifiedBy>lenovo</cp:lastModifiedBy>
  <dcterms:modified xsi:type="dcterms:W3CDTF">2025-04-29T05:11:35Z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84552C82AEB04520B12CE123F92DB5B2_11</vt:lpwstr>
  </property>
  <property fmtid="{D5CDD505-2E9C-101B-9397-08002B2CF9AE}" pid="4" name="KSOTemplateDocerSaveRecord">
    <vt:lpwstr>eyJoZGlkIjoiMjkzMTRiMzNiZjJhYzk0NDEwYjU2ZTY3NmRjNTA2OTgifQ==</vt:lpwstr>
  </property>
</Properties>
</file>