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CECF86">
      <w:pPr>
        <w:jc w:val="center"/>
        <w:rPr>
          <w:rFonts w:eastAsia="仿宋_GB2312"/>
          <w:color w:val="0D0D0D" w:themeColor="text1" w:themeTint="F2"/>
          <w:sz w:val="32"/>
          <w:szCs w:val="32"/>
          <w14:textFill>
            <w14:solidFill>
              <w14:schemeClr w14:val="tx1">
                <w14:lumMod w14:val="95000"/>
                <w14:lumOff w14:val="5000"/>
              </w14:schemeClr>
            </w14:solidFill>
          </w14:textFill>
        </w:rPr>
      </w:pPr>
      <w:r>
        <w:rPr>
          <w:rFonts w:hint="eastAsia" w:ascii="宋体" w:hAnsi="宋体"/>
          <w:sz w:val="44"/>
          <w:szCs w:val="44"/>
        </w:rPr>
        <w:t>2024年度江永县</w:t>
      </w:r>
      <w:r>
        <w:rPr>
          <w:rFonts w:hint="eastAsia" w:ascii="宋体" w:hAnsi="宋体"/>
          <w:sz w:val="44"/>
          <w:szCs w:val="44"/>
          <w:lang w:eastAsia="zh-CN"/>
        </w:rPr>
        <w:t>上江圩镇中心幼儿园</w:t>
      </w:r>
      <w:r>
        <w:rPr>
          <w:rFonts w:hint="eastAsia" w:ascii="宋体" w:hAnsi="宋体"/>
          <w:sz w:val="44"/>
          <w:szCs w:val="44"/>
        </w:rPr>
        <w:t>部门整体支出绩效自评报告</w:t>
      </w:r>
    </w:p>
    <w:p w14:paraId="424D8D3D">
      <w:pPr>
        <w:spacing w:line="600" w:lineRule="exact"/>
        <w:ind w:firstLine="640" w:firstLineChars="200"/>
        <w:rPr>
          <w:rFonts w:eastAsia="黑体"/>
          <w:sz w:val="32"/>
          <w:szCs w:val="32"/>
        </w:rPr>
      </w:pPr>
      <w:r>
        <w:rPr>
          <w:rFonts w:eastAsia="黑体"/>
          <w:sz w:val="32"/>
          <w:szCs w:val="32"/>
        </w:rPr>
        <w:t>一、基本情况</w:t>
      </w:r>
    </w:p>
    <w:p w14:paraId="77F47A42">
      <w:pPr>
        <w:keepNext w:val="0"/>
        <w:keepLines w:val="0"/>
        <w:pageBreakBefore w:val="0"/>
        <w:kinsoku/>
        <w:wordWrap/>
        <w:overflowPunct/>
        <w:topLinePunct w:val="0"/>
        <w:autoSpaceDE/>
        <w:autoSpaceDN/>
        <w:bidi w:val="0"/>
        <w:adjustRightInd/>
        <w:snapToGrid/>
        <w:spacing w:line="240" w:lineRule="atLeast"/>
        <w:ind w:left="0" w:firstLine="643" w:firstLineChars="200"/>
        <w:rPr>
          <w:rFonts w:eastAsia="楷体_GB2312"/>
          <w:b/>
          <w:sz w:val="32"/>
          <w:szCs w:val="32"/>
        </w:rPr>
      </w:pPr>
      <w:r>
        <w:rPr>
          <w:rFonts w:eastAsia="楷体_GB2312"/>
          <w:b/>
          <w:sz w:val="32"/>
          <w:szCs w:val="32"/>
        </w:rPr>
        <w:t>（一）部门（单位）基本情况</w:t>
      </w:r>
    </w:p>
    <w:p w14:paraId="3E1864A7">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ascii="仿宋" w:hAnsi="仿宋" w:eastAsia="仿宋" w:cs="仿宋"/>
          <w:b w:val="0"/>
          <w:bCs/>
          <w:color w:val="0D0D0D" w:themeColor="text1" w:themeTint="F2"/>
          <w:sz w:val="30"/>
          <w:szCs w:val="30"/>
          <w14:textFill>
            <w14:solidFill>
              <w14:schemeClr w14:val="tx1">
                <w14:lumMod w14:val="95000"/>
                <w14:lumOff w14:val="5000"/>
              </w14:schemeClr>
            </w14:solidFill>
          </w14:textFill>
        </w:rPr>
      </w:pPr>
      <w:r>
        <w:rPr>
          <w:rFonts w:hint="eastAsia" w:ascii="仿宋" w:hAnsi="仿宋" w:eastAsia="仿宋" w:cs="仿宋"/>
          <w:b w:val="0"/>
          <w:bCs/>
          <w:color w:val="0D0D0D" w:themeColor="text1" w:themeTint="F2"/>
          <w:sz w:val="30"/>
          <w:szCs w:val="30"/>
          <w14:textFill>
            <w14:solidFill>
              <w14:schemeClr w14:val="tx1">
                <w14:lumMod w14:val="95000"/>
                <w14:lumOff w14:val="5000"/>
              </w14:schemeClr>
            </w14:solidFill>
          </w14:textFill>
        </w:rPr>
        <w:t>1、单位机构组成、人员概况</w:t>
      </w:r>
    </w:p>
    <w:p w14:paraId="33FF63D1">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ascii="仿宋" w:hAnsi="仿宋" w:eastAsia="仿宋" w:cs="仿宋"/>
          <w:b w:val="0"/>
          <w:bCs/>
          <w:color w:val="0D0D0D" w:themeColor="text1" w:themeTint="F2"/>
          <w:sz w:val="30"/>
          <w:szCs w:val="30"/>
          <w14:textFill>
            <w14:solidFill>
              <w14:schemeClr w14:val="tx1">
                <w14:lumMod w14:val="95000"/>
                <w14:lumOff w14:val="5000"/>
              </w14:schemeClr>
            </w14:solidFill>
          </w14:textFill>
        </w:rPr>
      </w:pPr>
      <w:r>
        <w:rPr>
          <w:rFonts w:hint="eastAsia" w:ascii="仿宋" w:hAnsi="仿宋" w:eastAsia="仿宋" w:cs="仿宋"/>
          <w:b w:val="0"/>
          <w:bCs/>
          <w:color w:val="0D0D0D" w:themeColor="text1" w:themeTint="F2"/>
          <w:sz w:val="30"/>
          <w:szCs w:val="30"/>
          <w14:textFill>
            <w14:solidFill>
              <w14:schemeClr w14:val="tx1">
                <w14:lumMod w14:val="95000"/>
                <w14:lumOff w14:val="5000"/>
              </w14:schemeClr>
            </w14:solidFill>
          </w14:textFill>
        </w:rPr>
        <w:t>江永县上江圩镇中心幼儿园是为3至6岁儿童提供保育教育的服务的机构。为了保证幼儿园的正常运行和管理，园内设有园长室，园长室是幼儿园的决策和管理核心，负责制定幼儿园的发展战略、管理政策以及教育教学计划。园长办公室由园长和相关助理组成;行政部，行政部是幼儿园的执行机构，负责各项行政事务的管理和协调。行政部门包括人事行政、财务、后勤等职能部门，每一个部门都有相应的主管和职员。现有全体职工2</w:t>
      </w:r>
      <w:r>
        <w:rPr>
          <w:rFonts w:hint="eastAsia" w:ascii="仿宋" w:hAnsi="仿宋" w:eastAsia="仿宋" w:cs="仿宋"/>
          <w:b w:val="0"/>
          <w:bCs/>
          <w:color w:val="0D0D0D" w:themeColor="text1" w:themeTint="F2"/>
          <w:sz w:val="30"/>
          <w:szCs w:val="30"/>
          <w:lang w:val="en-US" w:eastAsia="zh-CN"/>
          <w14:textFill>
            <w14:solidFill>
              <w14:schemeClr w14:val="tx1">
                <w14:lumMod w14:val="95000"/>
                <w14:lumOff w14:val="5000"/>
              </w14:schemeClr>
            </w14:solidFill>
          </w14:textFill>
        </w:rPr>
        <w:t>1</w:t>
      </w:r>
      <w:r>
        <w:rPr>
          <w:rFonts w:hint="eastAsia" w:ascii="仿宋" w:hAnsi="仿宋" w:eastAsia="仿宋" w:cs="仿宋"/>
          <w:b w:val="0"/>
          <w:bCs/>
          <w:color w:val="0D0D0D" w:themeColor="text1" w:themeTint="F2"/>
          <w:sz w:val="30"/>
          <w:szCs w:val="30"/>
          <w14:textFill>
            <w14:solidFill>
              <w14:schemeClr w14:val="tx1">
                <w14:lumMod w14:val="95000"/>
                <w14:lumOff w14:val="5000"/>
              </w14:schemeClr>
            </w14:solidFill>
          </w14:textFill>
        </w:rPr>
        <w:t>人，其中在职老师10人，临聘老师</w:t>
      </w:r>
      <w:r>
        <w:rPr>
          <w:rFonts w:hint="eastAsia" w:ascii="仿宋" w:hAnsi="仿宋" w:eastAsia="仿宋" w:cs="仿宋"/>
          <w:b w:val="0"/>
          <w:bCs/>
          <w:color w:val="0D0D0D" w:themeColor="text1" w:themeTint="F2"/>
          <w:sz w:val="30"/>
          <w:szCs w:val="30"/>
          <w:lang w:val="en-US" w:eastAsia="zh-CN"/>
          <w14:textFill>
            <w14:solidFill>
              <w14:schemeClr w14:val="tx1">
                <w14:lumMod w14:val="95000"/>
                <w14:lumOff w14:val="5000"/>
              </w14:schemeClr>
            </w14:solidFill>
          </w14:textFill>
        </w:rPr>
        <w:t>7</w:t>
      </w:r>
      <w:r>
        <w:rPr>
          <w:rFonts w:hint="eastAsia" w:ascii="仿宋" w:hAnsi="仿宋" w:eastAsia="仿宋" w:cs="仿宋"/>
          <w:b w:val="0"/>
          <w:bCs/>
          <w:color w:val="0D0D0D" w:themeColor="text1" w:themeTint="F2"/>
          <w:sz w:val="30"/>
          <w:szCs w:val="30"/>
          <w14:textFill>
            <w14:solidFill>
              <w14:schemeClr w14:val="tx1">
                <w14:lumMod w14:val="95000"/>
                <w14:lumOff w14:val="5000"/>
              </w14:schemeClr>
            </w14:solidFill>
          </w14:textFill>
        </w:rPr>
        <w:t>人，厨师2人，保安2人。</w:t>
      </w:r>
    </w:p>
    <w:p w14:paraId="752C75F1">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仿宋" w:hAnsi="仿宋" w:eastAsia="仿宋" w:cs="仿宋"/>
          <w:b w:val="0"/>
          <w:bCs/>
          <w:color w:val="0D0D0D" w:themeColor="text1" w:themeTint="F2"/>
          <w:sz w:val="30"/>
          <w:szCs w:val="30"/>
          <w14:textFill>
            <w14:solidFill>
              <w14:schemeClr w14:val="tx1">
                <w14:lumMod w14:val="95000"/>
                <w14:lumOff w14:val="5000"/>
              </w14:schemeClr>
            </w14:solidFill>
          </w14:textFill>
        </w:rPr>
      </w:pPr>
      <w:r>
        <w:rPr>
          <w:rFonts w:hint="eastAsia" w:ascii="仿宋" w:hAnsi="仿宋" w:eastAsia="仿宋" w:cs="仿宋"/>
          <w:b w:val="0"/>
          <w:bCs/>
          <w:color w:val="0D0D0D" w:themeColor="text1" w:themeTint="F2"/>
          <w:sz w:val="30"/>
          <w:szCs w:val="30"/>
          <w14:textFill>
            <w14:solidFill>
              <w14:schemeClr w14:val="tx1">
                <w14:lumMod w14:val="95000"/>
                <w14:lumOff w14:val="5000"/>
              </w14:schemeClr>
            </w14:solidFill>
          </w14:textFill>
        </w:rPr>
        <w:t>2、机构职能</w:t>
      </w:r>
    </w:p>
    <w:p w14:paraId="3B6E81D3">
      <w:pPr>
        <w:keepNext w:val="0"/>
        <w:keepLines w:val="0"/>
        <w:pageBreakBefore w:val="0"/>
        <w:widowControl w:val="0"/>
        <w:kinsoku/>
        <w:wordWrap/>
        <w:overflowPunct/>
        <w:topLinePunct w:val="0"/>
        <w:autoSpaceDE/>
        <w:autoSpaceDN/>
        <w:bidi w:val="0"/>
        <w:adjustRightInd/>
        <w:snapToGrid/>
        <w:spacing w:line="240" w:lineRule="atLeast"/>
        <w:ind w:left="0" w:firstLine="600" w:firstLineChars="200"/>
        <w:textAlignment w:val="auto"/>
        <w:rPr>
          <w:rFonts w:hint="eastAsia" w:ascii="仿宋" w:hAnsi="仿宋" w:eastAsia="仿宋" w:cs="仿宋"/>
          <w:b w:val="0"/>
          <w:bCs/>
          <w:color w:val="0D0D0D" w:themeColor="text1" w:themeTint="F2"/>
          <w:sz w:val="30"/>
          <w:szCs w:val="30"/>
          <w:lang w:eastAsia="zh-CN"/>
          <w14:textFill>
            <w14:solidFill>
              <w14:schemeClr w14:val="tx1">
                <w14:lumMod w14:val="95000"/>
                <w14:lumOff w14:val="5000"/>
              </w14:schemeClr>
            </w14:solidFill>
          </w14:textFill>
        </w:rPr>
      </w:pPr>
      <w:r>
        <w:rPr>
          <w:rFonts w:hint="eastAsia" w:ascii="仿宋" w:hAnsi="仿宋" w:eastAsia="仿宋" w:cs="仿宋"/>
          <w:b w:val="0"/>
          <w:bCs/>
          <w:color w:val="0D0D0D" w:themeColor="text1" w:themeTint="F2"/>
          <w:sz w:val="30"/>
          <w:szCs w:val="30"/>
          <w14:textFill>
            <w14:solidFill>
              <w14:schemeClr w14:val="tx1">
                <w14:lumMod w14:val="95000"/>
                <w14:lumOff w14:val="5000"/>
              </w14:schemeClr>
            </w14:solidFill>
          </w14:textFill>
        </w:rPr>
        <w:t>幼儿园秉承“用太阳的光辉照亮孩子的心房”的办园理念，以“爱的成长，心的教育”为办园思想，以“一切为了孩子”为目标，以“满园蓓蕾，个个芬芳”为园训，让幼儿在愉快的游戏活动中“学会生活，学会学习，学会做人”</w:t>
      </w:r>
      <w:r>
        <w:rPr>
          <w:rFonts w:hint="eastAsia" w:ascii="仿宋" w:hAnsi="仿宋" w:eastAsia="仿宋" w:cs="仿宋"/>
          <w:b w:val="0"/>
          <w:bCs/>
          <w:color w:val="0D0D0D" w:themeColor="text1" w:themeTint="F2"/>
          <w:sz w:val="30"/>
          <w:szCs w:val="30"/>
          <w:lang w:eastAsia="zh-CN"/>
          <w14:textFill>
            <w14:solidFill>
              <w14:schemeClr w14:val="tx1">
                <w14:lumMod w14:val="95000"/>
                <w14:lumOff w14:val="5000"/>
              </w14:schemeClr>
            </w14:solidFill>
          </w14:textFill>
        </w:rPr>
        <w:t>。</w:t>
      </w:r>
    </w:p>
    <w:p w14:paraId="4B03ABA2">
      <w:pPr>
        <w:pStyle w:val="6"/>
        <w:spacing w:line="600" w:lineRule="exact"/>
        <w:ind w:firstLine="640"/>
        <w:rPr>
          <w:rFonts w:ascii="Times New Roman" w:hAnsi="Times New Roman" w:eastAsia="黑体"/>
          <w:sz w:val="32"/>
          <w:szCs w:val="32"/>
        </w:rPr>
      </w:pPr>
      <w:r>
        <w:rPr>
          <w:rFonts w:ascii="Times New Roman" w:hAnsi="Times New Roman" w:eastAsia="黑体"/>
          <w:sz w:val="32"/>
          <w:szCs w:val="32"/>
        </w:rPr>
        <w:t>二、</w:t>
      </w:r>
      <w:r>
        <w:rPr>
          <w:rFonts w:hint="eastAsia" w:ascii="Times New Roman" w:hAnsi="Times New Roman" w:eastAsia="黑体"/>
          <w:sz w:val="32"/>
          <w:szCs w:val="32"/>
          <w:lang w:val="en-US" w:eastAsia="zh-CN"/>
        </w:rPr>
        <w:t>2024年</w:t>
      </w:r>
      <w:r>
        <w:rPr>
          <w:rFonts w:ascii="Times New Roman" w:hAnsi="Times New Roman" w:eastAsia="黑体"/>
          <w:sz w:val="32"/>
          <w:szCs w:val="32"/>
        </w:rPr>
        <w:t>一般公共预算支出情况</w:t>
      </w:r>
    </w:p>
    <w:p w14:paraId="645262C8">
      <w:pPr>
        <w:pStyle w:val="6"/>
        <w:numPr>
          <w:ilvl w:val="0"/>
          <w:numId w:val="1"/>
        </w:numPr>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基本支出情况</w:t>
      </w:r>
    </w:p>
    <w:p w14:paraId="46084C48">
      <w:pPr>
        <w:pStyle w:val="6"/>
        <w:numPr>
          <w:ilvl w:val="0"/>
          <w:numId w:val="0"/>
        </w:numPr>
        <w:spacing w:line="600" w:lineRule="exact"/>
        <w:ind w:firstLine="640" w:firstLineChars="200"/>
        <w:rPr>
          <w:rFonts w:hint="eastAsia" w:ascii="宋体" w:hAnsi="宋体" w:eastAsia="宋体" w:cs="宋体"/>
          <w:b w:val="0"/>
          <w:bCs/>
          <w:sz w:val="32"/>
          <w:szCs w:val="32"/>
          <w:lang w:val="en-US" w:eastAsia="zh-CN"/>
        </w:rPr>
      </w:pPr>
      <w:r>
        <w:rPr>
          <w:rFonts w:hint="eastAsia" w:ascii="仿宋" w:hAnsi="仿宋" w:eastAsia="仿宋" w:cs="仿宋"/>
          <w:b w:val="0"/>
          <w:bCs/>
          <w:sz w:val="32"/>
          <w:szCs w:val="32"/>
          <w:lang w:eastAsia="zh-CN"/>
        </w:rPr>
        <w:t>江永县上江圩镇中心幼儿园全年预算数</w:t>
      </w:r>
      <w:r>
        <w:rPr>
          <w:rFonts w:hint="eastAsia" w:ascii="仿宋" w:hAnsi="仿宋" w:eastAsia="仿宋" w:cs="仿宋"/>
          <w:b w:val="0"/>
          <w:bCs/>
          <w:sz w:val="32"/>
          <w:szCs w:val="32"/>
          <w:lang w:val="en-US" w:eastAsia="zh-CN"/>
        </w:rPr>
        <w:t>376.91万元，其中基本支出201.10万元</w:t>
      </w:r>
      <w:r>
        <w:rPr>
          <w:rFonts w:hint="eastAsia" w:ascii="宋体" w:hAnsi="宋体" w:eastAsia="宋体" w:cs="宋体"/>
          <w:b w:val="0"/>
          <w:bCs/>
          <w:sz w:val="32"/>
          <w:szCs w:val="32"/>
          <w:lang w:val="en-US" w:eastAsia="zh-CN"/>
        </w:rPr>
        <w:t>。</w:t>
      </w:r>
    </w:p>
    <w:p w14:paraId="4C5F486F">
      <w:pPr>
        <w:pStyle w:val="6"/>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（二）项目支出情况</w:t>
      </w:r>
    </w:p>
    <w:p w14:paraId="1CEF64A2">
      <w:pPr>
        <w:spacing w:line="600" w:lineRule="exact"/>
        <w:ind w:firstLine="640" w:firstLineChars="200"/>
        <w:rPr>
          <w:rFonts w:eastAsia="仿宋_GB2312"/>
          <w:sz w:val="32"/>
          <w:szCs w:val="32"/>
        </w:rPr>
      </w:pPr>
      <w:r>
        <w:rPr>
          <w:rFonts w:eastAsia="仿宋_GB2312"/>
          <w:sz w:val="32"/>
          <w:szCs w:val="32"/>
        </w:rPr>
        <w:t>两方面：一是</w:t>
      </w:r>
      <w:r>
        <w:rPr>
          <w:rFonts w:hint="eastAsia" w:eastAsia="仿宋_GB2312"/>
          <w:sz w:val="32"/>
          <w:szCs w:val="32"/>
          <w:lang w:val="en-US" w:eastAsia="zh-CN"/>
        </w:rPr>
        <w:t>2024</w:t>
      </w:r>
      <w:r>
        <w:rPr>
          <w:rFonts w:eastAsia="仿宋_GB2312"/>
          <w:sz w:val="32"/>
          <w:szCs w:val="32"/>
        </w:rPr>
        <w:t>年度</w:t>
      </w:r>
      <w:r>
        <w:rPr>
          <w:rFonts w:hint="eastAsia" w:eastAsia="仿宋_GB2312"/>
          <w:sz w:val="32"/>
          <w:szCs w:val="32"/>
        </w:rPr>
        <w:t>县</w:t>
      </w:r>
      <w:r>
        <w:rPr>
          <w:rFonts w:eastAsia="仿宋_GB2312"/>
          <w:sz w:val="32"/>
          <w:szCs w:val="32"/>
        </w:rPr>
        <w:t>级专项资金分配安排和使用管理情况，有2个及以上</w:t>
      </w:r>
      <w:r>
        <w:rPr>
          <w:rFonts w:hint="eastAsia" w:eastAsia="仿宋_GB2312"/>
          <w:sz w:val="32"/>
          <w:szCs w:val="32"/>
        </w:rPr>
        <w:t>县</w:t>
      </w:r>
      <w:r>
        <w:rPr>
          <w:rFonts w:eastAsia="仿宋_GB2312"/>
          <w:sz w:val="32"/>
          <w:szCs w:val="32"/>
        </w:rPr>
        <w:t>级专项资金的要分别总结基本情况。二是除</w:t>
      </w:r>
      <w:r>
        <w:rPr>
          <w:rFonts w:hint="eastAsia" w:eastAsia="仿宋_GB2312"/>
          <w:sz w:val="32"/>
          <w:szCs w:val="32"/>
        </w:rPr>
        <w:t>县</w:t>
      </w:r>
      <w:r>
        <w:rPr>
          <w:rFonts w:eastAsia="仿宋_GB2312"/>
          <w:sz w:val="32"/>
          <w:szCs w:val="32"/>
        </w:rPr>
        <w:t>级专项资金以外的其他项目支出情况。</w:t>
      </w:r>
    </w:p>
    <w:p w14:paraId="21E0BAD4">
      <w:pPr>
        <w:pStyle w:val="6"/>
        <w:spacing w:line="600" w:lineRule="exact"/>
        <w:ind w:firstLine="640"/>
        <w:rPr>
          <w:rFonts w:ascii="Times New Roman" w:hAnsi="Times New Roman" w:eastAsia="黑体"/>
          <w:sz w:val="32"/>
          <w:szCs w:val="32"/>
        </w:rPr>
      </w:pPr>
      <w:r>
        <w:rPr>
          <w:rFonts w:ascii="Times New Roman" w:hAnsi="Times New Roman" w:eastAsia="黑体"/>
          <w:sz w:val="32"/>
          <w:szCs w:val="32"/>
        </w:rPr>
        <w:t>三、政府性基金预算支出情况</w:t>
      </w:r>
    </w:p>
    <w:p w14:paraId="35FC130D">
      <w:pPr>
        <w:pStyle w:val="6"/>
        <w:spacing w:line="600" w:lineRule="exact"/>
        <w:ind w:firstLine="640"/>
        <w:rPr>
          <w:rFonts w:ascii="Times New Roman" w:hAnsi="Times New Roman" w:eastAsia="黑体"/>
          <w:sz w:val="32"/>
          <w:szCs w:val="32"/>
        </w:rPr>
      </w:pPr>
      <w:r>
        <w:rPr>
          <w:rFonts w:ascii="Times New Roman" w:hAnsi="Times New Roman" w:eastAsia="黑体"/>
          <w:sz w:val="32"/>
          <w:szCs w:val="32"/>
        </w:rPr>
        <w:t>四、国有资本经营预算支出情况</w:t>
      </w:r>
    </w:p>
    <w:p w14:paraId="253850F0">
      <w:pPr>
        <w:pStyle w:val="6"/>
        <w:spacing w:line="600" w:lineRule="exact"/>
        <w:ind w:firstLine="640"/>
        <w:rPr>
          <w:rFonts w:ascii="Times New Roman" w:hAnsi="Times New Roman" w:eastAsia="黑体"/>
          <w:sz w:val="32"/>
          <w:szCs w:val="32"/>
        </w:rPr>
      </w:pPr>
      <w:r>
        <w:rPr>
          <w:rFonts w:ascii="Times New Roman" w:hAnsi="Times New Roman" w:eastAsia="黑体"/>
          <w:sz w:val="32"/>
          <w:szCs w:val="32"/>
        </w:rPr>
        <w:t>五、社会保险基金预算支出情况</w:t>
      </w:r>
    </w:p>
    <w:p w14:paraId="7090F103">
      <w:pPr>
        <w:pStyle w:val="6"/>
        <w:spacing w:line="600" w:lineRule="exact"/>
        <w:ind w:firstLine="640"/>
        <w:rPr>
          <w:rFonts w:ascii="Times New Roman" w:hAnsi="Times New Roman" w:eastAsia="黑体"/>
          <w:sz w:val="32"/>
          <w:szCs w:val="32"/>
        </w:rPr>
      </w:pPr>
      <w:r>
        <w:rPr>
          <w:rFonts w:hint="eastAsia" w:ascii="仿宋" w:hAnsi="仿宋" w:eastAsia="仿宋" w:cs="仿宋"/>
          <w:b w:val="0"/>
          <w:bCs/>
          <w:color w:val="0D0D0D" w:themeColor="text1" w:themeTint="F2"/>
          <w:sz w:val="30"/>
          <w:szCs w:val="30"/>
          <w:lang w:val="en-US" w:eastAsia="zh-CN"/>
          <w14:textFill>
            <w14:solidFill>
              <w14:schemeClr w14:val="tx1">
                <w14:lumMod w14:val="95000"/>
                <w14:lumOff w14:val="5000"/>
              </w14:schemeClr>
            </w14:solidFill>
          </w14:textFill>
        </w:rPr>
        <w:t>预算执行情况：2024年机关事业单位基本养老保险费8.7万元，职工基本医疗保险费4.2万，其他社会保障费0.25万元。</w:t>
      </w:r>
    </w:p>
    <w:p w14:paraId="45576D64">
      <w:pPr>
        <w:spacing w:line="600" w:lineRule="exact"/>
        <w:ind w:firstLine="640" w:firstLineChars="200"/>
        <w:rPr>
          <w:rFonts w:eastAsia="黑体"/>
          <w:sz w:val="32"/>
          <w:szCs w:val="32"/>
        </w:rPr>
      </w:pPr>
      <w:r>
        <w:rPr>
          <w:rFonts w:eastAsia="黑体"/>
          <w:sz w:val="32"/>
          <w:szCs w:val="32"/>
        </w:rPr>
        <w:t>六、部门整体支出绩效情况</w:t>
      </w:r>
    </w:p>
    <w:p w14:paraId="244516C9">
      <w:pPr>
        <w:spacing w:line="600" w:lineRule="exact"/>
        <w:ind w:firstLine="640" w:firstLineChars="200"/>
        <w:rPr>
          <w:rFonts w:eastAsia="仿宋_GB2312"/>
          <w:color w:val="000000"/>
          <w:sz w:val="32"/>
          <w:szCs w:val="32"/>
        </w:rPr>
      </w:pPr>
      <w:r>
        <w:rPr>
          <w:rFonts w:eastAsia="仿宋_GB2312"/>
          <w:color w:val="000000"/>
          <w:sz w:val="32"/>
          <w:szCs w:val="32"/>
        </w:rPr>
        <w:t>总结归纳本部门“四本预算”支出的绩效目标完成情况，实现产出和取得效益的情况。围绕部门职责、行业发展规划，以预算资金管理为主线，总结部门资产管理和开展业务情况，从运行成本、管理效率、履职效能、社会效应、可持续发展能力和服务对象满意度等方面，衡量部门整体及核心业务实施效果。</w:t>
      </w:r>
    </w:p>
    <w:p w14:paraId="64FA8B11">
      <w:pPr>
        <w:keepNext w:val="0"/>
        <w:keepLines w:val="0"/>
        <w:pageBreakBefore w:val="0"/>
        <w:kinsoku/>
        <w:wordWrap/>
        <w:overflowPunct/>
        <w:topLinePunct w:val="0"/>
        <w:autoSpaceDE/>
        <w:autoSpaceDN/>
        <w:bidi w:val="0"/>
        <w:adjustRightInd/>
        <w:snapToGrid/>
        <w:spacing w:line="240" w:lineRule="atLeast"/>
        <w:ind w:left="0" w:firstLine="600" w:firstLineChars="200"/>
        <w:rPr>
          <w:rFonts w:eastAsia="仿宋_GB2312"/>
          <w:color w:val="000000"/>
          <w:sz w:val="32"/>
          <w:szCs w:val="32"/>
        </w:rPr>
      </w:pPr>
      <w:r>
        <w:rPr>
          <w:rFonts w:hint="eastAsia" w:eastAsia="仿宋_GB2312"/>
          <w:color w:val="0D0D0D" w:themeColor="text1" w:themeTint="F2"/>
          <w:sz w:val="30"/>
          <w:szCs w:val="30"/>
          <w14:textFill>
            <w14:solidFill>
              <w14:schemeClr w14:val="tx1">
                <w14:lumMod w14:val="95000"/>
                <w14:lumOff w14:val="5000"/>
              </w14:schemeClr>
            </w14:solidFill>
          </w14:textFill>
        </w:rPr>
        <w:t>绩效目标完成率为100%，实际完成率100%。从履职及履职效益情况来看，总体效果比较好。从经济性来看，各负责部门能够按照预算来抓好成本控制，强化勤俭办事的意识，注重节约开支，年度开支控制在财政局规定的范围内</w:t>
      </w:r>
      <w:r>
        <w:rPr>
          <w:rFonts w:hint="eastAsia" w:eastAsia="仿宋_GB2312"/>
          <w:color w:val="0D0D0D" w:themeColor="text1" w:themeTint="F2"/>
          <w:sz w:val="30"/>
          <w:szCs w:val="30"/>
          <w:lang w:eastAsia="zh-CN"/>
          <w14:textFill>
            <w14:solidFill>
              <w14:schemeClr w14:val="tx1">
                <w14:lumMod w14:val="95000"/>
                <w14:lumOff w14:val="5000"/>
              </w14:schemeClr>
            </w14:solidFill>
          </w14:textFill>
        </w:rPr>
        <w:t>；</w:t>
      </w:r>
      <w:r>
        <w:rPr>
          <w:rFonts w:hint="eastAsia" w:eastAsia="仿宋_GB2312"/>
          <w:color w:val="0D0D0D" w:themeColor="text1" w:themeTint="F2"/>
          <w:sz w:val="30"/>
          <w:szCs w:val="30"/>
          <w14:textFill>
            <w14:solidFill>
              <w14:schemeClr w14:val="tx1">
                <w14:lumMod w14:val="95000"/>
                <w14:lumOff w14:val="5000"/>
              </w14:schemeClr>
            </w14:solidFill>
          </w14:textFill>
        </w:rPr>
        <w:t>从效率性来看，各部门对所承担的工作能够按照计划的时间把握进度，抓好质量，注重了工作的效率</w:t>
      </w:r>
      <w:r>
        <w:rPr>
          <w:rFonts w:hint="eastAsia" w:eastAsia="仿宋_GB2312"/>
          <w:color w:val="0D0D0D" w:themeColor="text1" w:themeTint="F2"/>
          <w:sz w:val="30"/>
          <w:szCs w:val="30"/>
          <w:lang w:eastAsia="zh-CN"/>
          <w14:textFill>
            <w14:solidFill>
              <w14:schemeClr w14:val="tx1">
                <w14:lumMod w14:val="95000"/>
                <w14:lumOff w14:val="5000"/>
              </w14:schemeClr>
            </w14:solidFill>
          </w14:textFill>
        </w:rPr>
        <w:t>；</w:t>
      </w:r>
      <w:r>
        <w:rPr>
          <w:rFonts w:hint="eastAsia" w:eastAsia="仿宋_GB2312"/>
          <w:color w:val="0D0D0D" w:themeColor="text1" w:themeTint="F2"/>
          <w:sz w:val="30"/>
          <w:szCs w:val="30"/>
          <w14:textFill>
            <w14:solidFill>
              <w14:schemeClr w14:val="tx1">
                <w14:lumMod w14:val="95000"/>
                <w14:lumOff w14:val="5000"/>
              </w14:schemeClr>
            </w14:solidFill>
          </w14:textFill>
        </w:rPr>
        <w:t>从有效性来看，各专项工作的分工负责部门均能够按照制度和各自的目标来抓好落实，注重了专项资金的使用效果</w:t>
      </w:r>
      <w:r>
        <w:rPr>
          <w:rFonts w:hint="eastAsia" w:eastAsia="仿宋_GB2312"/>
          <w:color w:val="0D0D0D" w:themeColor="text1" w:themeTint="F2"/>
          <w:sz w:val="30"/>
          <w:szCs w:val="30"/>
          <w:lang w:eastAsia="zh-CN"/>
          <w14:textFill>
            <w14:solidFill>
              <w14:schemeClr w14:val="tx1">
                <w14:lumMod w14:val="95000"/>
                <w14:lumOff w14:val="5000"/>
              </w14:schemeClr>
            </w14:solidFill>
          </w14:textFill>
        </w:rPr>
        <w:t>；</w:t>
      </w:r>
      <w:r>
        <w:rPr>
          <w:rFonts w:hint="eastAsia" w:eastAsia="仿宋_GB2312"/>
          <w:color w:val="0D0D0D" w:themeColor="text1" w:themeTint="F2"/>
          <w:sz w:val="30"/>
          <w:szCs w:val="30"/>
          <w14:textFill>
            <w14:solidFill>
              <w14:schemeClr w14:val="tx1">
                <w14:lumMod w14:val="95000"/>
                <w14:lumOff w14:val="5000"/>
              </w14:schemeClr>
            </w14:solidFill>
          </w14:textFill>
        </w:rPr>
        <w:t>从可持续性来看，后续的政策、相关的配套资金、必要的人员机构要继续保持，管理制度做到与时俱进，相关内容进行了及时补充完善。</w:t>
      </w:r>
    </w:p>
    <w:p w14:paraId="3C3FEFCE">
      <w:pPr>
        <w:pStyle w:val="6"/>
        <w:spacing w:line="60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14:paraId="35D0195E">
      <w:pPr>
        <w:spacing w:line="600" w:lineRule="exact"/>
        <w:ind w:firstLine="640" w:firstLineChars="200"/>
        <w:rPr>
          <w:rFonts w:hint="eastAsia" w:eastAsia="仿宋_GB2312"/>
          <w:sz w:val="32"/>
          <w:szCs w:val="32"/>
        </w:rPr>
      </w:pPr>
      <w:r>
        <w:rPr>
          <w:rFonts w:eastAsia="仿宋_GB2312"/>
          <w:sz w:val="32"/>
          <w:szCs w:val="32"/>
        </w:rPr>
        <w:t>主要反映各种</w:t>
      </w:r>
      <w:r>
        <w:rPr>
          <w:rFonts w:eastAsia="仿宋_GB2312"/>
          <w:color w:val="000000"/>
          <w:sz w:val="32"/>
          <w:szCs w:val="32"/>
        </w:rPr>
        <w:t>预算支出执行偏离绩效目标的情况，</w:t>
      </w:r>
      <w:r>
        <w:rPr>
          <w:rFonts w:eastAsia="仿宋_GB2312"/>
          <w:sz w:val="32"/>
          <w:szCs w:val="32"/>
        </w:rPr>
        <w:t>并分析其原因</w:t>
      </w:r>
      <w:r>
        <w:rPr>
          <w:rFonts w:hint="eastAsia" w:eastAsia="仿宋_GB2312"/>
          <w:sz w:val="32"/>
          <w:szCs w:val="32"/>
        </w:rPr>
        <w:t>。</w:t>
      </w:r>
    </w:p>
    <w:p w14:paraId="21D3892C">
      <w:pPr>
        <w:keepNext w:val="0"/>
        <w:keepLines w:val="0"/>
        <w:pageBreakBefore w:val="0"/>
        <w:kinsoku/>
        <w:wordWrap/>
        <w:overflowPunct/>
        <w:topLinePunct w:val="0"/>
        <w:autoSpaceDE/>
        <w:autoSpaceDN/>
        <w:bidi w:val="0"/>
        <w:adjustRightInd/>
        <w:snapToGrid/>
        <w:spacing w:line="240" w:lineRule="atLeast"/>
        <w:ind w:left="0" w:firstLine="600" w:firstLineChars="200"/>
        <w:rPr>
          <w:rFonts w:hint="eastAsia" w:eastAsia="仿宋_GB2312"/>
          <w:sz w:val="32"/>
          <w:szCs w:val="32"/>
        </w:rPr>
      </w:pPr>
      <w:r>
        <w:rPr>
          <w:rFonts w:hint="eastAsia" w:eastAsia="仿宋_GB2312"/>
          <w:color w:val="0D0D0D" w:themeColor="text1" w:themeTint="F2"/>
          <w:sz w:val="30"/>
          <w:szCs w:val="30"/>
          <w14:textFill>
            <w14:solidFill>
              <w14:schemeClr w14:val="tx1">
                <w14:lumMod w14:val="95000"/>
                <w14:lumOff w14:val="5000"/>
              </w14:schemeClr>
            </w14:solidFill>
          </w14:textFill>
        </w:rPr>
        <w:t>年初预算绩效目标不明确，绩效指标细化和量化不精准。</w:t>
      </w:r>
    </w:p>
    <w:p w14:paraId="73ACCBFA">
      <w:pPr>
        <w:keepNext w:val="0"/>
        <w:keepLines w:val="0"/>
        <w:pageBreakBefore w:val="0"/>
        <w:numPr>
          <w:ilvl w:val="0"/>
          <w:numId w:val="2"/>
        </w:numPr>
        <w:kinsoku/>
        <w:wordWrap/>
        <w:overflowPunct/>
        <w:topLinePunct w:val="0"/>
        <w:autoSpaceDE/>
        <w:autoSpaceDN/>
        <w:bidi w:val="0"/>
        <w:adjustRightInd/>
        <w:snapToGrid/>
        <w:spacing w:line="240" w:lineRule="atLeast"/>
        <w:ind w:left="0" w:firstLine="640" w:firstLineChars="200"/>
        <w:rPr>
          <w:rFonts w:eastAsia="黑体"/>
          <w:sz w:val="32"/>
          <w:szCs w:val="32"/>
        </w:rPr>
      </w:pPr>
      <w:r>
        <w:rPr>
          <w:rFonts w:eastAsia="黑体"/>
          <w:sz w:val="32"/>
          <w:szCs w:val="32"/>
        </w:rPr>
        <w:t>下一步改进措施</w:t>
      </w:r>
    </w:p>
    <w:p w14:paraId="09330C65">
      <w:pPr>
        <w:keepNext w:val="0"/>
        <w:keepLines w:val="0"/>
        <w:pageBreakBefore w:val="0"/>
        <w:numPr>
          <w:ilvl w:val="0"/>
          <w:numId w:val="0"/>
        </w:numPr>
        <w:kinsoku/>
        <w:wordWrap/>
        <w:overflowPunct/>
        <w:topLinePunct w:val="0"/>
        <w:autoSpaceDE/>
        <w:autoSpaceDN/>
        <w:bidi w:val="0"/>
        <w:adjustRightInd/>
        <w:snapToGrid/>
        <w:spacing w:line="240" w:lineRule="atLeast"/>
        <w:ind w:firstLine="600" w:firstLineChars="200"/>
        <w:rPr>
          <w:rFonts w:eastAsia="黑体"/>
          <w:sz w:val="32"/>
          <w:szCs w:val="32"/>
        </w:rPr>
      </w:pPr>
      <w:r>
        <w:rPr>
          <w:rFonts w:hint="eastAsia" w:eastAsia="仿宋_GB2312"/>
          <w:color w:val="0D0D0D" w:themeColor="text1" w:themeTint="F2"/>
          <w:sz w:val="30"/>
          <w:szCs w:val="30"/>
          <w14:textFill>
            <w14:solidFill>
              <w14:schemeClr w14:val="tx1">
                <w14:lumMod w14:val="95000"/>
                <w14:lumOff w14:val="5000"/>
              </w14:schemeClr>
            </w14:solidFill>
          </w14:textFill>
        </w:rPr>
        <w:t>细化预算指标，提高预算科学性。预算编制前根据年度内单位可预见的工作任务，确定单位年度预算目标，细化预算指标，科学合理编制部门预算，推进预算编制科学化、准确化。年度预算编制后，根据实际情况，定期做好预算执行分析，掌握预算执行进度，纠正偏差，为下一次科学、准确地编制部门预算积累经验。</w:t>
      </w:r>
    </w:p>
    <w:p w14:paraId="2BBE6557">
      <w:pPr>
        <w:spacing w:line="600" w:lineRule="exact"/>
        <w:ind w:firstLine="640" w:firstLineChars="200"/>
        <w:rPr>
          <w:rFonts w:eastAsia="黑体"/>
          <w:sz w:val="32"/>
          <w:szCs w:val="32"/>
        </w:rPr>
      </w:pPr>
      <w:r>
        <w:rPr>
          <w:rFonts w:eastAsia="黑体"/>
          <w:sz w:val="32"/>
          <w:szCs w:val="32"/>
        </w:rPr>
        <w:t>九、绩效自评结果拟应用和公开情况</w:t>
      </w:r>
    </w:p>
    <w:p w14:paraId="3893E95F">
      <w:pPr>
        <w:spacing w:line="600" w:lineRule="exact"/>
        <w:ind w:firstLine="640" w:firstLineChars="200"/>
        <w:rPr>
          <w:rFonts w:eastAsia="黑体"/>
          <w:sz w:val="32"/>
          <w:szCs w:val="32"/>
        </w:rPr>
      </w:pPr>
      <w:r>
        <w:rPr>
          <w:rFonts w:eastAsia="黑体"/>
          <w:sz w:val="32"/>
          <w:szCs w:val="32"/>
        </w:rPr>
        <w:t>其他需要说明的情况</w:t>
      </w:r>
    </w:p>
    <w:p w14:paraId="63E41C09">
      <w:pPr>
        <w:spacing w:line="600" w:lineRule="exact"/>
        <w:ind w:firstLine="640" w:firstLineChars="200"/>
        <w:rPr>
          <w:rFonts w:eastAsia="黑体"/>
          <w:sz w:val="32"/>
          <w:szCs w:val="32"/>
        </w:rPr>
      </w:pPr>
    </w:p>
    <w:p w14:paraId="46A0822C">
      <w:pPr>
        <w:spacing w:line="600" w:lineRule="exact"/>
        <w:ind w:firstLine="640" w:firstLineChars="200"/>
        <w:jc w:val="right"/>
        <w:rPr>
          <w:rFonts w:hint="eastAsia" w:ascii="仿宋" w:hAnsi="仿宋" w:eastAsia="仿宋" w:cs="仿宋"/>
          <w:sz w:val="32"/>
          <w:szCs w:val="32"/>
        </w:rPr>
      </w:pPr>
    </w:p>
    <w:p w14:paraId="095820F7">
      <w:pPr>
        <w:spacing w:line="600" w:lineRule="exact"/>
        <w:ind w:firstLine="640" w:firstLineChars="200"/>
        <w:jc w:val="right"/>
        <w:rPr>
          <w:rFonts w:hint="eastAsia" w:ascii="仿宋" w:hAnsi="仿宋" w:eastAsia="仿宋" w:cs="仿宋"/>
          <w:sz w:val="32"/>
          <w:szCs w:val="32"/>
          <w:lang w:eastAsia="zh-CN"/>
        </w:rPr>
      </w:pPr>
      <w:r>
        <w:rPr>
          <w:rFonts w:hint="eastAsia" w:ascii="仿宋" w:hAnsi="仿宋" w:eastAsia="仿宋" w:cs="仿宋"/>
          <w:sz w:val="32"/>
          <w:szCs w:val="32"/>
          <w:lang w:eastAsia="zh-CN"/>
        </w:rPr>
        <w:t>江永县上江圩镇中心幼儿园</w:t>
      </w:r>
    </w:p>
    <w:p w14:paraId="7DDFF7C2">
      <w:pPr>
        <w:spacing w:line="600" w:lineRule="exact"/>
        <w:ind w:firstLine="640" w:firstLineChars="200"/>
        <w:jc w:val="right"/>
        <w:rPr>
          <w:rFonts w:hint="eastAsia" w:eastAsia="仿宋_GB2312"/>
          <w:kern w:val="0"/>
          <w:sz w:val="22"/>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32"/>
          <w:szCs w:val="32"/>
          <w:lang w:val="en-US" w:eastAsia="zh-CN"/>
        </w:rPr>
        <w:t>2025年3月12日</w:t>
      </w:r>
    </w:p>
    <w:tbl>
      <w:tblPr>
        <w:tblStyle w:val="4"/>
        <w:tblW w:w="9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006"/>
        <w:gridCol w:w="932"/>
        <w:gridCol w:w="818"/>
        <w:gridCol w:w="1120"/>
        <w:gridCol w:w="854"/>
        <w:gridCol w:w="908"/>
        <w:gridCol w:w="1482"/>
      </w:tblGrid>
      <w:tr w14:paraId="0038D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14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A0504">
            <w:pPr>
              <w:keepNext w:val="0"/>
              <w:keepLines w:val="0"/>
              <w:widowControl/>
              <w:suppressLineNumbers w:val="0"/>
              <w:jc w:val="center"/>
              <w:textAlignment w:val="center"/>
              <w:rPr>
                <w:rFonts w:hint="eastAsia" w:ascii="宋体" w:hAnsi="宋体" w:eastAsia="宋体" w:cs="宋体"/>
                <w:i w:val="0"/>
                <w:iCs w:val="0"/>
                <w:color w:val="000000"/>
                <w:kern w:val="0"/>
                <w:sz w:val="32"/>
                <w:szCs w:val="32"/>
                <w:u w:val="none"/>
                <w:lang w:val="en-US" w:eastAsia="zh-CN" w:bidi="ar"/>
              </w:rPr>
            </w:pPr>
            <w:bookmarkStart w:id="0" w:name="_GoBack"/>
            <w:bookmarkEnd w:id="0"/>
            <w:r>
              <w:rPr>
                <w:rFonts w:hint="eastAsia" w:ascii="宋体" w:hAnsi="宋体" w:eastAsia="宋体" w:cs="宋体"/>
                <w:i w:val="0"/>
                <w:iCs w:val="0"/>
                <w:color w:val="000000"/>
                <w:kern w:val="0"/>
                <w:sz w:val="32"/>
                <w:szCs w:val="32"/>
                <w:u w:val="none"/>
                <w:lang w:val="en-US" w:eastAsia="zh-CN" w:bidi="ar"/>
              </w:rPr>
              <w:t>江永县上江圩镇中心幼儿园基础数据表</w:t>
            </w:r>
          </w:p>
        </w:tc>
      </w:tr>
      <w:tr w14:paraId="1FFFC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6BD1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财政供养人员情况</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F328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编制数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3A64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2024年实际在职人数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C88C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控制率</w:t>
            </w:r>
          </w:p>
        </w:tc>
      </w:tr>
      <w:tr w14:paraId="65CEA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139B5">
            <w:pPr>
              <w:jc w:val="center"/>
              <w:rPr>
                <w:rFonts w:hint="eastAsia" w:ascii="宋体" w:hAnsi="宋体" w:eastAsia="宋体" w:cs="宋体"/>
                <w:b/>
                <w:bCs/>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525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C47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C96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r>
      <w:tr w14:paraId="5AA91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BBC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经费控制情况(万元)</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8322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2023年决算数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469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2024年预算数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E7B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2024年决算数</w:t>
            </w:r>
          </w:p>
        </w:tc>
      </w:tr>
      <w:tr w14:paraId="54C9D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450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三公经费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7D0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EB2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7BC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0.25</w:t>
            </w:r>
          </w:p>
        </w:tc>
      </w:tr>
      <w:tr w14:paraId="18522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52E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1、公务用车购置和维护经费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F95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884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D96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2CFA6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51B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其中：公车购置</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25BA6">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F14A2">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A5C18">
            <w:pPr>
              <w:jc w:val="center"/>
              <w:rPr>
                <w:rFonts w:hint="eastAsia" w:ascii="宋体" w:hAnsi="宋体" w:eastAsia="宋体" w:cs="宋体"/>
                <w:i w:val="0"/>
                <w:iCs w:val="0"/>
                <w:color w:val="000000"/>
                <w:sz w:val="18"/>
                <w:szCs w:val="18"/>
                <w:u w:val="none"/>
              </w:rPr>
            </w:pPr>
          </w:p>
        </w:tc>
      </w:tr>
      <w:tr w14:paraId="7B5A9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1B5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公车运行维护</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57CBB">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3120C">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8B85B">
            <w:pPr>
              <w:jc w:val="center"/>
              <w:rPr>
                <w:rFonts w:hint="eastAsia" w:ascii="宋体" w:hAnsi="宋体" w:eastAsia="宋体" w:cs="宋体"/>
                <w:i w:val="0"/>
                <w:iCs w:val="0"/>
                <w:color w:val="000000"/>
                <w:sz w:val="18"/>
                <w:szCs w:val="18"/>
                <w:u w:val="none"/>
              </w:rPr>
            </w:pPr>
          </w:p>
        </w:tc>
      </w:tr>
      <w:tr w14:paraId="7FCA2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63E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2、出国经费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EBC1C">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23C73">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6AE5B">
            <w:pPr>
              <w:jc w:val="center"/>
              <w:rPr>
                <w:rFonts w:hint="eastAsia" w:ascii="宋体" w:hAnsi="宋体" w:eastAsia="宋体" w:cs="宋体"/>
                <w:i w:val="0"/>
                <w:iCs w:val="0"/>
                <w:color w:val="000000"/>
                <w:sz w:val="18"/>
                <w:szCs w:val="18"/>
                <w:u w:val="none"/>
              </w:rPr>
            </w:pPr>
          </w:p>
        </w:tc>
      </w:tr>
      <w:tr w14:paraId="2E0B2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8FB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3、公务接待</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C462E">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907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E89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0.25</w:t>
            </w:r>
          </w:p>
        </w:tc>
      </w:tr>
      <w:tr w14:paraId="57937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4C5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项目支出：</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6C1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B05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0E0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093AF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619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1、业务工作经费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A238E">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5261D">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5D6BC">
            <w:pPr>
              <w:jc w:val="center"/>
              <w:rPr>
                <w:rFonts w:hint="eastAsia" w:ascii="宋体" w:hAnsi="宋体" w:eastAsia="宋体" w:cs="宋体"/>
                <w:i w:val="0"/>
                <w:iCs w:val="0"/>
                <w:color w:val="000000"/>
                <w:sz w:val="18"/>
                <w:szCs w:val="18"/>
                <w:u w:val="none"/>
              </w:rPr>
            </w:pPr>
          </w:p>
        </w:tc>
      </w:tr>
      <w:tr w14:paraId="42FB4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91C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2、运行维护经费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8F901">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78CBE">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5481F">
            <w:pPr>
              <w:jc w:val="center"/>
              <w:rPr>
                <w:rFonts w:hint="eastAsia" w:ascii="宋体" w:hAnsi="宋体" w:eastAsia="宋体" w:cs="宋体"/>
                <w:i w:val="0"/>
                <w:iCs w:val="0"/>
                <w:color w:val="000000"/>
                <w:sz w:val="18"/>
                <w:szCs w:val="18"/>
                <w:u w:val="none"/>
              </w:rPr>
            </w:pPr>
          </w:p>
        </w:tc>
      </w:tr>
      <w:tr w14:paraId="3860C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196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3、本级专项资金（一个专项一行）</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99C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713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8D7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713FC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44C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公用经费：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6C03D">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55879">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ED730">
            <w:pPr>
              <w:jc w:val="center"/>
              <w:rPr>
                <w:rFonts w:hint="eastAsia" w:ascii="宋体" w:hAnsi="宋体" w:eastAsia="宋体" w:cs="宋体"/>
                <w:i w:val="0"/>
                <w:iCs w:val="0"/>
                <w:color w:val="000000"/>
                <w:sz w:val="18"/>
                <w:szCs w:val="18"/>
                <w:u w:val="none"/>
              </w:rPr>
            </w:pPr>
          </w:p>
        </w:tc>
      </w:tr>
      <w:tr w14:paraId="35E61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2A1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其中：办公经费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5F95C">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E0DEC">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00648">
            <w:pPr>
              <w:jc w:val="center"/>
              <w:rPr>
                <w:rFonts w:hint="eastAsia" w:ascii="宋体" w:hAnsi="宋体" w:eastAsia="宋体" w:cs="宋体"/>
                <w:i w:val="0"/>
                <w:iCs w:val="0"/>
                <w:color w:val="000000"/>
                <w:sz w:val="18"/>
                <w:szCs w:val="18"/>
                <w:u w:val="none"/>
              </w:rPr>
            </w:pPr>
          </w:p>
        </w:tc>
      </w:tr>
      <w:tr w14:paraId="17B56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88F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水费、电费、差旅费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94003">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919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3.3</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B56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1.01494</w:t>
            </w:r>
          </w:p>
        </w:tc>
      </w:tr>
      <w:tr w14:paraId="69867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0B5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会议费、培训费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5AD3E">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0C5DF">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4C326">
            <w:pPr>
              <w:jc w:val="center"/>
              <w:rPr>
                <w:rFonts w:hint="eastAsia" w:ascii="宋体" w:hAnsi="宋体" w:eastAsia="宋体" w:cs="宋体"/>
                <w:i w:val="0"/>
                <w:iCs w:val="0"/>
                <w:color w:val="000000"/>
                <w:sz w:val="18"/>
                <w:szCs w:val="18"/>
                <w:u w:val="none"/>
              </w:rPr>
            </w:pPr>
          </w:p>
        </w:tc>
      </w:tr>
      <w:tr w14:paraId="41C36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25E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政府采购金额</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18FC2">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13CCA">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EC1CB">
            <w:pPr>
              <w:jc w:val="center"/>
              <w:rPr>
                <w:rFonts w:hint="eastAsia" w:ascii="宋体" w:hAnsi="宋体" w:eastAsia="宋体" w:cs="宋体"/>
                <w:i w:val="0"/>
                <w:iCs w:val="0"/>
                <w:color w:val="000000"/>
                <w:sz w:val="18"/>
                <w:szCs w:val="18"/>
                <w:u w:val="none"/>
              </w:rPr>
            </w:pPr>
          </w:p>
        </w:tc>
      </w:tr>
      <w:tr w14:paraId="2BD40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C68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部门基本支出预算调整 </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7B70D">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8D28B">
            <w:pPr>
              <w:jc w:val="center"/>
              <w:rPr>
                <w:rFonts w:hint="eastAsia" w:ascii="宋体" w:hAnsi="宋体" w:eastAsia="宋体" w:cs="宋体"/>
                <w:i w:val="0"/>
                <w:iCs w:val="0"/>
                <w:color w:val="000000"/>
                <w:sz w:val="18"/>
                <w:szCs w:val="18"/>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AD74E">
            <w:pPr>
              <w:jc w:val="center"/>
              <w:rPr>
                <w:rFonts w:hint="eastAsia" w:ascii="宋体" w:hAnsi="宋体" w:eastAsia="宋体" w:cs="宋体"/>
                <w:i w:val="0"/>
                <w:iCs w:val="0"/>
                <w:color w:val="000000"/>
                <w:sz w:val="18"/>
                <w:szCs w:val="18"/>
                <w:u w:val="none"/>
              </w:rPr>
            </w:pPr>
          </w:p>
        </w:tc>
      </w:tr>
      <w:tr w14:paraId="11C56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BC0E8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楼堂馆所控制情况 </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（2024年完工项目）</w:t>
            </w: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F8C5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批复规模 </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858D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实际规模</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3C3C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规模控制率</w:t>
            </w:r>
          </w:p>
        </w:tc>
        <w:tc>
          <w:tcPr>
            <w:tcW w:w="9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80D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预算投资</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2C3A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实际投资</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69B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投资概算控制率</w:t>
            </w:r>
          </w:p>
        </w:tc>
      </w:tr>
      <w:tr w14:paraId="02AAC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21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06EA5">
            <w:pPr>
              <w:jc w:val="center"/>
              <w:rPr>
                <w:rFonts w:hint="eastAsia" w:ascii="宋体" w:hAnsi="宋体" w:eastAsia="宋体" w:cs="宋体"/>
                <w:b/>
                <w:bCs/>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3E2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829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809E1">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4C3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284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A2461">
            <w:pPr>
              <w:jc w:val="center"/>
              <w:rPr>
                <w:rFonts w:hint="eastAsia" w:ascii="宋体" w:hAnsi="宋体" w:eastAsia="宋体" w:cs="宋体"/>
                <w:i w:val="0"/>
                <w:iCs w:val="0"/>
                <w:color w:val="000000"/>
                <w:sz w:val="18"/>
                <w:szCs w:val="18"/>
                <w:u w:val="none"/>
              </w:rPr>
            </w:pPr>
          </w:p>
        </w:tc>
      </w:tr>
      <w:tr w14:paraId="2B78C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2D6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厉行节约保障措施</w:t>
            </w:r>
          </w:p>
        </w:tc>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B58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完善规则制度，加强内部控制。</w:t>
            </w:r>
          </w:p>
        </w:tc>
      </w:tr>
    </w:tbl>
    <w:p w14:paraId="76BE7E7D">
      <w:pPr>
        <w:rPr>
          <w:rFonts w:hint="eastAsia" w:eastAsia="仿宋_GB2312"/>
          <w:kern w:val="0"/>
          <w:sz w:val="22"/>
          <w:lang w:eastAsia="zh-CN"/>
        </w:rPr>
        <w:sectPr>
          <w:pgSz w:w="11906" w:h="16838"/>
          <w:pgMar w:top="1440" w:right="1800" w:bottom="1440" w:left="1800" w:header="851" w:footer="992" w:gutter="0"/>
          <w:cols w:space="425" w:num="1"/>
          <w:docGrid w:type="lines" w:linePitch="312" w:charSpace="0"/>
        </w:sectPr>
      </w:pPr>
    </w:p>
    <w:tbl>
      <w:tblPr>
        <w:tblStyle w:val="4"/>
        <w:tblW w:w="10590" w:type="dxa"/>
        <w:tblInd w:w="-104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9"/>
        <w:gridCol w:w="818"/>
        <w:gridCol w:w="1123"/>
        <w:gridCol w:w="1146"/>
        <w:gridCol w:w="1156"/>
        <w:gridCol w:w="2565"/>
        <w:gridCol w:w="611"/>
        <w:gridCol w:w="472"/>
        <w:gridCol w:w="659"/>
        <w:gridCol w:w="771"/>
        <w:gridCol w:w="600"/>
      </w:tblGrid>
      <w:tr w14:paraId="27CB7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0590" w:type="dxa"/>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82875">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江永县上江圩镇中心幼儿园自评表</w:t>
            </w:r>
          </w:p>
        </w:tc>
      </w:tr>
      <w:tr w14:paraId="7D4D9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AEF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预算部门名称</w:t>
            </w:r>
          </w:p>
        </w:tc>
        <w:tc>
          <w:tcPr>
            <w:tcW w:w="9103"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FBB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江永县上江圩镇中心幼儿园</w:t>
            </w:r>
          </w:p>
        </w:tc>
      </w:tr>
      <w:tr w14:paraId="4C131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4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983496">
            <w:pPr>
              <w:keepNext w:val="0"/>
              <w:keepLines w:val="0"/>
              <w:widowControl/>
              <w:suppressLineNumbers w:val="0"/>
              <w:jc w:val="center"/>
              <w:textAlignment w:val="center"/>
              <w:rPr>
                <w:rFonts w:ascii="Microsoft YaHei UI" w:hAnsi="Microsoft YaHei UI" w:eastAsia="Microsoft YaHei UI" w:cs="Microsoft YaHei UI"/>
                <w:i w:val="0"/>
                <w:iCs w:val="0"/>
                <w:color w:val="000000"/>
                <w:sz w:val="18"/>
                <w:szCs w:val="18"/>
                <w:u w:val="none"/>
              </w:rPr>
            </w:pPr>
            <w:r>
              <w:rPr>
                <w:rFonts w:hint="eastAsia" w:ascii="Microsoft YaHei UI" w:hAnsi="Microsoft YaHei UI" w:eastAsia="Microsoft YaHei UI" w:cs="Microsoft YaHei UI"/>
                <w:i w:val="0"/>
                <w:iCs w:val="0"/>
                <w:color w:val="000000"/>
                <w:kern w:val="0"/>
                <w:sz w:val="18"/>
                <w:szCs w:val="18"/>
                <w:u w:val="none"/>
                <w:lang w:val="en-US" w:eastAsia="zh-CN" w:bidi="ar"/>
              </w:rPr>
              <w:t>年度预算申请</w:t>
            </w:r>
            <w:r>
              <w:rPr>
                <w:rFonts w:hint="eastAsia" w:ascii="Microsoft YaHei UI" w:hAnsi="Microsoft YaHei UI" w:eastAsia="Microsoft YaHei UI" w:cs="Microsoft YaHei UI"/>
                <w:i w:val="0"/>
                <w:iCs w:val="0"/>
                <w:color w:val="000000"/>
                <w:kern w:val="0"/>
                <w:sz w:val="18"/>
                <w:szCs w:val="18"/>
                <w:u w:val="none"/>
                <w:lang w:val="en-US" w:eastAsia="zh-CN" w:bidi="ar"/>
              </w:rPr>
              <w:br w:type="textWrapping"/>
            </w:r>
            <w:r>
              <w:rPr>
                <w:rFonts w:hint="eastAsia" w:ascii="Microsoft YaHei UI" w:hAnsi="Microsoft YaHei UI" w:eastAsia="Microsoft YaHei UI" w:cs="Microsoft YaHei UI"/>
                <w:i w:val="0"/>
                <w:iCs w:val="0"/>
                <w:color w:val="000000"/>
                <w:kern w:val="0"/>
                <w:sz w:val="18"/>
                <w:szCs w:val="18"/>
                <w:u w:val="none"/>
                <w:lang w:val="en-US" w:eastAsia="zh-CN" w:bidi="ar"/>
              </w:rPr>
              <w:t>(万元)</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8D7AF">
            <w:pPr>
              <w:jc w:val="center"/>
              <w:rPr>
                <w:rFonts w:hint="eastAsia" w:ascii="宋体" w:hAnsi="宋体" w:eastAsia="宋体" w:cs="宋体"/>
                <w:i w:val="0"/>
                <w:iCs w:val="0"/>
                <w:color w:val="000000"/>
                <w:sz w:val="18"/>
                <w:szCs w:val="18"/>
                <w:u w:val="none"/>
              </w:rPr>
            </w:pP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48392">
            <w:pPr>
              <w:keepNext w:val="0"/>
              <w:keepLines w:val="0"/>
              <w:widowControl/>
              <w:suppressLineNumbers w:val="0"/>
              <w:jc w:val="center"/>
              <w:textAlignment w:val="center"/>
              <w:rPr>
                <w:rFonts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年初预算数</w:t>
            </w:r>
            <w:r>
              <w:rPr>
                <w:rFonts w:hint="eastAsia" w:ascii="仿宋_GB2312" w:hAnsi="宋体" w:eastAsia="仿宋_GB2312" w:cs="仿宋_GB2312"/>
                <w:b/>
                <w:bCs/>
                <w:i w:val="0"/>
                <w:iCs w:val="0"/>
                <w:color w:val="000000"/>
                <w:kern w:val="0"/>
                <w:sz w:val="18"/>
                <w:szCs w:val="18"/>
                <w:u w:val="none"/>
                <w:lang w:val="en-US" w:eastAsia="zh-CN" w:bidi="ar"/>
              </w:rPr>
              <w:br w:type="textWrapping"/>
            </w:r>
            <w:r>
              <w:rPr>
                <w:rFonts w:hint="eastAsia" w:ascii="仿宋_GB2312" w:hAnsi="宋体" w:eastAsia="仿宋_GB2312" w:cs="仿宋_GB2312"/>
                <w:b/>
                <w:bCs/>
                <w:i w:val="0"/>
                <w:iCs w:val="0"/>
                <w:color w:val="000000"/>
                <w:kern w:val="0"/>
                <w:sz w:val="18"/>
                <w:szCs w:val="18"/>
                <w:u w:val="none"/>
                <w:lang w:val="en-US" w:eastAsia="zh-CN" w:bidi="ar"/>
              </w:rPr>
              <w:t>(万元)</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3B5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364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E3B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7BBE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C915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0E0FC">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得分</w:t>
            </w:r>
          </w:p>
        </w:tc>
      </w:tr>
      <w:tr w14:paraId="05EBC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14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06E23">
            <w:pPr>
              <w:jc w:val="center"/>
              <w:rPr>
                <w:rFonts w:hint="eastAsia" w:ascii="Microsoft YaHei UI" w:hAnsi="Microsoft YaHei UI" w:eastAsia="Microsoft YaHei UI" w:cs="Microsoft YaHei UI"/>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8EB1F">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年度资金总额：</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C8A9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287.50</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D886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376.91</w:t>
            </w:r>
          </w:p>
        </w:tc>
        <w:tc>
          <w:tcPr>
            <w:tcW w:w="36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82FBD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eastAsia="宋体" w:cs="Times New Roman"/>
                <w:i w:val="0"/>
                <w:iCs w:val="0"/>
                <w:color w:val="000000"/>
                <w:kern w:val="0"/>
                <w:sz w:val="18"/>
                <w:szCs w:val="18"/>
                <w:u w:val="none"/>
                <w:lang w:val="en-US" w:eastAsia="zh-CN" w:bidi="ar"/>
              </w:rPr>
              <w:t>201.</w:t>
            </w:r>
            <w:r>
              <w:rPr>
                <w:rFonts w:hint="eastAsia" w:ascii="Times New Roman" w:hAnsi="Times New Roman" w:eastAsia="宋体" w:cs="Times New Roman"/>
                <w:i w:val="0"/>
                <w:iCs w:val="0"/>
                <w:color w:val="000000"/>
                <w:kern w:val="0"/>
                <w:sz w:val="18"/>
                <w:szCs w:val="18"/>
                <w:u w:val="none"/>
                <w:lang w:val="en-US" w:eastAsia="zh-CN" w:bidi="ar"/>
              </w:rPr>
              <w:t>10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EDE4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7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EF26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53.</w:t>
            </w:r>
            <w:r>
              <w:rPr>
                <w:rFonts w:hint="eastAsia" w:ascii="Times New Roman" w:hAnsi="Times New Roman" w:eastAsia="宋体" w:cs="Times New Roman"/>
                <w:i w:val="0"/>
                <w:iCs w:val="0"/>
                <w:color w:val="000000"/>
                <w:kern w:val="0"/>
                <w:sz w:val="18"/>
                <w:szCs w:val="18"/>
                <w:u w:val="none"/>
                <w:lang w:val="en-US" w:eastAsia="zh-CN" w:bidi="ar"/>
              </w:rPr>
              <w:t>35</w:t>
            </w:r>
            <w:r>
              <w:rPr>
                <w:rFonts w:hint="default" w:ascii="Times New Roman" w:hAnsi="Times New Roman" w:eastAsia="宋体" w:cs="Times New Roman"/>
                <w:i w:val="0"/>
                <w:iCs w:val="0"/>
                <w:color w:val="000000"/>
                <w:kern w:val="0"/>
                <w:sz w:val="18"/>
                <w:szCs w:val="18"/>
                <w:u w:val="none"/>
                <w:lang w:val="en-US" w:eastAsia="zh-CN" w:bidi="ar"/>
              </w:rPr>
              <w:t>%</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3567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lang w:val="en-US"/>
              </w:rPr>
            </w:pPr>
            <w:r>
              <w:rPr>
                <w:rFonts w:hint="default" w:ascii="Times New Roman" w:hAnsi="Times New Roman" w:eastAsia="宋体" w:cs="Times New Roman"/>
                <w:i w:val="0"/>
                <w:iCs w:val="0"/>
                <w:color w:val="000000"/>
                <w:kern w:val="0"/>
                <w:sz w:val="18"/>
                <w:szCs w:val="18"/>
                <w:u w:val="none"/>
                <w:lang w:val="en-US" w:eastAsia="zh-CN" w:bidi="ar"/>
              </w:rPr>
              <w:t>5.</w:t>
            </w:r>
            <w:r>
              <w:rPr>
                <w:rFonts w:hint="eastAsia" w:ascii="Times New Roman" w:hAnsi="Times New Roman" w:eastAsia="宋体" w:cs="Times New Roman"/>
                <w:i w:val="0"/>
                <w:iCs w:val="0"/>
                <w:color w:val="000000"/>
                <w:kern w:val="0"/>
                <w:sz w:val="18"/>
                <w:szCs w:val="18"/>
                <w:u w:val="none"/>
                <w:lang w:val="en-US" w:eastAsia="zh-CN" w:bidi="ar"/>
              </w:rPr>
              <w:t>34</w:t>
            </w:r>
          </w:p>
        </w:tc>
      </w:tr>
      <w:tr w14:paraId="65E6D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4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FCA68">
            <w:pPr>
              <w:jc w:val="center"/>
              <w:rPr>
                <w:rFonts w:hint="eastAsia" w:ascii="Microsoft YaHei UI" w:hAnsi="Microsoft YaHei UI" w:eastAsia="Microsoft YaHei UI" w:cs="Microsoft YaHei UI"/>
                <w:i w:val="0"/>
                <w:iCs w:val="0"/>
                <w:color w:val="000000"/>
                <w:sz w:val="18"/>
                <w:szCs w:val="18"/>
                <w:u w:val="none"/>
              </w:rPr>
            </w:pPr>
          </w:p>
        </w:tc>
        <w:tc>
          <w:tcPr>
            <w:tcW w:w="707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E34238C">
            <w:pPr>
              <w:keepNext w:val="0"/>
              <w:keepLines w:val="0"/>
              <w:widowControl/>
              <w:suppressLineNumbers w:val="0"/>
              <w:jc w:val="left"/>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按收入性质分：</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CE926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按支出性质分：</w:t>
            </w:r>
          </w:p>
        </w:tc>
      </w:tr>
      <w:tr w14:paraId="0D51A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4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A91E2C">
            <w:pPr>
              <w:jc w:val="center"/>
              <w:rPr>
                <w:rFonts w:hint="eastAsia" w:ascii="Microsoft YaHei UI" w:hAnsi="Microsoft YaHei UI" w:eastAsia="Microsoft YaHei UI" w:cs="Microsoft YaHei UI"/>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6CFED">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一般公共预算：</w:t>
            </w:r>
          </w:p>
        </w:tc>
        <w:tc>
          <w:tcPr>
            <w:tcW w:w="59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BBCAB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367.19</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504ED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其中:基本支出：</w:t>
            </w:r>
          </w:p>
        </w:tc>
        <w:tc>
          <w:tcPr>
            <w:tcW w:w="137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7C1E8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lang w:val="en-US" w:eastAsia="zh-CN"/>
              </w:rPr>
            </w:pPr>
            <w:r>
              <w:rPr>
                <w:rFonts w:hint="eastAsia" w:ascii="Times New Roman" w:hAnsi="Times New Roman" w:eastAsia="宋体" w:cs="Times New Roman"/>
                <w:i w:val="0"/>
                <w:iCs w:val="0"/>
                <w:color w:val="000000"/>
                <w:sz w:val="18"/>
                <w:szCs w:val="18"/>
                <w:u w:val="none"/>
                <w:lang w:val="en-US" w:eastAsia="zh-CN"/>
              </w:rPr>
              <w:t>201.10</w:t>
            </w:r>
          </w:p>
        </w:tc>
      </w:tr>
      <w:tr w14:paraId="122FF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4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43532">
            <w:pPr>
              <w:jc w:val="center"/>
              <w:rPr>
                <w:rFonts w:hint="eastAsia" w:ascii="Microsoft YaHei UI" w:hAnsi="Microsoft YaHei UI" w:eastAsia="Microsoft YaHei UI" w:cs="Microsoft YaHei UI"/>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97EBC">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政府性基金拨款：</w:t>
            </w:r>
          </w:p>
        </w:tc>
        <w:tc>
          <w:tcPr>
            <w:tcW w:w="59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278E9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F1E50">
            <w:pPr>
              <w:jc w:val="center"/>
              <w:rPr>
                <w:rFonts w:hint="eastAsia" w:ascii="宋体" w:hAnsi="宋体" w:eastAsia="宋体" w:cs="宋体"/>
                <w:b/>
                <w:bCs/>
                <w:i w:val="0"/>
                <w:iCs w:val="0"/>
                <w:color w:val="000000"/>
                <w:sz w:val="18"/>
                <w:szCs w:val="18"/>
                <w:u w:val="none"/>
              </w:rPr>
            </w:pPr>
          </w:p>
        </w:tc>
        <w:tc>
          <w:tcPr>
            <w:tcW w:w="13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491AF4">
            <w:pPr>
              <w:jc w:val="center"/>
              <w:rPr>
                <w:rFonts w:hint="default" w:ascii="Times New Roman" w:hAnsi="Times New Roman" w:eastAsia="宋体" w:cs="Times New Roman"/>
                <w:i w:val="0"/>
                <w:iCs w:val="0"/>
                <w:color w:val="000000"/>
                <w:sz w:val="18"/>
                <w:szCs w:val="18"/>
                <w:u w:val="none"/>
              </w:rPr>
            </w:pPr>
          </w:p>
        </w:tc>
      </w:tr>
      <w:tr w14:paraId="52AF3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2" w:hRule="atLeast"/>
        </w:trPr>
        <w:tc>
          <w:tcPr>
            <w:tcW w:w="14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176B0">
            <w:pPr>
              <w:jc w:val="center"/>
              <w:rPr>
                <w:rFonts w:hint="eastAsia" w:ascii="Microsoft YaHei UI" w:hAnsi="Microsoft YaHei UI" w:eastAsia="Microsoft YaHei UI" w:cs="Microsoft YaHei UI"/>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8C6C4">
            <w:pPr>
              <w:keepNext w:val="0"/>
              <w:keepLines w:val="0"/>
              <w:widowControl/>
              <w:suppressLineNumbers w:val="0"/>
              <w:jc w:val="center"/>
              <w:textAlignment w:val="center"/>
              <w:rPr>
                <w:rFonts w:hint="eastAsia" w:ascii="仿宋_GB2312" w:hAnsi="宋体" w:eastAsia="仿宋_GB2312" w:cs="仿宋_GB2312"/>
                <w:b/>
                <w:bCs/>
                <w:i w:val="0"/>
                <w:iCs w:val="0"/>
                <w:color w:val="000000"/>
                <w:sz w:val="16"/>
                <w:szCs w:val="16"/>
                <w:u w:val="none"/>
              </w:rPr>
            </w:pPr>
            <w:r>
              <w:rPr>
                <w:rFonts w:hint="eastAsia" w:ascii="仿宋_GB2312" w:hAnsi="宋体" w:eastAsia="仿宋_GB2312" w:cs="仿宋_GB2312"/>
                <w:b/>
                <w:bCs/>
                <w:i w:val="0"/>
                <w:iCs w:val="0"/>
                <w:color w:val="000000"/>
                <w:kern w:val="0"/>
                <w:sz w:val="16"/>
                <w:szCs w:val="16"/>
                <w:u w:val="none"/>
                <w:lang w:val="en-US" w:eastAsia="zh-CN" w:bidi="ar"/>
              </w:rPr>
              <w:t>纳入专户管理的非税收入拨款：</w:t>
            </w:r>
          </w:p>
        </w:tc>
        <w:tc>
          <w:tcPr>
            <w:tcW w:w="59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BB0EC7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9.71</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A55C1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项目支出：</w:t>
            </w:r>
          </w:p>
        </w:tc>
        <w:tc>
          <w:tcPr>
            <w:tcW w:w="1371"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16DE8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eastAsia" w:ascii="Times New Roman" w:hAnsi="Times New Roman" w:eastAsia="宋体" w:cs="Times New Roman"/>
                <w:i w:val="0"/>
                <w:iCs w:val="0"/>
                <w:color w:val="000000"/>
                <w:kern w:val="0"/>
                <w:sz w:val="18"/>
                <w:szCs w:val="18"/>
                <w:u w:val="none"/>
                <w:lang w:val="en-US" w:eastAsia="zh-CN" w:bidi="ar"/>
              </w:rPr>
              <w:t>0</w:t>
            </w:r>
          </w:p>
        </w:tc>
      </w:tr>
      <w:tr w14:paraId="3E0D1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14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38FA9">
            <w:pPr>
              <w:jc w:val="center"/>
              <w:rPr>
                <w:rFonts w:hint="eastAsia" w:ascii="Microsoft YaHei UI" w:hAnsi="Microsoft YaHei UI" w:eastAsia="Microsoft YaHei UI" w:cs="Microsoft YaHei UI"/>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815E9">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其他资金</w:t>
            </w:r>
          </w:p>
        </w:tc>
        <w:tc>
          <w:tcPr>
            <w:tcW w:w="59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613070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w:t>
            </w: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6FB7C2">
            <w:pPr>
              <w:jc w:val="center"/>
              <w:rPr>
                <w:rFonts w:hint="eastAsia" w:ascii="宋体" w:hAnsi="宋体" w:eastAsia="宋体" w:cs="宋体"/>
                <w:b/>
                <w:bCs/>
                <w:i w:val="0"/>
                <w:iCs w:val="0"/>
                <w:color w:val="000000"/>
                <w:sz w:val="18"/>
                <w:szCs w:val="18"/>
                <w:u w:val="none"/>
              </w:rPr>
            </w:pPr>
          </w:p>
        </w:tc>
        <w:tc>
          <w:tcPr>
            <w:tcW w:w="1371"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CC001">
            <w:pPr>
              <w:jc w:val="center"/>
              <w:rPr>
                <w:rFonts w:hint="default" w:ascii="Times New Roman" w:hAnsi="Times New Roman" w:eastAsia="宋体" w:cs="Times New Roman"/>
                <w:i w:val="0"/>
                <w:iCs w:val="0"/>
                <w:color w:val="000000"/>
                <w:sz w:val="18"/>
                <w:szCs w:val="18"/>
                <w:u w:val="none"/>
              </w:rPr>
            </w:pPr>
          </w:p>
        </w:tc>
      </w:tr>
      <w:tr w14:paraId="4FBD0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48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123C92">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年度总体目标</w:t>
            </w:r>
          </w:p>
        </w:tc>
        <w:tc>
          <w:tcPr>
            <w:tcW w:w="707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D9BB5D1">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预期目标</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B5FAF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4BBF0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48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02A73">
            <w:pPr>
              <w:jc w:val="center"/>
              <w:rPr>
                <w:rFonts w:hint="eastAsia" w:ascii="仿宋_GB2312" w:hAnsi="宋体" w:eastAsia="仿宋_GB2312" w:cs="仿宋_GB2312"/>
                <w:b/>
                <w:bCs/>
                <w:i w:val="0"/>
                <w:iCs w:val="0"/>
                <w:color w:val="000000"/>
                <w:sz w:val="18"/>
                <w:szCs w:val="18"/>
                <w:u w:val="none"/>
              </w:rPr>
            </w:pPr>
          </w:p>
        </w:tc>
        <w:tc>
          <w:tcPr>
            <w:tcW w:w="707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B475678">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贯彻执行国家教育方针政策，促进幼儿教育事业的发展，保障人员经费，提高教师队伍幸福感，管好用好预算内的资金。</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2080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全面完成</w:t>
            </w:r>
          </w:p>
        </w:tc>
      </w:tr>
      <w:tr w14:paraId="79F86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9" w:hRule="atLeast"/>
        </w:trPr>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A5AEFD">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绩效指标</w:t>
            </w:r>
          </w:p>
        </w:tc>
        <w:tc>
          <w:tcPr>
            <w:tcW w:w="8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721301">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一级指标</w:t>
            </w:r>
          </w:p>
        </w:tc>
        <w:tc>
          <w:tcPr>
            <w:tcW w:w="11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288830">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三级指标</w:t>
            </w:r>
          </w:p>
        </w:tc>
        <w:tc>
          <w:tcPr>
            <w:tcW w:w="11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2C58C5">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年度指标值</w:t>
            </w:r>
          </w:p>
        </w:tc>
        <w:tc>
          <w:tcPr>
            <w:tcW w:w="11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F18C7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实际完成值</w:t>
            </w:r>
          </w:p>
        </w:tc>
        <w:tc>
          <w:tcPr>
            <w:tcW w:w="25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4C92F4">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评扣分标准</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8916DB">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分值</w:t>
            </w:r>
          </w:p>
        </w:tc>
        <w:tc>
          <w:tcPr>
            <w:tcW w:w="4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73B783">
            <w:pPr>
              <w:keepNext w:val="0"/>
              <w:keepLines w:val="0"/>
              <w:widowControl/>
              <w:suppressLineNumbers w:val="0"/>
              <w:jc w:val="center"/>
              <w:textAlignment w:val="center"/>
              <w:rPr>
                <w:rFonts w:hint="eastAsia" w:ascii="仿宋_GB2312" w:hAnsi="宋体" w:eastAsia="仿宋_GB2312" w:cs="仿宋_GB2312"/>
                <w:b/>
                <w:bCs/>
                <w:i w:val="0"/>
                <w:iCs w:val="0"/>
                <w:color w:val="000000"/>
                <w:sz w:val="18"/>
                <w:szCs w:val="18"/>
                <w:u w:val="none"/>
              </w:rPr>
            </w:pPr>
            <w:r>
              <w:rPr>
                <w:rFonts w:hint="eastAsia" w:ascii="仿宋_GB2312" w:hAnsi="宋体" w:eastAsia="仿宋_GB2312" w:cs="仿宋_GB2312"/>
                <w:b/>
                <w:bCs/>
                <w:i w:val="0"/>
                <w:iCs w:val="0"/>
                <w:color w:val="000000"/>
                <w:kern w:val="0"/>
                <w:sz w:val="18"/>
                <w:szCs w:val="18"/>
                <w:u w:val="none"/>
                <w:lang w:val="en-US" w:eastAsia="zh-CN" w:bidi="ar"/>
              </w:rPr>
              <w:t>得分</w:t>
            </w:r>
          </w:p>
        </w:tc>
        <w:tc>
          <w:tcPr>
            <w:tcW w:w="203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267A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偏差原因分析及改进措施</w:t>
            </w:r>
          </w:p>
        </w:tc>
      </w:tr>
      <w:tr w14:paraId="03F40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81262">
            <w:pPr>
              <w:jc w:val="center"/>
              <w:rPr>
                <w:rFonts w:hint="eastAsia" w:ascii="仿宋_GB2312" w:hAnsi="宋体" w:eastAsia="仿宋_GB2312" w:cs="仿宋_GB2312"/>
                <w:b/>
                <w:bCs/>
                <w:i w:val="0"/>
                <w:iCs w:val="0"/>
                <w:color w:val="000000"/>
                <w:sz w:val="18"/>
                <w:szCs w:val="18"/>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28BB8">
            <w:pPr>
              <w:jc w:val="center"/>
              <w:rPr>
                <w:rFonts w:hint="eastAsia" w:ascii="仿宋_GB2312" w:hAnsi="宋体" w:eastAsia="仿宋_GB2312" w:cs="仿宋_GB2312"/>
                <w:b/>
                <w:bCs/>
                <w:i w:val="0"/>
                <w:iCs w:val="0"/>
                <w:color w:val="000000"/>
                <w:sz w:val="18"/>
                <w:szCs w:val="18"/>
                <w:u w:val="none"/>
              </w:rPr>
            </w:pPr>
          </w:p>
        </w:tc>
        <w:tc>
          <w:tcPr>
            <w:tcW w:w="11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CB5AA">
            <w:pPr>
              <w:jc w:val="center"/>
              <w:rPr>
                <w:rFonts w:hint="eastAsia" w:ascii="仿宋_GB2312" w:hAnsi="宋体" w:eastAsia="仿宋_GB2312" w:cs="仿宋_GB2312"/>
                <w:b/>
                <w:bCs/>
                <w:i w:val="0"/>
                <w:iCs w:val="0"/>
                <w:color w:val="000000"/>
                <w:sz w:val="18"/>
                <w:szCs w:val="18"/>
                <w:u w:val="none"/>
              </w:rPr>
            </w:pPr>
          </w:p>
        </w:tc>
        <w:tc>
          <w:tcPr>
            <w:tcW w:w="11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296312">
            <w:pPr>
              <w:jc w:val="center"/>
              <w:rPr>
                <w:rFonts w:hint="eastAsia" w:ascii="仿宋_GB2312" w:hAnsi="宋体" w:eastAsia="仿宋_GB2312" w:cs="仿宋_GB2312"/>
                <w:b/>
                <w:bCs/>
                <w:i w:val="0"/>
                <w:iCs w:val="0"/>
                <w:color w:val="000000"/>
                <w:sz w:val="18"/>
                <w:szCs w:val="18"/>
                <w:u w:val="none"/>
              </w:rPr>
            </w:pPr>
          </w:p>
        </w:tc>
        <w:tc>
          <w:tcPr>
            <w:tcW w:w="11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51A8B">
            <w:pPr>
              <w:jc w:val="center"/>
              <w:rPr>
                <w:rFonts w:hint="eastAsia" w:ascii="宋体" w:hAnsi="宋体" w:eastAsia="宋体" w:cs="宋体"/>
                <w:b/>
                <w:bCs/>
                <w:i w:val="0"/>
                <w:iCs w:val="0"/>
                <w:color w:val="000000"/>
                <w:sz w:val="18"/>
                <w:szCs w:val="18"/>
                <w:u w:val="none"/>
              </w:rPr>
            </w:pPr>
          </w:p>
        </w:tc>
        <w:tc>
          <w:tcPr>
            <w:tcW w:w="25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F86C0">
            <w:pPr>
              <w:jc w:val="center"/>
              <w:rPr>
                <w:rFonts w:hint="eastAsia" w:ascii="仿宋_GB2312" w:hAnsi="宋体" w:eastAsia="仿宋_GB2312" w:cs="仿宋_GB2312"/>
                <w:b/>
                <w:bCs/>
                <w:i w:val="0"/>
                <w:iCs w:val="0"/>
                <w:color w:val="000000"/>
                <w:sz w:val="18"/>
                <w:szCs w:val="18"/>
                <w:u w:val="none"/>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0B655">
            <w:pPr>
              <w:jc w:val="center"/>
              <w:rPr>
                <w:rFonts w:hint="eastAsia" w:ascii="仿宋_GB2312" w:hAnsi="宋体" w:eastAsia="仿宋_GB2312" w:cs="仿宋_GB2312"/>
                <w:b/>
                <w:bCs/>
                <w:i w:val="0"/>
                <w:iCs w:val="0"/>
                <w:color w:val="000000"/>
                <w:sz w:val="18"/>
                <w:szCs w:val="18"/>
                <w:u w:val="none"/>
              </w:rPr>
            </w:pPr>
          </w:p>
        </w:tc>
        <w:tc>
          <w:tcPr>
            <w:tcW w:w="4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4752CC">
            <w:pPr>
              <w:jc w:val="center"/>
              <w:rPr>
                <w:rFonts w:hint="eastAsia" w:ascii="仿宋_GB2312" w:hAnsi="宋体" w:eastAsia="仿宋_GB2312" w:cs="仿宋_GB2312"/>
                <w:b/>
                <w:bCs/>
                <w:i w:val="0"/>
                <w:iCs w:val="0"/>
                <w:color w:val="000000"/>
                <w:sz w:val="18"/>
                <w:szCs w:val="18"/>
                <w:u w:val="none"/>
              </w:rPr>
            </w:pPr>
          </w:p>
        </w:tc>
        <w:tc>
          <w:tcPr>
            <w:tcW w:w="203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44A4C">
            <w:pPr>
              <w:jc w:val="center"/>
              <w:rPr>
                <w:rFonts w:hint="eastAsia" w:ascii="宋体" w:hAnsi="宋体" w:eastAsia="宋体" w:cs="宋体"/>
                <w:b/>
                <w:bCs/>
                <w:i w:val="0"/>
                <w:iCs w:val="0"/>
                <w:color w:val="000000"/>
                <w:sz w:val="16"/>
                <w:szCs w:val="16"/>
                <w:u w:val="none"/>
              </w:rPr>
            </w:pPr>
          </w:p>
        </w:tc>
      </w:tr>
      <w:tr w14:paraId="72E1A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E234C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绩效指标</w:t>
            </w:r>
          </w:p>
        </w:tc>
        <w:tc>
          <w:tcPr>
            <w:tcW w:w="8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C13863">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产出指标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FDB0B">
            <w:pPr>
              <w:keepNext w:val="0"/>
              <w:keepLines w:val="0"/>
              <w:widowControl/>
              <w:suppressLineNumbers w:val="0"/>
              <w:jc w:val="center"/>
              <w:textAlignment w:val="center"/>
              <w:rPr>
                <w:rFonts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教师培训次数</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EE34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lang w:val="en-US" w:eastAsia="zh-CN"/>
              </w:rPr>
            </w:pPr>
            <w:r>
              <w:rPr>
                <w:rFonts w:hint="eastAsia" w:ascii="仿宋_GB2312" w:hAnsi="宋体" w:eastAsia="仿宋_GB2312" w:cs="仿宋_GB2312"/>
                <w:i w:val="0"/>
                <w:iCs w:val="0"/>
                <w:color w:val="000000"/>
                <w:kern w:val="0"/>
                <w:sz w:val="16"/>
                <w:szCs w:val="16"/>
                <w:u w:val="none"/>
                <w:lang w:val="en-US" w:eastAsia="zh-CN" w:bidi="ar"/>
              </w:rPr>
              <w:t>4次</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A6C3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4次</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C467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教师培训4次以上得5分，每减少一次扣0.5分，扣完为止</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EF92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AC28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D5328">
            <w:pPr>
              <w:jc w:val="center"/>
              <w:rPr>
                <w:rFonts w:hint="eastAsia" w:ascii="宋体" w:hAnsi="宋体" w:eastAsia="宋体" w:cs="宋体"/>
                <w:i w:val="0"/>
                <w:iCs w:val="0"/>
                <w:color w:val="000000"/>
                <w:sz w:val="18"/>
                <w:szCs w:val="18"/>
                <w:u w:val="none"/>
              </w:rPr>
            </w:pPr>
          </w:p>
        </w:tc>
      </w:tr>
      <w:tr w14:paraId="76485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2E9CE">
            <w:pPr>
              <w:rPr>
                <w:rFonts w:hint="eastAsia" w:ascii="仿宋_GB2312" w:hAnsi="宋体" w:eastAsia="仿宋_GB2312" w:cs="仿宋_GB2312"/>
                <w:i w:val="0"/>
                <w:iCs w:val="0"/>
                <w:color w:val="000000"/>
                <w:sz w:val="18"/>
                <w:szCs w:val="18"/>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C2E01">
            <w:pPr>
              <w:rPr>
                <w:rFonts w:hint="eastAsia"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C02D7">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教师考核人数</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4549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20人</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BF16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20人</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D343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主要教师培训全员参</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与得5分，每减少1人，扣0.1分，扣完为止。</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0D39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F9906">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77EB1">
            <w:pPr>
              <w:jc w:val="center"/>
              <w:rPr>
                <w:rFonts w:hint="eastAsia" w:ascii="宋体" w:hAnsi="宋体" w:eastAsia="宋体" w:cs="宋体"/>
                <w:i w:val="0"/>
                <w:iCs w:val="0"/>
                <w:color w:val="000000"/>
                <w:sz w:val="18"/>
                <w:szCs w:val="18"/>
                <w:u w:val="none"/>
              </w:rPr>
            </w:pPr>
          </w:p>
        </w:tc>
      </w:tr>
      <w:tr w14:paraId="13E15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1BEA4">
            <w:pPr>
              <w:rPr>
                <w:rFonts w:hint="eastAsia" w:ascii="仿宋_GB2312" w:hAnsi="宋体" w:eastAsia="仿宋_GB2312" w:cs="仿宋_GB2312"/>
                <w:i w:val="0"/>
                <w:iCs w:val="0"/>
                <w:color w:val="000000"/>
                <w:sz w:val="18"/>
                <w:szCs w:val="18"/>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42A2AE">
            <w:pPr>
              <w:rPr>
                <w:rFonts w:hint="eastAsia"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CE252">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学生招生数量</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7D70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196人</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9BC1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196人</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1981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主要考核指标要求达到满分，共计7分，每少1人扣0.1分，扣完为止。</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60D9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7947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7ABB8">
            <w:pPr>
              <w:jc w:val="center"/>
              <w:rPr>
                <w:rFonts w:hint="eastAsia" w:ascii="宋体" w:hAnsi="宋体" w:eastAsia="宋体" w:cs="宋体"/>
                <w:i w:val="0"/>
                <w:iCs w:val="0"/>
                <w:color w:val="000000"/>
                <w:sz w:val="18"/>
                <w:szCs w:val="18"/>
                <w:u w:val="none"/>
              </w:rPr>
            </w:pPr>
          </w:p>
        </w:tc>
      </w:tr>
      <w:tr w14:paraId="0C7E9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84F3A">
            <w:pPr>
              <w:rPr>
                <w:rFonts w:hint="eastAsia" w:ascii="仿宋_GB2312" w:hAnsi="宋体" w:eastAsia="仿宋_GB2312" w:cs="仿宋_GB2312"/>
                <w:i w:val="0"/>
                <w:iCs w:val="0"/>
                <w:color w:val="000000"/>
                <w:sz w:val="18"/>
                <w:szCs w:val="18"/>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A6B32C">
            <w:pPr>
              <w:rPr>
                <w:rFonts w:hint="eastAsia"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334B9">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贫困生资助数量</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6DE1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66人</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7DB4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66人</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418F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主要考贫困生资助数量达标满分，共计5分，每少1人扣0.1分。</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3B720">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976E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B7988">
            <w:pPr>
              <w:jc w:val="center"/>
              <w:rPr>
                <w:rFonts w:hint="eastAsia" w:ascii="宋体" w:hAnsi="宋体" w:eastAsia="宋体" w:cs="宋体"/>
                <w:i w:val="0"/>
                <w:iCs w:val="0"/>
                <w:color w:val="000000"/>
                <w:sz w:val="18"/>
                <w:szCs w:val="18"/>
                <w:u w:val="none"/>
              </w:rPr>
            </w:pPr>
          </w:p>
        </w:tc>
      </w:tr>
      <w:tr w14:paraId="4629F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AB5D8">
            <w:pPr>
              <w:rPr>
                <w:rFonts w:hint="eastAsia" w:ascii="仿宋_GB2312" w:hAnsi="宋体" w:eastAsia="仿宋_GB2312" w:cs="仿宋_GB2312"/>
                <w:i w:val="0"/>
                <w:iCs w:val="0"/>
                <w:color w:val="000000"/>
                <w:sz w:val="18"/>
                <w:szCs w:val="18"/>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E27B3">
            <w:pPr>
              <w:rPr>
                <w:rFonts w:hint="eastAsia"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613AB">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贫困生资助准确率</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214C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100%</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F7EA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100%</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8F20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该指标达到100%满分，共计7分，每降低1%扣0.1分，扣完为止。</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5260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DB64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91A0C">
            <w:pPr>
              <w:jc w:val="center"/>
              <w:rPr>
                <w:rFonts w:hint="eastAsia" w:ascii="宋体" w:hAnsi="宋体" w:eastAsia="宋体" w:cs="宋体"/>
                <w:i w:val="0"/>
                <w:iCs w:val="0"/>
                <w:color w:val="000000"/>
                <w:sz w:val="18"/>
                <w:szCs w:val="18"/>
                <w:u w:val="none"/>
              </w:rPr>
            </w:pPr>
          </w:p>
        </w:tc>
      </w:tr>
      <w:tr w14:paraId="78380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9A889">
            <w:pPr>
              <w:rPr>
                <w:rFonts w:hint="eastAsia" w:ascii="仿宋_GB2312" w:hAnsi="宋体" w:eastAsia="仿宋_GB2312" w:cs="仿宋_GB2312"/>
                <w:i w:val="0"/>
                <w:iCs w:val="0"/>
                <w:color w:val="000000"/>
                <w:sz w:val="18"/>
                <w:szCs w:val="18"/>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034AF">
            <w:pPr>
              <w:rPr>
                <w:rFonts w:hint="eastAsia"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67165">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教师培训完成率</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77AA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100%</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AB54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100%</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4A035">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该指标达到100%满分，共计7分，每降低1%扣0.1分，扣完为止。</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196FF">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48CE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2972C">
            <w:pPr>
              <w:jc w:val="center"/>
              <w:rPr>
                <w:rFonts w:hint="eastAsia" w:ascii="宋体" w:hAnsi="宋体" w:eastAsia="宋体" w:cs="宋体"/>
                <w:i w:val="0"/>
                <w:iCs w:val="0"/>
                <w:color w:val="000000"/>
                <w:sz w:val="18"/>
                <w:szCs w:val="18"/>
                <w:u w:val="none"/>
              </w:rPr>
            </w:pPr>
          </w:p>
        </w:tc>
      </w:tr>
      <w:tr w14:paraId="43242D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4159D2">
            <w:pPr>
              <w:rPr>
                <w:rFonts w:hint="eastAsia" w:ascii="仿宋_GB2312" w:hAnsi="宋体" w:eastAsia="仿宋_GB2312" w:cs="仿宋_GB2312"/>
                <w:i w:val="0"/>
                <w:iCs w:val="0"/>
                <w:color w:val="000000"/>
                <w:sz w:val="18"/>
                <w:szCs w:val="18"/>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B5257">
            <w:pPr>
              <w:rPr>
                <w:rFonts w:hint="eastAsia"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3226A">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食品安全达标率</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1EEA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100%</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CCF0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100%</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B2819">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该指标达到100%满分，共计6分，每降低1%扣0.1分，扣完为止</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DF9A9">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BBC7B">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D3011">
            <w:pPr>
              <w:jc w:val="center"/>
              <w:rPr>
                <w:rFonts w:hint="eastAsia" w:ascii="宋体" w:hAnsi="宋体" w:eastAsia="宋体" w:cs="宋体"/>
                <w:i w:val="0"/>
                <w:iCs w:val="0"/>
                <w:color w:val="000000"/>
                <w:sz w:val="18"/>
                <w:szCs w:val="18"/>
                <w:u w:val="none"/>
              </w:rPr>
            </w:pPr>
          </w:p>
        </w:tc>
      </w:tr>
      <w:tr w14:paraId="3CDE1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68DC6">
            <w:pPr>
              <w:rPr>
                <w:rFonts w:hint="eastAsia" w:ascii="仿宋_GB2312" w:hAnsi="宋体" w:eastAsia="仿宋_GB2312" w:cs="仿宋_GB2312"/>
                <w:i w:val="0"/>
                <w:iCs w:val="0"/>
                <w:color w:val="000000"/>
                <w:sz w:val="18"/>
                <w:szCs w:val="18"/>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4211D">
            <w:pPr>
              <w:rPr>
                <w:rFonts w:hint="eastAsia"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799F5">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完成时间</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C6B6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2024年内完成</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2770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2024年内</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7744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该指标于2024年12月31日前完成得满分，每降低1%扣0.1分，扣完为止。</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228B7">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E2542">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06762">
            <w:pPr>
              <w:jc w:val="center"/>
              <w:rPr>
                <w:rFonts w:hint="eastAsia" w:ascii="宋体" w:hAnsi="宋体" w:eastAsia="宋体" w:cs="宋体"/>
                <w:i w:val="0"/>
                <w:iCs w:val="0"/>
                <w:color w:val="000000"/>
                <w:sz w:val="18"/>
                <w:szCs w:val="18"/>
                <w:u w:val="none"/>
              </w:rPr>
            </w:pPr>
          </w:p>
        </w:tc>
      </w:tr>
      <w:tr w14:paraId="0F74B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2EBBC">
            <w:pPr>
              <w:rPr>
                <w:rFonts w:hint="eastAsia" w:ascii="仿宋_GB2312" w:hAnsi="宋体" w:eastAsia="仿宋_GB2312" w:cs="仿宋_GB2312"/>
                <w:i w:val="0"/>
                <w:iCs w:val="0"/>
                <w:color w:val="000000"/>
                <w:sz w:val="18"/>
                <w:szCs w:val="18"/>
                <w:u w:val="none"/>
              </w:rPr>
            </w:pPr>
          </w:p>
        </w:tc>
        <w:tc>
          <w:tcPr>
            <w:tcW w:w="8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611B86">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效益指标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B5D27">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提高教师生活水平</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E415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提高教师生活水平</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08B1F">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提高教师生活水平</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B083E">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该指标达到满分，共计5分，每降低一个档次扣0.1分，扣完为止。</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9E0C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BE80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B86EC">
            <w:pPr>
              <w:jc w:val="center"/>
              <w:rPr>
                <w:rFonts w:hint="eastAsia" w:ascii="宋体" w:hAnsi="宋体" w:eastAsia="宋体" w:cs="宋体"/>
                <w:i w:val="0"/>
                <w:iCs w:val="0"/>
                <w:color w:val="000000"/>
                <w:sz w:val="18"/>
                <w:szCs w:val="18"/>
                <w:u w:val="none"/>
              </w:rPr>
            </w:pPr>
          </w:p>
        </w:tc>
      </w:tr>
      <w:tr w14:paraId="6C1F0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002F6">
            <w:pPr>
              <w:rPr>
                <w:rFonts w:hint="eastAsia" w:ascii="仿宋_GB2312" w:hAnsi="宋体" w:eastAsia="仿宋_GB2312" w:cs="仿宋_GB2312"/>
                <w:i w:val="0"/>
                <w:iCs w:val="0"/>
                <w:color w:val="000000"/>
                <w:sz w:val="18"/>
                <w:szCs w:val="18"/>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C0CB25">
            <w:pPr>
              <w:rPr>
                <w:rFonts w:hint="eastAsia"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359AD">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使教师与学生拥有良好的学习环境</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DA4F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使教师与学生拥有良好的学习环境</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2E3E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使教师与学生拥有良好的学习环境</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37C26">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该指标达到满分，共计6分，每降低一个档次扣0.1分，扣完为止。</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A89B1">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4737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09BEE">
            <w:pPr>
              <w:jc w:val="center"/>
              <w:rPr>
                <w:rFonts w:hint="eastAsia" w:ascii="宋体" w:hAnsi="宋体" w:eastAsia="宋体" w:cs="宋体"/>
                <w:i w:val="0"/>
                <w:iCs w:val="0"/>
                <w:color w:val="000000"/>
                <w:sz w:val="18"/>
                <w:szCs w:val="18"/>
                <w:u w:val="none"/>
              </w:rPr>
            </w:pPr>
          </w:p>
        </w:tc>
      </w:tr>
      <w:tr w14:paraId="4CA0D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A54CD">
            <w:pPr>
              <w:rPr>
                <w:rFonts w:hint="eastAsia" w:ascii="仿宋_GB2312" w:hAnsi="宋体" w:eastAsia="仿宋_GB2312" w:cs="仿宋_GB2312"/>
                <w:i w:val="0"/>
                <w:iCs w:val="0"/>
                <w:color w:val="000000"/>
                <w:sz w:val="18"/>
                <w:szCs w:val="18"/>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18D98">
            <w:pPr>
              <w:rPr>
                <w:rFonts w:hint="eastAsia"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3B602">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改善校园环境</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B1378">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改善校园环境</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52DA0">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改善</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39CD3">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该指标达到满分，共计6分，每降低一个档次扣0.1分，扣完为止。</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62C2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88DC5">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9F54C">
            <w:pPr>
              <w:jc w:val="center"/>
              <w:rPr>
                <w:rFonts w:hint="eastAsia" w:ascii="宋体" w:hAnsi="宋体" w:eastAsia="宋体" w:cs="宋体"/>
                <w:i w:val="0"/>
                <w:iCs w:val="0"/>
                <w:color w:val="000000"/>
                <w:sz w:val="18"/>
                <w:szCs w:val="18"/>
                <w:u w:val="none"/>
              </w:rPr>
            </w:pPr>
          </w:p>
        </w:tc>
      </w:tr>
      <w:tr w14:paraId="0E156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C183E">
            <w:pPr>
              <w:rPr>
                <w:rFonts w:hint="eastAsia" w:ascii="仿宋_GB2312" w:hAnsi="宋体" w:eastAsia="仿宋_GB2312" w:cs="仿宋_GB2312"/>
                <w:i w:val="0"/>
                <w:iCs w:val="0"/>
                <w:color w:val="000000"/>
                <w:sz w:val="18"/>
                <w:szCs w:val="18"/>
                <w:u w:val="none"/>
              </w:rPr>
            </w:pPr>
          </w:p>
        </w:tc>
        <w:tc>
          <w:tcPr>
            <w:tcW w:w="8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74626">
            <w:pPr>
              <w:rPr>
                <w:rFonts w:hint="eastAsia" w:ascii="仿宋_GB2312" w:hAnsi="宋体" w:eastAsia="仿宋_GB2312" w:cs="仿宋_GB2312"/>
                <w:i w:val="0"/>
                <w:iCs w:val="0"/>
                <w:color w:val="000000"/>
                <w:sz w:val="18"/>
                <w:szCs w:val="18"/>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26060">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可持续发展</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7A53A">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可持续发展</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E9044">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可持续发展</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2700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该指标达到满分，共计6分，每降低一个档次扣0.1分，扣完为止。</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789AA">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96324">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C3231">
            <w:pPr>
              <w:jc w:val="center"/>
              <w:rPr>
                <w:rFonts w:hint="eastAsia" w:ascii="宋体" w:hAnsi="宋体" w:eastAsia="宋体" w:cs="宋体"/>
                <w:i w:val="0"/>
                <w:iCs w:val="0"/>
                <w:color w:val="000000"/>
                <w:sz w:val="18"/>
                <w:szCs w:val="18"/>
                <w:u w:val="none"/>
              </w:rPr>
            </w:pPr>
          </w:p>
        </w:tc>
      </w:tr>
      <w:tr w14:paraId="5EFEE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36A5A7">
            <w:pPr>
              <w:rPr>
                <w:rFonts w:hint="eastAsia" w:ascii="仿宋_GB2312" w:hAnsi="宋体" w:eastAsia="仿宋_GB2312" w:cs="仿宋_GB2312"/>
                <w:i w:val="0"/>
                <w:iCs w:val="0"/>
                <w:color w:val="000000"/>
                <w:sz w:val="18"/>
                <w:szCs w:val="18"/>
                <w:u w:val="none"/>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51BE1">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满意度指标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595BE">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教师与家长满意率</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291D2">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100%</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B1C1C">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100%</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DA6E7">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该指标达到90%满分，共计10分，每减少5%扣1分。</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D339E">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A467D">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C01BE">
            <w:pPr>
              <w:jc w:val="center"/>
              <w:rPr>
                <w:rFonts w:hint="eastAsia" w:ascii="宋体" w:hAnsi="宋体" w:eastAsia="宋体" w:cs="宋体"/>
                <w:i w:val="0"/>
                <w:iCs w:val="0"/>
                <w:color w:val="000000"/>
                <w:sz w:val="18"/>
                <w:szCs w:val="18"/>
                <w:u w:val="none"/>
              </w:rPr>
            </w:pPr>
          </w:p>
        </w:tc>
      </w:tr>
      <w:tr w14:paraId="6050E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EACD42">
            <w:pPr>
              <w:rPr>
                <w:rFonts w:hint="eastAsia" w:ascii="仿宋_GB2312" w:hAnsi="宋体" w:eastAsia="仿宋_GB2312" w:cs="仿宋_GB2312"/>
                <w:i w:val="0"/>
                <w:iCs w:val="0"/>
                <w:color w:val="000000"/>
                <w:sz w:val="18"/>
                <w:szCs w:val="18"/>
                <w:u w:val="none"/>
              </w:rPr>
            </w:pPr>
          </w:p>
        </w:tc>
        <w:tc>
          <w:tcPr>
            <w:tcW w:w="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DC207">
            <w:pPr>
              <w:keepNext w:val="0"/>
              <w:keepLines w:val="0"/>
              <w:widowControl/>
              <w:suppressLineNumbers w:val="0"/>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成本指标</w:t>
            </w:r>
          </w:p>
        </w:tc>
        <w:tc>
          <w:tcPr>
            <w:tcW w:w="11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B6A28">
            <w:pPr>
              <w:keepNext w:val="0"/>
              <w:keepLines w:val="0"/>
              <w:widowControl/>
              <w:suppressLineNumbers w:val="0"/>
              <w:jc w:val="center"/>
              <w:textAlignment w:val="center"/>
              <w:rPr>
                <w:rFonts w:hint="eastAsia" w:ascii="仿宋" w:hAnsi="仿宋" w:eastAsia="仿宋" w:cs="仿宋"/>
                <w:i w:val="0"/>
                <w:iCs w:val="0"/>
                <w:color w:val="000000"/>
                <w:sz w:val="16"/>
                <w:szCs w:val="16"/>
                <w:u w:val="none"/>
              </w:rPr>
            </w:pPr>
            <w:r>
              <w:rPr>
                <w:rFonts w:hint="eastAsia" w:ascii="仿宋" w:hAnsi="仿宋" w:eastAsia="仿宋" w:cs="仿宋"/>
                <w:i w:val="0"/>
                <w:iCs w:val="0"/>
                <w:color w:val="000000"/>
                <w:kern w:val="0"/>
                <w:sz w:val="16"/>
                <w:szCs w:val="16"/>
                <w:u w:val="none"/>
                <w:lang w:val="en-US" w:eastAsia="zh-CN" w:bidi="ar"/>
              </w:rPr>
              <w:t>部门整体控制数</w:t>
            </w:r>
          </w:p>
        </w:tc>
        <w:tc>
          <w:tcPr>
            <w:tcW w:w="11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EB7DB">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201.1万元</w:t>
            </w:r>
          </w:p>
        </w:tc>
        <w:tc>
          <w:tcPr>
            <w:tcW w:w="11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F572D">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201.1万元</w:t>
            </w:r>
          </w:p>
        </w:tc>
        <w:tc>
          <w:tcPr>
            <w:tcW w:w="25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37191">
            <w:pPr>
              <w:keepNext w:val="0"/>
              <w:keepLines w:val="0"/>
              <w:widowControl/>
              <w:suppressLineNumbers w:val="0"/>
              <w:jc w:val="center"/>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该指标达到满分，共计10分，每降低一个档次扣0.1分，扣完为止。</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3D283">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4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618FC">
            <w:pPr>
              <w:keepNext w:val="0"/>
              <w:keepLines w:val="0"/>
              <w:widowControl/>
              <w:suppressLineNumbers w:val="0"/>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203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A4749">
            <w:pPr>
              <w:jc w:val="center"/>
              <w:rPr>
                <w:rFonts w:hint="eastAsia" w:ascii="宋体" w:hAnsi="宋体" w:eastAsia="宋体" w:cs="宋体"/>
                <w:i w:val="0"/>
                <w:iCs w:val="0"/>
                <w:color w:val="000000"/>
                <w:sz w:val="18"/>
                <w:szCs w:val="18"/>
                <w:u w:val="none"/>
              </w:rPr>
            </w:pPr>
          </w:p>
        </w:tc>
      </w:tr>
      <w:tr w14:paraId="384C5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48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BE68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9103"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C43C0">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95.34</w:t>
            </w:r>
          </w:p>
        </w:tc>
      </w:tr>
    </w:tbl>
    <w:p w14:paraId="1BD93645">
      <w:pPr>
        <w:widowControl/>
        <w:ind w:left="-1260" w:leftChars="-600" w:firstLine="0" w:firstLineChars="0"/>
        <w:jc w:val="left"/>
        <w:rPr>
          <w:rFonts w:hint="eastAsia" w:ascii="黑体" w:hAnsi="黑体" w:eastAsia="黑体"/>
          <w:kern w:val="0"/>
          <w:sz w:val="32"/>
          <w:szCs w:val="32"/>
        </w:rPr>
        <w:sectPr>
          <w:pgSz w:w="11906" w:h="16838"/>
          <w:pgMar w:top="1440" w:right="26" w:bottom="1440" w:left="1800" w:header="851" w:footer="992" w:gutter="0"/>
          <w:cols w:space="425" w:num="1"/>
          <w:docGrid w:type="lines" w:linePitch="312" w:charSpace="0"/>
        </w:sectPr>
      </w:pPr>
    </w:p>
    <w:p w14:paraId="50DECD06">
      <w:pPr>
        <w:widowControl/>
        <w:rPr>
          <w:rFonts w:hint="eastAsia" w:ascii="黑体" w:hAnsi="宋体" w:eastAsia="黑体"/>
          <w:kern w:val="0"/>
          <w:sz w:val="32"/>
          <w:szCs w:val="32"/>
        </w:rPr>
      </w:pPr>
      <w:r>
        <w:rPr>
          <w:rFonts w:hint="eastAsia" w:ascii="黑体" w:hAnsi="黑体" w:eastAsia="黑体"/>
          <w:kern w:val="0"/>
          <w:sz w:val="32"/>
          <w:szCs w:val="32"/>
        </w:rPr>
        <w:t>附件5</w:t>
      </w:r>
    </w:p>
    <w:p w14:paraId="55294222">
      <w:pPr>
        <w:spacing w:line="560" w:lineRule="exact"/>
        <w:jc w:val="center"/>
        <w:rPr>
          <w:rFonts w:hint="eastAsia" w:ascii="Times New Roman" w:hAnsi="Times New Roman"/>
          <w:kern w:val="0"/>
          <w:sz w:val="44"/>
          <w:szCs w:val="44"/>
        </w:rPr>
      </w:pPr>
      <w:r>
        <w:rPr>
          <w:rFonts w:hint="eastAsia" w:ascii="方正小标宋_GBK" w:hAnsi="方正小标宋_GBK"/>
          <w:kern w:val="0"/>
          <w:sz w:val="44"/>
          <w:szCs w:val="44"/>
          <w:lang w:val="en-US" w:eastAsia="zh-CN"/>
        </w:rPr>
        <w:t>2024</w:t>
      </w:r>
      <w:r>
        <w:rPr>
          <w:rFonts w:hint="eastAsia" w:ascii="方正小标宋_GBK" w:hAnsi="方正小标宋_GBK"/>
          <w:b/>
          <w:bCs/>
          <w:kern w:val="0"/>
          <w:sz w:val="44"/>
          <w:szCs w:val="44"/>
          <w:lang w:val="en-US" w:eastAsia="zh-CN"/>
        </w:rPr>
        <w:t>年度江永县上江圩镇中心幼儿园</w:t>
      </w:r>
      <w:r>
        <w:rPr>
          <w:rFonts w:ascii="方正小标宋_GBK" w:hAnsi="方正小标宋_GBK" w:eastAsia="方正小标宋_GBK"/>
          <w:kern w:val="0"/>
          <w:sz w:val="44"/>
          <w:szCs w:val="44"/>
        </w:rPr>
        <w:t>部门整体支出绩效评价表</w:t>
      </w:r>
    </w:p>
    <w:tbl>
      <w:tblPr>
        <w:tblStyle w:val="4"/>
        <w:tblW w:w="10600" w:type="dxa"/>
        <w:jc w:val="center"/>
        <w:tblLayout w:type="fixed"/>
        <w:tblCellMar>
          <w:top w:w="0" w:type="dxa"/>
          <w:left w:w="108" w:type="dxa"/>
          <w:bottom w:w="0" w:type="dxa"/>
          <w:right w:w="108" w:type="dxa"/>
        </w:tblCellMar>
      </w:tblPr>
      <w:tblGrid>
        <w:gridCol w:w="518"/>
        <w:gridCol w:w="416"/>
        <w:gridCol w:w="432"/>
        <w:gridCol w:w="245"/>
        <w:gridCol w:w="416"/>
        <w:gridCol w:w="1194"/>
        <w:gridCol w:w="478"/>
        <w:gridCol w:w="2977"/>
        <w:gridCol w:w="3402"/>
        <w:gridCol w:w="522"/>
      </w:tblGrid>
      <w:tr w14:paraId="280A7DA2">
        <w:tblPrEx>
          <w:tblCellMar>
            <w:top w:w="0" w:type="dxa"/>
            <w:left w:w="108" w:type="dxa"/>
            <w:bottom w:w="0" w:type="dxa"/>
            <w:right w:w="108" w:type="dxa"/>
          </w:tblCellMar>
        </w:tblPrEx>
        <w:trPr>
          <w:jc w:val="center"/>
        </w:trPr>
        <w:tc>
          <w:tcPr>
            <w:tcW w:w="518" w:type="dxa"/>
            <w:tcBorders>
              <w:top w:val="single" w:color="auto" w:sz="4" w:space="0"/>
              <w:left w:val="single" w:color="auto" w:sz="4" w:space="0"/>
              <w:bottom w:val="single" w:color="auto" w:sz="4" w:space="0"/>
              <w:right w:val="single" w:color="auto" w:sz="4" w:space="0"/>
            </w:tcBorders>
            <w:noWrap w:val="0"/>
            <w:vAlign w:val="center"/>
          </w:tcPr>
          <w:p w14:paraId="391527EF">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一级指标</w:t>
            </w:r>
          </w:p>
        </w:tc>
        <w:tc>
          <w:tcPr>
            <w:tcW w:w="416" w:type="dxa"/>
            <w:tcBorders>
              <w:top w:val="single" w:color="auto" w:sz="4" w:space="0"/>
              <w:left w:val="nil"/>
              <w:bottom w:val="single" w:color="auto" w:sz="4" w:space="0"/>
              <w:right w:val="single" w:color="auto" w:sz="4" w:space="0"/>
            </w:tcBorders>
            <w:noWrap w:val="0"/>
            <w:vAlign w:val="center"/>
          </w:tcPr>
          <w:p w14:paraId="00A6033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分值</w:t>
            </w:r>
          </w:p>
        </w:tc>
        <w:tc>
          <w:tcPr>
            <w:tcW w:w="677" w:type="dxa"/>
            <w:gridSpan w:val="2"/>
            <w:tcBorders>
              <w:top w:val="single" w:color="auto" w:sz="4" w:space="0"/>
              <w:left w:val="nil"/>
              <w:bottom w:val="single" w:color="auto" w:sz="4" w:space="0"/>
              <w:right w:val="single" w:color="auto" w:sz="4" w:space="0"/>
            </w:tcBorders>
            <w:noWrap w:val="0"/>
            <w:vAlign w:val="center"/>
          </w:tcPr>
          <w:p w14:paraId="7E6D4BF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二级指标</w:t>
            </w:r>
          </w:p>
        </w:tc>
        <w:tc>
          <w:tcPr>
            <w:tcW w:w="416" w:type="dxa"/>
            <w:tcBorders>
              <w:top w:val="single" w:color="auto" w:sz="4" w:space="0"/>
              <w:left w:val="nil"/>
              <w:bottom w:val="single" w:color="auto" w:sz="4" w:space="0"/>
              <w:right w:val="single" w:color="auto" w:sz="4" w:space="0"/>
            </w:tcBorders>
            <w:noWrap w:val="0"/>
            <w:vAlign w:val="center"/>
          </w:tcPr>
          <w:p w14:paraId="46FA1B8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分值</w:t>
            </w:r>
          </w:p>
        </w:tc>
        <w:tc>
          <w:tcPr>
            <w:tcW w:w="1194" w:type="dxa"/>
            <w:tcBorders>
              <w:top w:val="single" w:color="auto" w:sz="4" w:space="0"/>
              <w:left w:val="nil"/>
              <w:bottom w:val="single" w:color="auto" w:sz="4" w:space="0"/>
              <w:right w:val="single" w:color="auto" w:sz="4" w:space="0"/>
            </w:tcBorders>
            <w:noWrap w:val="0"/>
            <w:vAlign w:val="center"/>
          </w:tcPr>
          <w:p w14:paraId="1E26D69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三级</w:t>
            </w:r>
          </w:p>
          <w:p w14:paraId="4BAB251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指标</w:t>
            </w:r>
          </w:p>
        </w:tc>
        <w:tc>
          <w:tcPr>
            <w:tcW w:w="478" w:type="dxa"/>
            <w:tcBorders>
              <w:top w:val="single" w:color="auto" w:sz="4" w:space="0"/>
              <w:left w:val="nil"/>
              <w:bottom w:val="single" w:color="auto" w:sz="4" w:space="0"/>
              <w:right w:val="single" w:color="auto" w:sz="4" w:space="0"/>
            </w:tcBorders>
            <w:noWrap w:val="0"/>
            <w:vAlign w:val="center"/>
          </w:tcPr>
          <w:p w14:paraId="6C37FB1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分值</w:t>
            </w:r>
          </w:p>
        </w:tc>
        <w:tc>
          <w:tcPr>
            <w:tcW w:w="2977" w:type="dxa"/>
            <w:tcBorders>
              <w:top w:val="single" w:color="auto" w:sz="4" w:space="0"/>
              <w:left w:val="nil"/>
              <w:bottom w:val="single" w:color="auto" w:sz="4" w:space="0"/>
              <w:right w:val="single" w:color="auto" w:sz="4" w:space="0"/>
            </w:tcBorders>
            <w:noWrap w:val="0"/>
            <w:vAlign w:val="center"/>
          </w:tcPr>
          <w:p w14:paraId="5970AB6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评价标准</w:t>
            </w:r>
          </w:p>
        </w:tc>
        <w:tc>
          <w:tcPr>
            <w:tcW w:w="3402" w:type="dxa"/>
            <w:tcBorders>
              <w:top w:val="single" w:color="auto" w:sz="4" w:space="0"/>
              <w:left w:val="nil"/>
              <w:bottom w:val="single" w:color="auto" w:sz="4" w:space="0"/>
              <w:right w:val="single" w:color="auto" w:sz="4" w:space="0"/>
            </w:tcBorders>
            <w:noWrap w:val="0"/>
            <w:vAlign w:val="center"/>
          </w:tcPr>
          <w:p w14:paraId="158517A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指标说明</w:t>
            </w:r>
          </w:p>
        </w:tc>
        <w:tc>
          <w:tcPr>
            <w:tcW w:w="522" w:type="dxa"/>
            <w:tcBorders>
              <w:top w:val="single" w:color="auto" w:sz="4" w:space="0"/>
              <w:left w:val="nil"/>
              <w:bottom w:val="single" w:color="auto" w:sz="4" w:space="0"/>
              <w:right w:val="single" w:color="auto" w:sz="4" w:space="0"/>
            </w:tcBorders>
            <w:noWrap w:val="0"/>
            <w:vAlign w:val="center"/>
          </w:tcPr>
          <w:p w14:paraId="15FE567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得分</w:t>
            </w:r>
          </w:p>
        </w:tc>
      </w:tr>
      <w:tr w14:paraId="04B2B076">
        <w:tblPrEx>
          <w:tblCellMar>
            <w:top w:w="0" w:type="dxa"/>
            <w:left w:w="108" w:type="dxa"/>
            <w:bottom w:w="0" w:type="dxa"/>
            <w:right w:w="108" w:type="dxa"/>
          </w:tblCellMar>
        </w:tblPrEx>
        <w:trPr>
          <w:trHeight w:val="1814" w:hRule="atLeast"/>
          <w:jc w:val="center"/>
        </w:trPr>
        <w:tc>
          <w:tcPr>
            <w:tcW w:w="518" w:type="dxa"/>
            <w:vMerge w:val="restart"/>
            <w:tcBorders>
              <w:top w:val="nil"/>
              <w:left w:val="single" w:color="auto" w:sz="4" w:space="0"/>
              <w:bottom w:val="single" w:color="auto" w:sz="4" w:space="0"/>
              <w:right w:val="single" w:color="auto" w:sz="4" w:space="0"/>
            </w:tcBorders>
            <w:noWrap w:val="0"/>
            <w:vAlign w:val="center"/>
          </w:tcPr>
          <w:p w14:paraId="3A413AE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投入</w:t>
            </w:r>
          </w:p>
        </w:tc>
        <w:tc>
          <w:tcPr>
            <w:tcW w:w="416" w:type="dxa"/>
            <w:vMerge w:val="restart"/>
            <w:tcBorders>
              <w:top w:val="nil"/>
              <w:left w:val="nil"/>
              <w:bottom w:val="single" w:color="000000" w:sz="4" w:space="0"/>
              <w:right w:val="single" w:color="auto" w:sz="4" w:space="0"/>
            </w:tcBorders>
            <w:noWrap w:val="0"/>
            <w:vAlign w:val="center"/>
          </w:tcPr>
          <w:p w14:paraId="222A54D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677" w:type="dxa"/>
            <w:gridSpan w:val="2"/>
            <w:vMerge w:val="restart"/>
            <w:tcBorders>
              <w:top w:val="nil"/>
              <w:left w:val="nil"/>
              <w:bottom w:val="single" w:color="auto" w:sz="4" w:space="0"/>
              <w:right w:val="single" w:color="auto" w:sz="4" w:space="0"/>
            </w:tcBorders>
            <w:noWrap w:val="0"/>
            <w:vAlign w:val="center"/>
          </w:tcPr>
          <w:p w14:paraId="570B607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预算配置</w:t>
            </w:r>
          </w:p>
        </w:tc>
        <w:tc>
          <w:tcPr>
            <w:tcW w:w="416" w:type="dxa"/>
            <w:vMerge w:val="restart"/>
            <w:tcBorders>
              <w:top w:val="nil"/>
              <w:left w:val="nil"/>
              <w:bottom w:val="single" w:color="000000" w:sz="4" w:space="0"/>
              <w:right w:val="single" w:color="auto" w:sz="4" w:space="0"/>
            </w:tcBorders>
            <w:noWrap w:val="0"/>
            <w:vAlign w:val="center"/>
          </w:tcPr>
          <w:p w14:paraId="69562A4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1194" w:type="dxa"/>
            <w:tcBorders>
              <w:top w:val="nil"/>
              <w:left w:val="nil"/>
              <w:bottom w:val="single" w:color="auto" w:sz="4" w:space="0"/>
              <w:right w:val="single" w:color="auto" w:sz="4" w:space="0"/>
            </w:tcBorders>
            <w:noWrap w:val="0"/>
            <w:vAlign w:val="center"/>
          </w:tcPr>
          <w:p w14:paraId="538DAF26">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在职人员控制率</w:t>
            </w:r>
          </w:p>
        </w:tc>
        <w:tc>
          <w:tcPr>
            <w:tcW w:w="478" w:type="dxa"/>
            <w:tcBorders>
              <w:top w:val="nil"/>
              <w:left w:val="nil"/>
              <w:bottom w:val="single" w:color="auto" w:sz="4" w:space="0"/>
              <w:right w:val="single" w:color="auto" w:sz="4" w:space="0"/>
            </w:tcBorders>
            <w:noWrap w:val="0"/>
            <w:vAlign w:val="center"/>
          </w:tcPr>
          <w:p w14:paraId="67C7F7A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2977" w:type="dxa"/>
            <w:tcBorders>
              <w:top w:val="nil"/>
              <w:left w:val="nil"/>
              <w:bottom w:val="nil"/>
              <w:right w:val="nil"/>
            </w:tcBorders>
            <w:noWrap w:val="0"/>
            <w:vAlign w:val="center"/>
          </w:tcPr>
          <w:p w14:paraId="235CA27B">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以100%为标准。在职人员控制率≦100%，计5分；每超过一个百分点扣0.5分，扣完为止。</w:t>
            </w:r>
          </w:p>
        </w:tc>
        <w:tc>
          <w:tcPr>
            <w:tcW w:w="3402" w:type="dxa"/>
            <w:tcBorders>
              <w:top w:val="nil"/>
              <w:left w:val="single" w:color="auto" w:sz="4" w:space="0"/>
              <w:bottom w:val="single" w:color="auto" w:sz="4" w:space="0"/>
              <w:right w:val="single" w:color="auto" w:sz="4" w:space="0"/>
            </w:tcBorders>
            <w:noWrap w:val="0"/>
            <w:vAlign w:val="center"/>
          </w:tcPr>
          <w:p w14:paraId="22DD3A06">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在职人员控制率=（在职人员数/编制数）×100%，在职人员数：部门（单位）实际在职人数，以市财政局确定的部门决算编制口径为准。</w:t>
            </w:r>
          </w:p>
          <w:p w14:paraId="23AD4439">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编制数：机构编制部门核定批复的部门（单位）的人员编制数。</w:t>
            </w:r>
          </w:p>
        </w:tc>
        <w:tc>
          <w:tcPr>
            <w:tcW w:w="522" w:type="dxa"/>
            <w:tcBorders>
              <w:top w:val="nil"/>
              <w:left w:val="nil"/>
              <w:bottom w:val="single" w:color="auto" w:sz="4" w:space="0"/>
              <w:right w:val="single" w:color="auto" w:sz="4" w:space="0"/>
            </w:tcBorders>
            <w:noWrap w:val="0"/>
            <w:vAlign w:val="center"/>
          </w:tcPr>
          <w:p w14:paraId="284E24CD">
            <w:pPr>
              <w:widowControl/>
              <w:jc w:val="left"/>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　</w:t>
            </w:r>
            <w:r>
              <w:rPr>
                <w:rFonts w:hint="eastAsia" w:ascii="宋体" w:hAnsi="宋体" w:eastAsia="宋体" w:cs="宋体"/>
                <w:kern w:val="0"/>
                <w:sz w:val="28"/>
                <w:szCs w:val="28"/>
                <w:lang w:val="en-US" w:eastAsia="zh-CN"/>
              </w:rPr>
              <w:t>5</w:t>
            </w:r>
          </w:p>
        </w:tc>
      </w:tr>
      <w:tr w14:paraId="6B659929">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auto" w:sz="4" w:space="0"/>
              <w:right w:val="single" w:color="auto" w:sz="4" w:space="0"/>
            </w:tcBorders>
            <w:noWrap w:val="0"/>
            <w:vAlign w:val="center"/>
          </w:tcPr>
          <w:p w14:paraId="6190B6DE">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664E906C">
            <w:pPr>
              <w:widowControl/>
              <w:jc w:val="left"/>
              <w:rPr>
                <w:rFonts w:hint="eastAsia" w:ascii="宋体" w:hAnsi="宋体" w:eastAsia="宋体" w:cs="宋体"/>
                <w:kern w:val="0"/>
                <w:sz w:val="21"/>
                <w:szCs w:val="21"/>
              </w:rPr>
            </w:pPr>
          </w:p>
        </w:tc>
        <w:tc>
          <w:tcPr>
            <w:tcW w:w="677" w:type="dxa"/>
            <w:gridSpan w:val="2"/>
            <w:vMerge w:val="continue"/>
            <w:tcBorders>
              <w:top w:val="nil"/>
              <w:left w:val="nil"/>
              <w:bottom w:val="single" w:color="auto" w:sz="4" w:space="0"/>
              <w:right w:val="single" w:color="auto" w:sz="4" w:space="0"/>
            </w:tcBorders>
            <w:noWrap w:val="0"/>
            <w:vAlign w:val="center"/>
          </w:tcPr>
          <w:p w14:paraId="5C3A4088">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72763B1C">
            <w:pPr>
              <w:widowControl/>
              <w:jc w:val="left"/>
              <w:rPr>
                <w:rFonts w:hint="eastAsia" w:ascii="宋体" w:hAnsi="宋体" w:eastAsia="宋体" w:cs="宋体"/>
                <w:kern w:val="0"/>
                <w:sz w:val="21"/>
                <w:szCs w:val="21"/>
              </w:rPr>
            </w:pPr>
          </w:p>
        </w:tc>
        <w:tc>
          <w:tcPr>
            <w:tcW w:w="1194" w:type="dxa"/>
            <w:tcBorders>
              <w:top w:val="nil"/>
              <w:left w:val="nil"/>
              <w:bottom w:val="single" w:color="auto" w:sz="4" w:space="0"/>
              <w:right w:val="single" w:color="auto" w:sz="4" w:space="0"/>
            </w:tcBorders>
            <w:noWrap w:val="0"/>
            <w:vAlign w:val="center"/>
          </w:tcPr>
          <w:p w14:paraId="538F12E1">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“三公经费”变动率</w:t>
            </w:r>
          </w:p>
        </w:tc>
        <w:tc>
          <w:tcPr>
            <w:tcW w:w="478" w:type="dxa"/>
            <w:tcBorders>
              <w:top w:val="nil"/>
              <w:left w:val="nil"/>
              <w:bottom w:val="single" w:color="auto" w:sz="4" w:space="0"/>
              <w:right w:val="single" w:color="auto" w:sz="4" w:space="0"/>
            </w:tcBorders>
            <w:noWrap w:val="0"/>
            <w:vAlign w:val="center"/>
          </w:tcPr>
          <w:p w14:paraId="6B2159F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2977" w:type="dxa"/>
            <w:tcBorders>
              <w:top w:val="single" w:color="auto" w:sz="4" w:space="0"/>
              <w:left w:val="nil"/>
              <w:bottom w:val="single" w:color="auto" w:sz="4" w:space="0"/>
              <w:right w:val="single" w:color="auto" w:sz="4" w:space="0"/>
            </w:tcBorders>
            <w:noWrap w:val="0"/>
            <w:vAlign w:val="center"/>
          </w:tcPr>
          <w:p w14:paraId="76257C79">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“三公经费”变动率≦0,计5分；“三公经费”＞0，每超过一个百分点扣0.8分，扣完为止。</w:t>
            </w:r>
          </w:p>
        </w:tc>
        <w:tc>
          <w:tcPr>
            <w:tcW w:w="3402" w:type="dxa"/>
            <w:tcBorders>
              <w:top w:val="nil"/>
              <w:left w:val="nil"/>
              <w:bottom w:val="single" w:color="auto" w:sz="4" w:space="0"/>
              <w:right w:val="single" w:color="auto" w:sz="4" w:space="0"/>
            </w:tcBorders>
            <w:noWrap w:val="0"/>
            <w:vAlign w:val="center"/>
          </w:tcPr>
          <w:p w14:paraId="68FE51CE">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“三公经费”变动率=[（本年度“三公经费”预算数-上年度“三公经费”预算数）/上年度“三公经费”预算数]×100%</w:t>
            </w:r>
          </w:p>
        </w:tc>
        <w:tc>
          <w:tcPr>
            <w:tcW w:w="522" w:type="dxa"/>
            <w:tcBorders>
              <w:top w:val="nil"/>
              <w:left w:val="nil"/>
              <w:bottom w:val="single" w:color="auto" w:sz="4" w:space="0"/>
              <w:right w:val="single" w:color="auto" w:sz="4" w:space="0"/>
            </w:tcBorders>
            <w:noWrap w:val="0"/>
            <w:vAlign w:val="center"/>
          </w:tcPr>
          <w:p w14:paraId="0079BF58">
            <w:pPr>
              <w:widowControl/>
              <w:jc w:val="left"/>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　</w:t>
            </w:r>
            <w:r>
              <w:rPr>
                <w:rFonts w:hint="eastAsia" w:ascii="宋体" w:hAnsi="宋体" w:eastAsia="宋体" w:cs="宋体"/>
                <w:kern w:val="0"/>
                <w:sz w:val="28"/>
                <w:szCs w:val="28"/>
                <w:lang w:val="en-US" w:eastAsia="zh-CN"/>
              </w:rPr>
              <w:t>5</w:t>
            </w:r>
          </w:p>
        </w:tc>
      </w:tr>
      <w:tr w14:paraId="04E852C1">
        <w:tblPrEx>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2488B1A2">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过                                                                                                                                       程</w:t>
            </w:r>
          </w:p>
        </w:tc>
        <w:tc>
          <w:tcPr>
            <w:tcW w:w="416" w:type="dxa"/>
            <w:vMerge w:val="restart"/>
            <w:tcBorders>
              <w:top w:val="nil"/>
              <w:left w:val="nil"/>
              <w:bottom w:val="single" w:color="000000" w:sz="4" w:space="0"/>
              <w:right w:val="single" w:color="auto" w:sz="4" w:space="0"/>
            </w:tcBorders>
            <w:noWrap w:val="0"/>
            <w:vAlign w:val="center"/>
          </w:tcPr>
          <w:p w14:paraId="3149973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60</w:t>
            </w:r>
          </w:p>
        </w:tc>
        <w:tc>
          <w:tcPr>
            <w:tcW w:w="677" w:type="dxa"/>
            <w:gridSpan w:val="2"/>
            <w:vMerge w:val="restart"/>
            <w:tcBorders>
              <w:top w:val="nil"/>
              <w:left w:val="nil"/>
              <w:bottom w:val="single" w:color="000000" w:sz="4" w:space="0"/>
              <w:right w:val="single" w:color="auto" w:sz="4" w:space="0"/>
            </w:tcBorders>
            <w:noWrap w:val="0"/>
            <w:vAlign w:val="center"/>
          </w:tcPr>
          <w:p w14:paraId="4DD9632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预算执行</w:t>
            </w:r>
          </w:p>
        </w:tc>
        <w:tc>
          <w:tcPr>
            <w:tcW w:w="416" w:type="dxa"/>
            <w:vMerge w:val="restart"/>
            <w:tcBorders>
              <w:top w:val="nil"/>
              <w:left w:val="nil"/>
              <w:bottom w:val="single" w:color="000000" w:sz="4" w:space="0"/>
              <w:right w:val="single" w:color="auto" w:sz="4" w:space="0"/>
            </w:tcBorders>
            <w:noWrap w:val="0"/>
            <w:vAlign w:val="center"/>
          </w:tcPr>
          <w:p w14:paraId="6585399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20</w:t>
            </w:r>
          </w:p>
        </w:tc>
        <w:tc>
          <w:tcPr>
            <w:tcW w:w="1194" w:type="dxa"/>
            <w:tcBorders>
              <w:top w:val="nil"/>
              <w:left w:val="nil"/>
              <w:bottom w:val="single" w:color="auto" w:sz="4" w:space="0"/>
              <w:right w:val="single" w:color="auto" w:sz="4" w:space="0"/>
            </w:tcBorders>
            <w:noWrap w:val="0"/>
            <w:vAlign w:val="center"/>
          </w:tcPr>
          <w:p w14:paraId="5C8EBA3C">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预算完成率</w:t>
            </w:r>
          </w:p>
        </w:tc>
        <w:tc>
          <w:tcPr>
            <w:tcW w:w="478" w:type="dxa"/>
            <w:tcBorders>
              <w:top w:val="nil"/>
              <w:left w:val="nil"/>
              <w:bottom w:val="single" w:color="auto" w:sz="4" w:space="0"/>
              <w:right w:val="single" w:color="auto" w:sz="4" w:space="0"/>
            </w:tcBorders>
            <w:noWrap w:val="0"/>
            <w:vAlign w:val="center"/>
          </w:tcPr>
          <w:p w14:paraId="1FE844B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2977" w:type="dxa"/>
            <w:tcBorders>
              <w:top w:val="nil"/>
              <w:left w:val="nil"/>
              <w:bottom w:val="single" w:color="auto" w:sz="4" w:space="0"/>
              <w:right w:val="single" w:color="auto" w:sz="4" w:space="0"/>
            </w:tcBorders>
            <w:noWrap w:val="0"/>
            <w:vAlign w:val="center"/>
          </w:tcPr>
          <w:p w14:paraId="062C9E2B">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100%计满分，每低于5%扣2分，扣完为止。</w:t>
            </w:r>
          </w:p>
        </w:tc>
        <w:tc>
          <w:tcPr>
            <w:tcW w:w="3402" w:type="dxa"/>
            <w:tcBorders>
              <w:top w:val="nil"/>
              <w:left w:val="nil"/>
              <w:bottom w:val="single" w:color="auto" w:sz="4" w:space="0"/>
              <w:right w:val="single" w:color="auto" w:sz="4" w:space="0"/>
            </w:tcBorders>
            <w:noWrap w:val="0"/>
            <w:vAlign w:val="center"/>
          </w:tcPr>
          <w:p w14:paraId="1E9A8A2A">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预算完成率=（上年结转+年初预算+本年追加预算-年末结余）/（上年结转+年初预算+本年追加预算）×100%。</w:t>
            </w:r>
          </w:p>
        </w:tc>
        <w:tc>
          <w:tcPr>
            <w:tcW w:w="522" w:type="dxa"/>
            <w:tcBorders>
              <w:top w:val="nil"/>
              <w:left w:val="nil"/>
              <w:bottom w:val="single" w:color="auto" w:sz="4" w:space="0"/>
              <w:right w:val="single" w:color="auto" w:sz="4" w:space="0"/>
            </w:tcBorders>
            <w:noWrap w:val="0"/>
            <w:vAlign w:val="center"/>
          </w:tcPr>
          <w:p w14:paraId="39841A32">
            <w:pPr>
              <w:widowControl/>
              <w:jc w:val="left"/>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　</w:t>
            </w:r>
            <w:r>
              <w:rPr>
                <w:rFonts w:hint="eastAsia" w:ascii="宋体" w:hAnsi="宋体" w:eastAsia="宋体" w:cs="宋体"/>
                <w:kern w:val="0"/>
                <w:sz w:val="28"/>
                <w:szCs w:val="28"/>
                <w:lang w:val="en-US" w:eastAsia="zh-CN"/>
              </w:rPr>
              <w:t>5</w:t>
            </w:r>
          </w:p>
        </w:tc>
      </w:tr>
      <w:tr w14:paraId="4C2446BD">
        <w:tblPrEx>
          <w:tblCellMar>
            <w:top w:w="0" w:type="dxa"/>
            <w:left w:w="108" w:type="dxa"/>
            <w:bottom w:w="0" w:type="dxa"/>
            <w:right w:w="108" w:type="dxa"/>
          </w:tblCellMar>
        </w:tblPrEx>
        <w:trPr>
          <w:trHeight w:val="12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406CD89A">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187874AE">
            <w:pPr>
              <w:widowControl/>
              <w:jc w:val="left"/>
              <w:rPr>
                <w:rFonts w:hint="eastAsia" w:ascii="宋体" w:hAnsi="宋体" w:eastAsia="宋体" w:cs="宋体"/>
                <w:kern w:val="0"/>
                <w:sz w:val="21"/>
                <w:szCs w:val="21"/>
              </w:rPr>
            </w:pPr>
          </w:p>
        </w:tc>
        <w:tc>
          <w:tcPr>
            <w:tcW w:w="677" w:type="dxa"/>
            <w:gridSpan w:val="2"/>
            <w:vMerge w:val="continue"/>
            <w:tcBorders>
              <w:top w:val="nil"/>
              <w:left w:val="nil"/>
              <w:bottom w:val="single" w:color="000000" w:sz="4" w:space="0"/>
              <w:right w:val="single" w:color="auto" w:sz="4" w:space="0"/>
            </w:tcBorders>
            <w:noWrap w:val="0"/>
            <w:vAlign w:val="center"/>
          </w:tcPr>
          <w:p w14:paraId="3599C9B7">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030DF810">
            <w:pPr>
              <w:widowControl/>
              <w:jc w:val="left"/>
              <w:rPr>
                <w:rFonts w:hint="eastAsia" w:ascii="宋体" w:hAnsi="宋体" w:eastAsia="宋体" w:cs="宋体"/>
                <w:kern w:val="0"/>
                <w:sz w:val="21"/>
                <w:szCs w:val="21"/>
              </w:rPr>
            </w:pPr>
          </w:p>
        </w:tc>
        <w:tc>
          <w:tcPr>
            <w:tcW w:w="1194" w:type="dxa"/>
            <w:tcBorders>
              <w:top w:val="nil"/>
              <w:left w:val="nil"/>
              <w:bottom w:val="single" w:color="auto" w:sz="4" w:space="0"/>
              <w:right w:val="single" w:color="auto" w:sz="4" w:space="0"/>
            </w:tcBorders>
            <w:noWrap w:val="0"/>
            <w:vAlign w:val="center"/>
          </w:tcPr>
          <w:p w14:paraId="41BAF05E">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预算控制率</w:t>
            </w:r>
          </w:p>
        </w:tc>
        <w:tc>
          <w:tcPr>
            <w:tcW w:w="478" w:type="dxa"/>
            <w:tcBorders>
              <w:top w:val="nil"/>
              <w:left w:val="nil"/>
              <w:bottom w:val="single" w:color="auto" w:sz="4" w:space="0"/>
              <w:right w:val="single" w:color="auto" w:sz="4" w:space="0"/>
            </w:tcBorders>
            <w:noWrap w:val="0"/>
            <w:vAlign w:val="center"/>
          </w:tcPr>
          <w:p w14:paraId="36A2BB2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2977" w:type="dxa"/>
            <w:tcBorders>
              <w:top w:val="nil"/>
              <w:left w:val="nil"/>
              <w:bottom w:val="single" w:color="auto" w:sz="4" w:space="0"/>
              <w:right w:val="single" w:color="auto" w:sz="4" w:space="0"/>
            </w:tcBorders>
            <w:noWrap w:val="0"/>
            <w:vAlign w:val="center"/>
          </w:tcPr>
          <w:p w14:paraId="4837195A">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预算控制率=0，计5分；0-10%（含），计4分；10-20%（含），计3分；20-30%（含），计2分；大于30%不得分。</w:t>
            </w:r>
          </w:p>
        </w:tc>
        <w:tc>
          <w:tcPr>
            <w:tcW w:w="3402" w:type="dxa"/>
            <w:tcBorders>
              <w:top w:val="nil"/>
              <w:left w:val="nil"/>
              <w:bottom w:val="single" w:color="auto" w:sz="4" w:space="0"/>
              <w:right w:val="single" w:color="auto" w:sz="4" w:space="0"/>
            </w:tcBorders>
            <w:noWrap w:val="0"/>
            <w:vAlign w:val="center"/>
          </w:tcPr>
          <w:p w14:paraId="632A4105">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预算控制率=（本年追加预算/年初预算）×100%。</w:t>
            </w:r>
          </w:p>
        </w:tc>
        <w:tc>
          <w:tcPr>
            <w:tcW w:w="522" w:type="dxa"/>
            <w:tcBorders>
              <w:top w:val="nil"/>
              <w:left w:val="nil"/>
              <w:bottom w:val="single" w:color="auto" w:sz="4" w:space="0"/>
              <w:right w:val="single" w:color="auto" w:sz="4" w:space="0"/>
            </w:tcBorders>
            <w:noWrap w:val="0"/>
            <w:vAlign w:val="center"/>
          </w:tcPr>
          <w:p w14:paraId="18928A3D">
            <w:pPr>
              <w:widowControl/>
              <w:jc w:val="left"/>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　</w:t>
            </w:r>
            <w:r>
              <w:rPr>
                <w:rFonts w:hint="eastAsia" w:ascii="宋体" w:hAnsi="宋体" w:eastAsia="宋体" w:cs="宋体"/>
                <w:kern w:val="0"/>
                <w:sz w:val="28"/>
                <w:szCs w:val="28"/>
                <w:lang w:val="en-US" w:eastAsia="zh-CN"/>
              </w:rPr>
              <w:t>5</w:t>
            </w:r>
          </w:p>
        </w:tc>
      </w:tr>
      <w:tr w14:paraId="2C7D28AD">
        <w:tblPrEx>
          <w:tblCellMar>
            <w:top w:w="0" w:type="dxa"/>
            <w:left w:w="108" w:type="dxa"/>
            <w:bottom w:w="0" w:type="dxa"/>
            <w:right w:w="108" w:type="dxa"/>
          </w:tblCellMar>
        </w:tblPrEx>
        <w:trPr>
          <w:trHeight w:val="132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235E33B7">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2C32953E">
            <w:pPr>
              <w:widowControl/>
              <w:jc w:val="left"/>
              <w:rPr>
                <w:rFonts w:hint="eastAsia" w:ascii="宋体" w:hAnsi="宋体" w:eastAsia="宋体" w:cs="宋体"/>
                <w:kern w:val="0"/>
                <w:sz w:val="21"/>
                <w:szCs w:val="21"/>
              </w:rPr>
            </w:pPr>
          </w:p>
        </w:tc>
        <w:tc>
          <w:tcPr>
            <w:tcW w:w="677" w:type="dxa"/>
            <w:gridSpan w:val="2"/>
            <w:vMerge w:val="continue"/>
            <w:tcBorders>
              <w:top w:val="nil"/>
              <w:left w:val="nil"/>
              <w:bottom w:val="single" w:color="000000" w:sz="4" w:space="0"/>
              <w:right w:val="single" w:color="auto" w:sz="4" w:space="0"/>
            </w:tcBorders>
            <w:noWrap w:val="0"/>
            <w:vAlign w:val="center"/>
          </w:tcPr>
          <w:p w14:paraId="7A573F91">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0522122B">
            <w:pPr>
              <w:widowControl/>
              <w:jc w:val="left"/>
              <w:rPr>
                <w:rFonts w:hint="eastAsia" w:ascii="宋体" w:hAnsi="宋体" w:eastAsia="宋体" w:cs="宋体"/>
                <w:kern w:val="0"/>
                <w:sz w:val="21"/>
                <w:szCs w:val="21"/>
              </w:rPr>
            </w:pPr>
          </w:p>
        </w:tc>
        <w:tc>
          <w:tcPr>
            <w:tcW w:w="1194" w:type="dxa"/>
            <w:tcBorders>
              <w:top w:val="nil"/>
              <w:left w:val="nil"/>
              <w:bottom w:val="single" w:color="auto" w:sz="4" w:space="0"/>
              <w:right w:val="single" w:color="auto" w:sz="4" w:space="0"/>
            </w:tcBorders>
            <w:noWrap w:val="0"/>
            <w:vAlign w:val="center"/>
          </w:tcPr>
          <w:p w14:paraId="2D76D888">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新建楼堂馆所面积控制率</w:t>
            </w:r>
          </w:p>
        </w:tc>
        <w:tc>
          <w:tcPr>
            <w:tcW w:w="478" w:type="dxa"/>
            <w:tcBorders>
              <w:top w:val="nil"/>
              <w:left w:val="nil"/>
              <w:bottom w:val="single" w:color="auto" w:sz="4" w:space="0"/>
              <w:right w:val="single" w:color="auto" w:sz="4" w:space="0"/>
            </w:tcBorders>
            <w:noWrap w:val="0"/>
            <w:vAlign w:val="center"/>
          </w:tcPr>
          <w:p w14:paraId="244F7B2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2977" w:type="dxa"/>
            <w:tcBorders>
              <w:top w:val="nil"/>
              <w:left w:val="nil"/>
              <w:bottom w:val="single" w:color="auto" w:sz="4" w:space="0"/>
              <w:right w:val="single" w:color="auto" w:sz="4" w:space="0"/>
            </w:tcBorders>
            <w:noWrap w:val="0"/>
            <w:vAlign w:val="center"/>
          </w:tcPr>
          <w:p w14:paraId="2122BE29">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100%以下（含）计满分，每超出5%扣2分，扣完为止。没有楼堂馆所项目的部门按满分计算。</w:t>
            </w:r>
          </w:p>
        </w:tc>
        <w:tc>
          <w:tcPr>
            <w:tcW w:w="3402" w:type="dxa"/>
            <w:tcBorders>
              <w:top w:val="nil"/>
              <w:left w:val="nil"/>
              <w:bottom w:val="single" w:color="auto" w:sz="4" w:space="0"/>
              <w:right w:val="single" w:color="auto" w:sz="4" w:space="0"/>
            </w:tcBorders>
            <w:noWrap w:val="0"/>
            <w:vAlign w:val="center"/>
          </w:tcPr>
          <w:p w14:paraId="2B23C02B">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楼堂馆所面积控制率=实际建设面积/批准建设面积×100% 。</w:t>
            </w:r>
          </w:p>
          <w:p w14:paraId="109A4DDC">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该指标以2024年完工的新建楼堂馆所为评价内容。</w:t>
            </w:r>
          </w:p>
        </w:tc>
        <w:tc>
          <w:tcPr>
            <w:tcW w:w="522" w:type="dxa"/>
            <w:tcBorders>
              <w:top w:val="nil"/>
              <w:left w:val="nil"/>
              <w:bottom w:val="single" w:color="auto" w:sz="4" w:space="0"/>
              <w:right w:val="single" w:color="auto" w:sz="4" w:space="0"/>
            </w:tcBorders>
            <w:noWrap w:val="0"/>
            <w:vAlign w:val="center"/>
          </w:tcPr>
          <w:p w14:paraId="395AF99A">
            <w:pPr>
              <w:widowControl/>
              <w:jc w:val="left"/>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5</w:t>
            </w:r>
            <w:r>
              <w:rPr>
                <w:rFonts w:hint="eastAsia" w:ascii="宋体" w:hAnsi="宋体" w:eastAsia="宋体" w:cs="宋体"/>
                <w:kern w:val="0"/>
                <w:sz w:val="28"/>
                <w:szCs w:val="28"/>
              </w:rPr>
              <w:t>　</w:t>
            </w:r>
          </w:p>
        </w:tc>
      </w:tr>
      <w:tr w14:paraId="0A669398">
        <w:tblPrEx>
          <w:tblCellMar>
            <w:top w:w="0" w:type="dxa"/>
            <w:left w:w="108" w:type="dxa"/>
            <w:bottom w:w="0" w:type="dxa"/>
            <w:right w:w="108" w:type="dxa"/>
          </w:tblCellMar>
        </w:tblPrEx>
        <w:trPr>
          <w:trHeight w:val="154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0E11CB14">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6B20B6DB">
            <w:pPr>
              <w:widowControl/>
              <w:jc w:val="left"/>
              <w:rPr>
                <w:rFonts w:hint="eastAsia" w:ascii="宋体" w:hAnsi="宋体" w:eastAsia="宋体" w:cs="宋体"/>
                <w:kern w:val="0"/>
                <w:sz w:val="21"/>
                <w:szCs w:val="21"/>
              </w:rPr>
            </w:pPr>
          </w:p>
        </w:tc>
        <w:tc>
          <w:tcPr>
            <w:tcW w:w="677" w:type="dxa"/>
            <w:gridSpan w:val="2"/>
            <w:vMerge w:val="continue"/>
            <w:tcBorders>
              <w:top w:val="nil"/>
              <w:left w:val="nil"/>
              <w:bottom w:val="single" w:color="000000" w:sz="4" w:space="0"/>
              <w:right w:val="single" w:color="auto" w:sz="4" w:space="0"/>
            </w:tcBorders>
            <w:noWrap w:val="0"/>
            <w:vAlign w:val="center"/>
          </w:tcPr>
          <w:p w14:paraId="3F963849">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0B7CAC91">
            <w:pPr>
              <w:widowControl/>
              <w:jc w:val="left"/>
              <w:rPr>
                <w:rFonts w:hint="eastAsia" w:ascii="宋体" w:hAnsi="宋体" w:eastAsia="宋体" w:cs="宋体"/>
                <w:kern w:val="0"/>
                <w:sz w:val="21"/>
                <w:szCs w:val="21"/>
              </w:rPr>
            </w:pPr>
          </w:p>
        </w:tc>
        <w:tc>
          <w:tcPr>
            <w:tcW w:w="1194" w:type="dxa"/>
            <w:tcBorders>
              <w:top w:val="nil"/>
              <w:left w:val="nil"/>
              <w:bottom w:val="single" w:color="auto" w:sz="4" w:space="0"/>
              <w:right w:val="single" w:color="auto" w:sz="4" w:space="0"/>
            </w:tcBorders>
            <w:noWrap w:val="0"/>
            <w:vAlign w:val="center"/>
          </w:tcPr>
          <w:p w14:paraId="6EE72343">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新建楼堂馆所投资概算控制率</w:t>
            </w:r>
          </w:p>
        </w:tc>
        <w:tc>
          <w:tcPr>
            <w:tcW w:w="478" w:type="dxa"/>
            <w:tcBorders>
              <w:top w:val="nil"/>
              <w:left w:val="nil"/>
              <w:bottom w:val="single" w:color="auto" w:sz="4" w:space="0"/>
              <w:right w:val="single" w:color="auto" w:sz="4" w:space="0"/>
            </w:tcBorders>
            <w:noWrap w:val="0"/>
            <w:vAlign w:val="center"/>
          </w:tcPr>
          <w:p w14:paraId="5D246B6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2977" w:type="dxa"/>
            <w:tcBorders>
              <w:top w:val="nil"/>
              <w:left w:val="nil"/>
              <w:bottom w:val="single" w:color="auto" w:sz="4" w:space="0"/>
              <w:right w:val="single" w:color="auto" w:sz="4" w:space="0"/>
            </w:tcBorders>
            <w:noWrap w:val="0"/>
            <w:vAlign w:val="center"/>
          </w:tcPr>
          <w:p w14:paraId="49E07698">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100%以下（含）计满分，每超出5%扣2分，扣完为止。</w:t>
            </w:r>
          </w:p>
        </w:tc>
        <w:tc>
          <w:tcPr>
            <w:tcW w:w="3402" w:type="dxa"/>
            <w:tcBorders>
              <w:top w:val="nil"/>
              <w:left w:val="nil"/>
              <w:bottom w:val="single" w:color="auto" w:sz="4" w:space="0"/>
              <w:right w:val="single" w:color="auto" w:sz="4" w:space="0"/>
            </w:tcBorders>
            <w:noWrap w:val="0"/>
            <w:vAlign w:val="center"/>
          </w:tcPr>
          <w:p w14:paraId="444C23FD">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楼堂馆所投资预算控制率=实际投资金额/批准投资金额×100% 。</w:t>
            </w:r>
          </w:p>
          <w:p w14:paraId="6D189071">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该指标以2024年完工的新建楼堂馆所为评价内容。</w:t>
            </w:r>
          </w:p>
        </w:tc>
        <w:tc>
          <w:tcPr>
            <w:tcW w:w="522" w:type="dxa"/>
            <w:tcBorders>
              <w:top w:val="nil"/>
              <w:left w:val="nil"/>
              <w:bottom w:val="single" w:color="auto" w:sz="4" w:space="0"/>
              <w:right w:val="single" w:color="auto" w:sz="4" w:space="0"/>
            </w:tcBorders>
            <w:noWrap w:val="0"/>
            <w:vAlign w:val="center"/>
          </w:tcPr>
          <w:p w14:paraId="0A863CED">
            <w:pPr>
              <w:widowControl/>
              <w:jc w:val="left"/>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　</w:t>
            </w:r>
            <w:r>
              <w:rPr>
                <w:rFonts w:hint="eastAsia" w:ascii="宋体" w:hAnsi="宋体" w:eastAsia="宋体" w:cs="宋体"/>
                <w:kern w:val="0"/>
                <w:sz w:val="28"/>
                <w:szCs w:val="28"/>
                <w:lang w:val="en-US" w:eastAsia="zh-CN"/>
              </w:rPr>
              <w:t>5</w:t>
            </w:r>
          </w:p>
        </w:tc>
      </w:tr>
      <w:tr w14:paraId="1B26F01C">
        <w:tblPrEx>
          <w:tblCellMar>
            <w:top w:w="0" w:type="dxa"/>
            <w:left w:w="108" w:type="dxa"/>
            <w:bottom w:w="0" w:type="dxa"/>
            <w:right w:w="108" w:type="dxa"/>
          </w:tblCellMar>
        </w:tblPrEx>
        <w:trPr>
          <w:trHeight w:val="1562"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6D011BA9">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0D93AE30">
            <w:pPr>
              <w:widowControl/>
              <w:jc w:val="left"/>
              <w:rPr>
                <w:rFonts w:hint="eastAsia" w:ascii="宋体" w:hAnsi="宋体" w:eastAsia="宋体" w:cs="宋体"/>
                <w:kern w:val="0"/>
                <w:sz w:val="21"/>
                <w:szCs w:val="21"/>
              </w:rPr>
            </w:pPr>
          </w:p>
        </w:tc>
        <w:tc>
          <w:tcPr>
            <w:tcW w:w="677" w:type="dxa"/>
            <w:gridSpan w:val="2"/>
            <w:vMerge w:val="restart"/>
            <w:tcBorders>
              <w:top w:val="nil"/>
              <w:left w:val="nil"/>
              <w:bottom w:val="single" w:color="000000" w:sz="4" w:space="0"/>
              <w:right w:val="single" w:color="auto" w:sz="4" w:space="0"/>
            </w:tcBorders>
            <w:noWrap w:val="0"/>
            <w:vAlign w:val="center"/>
          </w:tcPr>
          <w:p w14:paraId="4726E16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预算管理</w:t>
            </w:r>
          </w:p>
        </w:tc>
        <w:tc>
          <w:tcPr>
            <w:tcW w:w="416" w:type="dxa"/>
            <w:vMerge w:val="restart"/>
            <w:tcBorders>
              <w:top w:val="nil"/>
              <w:left w:val="nil"/>
              <w:bottom w:val="single" w:color="000000" w:sz="4" w:space="0"/>
              <w:right w:val="single" w:color="auto" w:sz="4" w:space="0"/>
            </w:tcBorders>
            <w:noWrap w:val="0"/>
            <w:vAlign w:val="center"/>
          </w:tcPr>
          <w:p w14:paraId="491F8AA7">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40</w:t>
            </w:r>
          </w:p>
        </w:tc>
        <w:tc>
          <w:tcPr>
            <w:tcW w:w="1194" w:type="dxa"/>
            <w:tcBorders>
              <w:top w:val="nil"/>
              <w:left w:val="nil"/>
              <w:bottom w:val="single" w:color="auto" w:sz="4" w:space="0"/>
              <w:right w:val="single" w:color="auto" w:sz="4" w:space="0"/>
            </w:tcBorders>
            <w:noWrap w:val="0"/>
            <w:vAlign w:val="center"/>
          </w:tcPr>
          <w:p w14:paraId="03BCCBCC">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公用经费控制率</w:t>
            </w:r>
          </w:p>
        </w:tc>
        <w:tc>
          <w:tcPr>
            <w:tcW w:w="478" w:type="dxa"/>
            <w:tcBorders>
              <w:top w:val="nil"/>
              <w:left w:val="nil"/>
              <w:bottom w:val="single" w:color="auto" w:sz="4" w:space="0"/>
              <w:right w:val="single" w:color="auto" w:sz="4" w:space="0"/>
            </w:tcBorders>
            <w:noWrap w:val="0"/>
            <w:vAlign w:val="center"/>
          </w:tcPr>
          <w:p w14:paraId="41C933D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2977" w:type="dxa"/>
            <w:tcBorders>
              <w:top w:val="nil"/>
              <w:left w:val="nil"/>
              <w:bottom w:val="single" w:color="auto" w:sz="4" w:space="0"/>
              <w:right w:val="single" w:color="auto" w:sz="4" w:space="0"/>
            </w:tcBorders>
            <w:noWrap w:val="0"/>
            <w:vAlign w:val="center"/>
          </w:tcPr>
          <w:p w14:paraId="1C8F2AFB">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100%以下（含）计满分，每超出1%扣1分，扣完为止。</w:t>
            </w:r>
          </w:p>
        </w:tc>
        <w:tc>
          <w:tcPr>
            <w:tcW w:w="3402" w:type="dxa"/>
            <w:tcBorders>
              <w:top w:val="nil"/>
              <w:left w:val="nil"/>
              <w:bottom w:val="single" w:color="auto" w:sz="4" w:space="0"/>
              <w:right w:val="single" w:color="auto" w:sz="4" w:space="0"/>
            </w:tcBorders>
            <w:noWrap w:val="0"/>
            <w:vAlign w:val="center"/>
          </w:tcPr>
          <w:p w14:paraId="4B37CE53">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公用经费控制率=（实际支出公用经费总额/预算安排公用经费总额）×100%。</w:t>
            </w:r>
          </w:p>
          <w:p w14:paraId="060BC7C7">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公用经费支出是指部门基本支出中的一般商品和服务支出。</w:t>
            </w:r>
          </w:p>
        </w:tc>
        <w:tc>
          <w:tcPr>
            <w:tcW w:w="522" w:type="dxa"/>
            <w:tcBorders>
              <w:top w:val="nil"/>
              <w:left w:val="nil"/>
              <w:bottom w:val="single" w:color="auto" w:sz="4" w:space="0"/>
              <w:right w:val="single" w:color="auto" w:sz="4" w:space="0"/>
            </w:tcBorders>
            <w:noWrap w:val="0"/>
            <w:vAlign w:val="center"/>
          </w:tcPr>
          <w:p w14:paraId="01F7C4E1">
            <w:pPr>
              <w:widowControl/>
              <w:jc w:val="left"/>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　</w:t>
            </w:r>
            <w:r>
              <w:rPr>
                <w:rFonts w:hint="eastAsia" w:ascii="宋体" w:hAnsi="宋体" w:eastAsia="宋体" w:cs="宋体"/>
                <w:kern w:val="0"/>
                <w:sz w:val="28"/>
                <w:szCs w:val="28"/>
                <w:lang w:val="en-US" w:eastAsia="zh-CN"/>
              </w:rPr>
              <w:t>8</w:t>
            </w:r>
          </w:p>
        </w:tc>
      </w:tr>
      <w:tr w14:paraId="6AAF6B42">
        <w:tblPrEx>
          <w:tblCellMar>
            <w:top w:w="0" w:type="dxa"/>
            <w:left w:w="108" w:type="dxa"/>
            <w:bottom w:w="0" w:type="dxa"/>
            <w:right w:w="108" w:type="dxa"/>
          </w:tblCellMar>
        </w:tblPrEx>
        <w:trPr>
          <w:trHeight w:val="107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35FAB447">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2700ECE7">
            <w:pPr>
              <w:widowControl/>
              <w:jc w:val="left"/>
              <w:rPr>
                <w:rFonts w:hint="eastAsia" w:ascii="宋体" w:hAnsi="宋体" w:eastAsia="宋体" w:cs="宋体"/>
                <w:kern w:val="0"/>
                <w:sz w:val="21"/>
                <w:szCs w:val="21"/>
              </w:rPr>
            </w:pPr>
          </w:p>
        </w:tc>
        <w:tc>
          <w:tcPr>
            <w:tcW w:w="677" w:type="dxa"/>
            <w:gridSpan w:val="2"/>
            <w:vMerge w:val="continue"/>
            <w:tcBorders>
              <w:top w:val="nil"/>
              <w:left w:val="nil"/>
              <w:bottom w:val="single" w:color="000000" w:sz="4" w:space="0"/>
              <w:right w:val="single" w:color="auto" w:sz="4" w:space="0"/>
            </w:tcBorders>
            <w:noWrap w:val="0"/>
            <w:vAlign w:val="center"/>
          </w:tcPr>
          <w:p w14:paraId="7F8ABEEB">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71CC0C7A">
            <w:pPr>
              <w:widowControl/>
              <w:jc w:val="left"/>
              <w:rPr>
                <w:rFonts w:hint="eastAsia" w:ascii="宋体" w:hAnsi="宋体" w:eastAsia="宋体" w:cs="宋体"/>
                <w:kern w:val="0"/>
                <w:sz w:val="21"/>
                <w:szCs w:val="21"/>
              </w:rPr>
            </w:pPr>
          </w:p>
        </w:tc>
        <w:tc>
          <w:tcPr>
            <w:tcW w:w="1194" w:type="dxa"/>
            <w:tcBorders>
              <w:top w:val="nil"/>
              <w:left w:val="nil"/>
              <w:bottom w:val="single" w:color="auto" w:sz="4" w:space="0"/>
              <w:right w:val="single" w:color="auto" w:sz="4" w:space="0"/>
            </w:tcBorders>
            <w:noWrap w:val="0"/>
            <w:vAlign w:val="center"/>
          </w:tcPr>
          <w:p w14:paraId="3BDECC21">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“三公经费”控制率</w:t>
            </w:r>
          </w:p>
        </w:tc>
        <w:tc>
          <w:tcPr>
            <w:tcW w:w="478" w:type="dxa"/>
            <w:tcBorders>
              <w:top w:val="nil"/>
              <w:left w:val="nil"/>
              <w:bottom w:val="single" w:color="auto" w:sz="4" w:space="0"/>
              <w:right w:val="single" w:color="auto" w:sz="4" w:space="0"/>
            </w:tcBorders>
            <w:noWrap w:val="0"/>
            <w:vAlign w:val="center"/>
          </w:tcPr>
          <w:p w14:paraId="31D6E794">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7</w:t>
            </w:r>
          </w:p>
        </w:tc>
        <w:tc>
          <w:tcPr>
            <w:tcW w:w="2977" w:type="dxa"/>
            <w:tcBorders>
              <w:top w:val="nil"/>
              <w:left w:val="nil"/>
              <w:bottom w:val="single" w:color="auto" w:sz="4" w:space="0"/>
              <w:right w:val="single" w:color="auto" w:sz="4" w:space="0"/>
            </w:tcBorders>
            <w:noWrap w:val="0"/>
            <w:vAlign w:val="center"/>
          </w:tcPr>
          <w:p w14:paraId="13637753">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100%以下（含）计满分，每超出1%扣1分，扣完为止。</w:t>
            </w:r>
          </w:p>
        </w:tc>
        <w:tc>
          <w:tcPr>
            <w:tcW w:w="3402" w:type="dxa"/>
            <w:tcBorders>
              <w:top w:val="nil"/>
              <w:left w:val="nil"/>
              <w:bottom w:val="single" w:color="auto" w:sz="4" w:space="0"/>
              <w:right w:val="single" w:color="auto" w:sz="4" w:space="0"/>
            </w:tcBorders>
            <w:noWrap w:val="0"/>
            <w:vAlign w:val="center"/>
          </w:tcPr>
          <w:p w14:paraId="56051FEA">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“三公经费”控制率-（“三公经费”实际支出数/“三公经费”预算安排数）×100%。</w:t>
            </w:r>
          </w:p>
        </w:tc>
        <w:tc>
          <w:tcPr>
            <w:tcW w:w="522" w:type="dxa"/>
            <w:tcBorders>
              <w:top w:val="nil"/>
              <w:left w:val="nil"/>
              <w:bottom w:val="single" w:color="auto" w:sz="4" w:space="0"/>
              <w:right w:val="single" w:color="auto" w:sz="4" w:space="0"/>
            </w:tcBorders>
            <w:noWrap w:val="0"/>
            <w:vAlign w:val="center"/>
          </w:tcPr>
          <w:p w14:paraId="647BBEFC">
            <w:pPr>
              <w:widowControl/>
              <w:jc w:val="left"/>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　</w:t>
            </w:r>
            <w:r>
              <w:rPr>
                <w:rFonts w:hint="eastAsia" w:ascii="宋体" w:hAnsi="宋体" w:eastAsia="宋体" w:cs="宋体"/>
                <w:kern w:val="0"/>
                <w:sz w:val="28"/>
                <w:szCs w:val="28"/>
                <w:lang w:val="en-US" w:eastAsia="zh-CN"/>
              </w:rPr>
              <w:t>7</w:t>
            </w:r>
          </w:p>
        </w:tc>
      </w:tr>
      <w:tr w14:paraId="74D09D68">
        <w:tblPrEx>
          <w:tblCellMar>
            <w:top w:w="0" w:type="dxa"/>
            <w:left w:w="108" w:type="dxa"/>
            <w:bottom w:w="0" w:type="dxa"/>
            <w:right w:w="108" w:type="dxa"/>
          </w:tblCellMar>
        </w:tblPrEx>
        <w:trPr>
          <w:trHeight w:val="918"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15D384DA">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7FAD68F9">
            <w:pPr>
              <w:widowControl/>
              <w:jc w:val="left"/>
              <w:rPr>
                <w:rFonts w:hint="eastAsia" w:ascii="宋体" w:hAnsi="宋体" w:eastAsia="宋体" w:cs="宋体"/>
                <w:kern w:val="0"/>
                <w:sz w:val="21"/>
                <w:szCs w:val="21"/>
              </w:rPr>
            </w:pPr>
          </w:p>
        </w:tc>
        <w:tc>
          <w:tcPr>
            <w:tcW w:w="677" w:type="dxa"/>
            <w:gridSpan w:val="2"/>
            <w:vMerge w:val="continue"/>
            <w:tcBorders>
              <w:top w:val="nil"/>
              <w:left w:val="nil"/>
              <w:bottom w:val="single" w:color="000000" w:sz="4" w:space="0"/>
              <w:right w:val="single" w:color="auto" w:sz="4" w:space="0"/>
            </w:tcBorders>
            <w:noWrap w:val="0"/>
            <w:vAlign w:val="center"/>
          </w:tcPr>
          <w:p w14:paraId="3751155F">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10BB6844">
            <w:pPr>
              <w:widowControl/>
              <w:jc w:val="left"/>
              <w:rPr>
                <w:rFonts w:hint="eastAsia" w:ascii="宋体" w:hAnsi="宋体" w:eastAsia="宋体" w:cs="宋体"/>
                <w:kern w:val="0"/>
                <w:sz w:val="21"/>
                <w:szCs w:val="21"/>
              </w:rPr>
            </w:pPr>
          </w:p>
        </w:tc>
        <w:tc>
          <w:tcPr>
            <w:tcW w:w="1194" w:type="dxa"/>
            <w:tcBorders>
              <w:top w:val="nil"/>
              <w:left w:val="nil"/>
              <w:bottom w:val="single" w:color="auto" w:sz="4" w:space="0"/>
              <w:right w:val="single" w:color="auto" w:sz="4" w:space="0"/>
            </w:tcBorders>
            <w:noWrap w:val="0"/>
            <w:vAlign w:val="center"/>
          </w:tcPr>
          <w:p w14:paraId="24D3471C">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政府采购执行率</w:t>
            </w:r>
          </w:p>
        </w:tc>
        <w:tc>
          <w:tcPr>
            <w:tcW w:w="478" w:type="dxa"/>
            <w:tcBorders>
              <w:top w:val="nil"/>
              <w:left w:val="nil"/>
              <w:bottom w:val="single" w:color="auto" w:sz="4" w:space="0"/>
              <w:right w:val="single" w:color="auto" w:sz="4" w:space="0"/>
            </w:tcBorders>
            <w:noWrap w:val="0"/>
            <w:vAlign w:val="center"/>
          </w:tcPr>
          <w:p w14:paraId="18F755C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2977" w:type="dxa"/>
            <w:tcBorders>
              <w:top w:val="nil"/>
              <w:left w:val="nil"/>
              <w:bottom w:val="single" w:color="auto" w:sz="4" w:space="0"/>
              <w:right w:val="single" w:color="auto" w:sz="4" w:space="0"/>
            </w:tcBorders>
            <w:noWrap w:val="0"/>
            <w:vAlign w:val="center"/>
          </w:tcPr>
          <w:p w14:paraId="080408C4">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100%计满分，每超过（降低）5%扣2分。扣完为止。</w:t>
            </w:r>
          </w:p>
        </w:tc>
        <w:tc>
          <w:tcPr>
            <w:tcW w:w="3402" w:type="dxa"/>
            <w:tcBorders>
              <w:top w:val="nil"/>
              <w:left w:val="nil"/>
              <w:bottom w:val="single" w:color="auto" w:sz="4" w:space="0"/>
              <w:right w:val="single" w:color="auto" w:sz="4" w:space="0"/>
            </w:tcBorders>
            <w:noWrap w:val="0"/>
            <w:vAlign w:val="center"/>
          </w:tcPr>
          <w:p w14:paraId="2C256973">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政府采购执行率=（实际政府采购金额/政府采购预算数）×100%</w:t>
            </w:r>
          </w:p>
        </w:tc>
        <w:tc>
          <w:tcPr>
            <w:tcW w:w="522" w:type="dxa"/>
            <w:tcBorders>
              <w:top w:val="nil"/>
              <w:left w:val="nil"/>
              <w:bottom w:val="single" w:color="auto" w:sz="4" w:space="0"/>
              <w:right w:val="single" w:color="auto" w:sz="4" w:space="0"/>
            </w:tcBorders>
            <w:noWrap w:val="0"/>
            <w:vAlign w:val="center"/>
          </w:tcPr>
          <w:p w14:paraId="3B9CF452">
            <w:pPr>
              <w:widowControl/>
              <w:jc w:val="left"/>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6</w:t>
            </w:r>
            <w:r>
              <w:rPr>
                <w:rFonts w:hint="eastAsia" w:ascii="宋体" w:hAnsi="宋体" w:eastAsia="宋体" w:cs="宋体"/>
                <w:kern w:val="0"/>
                <w:sz w:val="28"/>
                <w:szCs w:val="28"/>
              </w:rPr>
              <w:t>　</w:t>
            </w:r>
          </w:p>
        </w:tc>
      </w:tr>
      <w:tr w14:paraId="27F6BC64">
        <w:tblPrEx>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05A19442">
            <w:pPr>
              <w:jc w:val="left"/>
              <w:rPr>
                <w:rFonts w:hint="eastAsia" w:ascii="宋体" w:hAnsi="宋体" w:eastAsia="宋体" w:cs="宋体"/>
                <w:kern w:val="0"/>
                <w:sz w:val="21"/>
                <w:szCs w:val="21"/>
              </w:rPr>
            </w:pPr>
            <w:r>
              <w:rPr>
                <w:rFonts w:hint="eastAsia" w:ascii="宋体" w:hAnsi="宋体" w:eastAsia="宋体" w:cs="宋体"/>
                <w:kern w:val="0"/>
                <w:sz w:val="21"/>
                <w:szCs w:val="21"/>
              </w:rPr>
              <w:t>过                                                                                                                                       程</w:t>
            </w:r>
          </w:p>
        </w:tc>
        <w:tc>
          <w:tcPr>
            <w:tcW w:w="416" w:type="dxa"/>
            <w:vMerge w:val="restart"/>
            <w:tcBorders>
              <w:top w:val="nil"/>
              <w:left w:val="nil"/>
              <w:bottom w:val="single" w:color="000000" w:sz="4" w:space="0"/>
              <w:right w:val="single" w:color="auto" w:sz="4" w:space="0"/>
            </w:tcBorders>
            <w:noWrap w:val="0"/>
            <w:vAlign w:val="center"/>
          </w:tcPr>
          <w:p w14:paraId="33FF974D">
            <w:pPr>
              <w:jc w:val="left"/>
              <w:rPr>
                <w:rFonts w:hint="eastAsia" w:ascii="宋体" w:hAnsi="宋体" w:eastAsia="宋体" w:cs="宋体"/>
                <w:kern w:val="0"/>
                <w:sz w:val="21"/>
                <w:szCs w:val="21"/>
              </w:rPr>
            </w:pPr>
          </w:p>
        </w:tc>
        <w:tc>
          <w:tcPr>
            <w:tcW w:w="677" w:type="dxa"/>
            <w:gridSpan w:val="2"/>
            <w:vMerge w:val="restart"/>
            <w:tcBorders>
              <w:top w:val="nil"/>
              <w:left w:val="nil"/>
              <w:bottom w:val="single" w:color="auto" w:sz="4" w:space="0"/>
              <w:right w:val="single" w:color="auto" w:sz="4" w:space="0"/>
            </w:tcBorders>
            <w:noWrap w:val="0"/>
            <w:vAlign w:val="center"/>
          </w:tcPr>
          <w:p w14:paraId="053ACF22">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预算管理</w:t>
            </w:r>
          </w:p>
        </w:tc>
        <w:tc>
          <w:tcPr>
            <w:tcW w:w="416" w:type="dxa"/>
            <w:vMerge w:val="continue"/>
            <w:tcBorders>
              <w:top w:val="nil"/>
              <w:left w:val="nil"/>
              <w:bottom w:val="single" w:color="000000" w:sz="4" w:space="0"/>
              <w:right w:val="single" w:color="auto" w:sz="4" w:space="0"/>
            </w:tcBorders>
            <w:noWrap w:val="0"/>
            <w:vAlign w:val="center"/>
          </w:tcPr>
          <w:p w14:paraId="185727DC">
            <w:pPr>
              <w:widowControl/>
              <w:jc w:val="left"/>
              <w:rPr>
                <w:rFonts w:hint="eastAsia" w:ascii="宋体" w:hAnsi="宋体" w:eastAsia="宋体" w:cs="宋体"/>
                <w:kern w:val="0"/>
                <w:sz w:val="21"/>
                <w:szCs w:val="21"/>
              </w:rPr>
            </w:pPr>
          </w:p>
        </w:tc>
        <w:tc>
          <w:tcPr>
            <w:tcW w:w="1194" w:type="dxa"/>
            <w:tcBorders>
              <w:top w:val="nil"/>
              <w:left w:val="nil"/>
              <w:bottom w:val="single" w:color="auto" w:sz="4" w:space="0"/>
              <w:right w:val="single" w:color="auto" w:sz="4" w:space="0"/>
            </w:tcBorders>
            <w:noWrap w:val="0"/>
            <w:vAlign w:val="center"/>
          </w:tcPr>
          <w:p w14:paraId="11CACF42">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管理制度健全性</w:t>
            </w:r>
          </w:p>
        </w:tc>
        <w:tc>
          <w:tcPr>
            <w:tcW w:w="478" w:type="dxa"/>
            <w:tcBorders>
              <w:top w:val="nil"/>
              <w:left w:val="nil"/>
              <w:bottom w:val="single" w:color="auto" w:sz="4" w:space="0"/>
              <w:right w:val="single" w:color="auto" w:sz="4" w:space="0"/>
            </w:tcBorders>
            <w:noWrap w:val="0"/>
            <w:vAlign w:val="center"/>
          </w:tcPr>
          <w:p w14:paraId="1A7AE270">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6379" w:type="dxa"/>
            <w:gridSpan w:val="2"/>
            <w:tcBorders>
              <w:top w:val="nil"/>
              <w:left w:val="nil"/>
              <w:bottom w:val="single" w:color="auto" w:sz="4" w:space="0"/>
              <w:right w:val="single" w:color="auto" w:sz="4" w:space="0"/>
            </w:tcBorders>
            <w:noWrap w:val="0"/>
            <w:vAlign w:val="center"/>
          </w:tcPr>
          <w:p w14:paraId="559947E4">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①有内部财务管理制度、会计核算制度等管理制度，2分；</w:t>
            </w:r>
          </w:p>
          <w:p w14:paraId="57581EFD">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②有本部门厉行节约制度,2分；</w:t>
            </w:r>
          </w:p>
          <w:p w14:paraId="7DBF22AC">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③相关管理制度合法、合规、完整，2分；④相关管理制度得到有效执行，2分。</w:t>
            </w:r>
          </w:p>
          <w:p w14:paraId="500A57AD">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w:t>
            </w:r>
          </w:p>
        </w:tc>
        <w:tc>
          <w:tcPr>
            <w:tcW w:w="522" w:type="dxa"/>
            <w:tcBorders>
              <w:top w:val="nil"/>
              <w:left w:val="nil"/>
              <w:bottom w:val="single" w:color="auto" w:sz="4" w:space="0"/>
              <w:right w:val="single" w:color="auto" w:sz="4" w:space="0"/>
            </w:tcBorders>
            <w:noWrap w:val="0"/>
            <w:vAlign w:val="center"/>
          </w:tcPr>
          <w:p w14:paraId="49895809">
            <w:pPr>
              <w:widowControl/>
              <w:jc w:val="left"/>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　</w:t>
            </w:r>
            <w:r>
              <w:rPr>
                <w:rFonts w:hint="eastAsia" w:ascii="宋体" w:hAnsi="宋体" w:eastAsia="宋体" w:cs="宋体"/>
                <w:kern w:val="0"/>
                <w:sz w:val="28"/>
                <w:szCs w:val="28"/>
                <w:lang w:val="en-US" w:eastAsia="zh-CN"/>
              </w:rPr>
              <w:t>8</w:t>
            </w:r>
          </w:p>
        </w:tc>
      </w:tr>
      <w:tr w14:paraId="731C12CD">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015EF0A3">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08DF0D75">
            <w:pPr>
              <w:widowControl/>
              <w:jc w:val="left"/>
              <w:rPr>
                <w:rFonts w:hint="eastAsia" w:ascii="宋体" w:hAnsi="宋体" w:eastAsia="宋体" w:cs="宋体"/>
                <w:kern w:val="0"/>
                <w:sz w:val="21"/>
                <w:szCs w:val="21"/>
              </w:rPr>
            </w:pPr>
          </w:p>
        </w:tc>
        <w:tc>
          <w:tcPr>
            <w:tcW w:w="677" w:type="dxa"/>
            <w:gridSpan w:val="2"/>
            <w:vMerge w:val="continue"/>
            <w:tcBorders>
              <w:top w:val="nil"/>
              <w:left w:val="nil"/>
              <w:bottom w:val="single" w:color="auto" w:sz="4" w:space="0"/>
              <w:right w:val="single" w:color="auto" w:sz="4" w:space="0"/>
            </w:tcBorders>
            <w:noWrap w:val="0"/>
            <w:vAlign w:val="center"/>
          </w:tcPr>
          <w:p w14:paraId="07E45336">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0B9A42B1">
            <w:pPr>
              <w:widowControl/>
              <w:jc w:val="left"/>
              <w:rPr>
                <w:rFonts w:hint="eastAsia" w:ascii="宋体" w:hAnsi="宋体" w:eastAsia="宋体" w:cs="宋体"/>
                <w:kern w:val="0"/>
                <w:sz w:val="21"/>
                <w:szCs w:val="21"/>
              </w:rPr>
            </w:pPr>
          </w:p>
        </w:tc>
        <w:tc>
          <w:tcPr>
            <w:tcW w:w="1194" w:type="dxa"/>
            <w:tcBorders>
              <w:top w:val="nil"/>
              <w:left w:val="nil"/>
              <w:bottom w:val="single" w:color="auto" w:sz="4" w:space="0"/>
              <w:right w:val="single" w:color="auto" w:sz="4" w:space="0"/>
            </w:tcBorders>
            <w:noWrap w:val="0"/>
            <w:vAlign w:val="center"/>
          </w:tcPr>
          <w:p w14:paraId="2D546248">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资金使用合规性</w:t>
            </w:r>
          </w:p>
        </w:tc>
        <w:tc>
          <w:tcPr>
            <w:tcW w:w="478" w:type="dxa"/>
            <w:tcBorders>
              <w:top w:val="nil"/>
              <w:left w:val="nil"/>
              <w:bottom w:val="single" w:color="auto" w:sz="4" w:space="0"/>
              <w:right w:val="single" w:color="auto" w:sz="4" w:space="0"/>
            </w:tcBorders>
            <w:noWrap w:val="0"/>
            <w:vAlign w:val="center"/>
          </w:tcPr>
          <w:p w14:paraId="0EF2FA0D">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6379" w:type="dxa"/>
            <w:gridSpan w:val="2"/>
            <w:tcBorders>
              <w:top w:val="nil"/>
              <w:left w:val="nil"/>
              <w:bottom w:val="single" w:color="auto" w:sz="4" w:space="0"/>
              <w:right w:val="single" w:color="auto" w:sz="4" w:space="0"/>
            </w:tcBorders>
            <w:noWrap w:val="0"/>
            <w:vAlign w:val="center"/>
          </w:tcPr>
          <w:p w14:paraId="633428B2">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①支出符合国家财经法规和财务管理制度规定以及有关专项资金管理办法的规定；②资金拨付有完整的审批程序和手续；③项目支出按规定经过评估论证；④支出符合部门预算批复的用途；⑤资金使用无截留、挤占、挪用、虚列支出等情况。</w:t>
            </w:r>
          </w:p>
          <w:p w14:paraId="7EEE2583">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以上情况每出现一例不符合要求的扣1分，扣完为止。</w:t>
            </w:r>
          </w:p>
          <w:p w14:paraId="2EA120D2">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w:t>
            </w:r>
          </w:p>
        </w:tc>
        <w:tc>
          <w:tcPr>
            <w:tcW w:w="522" w:type="dxa"/>
            <w:tcBorders>
              <w:top w:val="nil"/>
              <w:left w:val="nil"/>
              <w:bottom w:val="single" w:color="auto" w:sz="4" w:space="0"/>
              <w:right w:val="single" w:color="auto" w:sz="4" w:space="0"/>
            </w:tcBorders>
            <w:noWrap w:val="0"/>
            <w:vAlign w:val="center"/>
          </w:tcPr>
          <w:p w14:paraId="2CDC2899">
            <w:pPr>
              <w:widowControl/>
              <w:jc w:val="left"/>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　</w:t>
            </w:r>
            <w:r>
              <w:rPr>
                <w:rFonts w:hint="eastAsia" w:ascii="宋体" w:hAnsi="宋体" w:eastAsia="宋体" w:cs="宋体"/>
                <w:kern w:val="0"/>
                <w:sz w:val="28"/>
                <w:szCs w:val="28"/>
                <w:lang w:val="en-US" w:eastAsia="zh-CN"/>
              </w:rPr>
              <w:t>6</w:t>
            </w:r>
          </w:p>
        </w:tc>
      </w:tr>
      <w:tr w14:paraId="414D87F6">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5F90093E">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062A5793">
            <w:pPr>
              <w:widowControl/>
              <w:jc w:val="left"/>
              <w:rPr>
                <w:rFonts w:hint="eastAsia" w:ascii="宋体" w:hAnsi="宋体" w:eastAsia="宋体" w:cs="宋体"/>
                <w:kern w:val="0"/>
                <w:sz w:val="21"/>
                <w:szCs w:val="21"/>
              </w:rPr>
            </w:pPr>
          </w:p>
        </w:tc>
        <w:tc>
          <w:tcPr>
            <w:tcW w:w="677" w:type="dxa"/>
            <w:gridSpan w:val="2"/>
            <w:vMerge w:val="continue"/>
            <w:tcBorders>
              <w:top w:val="nil"/>
              <w:left w:val="nil"/>
              <w:bottom w:val="single" w:color="auto" w:sz="4" w:space="0"/>
              <w:right w:val="single" w:color="auto" w:sz="4" w:space="0"/>
            </w:tcBorders>
            <w:noWrap w:val="0"/>
            <w:vAlign w:val="center"/>
          </w:tcPr>
          <w:p w14:paraId="37FA393C">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2D6D6BF9">
            <w:pPr>
              <w:widowControl/>
              <w:jc w:val="left"/>
              <w:rPr>
                <w:rFonts w:hint="eastAsia" w:ascii="宋体" w:hAnsi="宋体" w:eastAsia="宋体" w:cs="宋体"/>
                <w:kern w:val="0"/>
                <w:sz w:val="21"/>
                <w:szCs w:val="21"/>
              </w:rPr>
            </w:pPr>
          </w:p>
        </w:tc>
        <w:tc>
          <w:tcPr>
            <w:tcW w:w="1194" w:type="dxa"/>
            <w:tcBorders>
              <w:top w:val="nil"/>
              <w:left w:val="nil"/>
              <w:bottom w:val="single" w:color="auto" w:sz="4" w:space="0"/>
              <w:right w:val="single" w:color="auto" w:sz="4" w:space="0"/>
            </w:tcBorders>
            <w:noWrap w:val="0"/>
            <w:vAlign w:val="center"/>
          </w:tcPr>
          <w:p w14:paraId="06CFA4B7">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预决算信息公开性</w:t>
            </w:r>
          </w:p>
        </w:tc>
        <w:tc>
          <w:tcPr>
            <w:tcW w:w="478" w:type="dxa"/>
            <w:tcBorders>
              <w:top w:val="nil"/>
              <w:left w:val="nil"/>
              <w:bottom w:val="single" w:color="auto" w:sz="4" w:space="0"/>
              <w:right w:val="single" w:color="auto" w:sz="4" w:space="0"/>
            </w:tcBorders>
            <w:noWrap w:val="0"/>
            <w:vAlign w:val="center"/>
          </w:tcPr>
          <w:p w14:paraId="0F28030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2977" w:type="dxa"/>
            <w:tcBorders>
              <w:top w:val="nil"/>
              <w:left w:val="nil"/>
              <w:bottom w:val="single" w:color="auto" w:sz="4" w:space="0"/>
              <w:right w:val="single" w:color="auto" w:sz="4" w:space="0"/>
            </w:tcBorders>
            <w:noWrap w:val="0"/>
            <w:vAlign w:val="center"/>
          </w:tcPr>
          <w:p w14:paraId="4065FA83">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xml:space="preserve">①按规定内容公开预决算信息，1分；②按规定时限公开预决算信息，1分；③基础数据信息和会计信息资料真实，1分；④基础数据信息和会计信息资料完整，1分；⑤基础数据信息和汇集信息资料准确，1分。  </w:t>
            </w:r>
          </w:p>
        </w:tc>
        <w:tc>
          <w:tcPr>
            <w:tcW w:w="3402" w:type="dxa"/>
            <w:tcBorders>
              <w:top w:val="nil"/>
              <w:left w:val="nil"/>
              <w:bottom w:val="single" w:color="auto" w:sz="4" w:space="0"/>
              <w:right w:val="single" w:color="auto" w:sz="4" w:space="0"/>
            </w:tcBorders>
            <w:noWrap w:val="0"/>
            <w:vAlign w:val="center"/>
          </w:tcPr>
          <w:p w14:paraId="2AA96056">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预决算信息是指与部门预算、执行、决算、监督、绩效等管理相关的信息。</w:t>
            </w:r>
          </w:p>
        </w:tc>
        <w:tc>
          <w:tcPr>
            <w:tcW w:w="522" w:type="dxa"/>
            <w:tcBorders>
              <w:top w:val="nil"/>
              <w:left w:val="nil"/>
              <w:bottom w:val="single" w:color="auto" w:sz="4" w:space="0"/>
              <w:right w:val="single" w:color="auto" w:sz="4" w:space="0"/>
            </w:tcBorders>
            <w:noWrap w:val="0"/>
            <w:vAlign w:val="center"/>
          </w:tcPr>
          <w:p w14:paraId="7E72ED01">
            <w:pPr>
              <w:widowControl/>
              <w:jc w:val="left"/>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　</w:t>
            </w:r>
            <w:r>
              <w:rPr>
                <w:rFonts w:hint="eastAsia" w:ascii="宋体" w:hAnsi="宋体" w:eastAsia="宋体" w:cs="宋体"/>
                <w:kern w:val="0"/>
                <w:sz w:val="28"/>
                <w:szCs w:val="28"/>
                <w:lang w:val="en-US" w:eastAsia="zh-CN"/>
              </w:rPr>
              <w:t>5</w:t>
            </w:r>
          </w:p>
        </w:tc>
      </w:tr>
      <w:tr w14:paraId="65BE7CFA">
        <w:tblPrEx>
          <w:tblCellMar>
            <w:top w:w="0" w:type="dxa"/>
            <w:left w:w="108" w:type="dxa"/>
            <w:bottom w:w="0" w:type="dxa"/>
            <w:right w:w="108" w:type="dxa"/>
          </w:tblCellMar>
        </w:tblPrEx>
        <w:trPr>
          <w:jc w:val="center"/>
        </w:trPr>
        <w:tc>
          <w:tcPr>
            <w:tcW w:w="518" w:type="dxa"/>
            <w:vMerge w:val="restart"/>
            <w:tcBorders>
              <w:top w:val="nil"/>
              <w:left w:val="single" w:color="auto" w:sz="4" w:space="0"/>
              <w:bottom w:val="single" w:color="000000" w:sz="4" w:space="0"/>
              <w:right w:val="single" w:color="auto" w:sz="4" w:space="0"/>
            </w:tcBorders>
            <w:noWrap w:val="0"/>
            <w:vAlign w:val="center"/>
          </w:tcPr>
          <w:p w14:paraId="2C1E2D8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产出及效率</w:t>
            </w:r>
          </w:p>
        </w:tc>
        <w:tc>
          <w:tcPr>
            <w:tcW w:w="416" w:type="dxa"/>
            <w:vMerge w:val="restart"/>
            <w:tcBorders>
              <w:top w:val="nil"/>
              <w:left w:val="nil"/>
              <w:bottom w:val="single" w:color="000000" w:sz="4" w:space="0"/>
              <w:right w:val="single" w:color="auto" w:sz="4" w:space="0"/>
            </w:tcBorders>
            <w:noWrap w:val="0"/>
            <w:vAlign w:val="center"/>
          </w:tcPr>
          <w:p w14:paraId="5FA9728B">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30</w:t>
            </w:r>
          </w:p>
        </w:tc>
        <w:tc>
          <w:tcPr>
            <w:tcW w:w="677" w:type="dxa"/>
            <w:gridSpan w:val="2"/>
            <w:tcBorders>
              <w:top w:val="nil"/>
              <w:left w:val="nil"/>
              <w:bottom w:val="single" w:color="auto" w:sz="4" w:space="0"/>
              <w:right w:val="single" w:color="auto" w:sz="4" w:space="0"/>
            </w:tcBorders>
            <w:noWrap w:val="0"/>
            <w:vAlign w:val="center"/>
          </w:tcPr>
          <w:p w14:paraId="31CE3B36">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职责履行</w:t>
            </w:r>
          </w:p>
        </w:tc>
        <w:tc>
          <w:tcPr>
            <w:tcW w:w="416" w:type="dxa"/>
            <w:tcBorders>
              <w:top w:val="nil"/>
              <w:left w:val="nil"/>
              <w:bottom w:val="single" w:color="auto" w:sz="4" w:space="0"/>
              <w:right w:val="single" w:color="auto" w:sz="4" w:space="0"/>
            </w:tcBorders>
            <w:noWrap w:val="0"/>
            <w:vAlign w:val="center"/>
          </w:tcPr>
          <w:p w14:paraId="5C353EAA">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1194" w:type="dxa"/>
            <w:tcBorders>
              <w:top w:val="nil"/>
              <w:left w:val="nil"/>
              <w:bottom w:val="nil"/>
              <w:right w:val="single" w:color="auto" w:sz="4" w:space="0"/>
            </w:tcBorders>
            <w:noWrap w:val="0"/>
            <w:vAlign w:val="center"/>
          </w:tcPr>
          <w:p w14:paraId="3D4974C4">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重点工作实际完成率</w:t>
            </w:r>
          </w:p>
        </w:tc>
        <w:tc>
          <w:tcPr>
            <w:tcW w:w="478" w:type="dxa"/>
            <w:tcBorders>
              <w:top w:val="nil"/>
              <w:left w:val="nil"/>
              <w:bottom w:val="single" w:color="auto" w:sz="4" w:space="0"/>
              <w:right w:val="single" w:color="auto" w:sz="4" w:space="0"/>
            </w:tcBorders>
            <w:noWrap w:val="0"/>
            <w:vAlign w:val="center"/>
          </w:tcPr>
          <w:p w14:paraId="2A538359">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2977" w:type="dxa"/>
            <w:tcBorders>
              <w:top w:val="nil"/>
              <w:left w:val="nil"/>
              <w:bottom w:val="single" w:color="auto" w:sz="4" w:space="0"/>
              <w:right w:val="single" w:color="auto" w:sz="4" w:space="0"/>
            </w:tcBorders>
            <w:noWrap w:val="0"/>
            <w:vAlign w:val="center"/>
          </w:tcPr>
          <w:p w14:paraId="5BCDB9F8">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根据绩效办2024年对各部门为民办实事和部门重点工程与重点工作考核分数折算。</w:t>
            </w:r>
          </w:p>
          <w:p w14:paraId="671ACCB5">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该项得分=（绩效办对应部分考核得分/350）*8</w:t>
            </w:r>
          </w:p>
        </w:tc>
        <w:tc>
          <w:tcPr>
            <w:tcW w:w="3402" w:type="dxa"/>
            <w:tcBorders>
              <w:top w:val="nil"/>
              <w:left w:val="nil"/>
              <w:bottom w:val="single" w:color="auto" w:sz="4" w:space="0"/>
              <w:right w:val="single" w:color="auto" w:sz="4" w:space="0"/>
            </w:tcBorders>
            <w:noWrap w:val="0"/>
            <w:vAlign w:val="center"/>
          </w:tcPr>
          <w:p w14:paraId="3A54A2DC">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　</w:t>
            </w:r>
          </w:p>
        </w:tc>
        <w:tc>
          <w:tcPr>
            <w:tcW w:w="522" w:type="dxa"/>
            <w:tcBorders>
              <w:top w:val="nil"/>
              <w:left w:val="nil"/>
              <w:bottom w:val="single" w:color="auto" w:sz="4" w:space="0"/>
              <w:right w:val="single" w:color="auto" w:sz="4" w:space="0"/>
            </w:tcBorders>
            <w:noWrap w:val="0"/>
            <w:vAlign w:val="center"/>
          </w:tcPr>
          <w:p w14:paraId="42B4927A">
            <w:pPr>
              <w:widowControl/>
              <w:jc w:val="left"/>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8</w:t>
            </w:r>
            <w:r>
              <w:rPr>
                <w:rFonts w:hint="eastAsia" w:ascii="宋体" w:hAnsi="宋体" w:eastAsia="宋体" w:cs="宋体"/>
                <w:kern w:val="0"/>
                <w:sz w:val="28"/>
                <w:szCs w:val="28"/>
              </w:rPr>
              <w:t>　</w:t>
            </w:r>
          </w:p>
        </w:tc>
      </w:tr>
      <w:tr w14:paraId="1DE606AE">
        <w:tblPrEx>
          <w:tblCellMar>
            <w:top w:w="0" w:type="dxa"/>
            <w:left w:w="108" w:type="dxa"/>
            <w:bottom w:w="0" w:type="dxa"/>
            <w:right w:w="108" w:type="dxa"/>
          </w:tblCellMar>
        </w:tblPrEx>
        <w:trPr>
          <w:trHeight w:val="445"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7EC39342">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59F7BED2">
            <w:pPr>
              <w:widowControl/>
              <w:jc w:val="left"/>
              <w:rPr>
                <w:rFonts w:hint="eastAsia" w:ascii="宋体" w:hAnsi="宋体" w:eastAsia="宋体" w:cs="宋体"/>
                <w:kern w:val="0"/>
                <w:sz w:val="21"/>
                <w:szCs w:val="21"/>
              </w:rPr>
            </w:pPr>
          </w:p>
        </w:tc>
        <w:tc>
          <w:tcPr>
            <w:tcW w:w="677" w:type="dxa"/>
            <w:gridSpan w:val="2"/>
            <w:vMerge w:val="restart"/>
            <w:tcBorders>
              <w:top w:val="nil"/>
              <w:left w:val="nil"/>
              <w:bottom w:val="single" w:color="000000" w:sz="4" w:space="0"/>
              <w:right w:val="single" w:color="auto" w:sz="4" w:space="0"/>
            </w:tcBorders>
            <w:noWrap w:val="0"/>
            <w:vAlign w:val="center"/>
          </w:tcPr>
          <w:p w14:paraId="435B620F">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履职 效益</w:t>
            </w:r>
          </w:p>
        </w:tc>
        <w:tc>
          <w:tcPr>
            <w:tcW w:w="416" w:type="dxa"/>
            <w:vMerge w:val="restart"/>
            <w:tcBorders>
              <w:top w:val="nil"/>
              <w:left w:val="nil"/>
              <w:bottom w:val="single" w:color="000000" w:sz="4" w:space="0"/>
              <w:right w:val="single" w:color="auto" w:sz="4" w:space="0"/>
            </w:tcBorders>
            <w:noWrap w:val="0"/>
            <w:vAlign w:val="center"/>
          </w:tcPr>
          <w:p w14:paraId="63CAB76C">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1194" w:type="dxa"/>
            <w:tcBorders>
              <w:top w:val="single" w:color="auto" w:sz="4" w:space="0"/>
              <w:left w:val="nil"/>
              <w:bottom w:val="single" w:color="auto" w:sz="4" w:space="0"/>
              <w:right w:val="single" w:color="auto" w:sz="4" w:space="0"/>
            </w:tcBorders>
            <w:noWrap w:val="0"/>
            <w:vAlign w:val="center"/>
          </w:tcPr>
          <w:p w14:paraId="2F444E9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经济效益</w:t>
            </w:r>
          </w:p>
        </w:tc>
        <w:tc>
          <w:tcPr>
            <w:tcW w:w="478" w:type="dxa"/>
            <w:vMerge w:val="restart"/>
            <w:tcBorders>
              <w:top w:val="nil"/>
              <w:left w:val="nil"/>
              <w:bottom w:val="nil"/>
              <w:right w:val="single" w:color="auto" w:sz="4" w:space="0"/>
            </w:tcBorders>
            <w:noWrap w:val="0"/>
            <w:vAlign w:val="center"/>
          </w:tcPr>
          <w:p w14:paraId="3343D3C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6379" w:type="dxa"/>
            <w:gridSpan w:val="2"/>
            <w:vMerge w:val="restart"/>
            <w:tcBorders>
              <w:top w:val="nil"/>
              <w:left w:val="nil"/>
              <w:bottom w:val="nil"/>
              <w:right w:val="single" w:color="000000" w:sz="4" w:space="0"/>
            </w:tcBorders>
            <w:noWrap w:val="0"/>
            <w:vAlign w:val="center"/>
          </w:tcPr>
          <w:p w14:paraId="430C245B">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color="auto" w:sz="4" w:space="0"/>
            </w:tcBorders>
            <w:noWrap w:val="0"/>
            <w:vAlign w:val="center"/>
          </w:tcPr>
          <w:p w14:paraId="21015FE4">
            <w:pPr>
              <w:widowControl/>
              <w:jc w:val="left"/>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　</w:t>
            </w:r>
            <w:r>
              <w:rPr>
                <w:rFonts w:hint="eastAsia" w:ascii="宋体" w:hAnsi="宋体" w:eastAsia="宋体" w:cs="宋体"/>
                <w:kern w:val="0"/>
                <w:sz w:val="28"/>
                <w:szCs w:val="28"/>
                <w:lang w:val="en-US" w:eastAsia="zh-CN"/>
              </w:rPr>
              <w:t>10</w:t>
            </w:r>
          </w:p>
        </w:tc>
      </w:tr>
      <w:tr w14:paraId="0502CEA6">
        <w:tblPrEx>
          <w:tblCellMar>
            <w:top w:w="0" w:type="dxa"/>
            <w:left w:w="108" w:type="dxa"/>
            <w:bottom w:w="0" w:type="dxa"/>
            <w:right w:w="108" w:type="dxa"/>
          </w:tblCellMar>
        </w:tblPrEx>
        <w:trPr>
          <w:trHeight w:val="383" w:hRule="atLeast"/>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06F510F3">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1869DABF">
            <w:pPr>
              <w:widowControl/>
              <w:jc w:val="left"/>
              <w:rPr>
                <w:rFonts w:hint="eastAsia" w:ascii="宋体" w:hAnsi="宋体" w:eastAsia="宋体" w:cs="宋体"/>
                <w:kern w:val="0"/>
                <w:sz w:val="21"/>
                <w:szCs w:val="21"/>
              </w:rPr>
            </w:pPr>
          </w:p>
        </w:tc>
        <w:tc>
          <w:tcPr>
            <w:tcW w:w="677" w:type="dxa"/>
            <w:gridSpan w:val="2"/>
            <w:vMerge w:val="continue"/>
            <w:tcBorders>
              <w:top w:val="nil"/>
              <w:left w:val="nil"/>
              <w:bottom w:val="single" w:color="000000" w:sz="4" w:space="0"/>
              <w:right w:val="single" w:color="auto" w:sz="4" w:space="0"/>
            </w:tcBorders>
            <w:noWrap w:val="0"/>
            <w:vAlign w:val="center"/>
          </w:tcPr>
          <w:p w14:paraId="3BFD6FAF">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787E0435">
            <w:pPr>
              <w:widowControl/>
              <w:jc w:val="left"/>
              <w:rPr>
                <w:rFonts w:hint="eastAsia" w:ascii="宋体" w:hAnsi="宋体" w:eastAsia="宋体" w:cs="宋体"/>
                <w:kern w:val="0"/>
                <w:sz w:val="21"/>
                <w:szCs w:val="21"/>
              </w:rPr>
            </w:pPr>
          </w:p>
        </w:tc>
        <w:tc>
          <w:tcPr>
            <w:tcW w:w="1194" w:type="dxa"/>
            <w:tcBorders>
              <w:top w:val="nil"/>
              <w:left w:val="nil"/>
              <w:bottom w:val="single" w:color="auto" w:sz="4" w:space="0"/>
              <w:right w:val="single" w:color="auto" w:sz="4" w:space="0"/>
            </w:tcBorders>
            <w:noWrap w:val="0"/>
            <w:vAlign w:val="center"/>
          </w:tcPr>
          <w:p w14:paraId="33CCE543">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社会效益</w:t>
            </w:r>
          </w:p>
        </w:tc>
        <w:tc>
          <w:tcPr>
            <w:tcW w:w="478" w:type="dxa"/>
            <w:vMerge w:val="continue"/>
            <w:tcBorders>
              <w:top w:val="nil"/>
              <w:left w:val="nil"/>
              <w:bottom w:val="nil"/>
              <w:right w:val="single" w:color="auto" w:sz="4" w:space="0"/>
            </w:tcBorders>
            <w:noWrap w:val="0"/>
            <w:vAlign w:val="center"/>
          </w:tcPr>
          <w:p w14:paraId="302CB3D4">
            <w:pPr>
              <w:widowControl/>
              <w:jc w:val="left"/>
              <w:rPr>
                <w:rFonts w:hint="eastAsia" w:ascii="宋体" w:hAnsi="宋体" w:eastAsia="宋体" w:cs="宋体"/>
                <w:kern w:val="0"/>
                <w:sz w:val="21"/>
                <w:szCs w:val="21"/>
              </w:rPr>
            </w:pPr>
          </w:p>
        </w:tc>
        <w:tc>
          <w:tcPr>
            <w:tcW w:w="6379" w:type="dxa"/>
            <w:gridSpan w:val="2"/>
            <w:vMerge w:val="continue"/>
            <w:tcBorders>
              <w:top w:val="nil"/>
              <w:left w:val="nil"/>
              <w:bottom w:val="nil"/>
              <w:right w:val="single" w:color="000000" w:sz="4" w:space="0"/>
            </w:tcBorders>
            <w:noWrap w:val="0"/>
            <w:vAlign w:val="center"/>
          </w:tcPr>
          <w:p w14:paraId="53AA341B">
            <w:pPr>
              <w:widowControl/>
              <w:jc w:val="left"/>
              <w:rPr>
                <w:rFonts w:hint="eastAsia" w:ascii="宋体" w:hAnsi="宋体" w:eastAsia="宋体" w:cs="宋体"/>
                <w:kern w:val="0"/>
                <w:sz w:val="21"/>
                <w:szCs w:val="21"/>
              </w:rPr>
            </w:pPr>
          </w:p>
        </w:tc>
        <w:tc>
          <w:tcPr>
            <w:tcW w:w="522" w:type="dxa"/>
            <w:tcBorders>
              <w:top w:val="nil"/>
              <w:left w:val="nil"/>
              <w:bottom w:val="nil"/>
              <w:right w:val="single" w:color="auto" w:sz="4" w:space="0"/>
            </w:tcBorders>
            <w:noWrap w:val="0"/>
            <w:vAlign w:val="center"/>
          </w:tcPr>
          <w:p w14:paraId="00C56A8B">
            <w:pPr>
              <w:widowControl/>
              <w:jc w:val="left"/>
              <w:rPr>
                <w:rFonts w:hint="eastAsia" w:ascii="宋体" w:hAnsi="宋体" w:eastAsia="宋体" w:cs="宋体"/>
                <w:kern w:val="0"/>
                <w:sz w:val="28"/>
                <w:szCs w:val="28"/>
              </w:rPr>
            </w:pPr>
            <w:r>
              <w:rPr>
                <w:rFonts w:hint="eastAsia" w:ascii="宋体" w:hAnsi="宋体" w:eastAsia="宋体" w:cs="宋体"/>
                <w:kern w:val="0"/>
                <w:sz w:val="28"/>
                <w:szCs w:val="28"/>
              </w:rPr>
              <w:t>　</w:t>
            </w:r>
          </w:p>
        </w:tc>
      </w:tr>
      <w:tr w14:paraId="26CE19C2">
        <w:tblPrEx>
          <w:tblCellMar>
            <w:top w:w="0" w:type="dxa"/>
            <w:left w:w="108" w:type="dxa"/>
            <w:bottom w:w="0" w:type="dxa"/>
            <w:right w:w="108" w:type="dxa"/>
          </w:tblCellMar>
        </w:tblPrEx>
        <w:trPr>
          <w:jc w:val="center"/>
        </w:trPr>
        <w:tc>
          <w:tcPr>
            <w:tcW w:w="518" w:type="dxa"/>
            <w:vMerge w:val="continue"/>
            <w:tcBorders>
              <w:top w:val="nil"/>
              <w:left w:val="single" w:color="auto" w:sz="4" w:space="0"/>
              <w:bottom w:val="single" w:color="000000" w:sz="4" w:space="0"/>
              <w:right w:val="single" w:color="auto" w:sz="4" w:space="0"/>
            </w:tcBorders>
            <w:noWrap w:val="0"/>
            <w:vAlign w:val="center"/>
          </w:tcPr>
          <w:p w14:paraId="6E2ABC8F">
            <w:pPr>
              <w:widowControl/>
              <w:jc w:val="left"/>
              <w:rPr>
                <w:rFonts w:hint="eastAsia" w:ascii="宋体" w:hAnsi="宋体" w:eastAsia="宋体" w:cs="宋体"/>
                <w:kern w:val="0"/>
                <w:sz w:val="21"/>
                <w:szCs w:val="21"/>
              </w:rPr>
            </w:pPr>
          </w:p>
        </w:tc>
        <w:tc>
          <w:tcPr>
            <w:tcW w:w="416" w:type="dxa"/>
            <w:vMerge w:val="continue"/>
            <w:tcBorders>
              <w:top w:val="nil"/>
              <w:left w:val="nil"/>
              <w:bottom w:val="single" w:color="000000" w:sz="4" w:space="0"/>
              <w:right w:val="single" w:color="auto" w:sz="4" w:space="0"/>
            </w:tcBorders>
            <w:noWrap w:val="0"/>
            <w:vAlign w:val="center"/>
          </w:tcPr>
          <w:p w14:paraId="7D9B21F9">
            <w:pPr>
              <w:widowControl/>
              <w:jc w:val="left"/>
              <w:rPr>
                <w:rFonts w:hint="eastAsia" w:ascii="宋体" w:hAnsi="宋体" w:eastAsia="宋体" w:cs="宋体"/>
                <w:kern w:val="0"/>
                <w:sz w:val="21"/>
                <w:szCs w:val="21"/>
              </w:rPr>
            </w:pPr>
          </w:p>
        </w:tc>
        <w:tc>
          <w:tcPr>
            <w:tcW w:w="677" w:type="dxa"/>
            <w:gridSpan w:val="2"/>
            <w:vMerge w:val="continue"/>
            <w:tcBorders>
              <w:top w:val="nil"/>
              <w:left w:val="nil"/>
              <w:bottom w:val="single" w:color="000000" w:sz="4" w:space="0"/>
              <w:right w:val="single" w:color="auto" w:sz="4" w:space="0"/>
            </w:tcBorders>
            <w:noWrap w:val="0"/>
            <w:vAlign w:val="center"/>
          </w:tcPr>
          <w:p w14:paraId="7090FD6B">
            <w:pPr>
              <w:widowControl/>
              <w:jc w:val="left"/>
              <w:rPr>
                <w:rFonts w:hint="eastAsia" w:ascii="宋体" w:hAnsi="宋体" w:eastAsia="宋体" w:cs="宋体"/>
                <w:kern w:val="0"/>
                <w:sz w:val="21"/>
                <w:szCs w:val="21"/>
              </w:rPr>
            </w:pPr>
          </w:p>
        </w:tc>
        <w:tc>
          <w:tcPr>
            <w:tcW w:w="416" w:type="dxa"/>
            <w:vMerge w:val="restart"/>
            <w:tcBorders>
              <w:top w:val="nil"/>
              <w:left w:val="nil"/>
              <w:bottom w:val="single" w:color="000000" w:sz="4" w:space="0"/>
              <w:right w:val="single" w:color="auto" w:sz="4" w:space="0"/>
            </w:tcBorders>
            <w:noWrap w:val="0"/>
            <w:vAlign w:val="center"/>
          </w:tcPr>
          <w:p w14:paraId="55A7FD1E">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12</w:t>
            </w:r>
          </w:p>
        </w:tc>
        <w:tc>
          <w:tcPr>
            <w:tcW w:w="1194" w:type="dxa"/>
            <w:tcBorders>
              <w:top w:val="nil"/>
              <w:left w:val="nil"/>
              <w:bottom w:val="single" w:color="auto" w:sz="4" w:space="0"/>
              <w:right w:val="single" w:color="auto" w:sz="4" w:space="0"/>
            </w:tcBorders>
            <w:noWrap w:val="0"/>
            <w:vAlign w:val="center"/>
          </w:tcPr>
          <w:p w14:paraId="6CB72D57">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行政效能</w:t>
            </w:r>
          </w:p>
        </w:tc>
        <w:tc>
          <w:tcPr>
            <w:tcW w:w="478" w:type="dxa"/>
            <w:tcBorders>
              <w:top w:val="single" w:color="auto" w:sz="4" w:space="0"/>
              <w:left w:val="nil"/>
              <w:bottom w:val="single" w:color="auto" w:sz="4" w:space="0"/>
              <w:right w:val="single" w:color="auto" w:sz="4" w:space="0"/>
            </w:tcBorders>
            <w:noWrap w:val="0"/>
            <w:vAlign w:val="center"/>
          </w:tcPr>
          <w:p w14:paraId="1A88D931">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2977" w:type="dxa"/>
            <w:tcBorders>
              <w:top w:val="single" w:color="auto" w:sz="4" w:space="0"/>
              <w:left w:val="nil"/>
              <w:bottom w:val="single" w:color="auto" w:sz="4" w:space="0"/>
              <w:right w:val="single" w:color="auto" w:sz="4" w:space="0"/>
            </w:tcBorders>
            <w:noWrap w:val="0"/>
            <w:vAlign w:val="center"/>
          </w:tcPr>
          <w:p w14:paraId="58E20E5C">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促进部门改进文风会风，加强经费及资产管理，推动网上办事，提高行政效率，降低行政成本效果较好的计6分；一般3分；无效果或者效果不明显0分。</w:t>
            </w:r>
          </w:p>
        </w:tc>
        <w:tc>
          <w:tcPr>
            <w:tcW w:w="3402" w:type="dxa"/>
            <w:tcBorders>
              <w:top w:val="single" w:color="auto" w:sz="4" w:space="0"/>
              <w:left w:val="nil"/>
              <w:bottom w:val="single" w:color="auto" w:sz="4" w:space="0"/>
              <w:right w:val="single" w:color="auto" w:sz="4" w:space="0"/>
            </w:tcBorders>
            <w:noWrap w:val="0"/>
            <w:vAlign w:val="center"/>
          </w:tcPr>
          <w:p w14:paraId="0F1A933B">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根据部门自评材料评定。</w:t>
            </w:r>
          </w:p>
        </w:tc>
        <w:tc>
          <w:tcPr>
            <w:tcW w:w="522" w:type="dxa"/>
            <w:tcBorders>
              <w:top w:val="single" w:color="auto" w:sz="4" w:space="0"/>
              <w:left w:val="nil"/>
              <w:bottom w:val="single" w:color="auto" w:sz="4" w:space="0"/>
              <w:right w:val="single" w:color="auto" w:sz="4" w:space="0"/>
            </w:tcBorders>
            <w:noWrap w:val="0"/>
            <w:vAlign w:val="center"/>
          </w:tcPr>
          <w:p w14:paraId="520B6EF1">
            <w:pPr>
              <w:widowControl/>
              <w:jc w:val="left"/>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6</w:t>
            </w:r>
          </w:p>
        </w:tc>
      </w:tr>
      <w:tr w14:paraId="756B2EE0">
        <w:tblPrEx>
          <w:tblCellMar>
            <w:top w:w="0" w:type="dxa"/>
            <w:left w:w="108" w:type="dxa"/>
            <w:bottom w:w="0" w:type="dxa"/>
            <w:right w:w="108" w:type="dxa"/>
          </w:tblCellMar>
        </w:tblPrEx>
        <w:trPr>
          <w:trHeight w:val="1241" w:hRule="atLeast"/>
          <w:jc w:val="center"/>
        </w:trPr>
        <w:tc>
          <w:tcPr>
            <w:tcW w:w="518" w:type="dxa"/>
            <w:vMerge w:val="continue"/>
            <w:tcBorders>
              <w:top w:val="nil"/>
              <w:left w:val="single" w:color="auto" w:sz="4" w:space="0"/>
              <w:bottom w:val="nil"/>
              <w:right w:val="single" w:color="auto" w:sz="4" w:space="0"/>
            </w:tcBorders>
            <w:noWrap w:val="0"/>
            <w:vAlign w:val="center"/>
          </w:tcPr>
          <w:p w14:paraId="0BC32D3A">
            <w:pPr>
              <w:widowControl/>
              <w:jc w:val="left"/>
              <w:rPr>
                <w:rFonts w:hint="eastAsia" w:ascii="宋体" w:hAnsi="宋体" w:eastAsia="宋体" w:cs="宋体"/>
                <w:kern w:val="0"/>
                <w:sz w:val="21"/>
                <w:szCs w:val="21"/>
              </w:rPr>
            </w:pPr>
          </w:p>
        </w:tc>
        <w:tc>
          <w:tcPr>
            <w:tcW w:w="416" w:type="dxa"/>
            <w:vMerge w:val="continue"/>
            <w:tcBorders>
              <w:top w:val="nil"/>
              <w:left w:val="nil"/>
              <w:bottom w:val="nil"/>
              <w:right w:val="single" w:color="auto" w:sz="4" w:space="0"/>
            </w:tcBorders>
            <w:noWrap w:val="0"/>
            <w:vAlign w:val="center"/>
          </w:tcPr>
          <w:p w14:paraId="3E19196C">
            <w:pPr>
              <w:widowControl/>
              <w:jc w:val="left"/>
              <w:rPr>
                <w:rFonts w:hint="eastAsia" w:ascii="宋体" w:hAnsi="宋体" w:eastAsia="宋体" w:cs="宋体"/>
                <w:kern w:val="0"/>
                <w:sz w:val="21"/>
                <w:szCs w:val="21"/>
              </w:rPr>
            </w:pPr>
          </w:p>
        </w:tc>
        <w:tc>
          <w:tcPr>
            <w:tcW w:w="677" w:type="dxa"/>
            <w:gridSpan w:val="2"/>
            <w:vMerge w:val="continue"/>
            <w:tcBorders>
              <w:top w:val="nil"/>
              <w:left w:val="nil"/>
              <w:bottom w:val="nil"/>
              <w:right w:val="single" w:color="auto" w:sz="4" w:space="0"/>
            </w:tcBorders>
            <w:noWrap w:val="0"/>
            <w:vAlign w:val="center"/>
          </w:tcPr>
          <w:p w14:paraId="0A0CA904">
            <w:pPr>
              <w:widowControl/>
              <w:jc w:val="left"/>
              <w:rPr>
                <w:rFonts w:hint="eastAsia" w:ascii="宋体" w:hAnsi="宋体" w:eastAsia="宋体" w:cs="宋体"/>
                <w:kern w:val="0"/>
                <w:sz w:val="21"/>
                <w:szCs w:val="21"/>
              </w:rPr>
            </w:pPr>
          </w:p>
        </w:tc>
        <w:tc>
          <w:tcPr>
            <w:tcW w:w="416" w:type="dxa"/>
            <w:vMerge w:val="continue"/>
            <w:tcBorders>
              <w:top w:val="nil"/>
              <w:left w:val="nil"/>
              <w:bottom w:val="nil"/>
              <w:right w:val="single" w:color="auto" w:sz="4" w:space="0"/>
            </w:tcBorders>
            <w:noWrap w:val="0"/>
            <w:vAlign w:val="center"/>
          </w:tcPr>
          <w:p w14:paraId="5E9D661C">
            <w:pPr>
              <w:widowControl/>
              <w:jc w:val="left"/>
              <w:rPr>
                <w:rFonts w:hint="eastAsia" w:ascii="宋体" w:hAnsi="宋体" w:eastAsia="宋体" w:cs="宋体"/>
                <w:kern w:val="0"/>
                <w:sz w:val="21"/>
                <w:szCs w:val="21"/>
              </w:rPr>
            </w:pPr>
          </w:p>
        </w:tc>
        <w:tc>
          <w:tcPr>
            <w:tcW w:w="1194" w:type="dxa"/>
            <w:tcBorders>
              <w:top w:val="nil"/>
              <w:left w:val="nil"/>
              <w:bottom w:val="nil"/>
              <w:right w:val="single" w:color="auto" w:sz="4" w:space="0"/>
            </w:tcBorders>
            <w:noWrap w:val="0"/>
            <w:vAlign w:val="center"/>
          </w:tcPr>
          <w:p w14:paraId="75C6819F">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社会公众或服务对象满意度</w:t>
            </w:r>
          </w:p>
        </w:tc>
        <w:tc>
          <w:tcPr>
            <w:tcW w:w="478" w:type="dxa"/>
            <w:tcBorders>
              <w:top w:val="nil"/>
              <w:left w:val="nil"/>
              <w:bottom w:val="nil"/>
              <w:right w:val="single" w:color="auto" w:sz="4" w:space="0"/>
            </w:tcBorders>
            <w:noWrap w:val="0"/>
            <w:vAlign w:val="center"/>
          </w:tcPr>
          <w:p w14:paraId="59D4FCA8">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2977" w:type="dxa"/>
            <w:tcBorders>
              <w:top w:val="nil"/>
              <w:left w:val="nil"/>
              <w:bottom w:val="nil"/>
              <w:right w:val="single" w:color="auto" w:sz="4" w:space="0"/>
            </w:tcBorders>
            <w:noWrap w:val="0"/>
            <w:vAlign w:val="center"/>
          </w:tcPr>
          <w:p w14:paraId="14486389">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90%（含）以上计6分；</w:t>
            </w:r>
          </w:p>
          <w:p w14:paraId="54711E94">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80%（含）-90%，计4分；</w:t>
            </w:r>
          </w:p>
          <w:p w14:paraId="2E83446A">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70%（含）-80%，计2分；</w:t>
            </w:r>
          </w:p>
          <w:p w14:paraId="62159DF5">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低于70%计0分。</w:t>
            </w:r>
          </w:p>
        </w:tc>
        <w:tc>
          <w:tcPr>
            <w:tcW w:w="3402" w:type="dxa"/>
            <w:tcBorders>
              <w:top w:val="nil"/>
              <w:left w:val="nil"/>
              <w:bottom w:val="nil"/>
              <w:right w:val="single" w:color="auto" w:sz="4" w:space="0"/>
            </w:tcBorders>
            <w:noWrap w:val="0"/>
            <w:vAlign w:val="center"/>
          </w:tcPr>
          <w:p w14:paraId="58715E5D">
            <w:pPr>
              <w:widowControl/>
              <w:jc w:val="left"/>
              <w:rPr>
                <w:rFonts w:hint="eastAsia" w:ascii="宋体" w:hAnsi="宋体" w:eastAsia="宋体" w:cs="宋体"/>
                <w:kern w:val="0"/>
                <w:sz w:val="21"/>
                <w:szCs w:val="21"/>
              </w:rPr>
            </w:pPr>
            <w:r>
              <w:rPr>
                <w:rFonts w:hint="eastAsia" w:ascii="宋体" w:hAnsi="宋体" w:eastAsia="宋体" w:cs="宋体"/>
                <w:kern w:val="0"/>
                <w:sz w:val="21"/>
                <w:szCs w:val="21"/>
              </w:rPr>
              <w:t>社会公众或服务对象是指部门（单位）履行职责而影响到的部门、群体或个人，一般采取社会调查的方式。</w:t>
            </w:r>
          </w:p>
        </w:tc>
        <w:tc>
          <w:tcPr>
            <w:tcW w:w="522" w:type="dxa"/>
            <w:tcBorders>
              <w:top w:val="nil"/>
              <w:left w:val="nil"/>
              <w:bottom w:val="nil"/>
              <w:right w:val="single" w:color="auto" w:sz="4" w:space="0"/>
            </w:tcBorders>
            <w:noWrap w:val="0"/>
            <w:vAlign w:val="center"/>
          </w:tcPr>
          <w:p w14:paraId="0A17CFA5">
            <w:pPr>
              <w:widowControl/>
              <w:jc w:val="left"/>
              <w:rPr>
                <w:rFonts w:hint="eastAsia" w:ascii="宋体" w:hAnsi="宋体" w:eastAsia="宋体" w:cs="宋体"/>
                <w:kern w:val="0"/>
                <w:sz w:val="28"/>
                <w:szCs w:val="28"/>
                <w:lang w:val="en-US" w:eastAsia="zh-CN"/>
              </w:rPr>
            </w:pPr>
            <w:r>
              <w:rPr>
                <w:rFonts w:hint="eastAsia" w:ascii="宋体" w:hAnsi="宋体" w:eastAsia="宋体" w:cs="宋体"/>
                <w:kern w:val="0"/>
                <w:sz w:val="28"/>
                <w:szCs w:val="28"/>
              </w:rPr>
              <w:t>　</w:t>
            </w:r>
            <w:r>
              <w:rPr>
                <w:rFonts w:hint="eastAsia" w:ascii="宋体" w:hAnsi="宋体" w:eastAsia="宋体" w:cs="宋体"/>
                <w:kern w:val="0"/>
                <w:sz w:val="28"/>
                <w:szCs w:val="28"/>
                <w:lang w:val="en-US" w:eastAsia="zh-CN"/>
              </w:rPr>
              <w:t>6</w:t>
            </w:r>
          </w:p>
        </w:tc>
      </w:tr>
      <w:tr w14:paraId="1685680B">
        <w:tblPrEx>
          <w:tblCellMar>
            <w:top w:w="0" w:type="dxa"/>
            <w:left w:w="108" w:type="dxa"/>
            <w:bottom w:w="0" w:type="dxa"/>
            <w:right w:w="108" w:type="dxa"/>
          </w:tblCellMar>
        </w:tblPrEx>
        <w:trPr>
          <w:trHeight w:val="90" w:hRule="atLeast"/>
          <w:jc w:val="center"/>
        </w:trPr>
        <w:tc>
          <w:tcPr>
            <w:tcW w:w="1366" w:type="dxa"/>
            <w:gridSpan w:val="3"/>
            <w:tcBorders>
              <w:top w:val="single" w:color="auto" w:sz="4" w:space="0"/>
              <w:left w:val="single" w:color="auto" w:sz="4" w:space="0"/>
              <w:bottom w:val="single" w:color="auto" w:sz="4" w:space="0"/>
              <w:right w:val="single" w:color="auto" w:sz="4" w:space="0"/>
            </w:tcBorders>
            <w:noWrap w:val="0"/>
            <w:vAlign w:val="top"/>
          </w:tcPr>
          <w:p w14:paraId="0DF89255">
            <w:pPr>
              <w:widowControl/>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合计(分)</w:t>
            </w:r>
          </w:p>
        </w:tc>
        <w:tc>
          <w:tcPr>
            <w:tcW w:w="9234" w:type="dxa"/>
            <w:gridSpan w:val="7"/>
            <w:tcBorders>
              <w:top w:val="single" w:color="auto" w:sz="4" w:space="0"/>
              <w:left w:val="nil"/>
              <w:bottom w:val="single" w:color="auto" w:sz="4" w:space="0"/>
              <w:right w:val="single" w:color="auto" w:sz="4" w:space="0"/>
            </w:tcBorders>
            <w:noWrap w:val="0"/>
            <w:vAlign w:val="center"/>
          </w:tcPr>
          <w:p w14:paraId="449203E8">
            <w:pPr>
              <w:widowControl/>
              <w:rPr>
                <w:rFonts w:hint="eastAsia"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lang w:val="en-US" w:eastAsia="zh-CN"/>
              </w:rPr>
              <w:t>100</w:t>
            </w:r>
          </w:p>
        </w:tc>
      </w:tr>
    </w:tbl>
    <w:p w14:paraId="5057992D">
      <w:pPr>
        <w:rPr>
          <w:rFonts w:hint="eastAsia" w:ascii="宋体" w:hAnsi="宋体" w:eastAsia="宋体" w:cs="宋体"/>
          <w:sz w:val="22"/>
          <w:szCs w:val="28"/>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5D002F"/>
    <w:multiLevelType w:val="singleLevel"/>
    <w:tmpl w:val="135D002F"/>
    <w:lvl w:ilvl="0" w:tentative="0">
      <w:start w:val="1"/>
      <w:numFmt w:val="chineseCounting"/>
      <w:suff w:val="nothing"/>
      <w:lvlText w:val="（%1）"/>
      <w:lvlJc w:val="left"/>
      <w:rPr>
        <w:rFonts w:hint="eastAsia"/>
      </w:rPr>
    </w:lvl>
  </w:abstractNum>
  <w:abstractNum w:abstractNumId="1">
    <w:nsid w:val="14943956"/>
    <w:multiLevelType w:val="singleLevel"/>
    <w:tmpl w:val="14943956"/>
    <w:lvl w:ilvl="0" w:tentative="0">
      <w:start w:val="8"/>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C10F05"/>
    <w:rsid w:val="459A43AF"/>
    <w:rsid w:val="4BF916FA"/>
    <w:rsid w:val="5A356FC8"/>
    <w:rsid w:val="63E74EEC"/>
    <w:rsid w:val="761E7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323</Words>
  <Characters>376</Characters>
  <Lines>0</Lines>
  <Paragraphs>0</Paragraphs>
  <TotalTime>0</TotalTime>
  <ScaleCrop>false</ScaleCrop>
  <LinksUpToDate>false</LinksUpToDate>
  <CharactersWithSpaces>379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2025-04-18T04:28:00Z</dcterms:created>
  <dc:creator>Administrator</dc:creator>
  <cp:lastModifiedBy>Administrator</cp:lastModifiedBy>
  <cp:lastPrinted>2025-04-22T08:01:00Z</cp:lastPrinted>
  <dcterms:modified xsi:type="dcterms:W3CDTF">2025-05-14T03:49:46Z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eyJoZGlkIjoiZGViNjBhM2IwNWMzNDg1ZDU3Nzc3M2I3M2Q4MTAxYTQifQ==</vt:lpwstr>
  </property>
  <property fmtid="{D5CDD505-2E9C-101B-9397-08002B2CF9AE}" pid="4" name="ICV">
    <vt:lpwstr>7AF1A2CF6F344664A6C7CDC7F6F88299_12</vt:lpwstr>
  </property>
</Properties>
</file>