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eastAsia="方正小标宋_GBK"/>
          <w:sz w:val="48"/>
          <w:szCs w:val="48"/>
        </w:rPr>
      </w:pPr>
      <w:r>
        <w:rPr>
          <w:rFonts w:hint="eastAsia" w:eastAsia="方正小标宋_GBK"/>
          <w:sz w:val="48"/>
          <w:szCs w:val="48"/>
        </w:rPr>
        <w:t>2024</w:t>
      </w:r>
      <w:r>
        <w:rPr>
          <w:rFonts w:eastAsia="方正小标宋_GBK"/>
          <w:sz w:val="48"/>
          <w:szCs w:val="48"/>
        </w:rPr>
        <w:t>年度</w:t>
      </w:r>
      <w:r>
        <w:rPr>
          <w:rFonts w:hint="eastAsia" w:eastAsia="方正小标宋_GBK"/>
          <w:sz w:val="48"/>
          <w:szCs w:val="48"/>
        </w:rPr>
        <w:t>江永县源口瑶族乡中心幼儿园</w:t>
      </w:r>
      <w:r>
        <w:rPr>
          <w:rFonts w:eastAsia="方正小标宋_GBK"/>
          <w:sz w:val="48"/>
          <w:szCs w:val="48"/>
        </w:rPr>
        <w:t>整体支出绩效自评报告</w:t>
      </w:r>
    </w:p>
    <w:p>
      <w:pPr>
        <w:jc w:val="center"/>
        <w:rPr>
          <w:rFonts w:eastAsia="楷体_GB2312"/>
          <w:b/>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720" w:firstLineChars="200"/>
        <w:jc w:val="center"/>
        <w:rPr>
          <w:rFonts w:eastAsia="黑体"/>
          <w:sz w:val="36"/>
          <w:szCs w:val="36"/>
        </w:rPr>
      </w:pPr>
      <w:r>
        <w:rPr>
          <w:rFonts w:eastAsia="黑体"/>
          <w:sz w:val="36"/>
          <w:szCs w:val="36"/>
        </w:rPr>
        <w:t>单位名称（盖章）：</w:t>
      </w:r>
    </w:p>
    <w:p>
      <w:pPr>
        <w:jc w:val="center"/>
        <w:rPr>
          <w:rFonts w:eastAsia="黑体"/>
          <w:sz w:val="36"/>
          <w:szCs w:val="36"/>
        </w:rPr>
      </w:pPr>
    </w:p>
    <w:p>
      <w:pPr>
        <w:rPr>
          <w:rFonts w:eastAsia="黑体"/>
          <w:sz w:val="32"/>
          <w:szCs w:val="32"/>
        </w:rPr>
      </w:pPr>
    </w:p>
    <w:p>
      <w:pPr>
        <w:jc w:val="center"/>
        <w:rPr>
          <w:rFonts w:eastAsia="黑体"/>
          <w:sz w:val="32"/>
          <w:szCs w:val="32"/>
        </w:rPr>
      </w:pPr>
    </w:p>
    <w:p>
      <w:pPr>
        <w:jc w:val="center"/>
        <w:rPr>
          <w:rFonts w:eastAsia="仿宋_GB2312"/>
          <w:sz w:val="32"/>
          <w:szCs w:val="32"/>
        </w:rPr>
      </w:pPr>
      <w:r>
        <w:rPr>
          <w:rFonts w:eastAsia="仿宋_GB2312"/>
          <w:sz w:val="32"/>
          <w:szCs w:val="32"/>
        </w:rPr>
        <w:t>（此页为封面）</w:t>
      </w:r>
    </w:p>
    <w:p>
      <w:pPr>
        <w:jc w:val="center"/>
        <w:rPr>
          <w:rFonts w:eastAsia="仿宋_GB2312"/>
          <w:sz w:val="32"/>
          <w:szCs w:val="32"/>
        </w:rPr>
      </w:pPr>
    </w:p>
    <w:p>
      <w:pPr>
        <w:spacing w:line="600" w:lineRule="exact"/>
        <w:jc w:val="center"/>
        <w:rPr>
          <w:rFonts w:ascii="方正小标宋简体" w:hAnsi="方正小标宋简体" w:eastAsia="方正小标宋简体"/>
          <w:sz w:val="44"/>
          <w:szCs w:val="44"/>
        </w:rPr>
      </w:pPr>
      <w:r>
        <w:rPr>
          <w:rFonts w:eastAsia="仿宋_GB2312"/>
          <w:sz w:val="32"/>
          <w:szCs w:val="32"/>
        </w:rPr>
        <w:br w:type="page"/>
      </w:r>
      <w:r>
        <w:rPr>
          <w:rFonts w:hint="eastAsia" w:ascii="方正小标宋简体" w:hAnsi="方正小标宋简体" w:eastAsia="方正小标宋简体"/>
          <w:sz w:val="44"/>
          <w:szCs w:val="44"/>
        </w:rPr>
        <w:t>2024年度江永县源口瑶族乡中心幼儿园整体支出绩效自评报告</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一、基本情况</w:t>
      </w:r>
    </w:p>
    <w:p>
      <w:pPr>
        <w:spacing w:line="600" w:lineRule="exact"/>
        <w:ind w:firstLine="643" w:firstLineChars="200"/>
        <w:rPr>
          <w:rFonts w:ascii="楷体_GB2312" w:hAnsi="楷体_GB2312" w:eastAsia="楷体_GB2312" w:cs="楷体_GB2312"/>
          <w:b/>
          <w:sz w:val="32"/>
          <w:szCs w:val="32"/>
        </w:rPr>
      </w:pPr>
      <w:r>
        <w:rPr>
          <w:rFonts w:hint="eastAsia" w:ascii="楷体_GB2312" w:hAnsi="楷体_GB2312" w:eastAsia="楷体_GB2312" w:cs="楷体_GB2312"/>
          <w:b/>
          <w:sz w:val="32"/>
          <w:szCs w:val="32"/>
        </w:rPr>
        <w:t>（一）单位基本情况</w:t>
      </w:r>
    </w:p>
    <w:p>
      <w:pPr>
        <w:spacing w:line="60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1.单位机构组成、人员概况</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江永县源口瑶族乡中心幼儿园设大、中、小三个年龄段3个班，现设有办公室、财务室、教务处、总务处。截止到2024年年末共有学生31名，教职工8人，其中在职在编教师4人，临聘人员4人。</w:t>
      </w:r>
    </w:p>
    <w:p>
      <w:pPr>
        <w:spacing w:line="60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2.机构职能</w:t>
      </w:r>
    </w:p>
    <w:p>
      <w:pPr>
        <w:spacing w:line="600" w:lineRule="exact"/>
        <w:ind w:firstLine="640" w:firstLineChars="200"/>
        <w:rPr>
          <w:rFonts w:ascii="仿宋" w:hAnsi="仿宋" w:eastAsia="仿宋_GB2312"/>
          <w:sz w:val="30"/>
          <w:szCs w:val="30"/>
        </w:rPr>
      </w:pPr>
      <w:r>
        <w:rPr>
          <w:rFonts w:hint="eastAsia" w:ascii="仿宋_GB2312" w:hAnsi="仿宋_GB2312" w:eastAsia="仿宋_GB2312" w:cs="仿宋_GB2312"/>
          <w:sz w:val="32"/>
          <w:szCs w:val="32"/>
        </w:rPr>
        <w:t>江永县源口瑶族乡中心幼儿园</w:t>
      </w:r>
      <w:r>
        <w:rPr>
          <w:rFonts w:ascii="仿宋_GB2312" w:hAnsi="仿宋_GB2312" w:eastAsia="仿宋_GB2312" w:cs="仿宋_GB2312"/>
          <w:color w:val="333333"/>
          <w:sz w:val="31"/>
          <w:szCs w:val="31"/>
          <w:shd w:val="clear" w:color="auto" w:fill="FFFFFF"/>
        </w:rPr>
        <w:t>属全额拨款事业单位</w:t>
      </w:r>
      <w:r>
        <w:rPr>
          <w:rFonts w:hint="eastAsia" w:ascii="仿宋_GB2312" w:hAnsi="仿宋_GB2312" w:eastAsia="仿宋_GB2312" w:cs="仿宋_GB2312"/>
          <w:color w:val="333333"/>
          <w:sz w:val="31"/>
          <w:szCs w:val="31"/>
          <w:shd w:val="clear" w:color="auto" w:fill="FFFFFF"/>
        </w:rPr>
        <w:t>，</w:t>
      </w:r>
      <w:r>
        <w:rPr>
          <w:rFonts w:ascii="仿宋_GB2312" w:hAnsi="仿宋_GB2312" w:eastAsia="仿宋_GB2312" w:cs="仿宋_GB2312"/>
          <w:color w:val="333333"/>
          <w:sz w:val="31"/>
          <w:szCs w:val="31"/>
          <w:shd w:val="clear" w:color="auto" w:fill="FFFFFF"/>
        </w:rPr>
        <w:t>我园的主要职责是以《幼儿园工作规程》、《幼儿园教育指导纲要》</w:t>
      </w:r>
      <w:r>
        <w:rPr>
          <w:rFonts w:hint="eastAsia" w:ascii="仿宋_GB2312" w:hAnsi="仿宋_GB2312" w:eastAsia="仿宋_GB2312" w:cs="仿宋_GB2312"/>
          <w:color w:val="333333"/>
          <w:sz w:val="31"/>
          <w:szCs w:val="31"/>
          <w:shd w:val="clear" w:color="auto" w:fill="FFFFFF"/>
        </w:rPr>
        <w:t>、《3-6岁儿童学习与发展指南》</w:t>
      </w:r>
      <w:r>
        <w:rPr>
          <w:rFonts w:ascii="仿宋_GB2312" w:hAnsi="仿宋_GB2312" w:eastAsia="仿宋_GB2312" w:cs="仿宋_GB2312"/>
          <w:color w:val="333333"/>
          <w:sz w:val="31"/>
          <w:szCs w:val="31"/>
          <w:shd w:val="clear" w:color="auto" w:fill="FFFFFF"/>
        </w:rPr>
        <w:t>为指导。对</w:t>
      </w:r>
      <w:r>
        <w:rPr>
          <w:rFonts w:hint="eastAsia" w:ascii="仿宋_GB2312" w:hAnsi="仿宋_GB2312" w:eastAsia="仿宋_GB2312" w:cs="仿宋_GB2312"/>
          <w:color w:val="333333"/>
          <w:sz w:val="31"/>
          <w:szCs w:val="31"/>
          <w:shd w:val="clear" w:color="auto" w:fill="FFFFFF"/>
        </w:rPr>
        <w:t>3-6岁学龄前幼儿实行保育与教育相结合的原则，对幼儿实施体、智、德、美多方面全面发展的教育，促进其身心和谐发展。</w:t>
      </w:r>
    </w:p>
    <w:p>
      <w:pPr>
        <w:spacing w:line="600" w:lineRule="exact"/>
        <w:ind w:firstLine="643" w:firstLineChars="200"/>
        <w:rPr>
          <w:rFonts w:ascii="楷体_GB2312" w:hAnsi="仿宋" w:eastAsia="楷体_GB2312"/>
          <w:b/>
          <w:sz w:val="32"/>
          <w:szCs w:val="32"/>
        </w:rPr>
      </w:pPr>
      <w:r>
        <w:rPr>
          <w:rFonts w:hint="eastAsia" w:ascii="楷体_GB2312" w:hAnsi="仿宋" w:eastAsia="楷体_GB2312"/>
          <w:b/>
          <w:sz w:val="32"/>
          <w:szCs w:val="32"/>
        </w:rPr>
        <w:t>（二）项目绩效目标</w:t>
      </w:r>
    </w:p>
    <w:p>
      <w:pPr>
        <w:spacing w:line="6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1.2024年度整体支出绩效目标</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园严格按照部门绩效考核的指标开展工作、做到预决算公开，在公示栏进行公示，并接受全体教职工、家长的监督；做到经费管理有制度、实施有计划。建立健全资金分配规程和各项财务管理制度，做好年度教职工履职履责考核，完善奖惩考核机制。在存量资金管理、资产管理、三公经费控制、内部管理制度建设等方面的设定及完成情况均为100%。财政资金按预算专款专用，预算完成率尽量达到100%。固定资产管理严格报废程序，管好、用好资产，固定资产使用率100%。</w:t>
      </w:r>
    </w:p>
    <w:p>
      <w:pPr>
        <w:spacing w:line="6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2.2024年度项目支出绩效目标</w:t>
      </w:r>
    </w:p>
    <w:p>
      <w:pPr>
        <w:spacing w:line="600" w:lineRule="exact"/>
        <w:ind w:firstLine="640" w:firstLineChars="200"/>
        <w:rPr>
          <w:rFonts w:ascii="仿宋_GB2312" w:hAnsi="仿宋_GB2312" w:eastAsia="仿宋_GB2312" w:cs="仿宋_GB2312"/>
          <w:color w:val="333333"/>
          <w:sz w:val="31"/>
          <w:szCs w:val="31"/>
          <w:shd w:val="clear" w:color="auto" w:fill="FFFFFF"/>
        </w:rPr>
      </w:pPr>
      <w:r>
        <w:rPr>
          <w:rFonts w:hint="eastAsia" w:ascii="仿宋_GB2312" w:hAnsi="仿宋_GB2312" w:eastAsia="仿宋_GB2312" w:cs="仿宋_GB2312"/>
          <w:sz w:val="32"/>
          <w:szCs w:val="32"/>
        </w:rPr>
        <w:t>通过江永县源口瑶族乡中心幼儿园项目支出项目的实施，</w:t>
      </w:r>
      <w:r>
        <w:rPr>
          <w:rFonts w:hint="eastAsia" w:ascii="仿宋_GB2312" w:hAnsi="仿宋_GB2312" w:eastAsia="仿宋_GB2312" w:cs="仿宋_GB2312"/>
          <w:color w:val="333333"/>
          <w:sz w:val="31"/>
          <w:szCs w:val="31"/>
          <w:shd w:val="clear" w:color="auto" w:fill="FFFFFF"/>
        </w:rPr>
        <w:t>充分发挥资金经济性、效率性和效益性，贯彻落实党和国家的教育方针政策、法律法规，全面实施素质教育，努力提高教育教学质量，稳步推进全县教育事业持续健康协调发展。</w:t>
      </w:r>
    </w:p>
    <w:p>
      <w:pPr>
        <w:spacing w:line="600" w:lineRule="exact"/>
        <w:ind w:firstLine="640" w:firstLineChars="200"/>
        <w:rPr>
          <w:rFonts w:ascii="黑体" w:hAnsi="黑体" w:eastAsia="黑体" w:cs="Times New Roman"/>
          <w:sz w:val="32"/>
          <w:szCs w:val="32"/>
        </w:rPr>
      </w:pPr>
      <w:r>
        <w:rPr>
          <w:rFonts w:hint="eastAsia" w:ascii="黑体" w:hAnsi="黑体" w:eastAsia="黑体" w:cs="Times New Roman"/>
          <w:sz w:val="32"/>
          <w:szCs w:val="32"/>
        </w:rPr>
        <w:t>二、一般公共预算支出情况</w:t>
      </w:r>
    </w:p>
    <w:p>
      <w:pPr>
        <w:spacing w:line="600" w:lineRule="exact"/>
        <w:ind w:firstLine="643" w:firstLineChars="200"/>
        <w:rPr>
          <w:rFonts w:ascii="楷体_GB2312" w:hAnsi="仿宋" w:eastAsia="楷体_GB2312"/>
          <w:b/>
          <w:sz w:val="32"/>
          <w:szCs w:val="32"/>
        </w:rPr>
      </w:pPr>
      <w:r>
        <w:rPr>
          <w:rFonts w:hint="eastAsia" w:ascii="楷体_GB2312" w:hAnsi="仿宋" w:eastAsia="楷体_GB2312"/>
          <w:b/>
          <w:sz w:val="32"/>
          <w:szCs w:val="32"/>
        </w:rPr>
        <w:t>（一）基本支出情况</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江永县源口瑶族乡中心幼儿园基本支出资金</w:t>
      </w:r>
      <w:r>
        <w:rPr>
          <w:rFonts w:hint="eastAsia" w:ascii="仿宋_GB2312" w:hAnsi="仿宋_GB2312" w:eastAsia="仿宋_GB2312" w:cs="仿宋_GB2312"/>
          <w:sz w:val="32"/>
          <w:szCs w:val="32"/>
          <w:lang w:val="en-US" w:eastAsia="zh-CN"/>
        </w:rPr>
        <w:t xml:space="preserve"> 88.30</w:t>
      </w:r>
      <w:r>
        <w:rPr>
          <w:rFonts w:hint="eastAsia" w:ascii="仿宋_GB2312" w:hAnsi="仿宋_GB2312" w:eastAsia="仿宋_GB2312" w:cs="仿宋_GB2312"/>
          <w:sz w:val="32"/>
          <w:szCs w:val="32"/>
        </w:rPr>
        <w:t>万元。</w:t>
      </w:r>
    </w:p>
    <w:p>
      <w:pPr>
        <w:spacing w:line="600" w:lineRule="exact"/>
        <w:ind w:firstLine="643" w:firstLineChars="200"/>
        <w:rPr>
          <w:rFonts w:ascii="楷体_GB2312" w:hAnsi="仿宋" w:eastAsia="楷体_GB2312"/>
          <w:b/>
          <w:sz w:val="32"/>
          <w:szCs w:val="32"/>
        </w:rPr>
      </w:pPr>
      <w:r>
        <w:rPr>
          <w:rFonts w:hint="eastAsia" w:ascii="楷体_GB2312" w:hAnsi="仿宋" w:eastAsia="楷体_GB2312"/>
          <w:b/>
          <w:sz w:val="32"/>
          <w:szCs w:val="32"/>
        </w:rPr>
        <w:t>（二）项目支出情况</w:t>
      </w:r>
    </w:p>
    <w:p>
      <w:pPr>
        <w:spacing w:line="600" w:lineRule="exact"/>
        <w:ind w:firstLine="640" w:firstLineChars="200"/>
        <w:rPr>
          <w:rFonts w:hint="eastAsia" w:ascii="黑体" w:hAnsi="黑体" w:eastAsia="黑体" w:cs="Times New Roman"/>
          <w:sz w:val="32"/>
          <w:szCs w:val="32"/>
        </w:rPr>
      </w:pPr>
      <w:r>
        <w:rPr>
          <w:rFonts w:hint="eastAsia" w:ascii="仿宋_GB2312" w:hAnsi="仿宋_GB2312" w:eastAsia="仿宋_GB2312" w:cs="仿宋_GB2312"/>
          <w:sz w:val="32"/>
          <w:szCs w:val="32"/>
        </w:rPr>
        <w:t>江永县源口瑶族乡中心幼儿园</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rPr>
        <w:t>支出资金</w:t>
      </w:r>
      <w:r>
        <w:rPr>
          <w:rFonts w:hint="eastAsia" w:ascii="仿宋_GB2312" w:hAnsi="仿宋_GB2312" w:eastAsia="仿宋_GB2312" w:cs="仿宋_GB2312"/>
          <w:sz w:val="32"/>
          <w:szCs w:val="32"/>
          <w:lang w:val="en-US" w:eastAsia="zh-CN"/>
        </w:rPr>
        <w:t>为</w:t>
      </w:r>
      <w:r>
        <w:rPr>
          <w:rFonts w:hint="default"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p>
    <w:p>
      <w:pPr>
        <w:spacing w:line="600" w:lineRule="exact"/>
        <w:ind w:firstLine="640" w:firstLineChars="200"/>
        <w:rPr>
          <w:rFonts w:ascii="黑体" w:hAnsi="黑体" w:eastAsia="黑体" w:cs="Times New Roman"/>
          <w:sz w:val="32"/>
          <w:szCs w:val="32"/>
        </w:rPr>
      </w:pPr>
      <w:r>
        <w:rPr>
          <w:rFonts w:hint="eastAsia" w:ascii="黑体" w:hAnsi="黑体" w:eastAsia="黑体" w:cs="Times New Roman"/>
          <w:sz w:val="32"/>
          <w:szCs w:val="32"/>
        </w:rPr>
        <w:t>三、政府性基金预算支出情况</w:t>
      </w:r>
    </w:p>
    <w:p>
      <w:pPr>
        <w:spacing w:line="520" w:lineRule="exact"/>
        <w:ind w:firstLine="660"/>
        <w:rPr>
          <w:rFonts w:ascii="仿宋_GB2312" w:hAnsi="仿宋_GB2312" w:eastAsia="仿宋_GB2312" w:cs="仿宋_GB2312"/>
          <w:sz w:val="32"/>
          <w:szCs w:val="32"/>
        </w:rPr>
      </w:pPr>
      <w:r>
        <w:rPr>
          <w:rFonts w:hint="eastAsia" w:ascii="仿宋_GB2312" w:hAnsi="仿宋_GB2312" w:eastAsia="仿宋_GB2312" w:cs="仿宋_GB2312"/>
          <w:sz w:val="32"/>
          <w:szCs w:val="32"/>
        </w:rPr>
        <w:t>江永县源口瑶族乡中心幼儿园2024年无政府性基金预算支出情况。</w:t>
      </w:r>
    </w:p>
    <w:p>
      <w:pPr>
        <w:spacing w:line="600" w:lineRule="exact"/>
        <w:ind w:firstLine="640" w:firstLineChars="200"/>
        <w:rPr>
          <w:rFonts w:ascii="黑体" w:hAnsi="黑体" w:eastAsia="黑体" w:cs="Times New Roman"/>
          <w:sz w:val="32"/>
          <w:szCs w:val="32"/>
        </w:rPr>
      </w:pPr>
      <w:r>
        <w:rPr>
          <w:rFonts w:hint="eastAsia" w:ascii="黑体" w:hAnsi="黑体" w:eastAsia="黑体" w:cs="Times New Roman"/>
          <w:sz w:val="32"/>
          <w:szCs w:val="32"/>
        </w:rPr>
        <w:t>四、国有资本经营预算支出情况</w:t>
      </w:r>
    </w:p>
    <w:p>
      <w:pPr>
        <w:spacing w:line="520" w:lineRule="exact"/>
        <w:ind w:firstLine="660"/>
        <w:rPr>
          <w:rFonts w:ascii="仿宋_GB2312" w:hAnsi="仿宋_GB2312" w:eastAsia="仿宋_GB2312" w:cs="仿宋_GB2312"/>
          <w:sz w:val="32"/>
          <w:szCs w:val="32"/>
        </w:rPr>
      </w:pPr>
      <w:r>
        <w:rPr>
          <w:rFonts w:hint="eastAsia" w:ascii="仿宋_GB2312" w:hAnsi="仿宋_GB2312" w:eastAsia="仿宋_GB2312" w:cs="仿宋_GB2312"/>
          <w:sz w:val="32"/>
          <w:szCs w:val="32"/>
        </w:rPr>
        <w:t>江永县源口瑶族乡中心幼儿园2024年无国有资本经营预算支出情况。</w:t>
      </w:r>
    </w:p>
    <w:p>
      <w:pPr>
        <w:spacing w:line="600" w:lineRule="exact"/>
        <w:ind w:firstLine="640" w:firstLineChars="200"/>
        <w:rPr>
          <w:rFonts w:ascii="黑体" w:hAnsi="黑体" w:eastAsia="黑体" w:cs="Times New Roman"/>
          <w:sz w:val="32"/>
          <w:szCs w:val="32"/>
        </w:rPr>
      </w:pPr>
      <w:r>
        <w:rPr>
          <w:rFonts w:hint="eastAsia" w:ascii="黑体" w:hAnsi="黑体" w:eastAsia="黑体" w:cs="Times New Roman"/>
          <w:sz w:val="32"/>
          <w:szCs w:val="32"/>
        </w:rPr>
        <w:t>五、社会保险基金预算支出情况</w:t>
      </w:r>
    </w:p>
    <w:p>
      <w:pPr>
        <w:spacing w:line="520" w:lineRule="exact"/>
        <w:ind w:firstLine="660"/>
        <w:rPr>
          <w:rFonts w:ascii="仿宋_GB2312" w:hAnsi="仿宋_GB2312" w:eastAsia="仿宋_GB2312" w:cs="仿宋_GB2312"/>
          <w:sz w:val="32"/>
          <w:szCs w:val="32"/>
        </w:rPr>
      </w:pPr>
      <w:r>
        <w:rPr>
          <w:rFonts w:hint="eastAsia" w:ascii="仿宋_GB2312" w:hAnsi="仿宋_GB2312" w:eastAsia="仿宋_GB2312" w:cs="仿宋_GB2312"/>
          <w:sz w:val="32"/>
          <w:szCs w:val="32"/>
        </w:rPr>
        <w:t>江永县源口瑶族乡中心幼儿园2024年无社会保险基金预算支出情况。</w:t>
      </w:r>
    </w:p>
    <w:p>
      <w:pPr>
        <w:spacing w:line="600" w:lineRule="exact"/>
        <w:ind w:firstLine="640" w:firstLineChars="200"/>
        <w:rPr>
          <w:rFonts w:ascii="黑体" w:hAnsi="黑体" w:eastAsia="黑体" w:cs="Times New Roman"/>
          <w:sz w:val="32"/>
          <w:szCs w:val="32"/>
        </w:rPr>
      </w:pPr>
      <w:r>
        <w:rPr>
          <w:rFonts w:hint="eastAsia" w:ascii="黑体" w:hAnsi="黑体" w:eastAsia="黑体" w:cs="Times New Roman"/>
          <w:sz w:val="32"/>
          <w:szCs w:val="32"/>
        </w:rPr>
        <w:t>六、部门整体支出绩效情况</w:t>
      </w:r>
    </w:p>
    <w:p>
      <w:pPr>
        <w:spacing w:line="600" w:lineRule="exact"/>
        <w:ind w:firstLine="643" w:firstLineChars="200"/>
        <w:rPr>
          <w:rFonts w:ascii="楷体_GB2312" w:hAnsi="仿宋" w:eastAsia="楷体_GB2312"/>
          <w:b/>
          <w:sz w:val="32"/>
          <w:szCs w:val="32"/>
        </w:rPr>
      </w:pPr>
      <w:r>
        <w:rPr>
          <w:rFonts w:hint="eastAsia" w:ascii="楷体_GB2312" w:hAnsi="仿宋" w:eastAsia="楷体_GB2312"/>
          <w:b/>
          <w:sz w:val="32"/>
          <w:szCs w:val="32"/>
        </w:rPr>
        <w:t>（一）绩效评价的目的</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通过绩效评价，能更具体了解江永县源口瑶族乡中心幼儿园整体部门支出资金投入、分配和使用情况，资金管理制度、措施制定和实施情况，资金使用效果和资金项目目标实现情况。有利于总结经验，发现问题，及时改进。进一步加强我园整体部门支出资金管理，提升教职工和学生家长的幸福指数，打造一个学生满意、家长满意、社会满意的幼儿园。实现资金使用效益最大化，提高政府管理效能和财政资金使用效益，切实保证财政资金安全。</w:t>
      </w:r>
    </w:p>
    <w:p>
      <w:pPr>
        <w:spacing w:line="600" w:lineRule="exact"/>
        <w:ind w:firstLine="643" w:firstLineChars="200"/>
        <w:rPr>
          <w:rFonts w:ascii="楷体_GB2312" w:hAnsi="仿宋" w:eastAsia="楷体_GB2312"/>
          <w:b/>
          <w:sz w:val="32"/>
          <w:szCs w:val="32"/>
        </w:rPr>
      </w:pPr>
      <w:r>
        <w:rPr>
          <w:rFonts w:hint="eastAsia" w:ascii="楷体_GB2312" w:hAnsi="仿宋" w:eastAsia="楷体_GB2312"/>
          <w:b/>
          <w:sz w:val="32"/>
          <w:szCs w:val="32"/>
        </w:rPr>
        <w:t>（二）绩效评价原则、评价指标体系、评价方法</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评价原则：我们遵循“科学性、规范性、客观性和公正性”的原则，以及中央、省有关预算绩效管理的政策规定、财务会计制度等为指导，由点到面、稳步推进，对我园整体部门支出资金的管理及产生生态、经济和社会效益进行自我评价。</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2.评价指标体系：设投入、过程、产出及效率3个一级指标、下分5个二级指标和17个三级指标，按照评价指标设定评价内容，分值为</w:t>
      </w:r>
      <w:r>
        <w:rPr>
          <w:rFonts w:hint="eastAsia" w:ascii="仿宋_GB2312" w:hAnsi="仿宋_GB2312" w:eastAsia="仿宋_GB2312" w:cs="仿宋_GB2312"/>
          <w:sz w:val="32"/>
          <w:szCs w:val="32"/>
          <w:lang w:val="en-US" w:eastAsia="zh-CN"/>
        </w:rPr>
        <w:t>98</w:t>
      </w:r>
      <w:r>
        <w:rPr>
          <w:rFonts w:hint="eastAsia" w:ascii="仿宋_GB2312" w:hAnsi="仿宋_GB2312" w:eastAsia="仿宋_GB2312" w:cs="仿宋_GB2312"/>
          <w:sz w:val="32"/>
          <w:szCs w:val="32"/>
        </w:rPr>
        <w:t>分。（详见评价指标体系评分表）</w:t>
      </w:r>
    </w:p>
    <w:p>
      <w:pPr>
        <w:spacing w:line="600" w:lineRule="exact"/>
        <w:ind w:firstLine="643" w:firstLineChars="200"/>
        <w:rPr>
          <w:rFonts w:ascii="仿宋_GB2312" w:hAnsi="仿宋_GB2312" w:eastAsia="楷体_GB2312" w:cs="仿宋_GB2312"/>
          <w:sz w:val="32"/>
          <w:szCs w:val="32"/>
        </w:rPr>
      </w:pPr>
      <w:r>
        <w:rPr>
          <w:rFonts w:hint="eastAsia" w:ascii="楷体_GB2312" w:hAnsi="楷体_GB2312" w:eastAsia="楷体_GB2312" w:cs="楷体_GB2312"/>
          <w:b/>
          <w:bCs/>
          <w:sz w:val="32"/>
          <w:szCs w:val="32"/>
        </w:rPr>
        <w:t>（三）评价结果</w:t>
      </w:r>
    </w:p>
    <w:p>
      <w:pPr>
        <w:spacing w:line="600" w:lineRule="exact"/>
        <w:ind w:firstLine="640" w:firstLineChars="200"/>
      </w:pPr>
      <w:r>
        <w:rPr>
          <w:rFonts w:hint="eastAsia" w:ascii="仿宋_GB2312" w:hAnsi="仿宋_GB2312" w:eastAsia="仿宋_GB2312" w:cs="仿宋_GB2312"/>
          <w:sz w:val="32"/>
          <w:szCs w:val="32"/>
        </w:rPr>
        <w:t>在资金使用和管理方面，进一步强化资金统筹，优化资金结构，明确开支范围，细化资金用途，确保部门职责任务顺利完成。全年基本支出保证了部门的正常运行和日常工作的正常开展，达到预期绩效目标。职责履行良好方面，履职效益明显方面。社会公众或服务对象满意度均为满意。预算配置科学方面。预算安排优先保障工资发放、社保缴费，再安排公用经费支出等。预算执行有效方面。项目实施主体明确，保障措施有力，资金安排严格按照预算进度进行结算和支付，财务管理规范。管理制度较为完善、措施可行，完成了各项绩效指标，各项支出对促进我园履职绩效目标发挥了较好的作用。</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七、存在的问题及原因分析</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资金拨付流程较为复杂，下达时间不定，需得在预算一体化系统录单再支付，实施时间跨度大，部分资金未能及时支付到位。</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八、下一步改进措施</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继续完善绩效管理财务制度，严格按照相关财务制度实行。加强绩效评价以及资金管理，按照流程规范办理项目的拨付，提高教育经费的使用效益。</w:t>
      </w:r>
    </w:p>
    <w:p>
      <w:pPr>
        <w:spacing w:line="600" w:lineRule="exact"/>
        <w:ind w:firstLine="640" w:firstLineChars="200"/>
        <w:rPr>
          <w:rFonts w:ascii="黑体" w:hAnsi="黑体" w:eastAsia="黑体" w:cs="Times New Roman"/>
          <w:sz w:val="32"/>
          <w:szCs w:val="32"/>
        </w:rPr>
      </w:pPr>
      <w:r>
        <w:rPr>
          <w:rFonts w:hint="eastAsia" w:ascii="黑体" w:hAnsi="黑体" w:eastAsia="黑体" w:cs="Times New Roman"/>
          <w:sz w:val="32"/>
          <w:szCs w:val="32"/>
        </w:rPr>
        <w:t>九、绩效自评结果拟应用和公开情况</w:t>
      </w:r>
    </w:p>
    <w:p>
      <w:pPr>
        <w:spacing w:line="600" w:lineRule="exact"/>
        <w:ind w:firstLine="640" w:firstLineChars="200"/>
      </w:pPr>
      <w:r>
        <w:rPr>
          <w:rFonts w:hint="eastAsia" w:ascii="仿宋_GB2312" w:hAnsi="仿宋_GB2312" w:eastAsia="仿宋_GB2312" w:cs="仿宋_GB2312"/>
          <w:sz w:val="32"/>
          <w:szCs w:val="32"/>
        </w:rPr>
        <w:t>从绩效自评结果来看，江永县源口瑶族乡中心幼儿园部门整体支出绩效较好，有力推动了幼儿园教育事业持续健康发展。根据预算绩效评价的有关规定，江永县源口瑶族乡将在江永政府网公示绩效自评报告。</w:t>
      </w:r>
    </w:p>
    <w:p>
      <w:pPr>
        <w:wordWrap w:val="0"/>
        <w:spacing w:line="600" w:lineRule="exact"/>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江永县源口瑶族乡中心幼儿园</w:t>
      </w:r>
    </w:p>
    <w:p>
      <w:pPr>
        <w:wordWrap w:val="0"/>
        <w:spacing w:line="600" w:lineRule="exact"/>
        <w:jc w:val="right"/>
        <w:rPr>
          <w:rFonts w:eastAsia="方正小标宋_GBK"/>
          <w:sz w:val="36"/>
          <w:szCs w:val="36"/>
        </w:rPr>
      </w:pPr>
      <w:r>
        <w:rPr>
          <w:rFonts w:hint="eastAsia" w:ascii="仿宋_GB2312" w:hAnsi="仿宋_GB2312" w:eastAsia="仿宋_GB2312" w:cs="仿宋_GB2312"/>
          <w:sz w:val="32"/>
          <w:szCs w:val="32"/>
        </w:rPr>
        <w:t xml:space="preserve">                          2025年4月7日</w:t>
      </w:r>
    </w:p>
    <w:p/>
    <w:p>
      <w:pPr>
        <w:pStyle w:val="2"/>
      </w:pPr>
    </w:p>
    <w:p/>
    <w:p>
      <w:pPr>
        <w:pStyle w:val="2"/>
      </w:pPr>
    </w:p>
    <w:p/>
    <w:p>
      <w:pPr>
        <w:pStyle w:val="2"/>
      </w:pPr>
    </w:p>
    <w:p/>
    <w:p>
      <w:pPr>
        <w:pStyle w:val="2"/>
      </w:pPr>
    </w:p>
    <w:p/>
    <w:p>
      <w:pPr>
        <w:spacing w:after="0" w:line="400" w:lineRule="exact"/>
        <w:jc w:val="center"/>
        <w:outlineLvl w:val="0"/>
        <w:rPr>
          <w:rFonts w:eastAsia="方正小标宋_GBK"/>
          <w:sz w:val="36"/>
          <w:szCs w:val="36"/>
        </w:rPr>
      </w:pPr>
      <w:r>
        <w:rPr>
          <w:rFonts w:hint="eastAsia" w:eastAsia="方正小标宋_GBK"/>
          <w:sz w:val="36"/>
          <w:szCs w:val="36"/>
        </w:rPr>
        <w:t>江永县源口瑶族乡中心幼儿园</w:t>
      </w:r>
      <w:r>
        <w:rPr>
          <w:rFonts w:eastAsia="方正小标宋_GBK"/>
          <w:sz w:val="36"/>
          <w:szCs w:val="36"/>
        </w:rPr>
        <w:t>部门整体支出绩效评价基础数据表</w:t>
      </w:r>
    </w:p>
    <w:p>
      <w:pPr>
        <w:spacing w:after="0" w:line="560" w:lineRule="exact"/>
        <w:jc w:val="right"/>
        <w:outlineLvl w:val="0"/>
        <w:rPr>
          <w:rFonts w:eastAsia="仿宋_GB2312"/>
          <w:sz w:val="24"/>
        </w:rPr>
      </w:pPr>
      <w:r>
        <w:rPr>
          <w:rFonts w:hint="eastAsia" w:eastAsia="方正小标宋_GBK"/>
          <w:szCs w:val="21"/>
        </w:rPr>
        <w:t>（单位：万元）</w:t>
      </w:r>
    </w:p>
    <w:tbl>
      <w:tblPr>
        <w:tblStyle w:val="3"/>
        <w:tblW w:w="9310" w:type="dxa"/>
        <w:tblInd w:w="-380" w:type="dxa"/>
        <w:tblLayout w:type="fixed"/>
        <w:tblCellMar>
          <w:top w:w="0" w:type="dxa"/>
          <w:left w:w="108" w:type="dxa"/>
          <w:bottom w:w="0" w:type="dxa"/>
          <w:right w:w="108" w:type="dxa"/>
        </w:tblCellMar>
      </w:tblPr>
      <w:tblGrid>
        <w:gridCol w:w="3366"/>
        <w:gridCol w:w="972"/>
        <w:gridCol w:w="986"/>
        <w:gridCol w:w="971"/>
        <w:gridCol w:w="1015"/>
        <w:gridCol w:w="971"/>
        <w:gridCol w:w="1029"/>
      </w:tblGrid>
      <w:tr>
        <w:tblPrEx>
          <w:tblCellMar>
            <w:top w:w="0" w:type="dxa"/>
            <w:left w:w="108" w:type="dxa"/>
            <w:bottom w:w="0" w:type="dxa"/>
            <w:right w:w="108" w:type="dxa"/>
          </w:tblCellMar>
        </w:tblPrEx>
        <w:trPr>
          <w:trHeight w:val="357" w:hRule="atLeast"/>
        </w:trPr>
        <w:tc>
          <w:tcPr>
            <w:tcW w:w="336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财政供养人员情况</w:t>
            </w:r>
          </w:p>
        </w:tc>
        <w:tc>
          <w:tcPr>
            <w:tcW w:w="1958"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编制数</w:t>
            </w:r>
          </w:p>
        </w:tc>
        <w:tc>
          <w:tcPr>
            <w:tcW w:w="1986"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2024年实际在职人数</w:t>
            </w:r>
          </w:p>
        </w:tc>
        <w:tc>
          <w:tcPr>
            <w:tcW w:w="2000"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控制率</w:t>
            </w:r>
          </w:p>
        </w:tc>
      </w:tr>
      <w:tr>
        <w:tblPrEx>
          <w:tblCellMar>
            <w:top w:w="0" w:type="dxa"/>
            <w:left w:w="108" w:type="dxa"/>
            <w:bottom w:w="0" w:type="dxa"/>
            <w:right w:w="108" w:type="dxa"/>
          </w:tblCellMar>
        </w:tblPrEx>
        <w:trPr>
          <w:trHeight w:val="222" w:hRule="atLeast"/>
        </w:trPr>
        <w:tc>
          <w:tcPr>
            <w:tcW w:w="3366"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color w:val="000000"/>
                <w:sz w:val="18"/>
                <w:szCs w:val="18"/>
              </w:rPr>
            </w:pPr>
          </w:p>
        </w:tc>
        <w:tc>
          <w:tcPr>
            <w:tcW w:w="1958"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4</w:t>
            </w:r>
          </w:p>
        </w:tc>
        <w:tc>
          <w:tcPr>
            <w:tcW w:w="1986"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4</w:t>
            </w:r>
          </w:p>
        </w:tc>
        <w:tc>
          <w:tcPr>
            <w:tcW w:w="2000"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r>
      <w:tr>
        <w:tblPrEx>
          <w:tblCellMar>
            <w:top w:w="0" w:type="dxa"/>
            <w:left w:w="108" w:type="dxa"/>
            <w:bottom w:w="0" w:type="dxa"/>
            <w:right w:w="108" w:type="dxa"/>
          </w:tblCellMar>
        </w:tblPrEx>
        <w:trPr>
          <w:trHeight w:val="337" w:hRule="atLeast"/>
        </w:trPr>
        <w:tc>
          <w:tcPr>
            <w:tcW w:w="3366"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经费控制情况(万元)</w:t>
            </w:r>
          </w:p>
        </w:tc>
        <w:tc>
          <w:tcPr>
            <w:tcW w:w="1958"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2023年决算数</w:t>
            </w:r>
          </w:p>
        </w:tc>
        <w:tc>
          <w:tcPr>
            <w:tcW w:w="1986"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2024年预算数</w:t>
            </w:r>
          </w:p>
        </w:tc>
        <w:tc>
          <w:tcPr>
            <w:tcW w:w="2000"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2024年决算数</w:t>
            </w:r>
          </w:p>
        </w:tc>
      </w:tr>
      <w:tr>
        <w:tblPrEx>
          <w:tblCellMar>
            <w:top w:w="0" w:type="dxa"/>
            <w:left w:w="108" w:type="dxa"/>
            <w:bottom w:w="0" w:type="dxa"/>
            <w:right w:w="108" w:type="dxa"/>
          </w:tblCellMar>
        </w:tblPrEx>
        <w:trPr>
          <w:trHeight w:val="312" w:hRule="atLeast"/>
        </w:trPr>
        <w:tc>
          <w:tcPr>
            <w:tcW w:w="3366"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三公经费</w:t>
            </w:r>
          </w:p>
        </w:tc>
        <w:tc>
          <w:tcPr>
            <w:tcW w:w="1958"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0.29</w:t>
            </w:r>
          </w:p>
        </w:tc>
        <w:tc>
          <w:tcPr>
            <w:tcW w:w="1986"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0.5</w:t>
            </w:r>
          </w:p>
        </w:tc>
        <w:tc>
          <w:tcPr>
            <w:tcW w:w="2000"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r>
      <w:tr>
        <w:tblPrEx>
          <w:tblCellMar>
            <w:top w:w="0" w:type="dxa"/>
            <w:left w:w="108" w:type="dxa"/>
            <w:bottom w:w="0" w:type="dxa"/>
            <w:right w:w="108" w:type="dxa"/>
          </w:tblCellMar>
        </w:tblPrEx>
        <w:trPr>
          <w:trHeight w:val="306" w:hRule="atLeast"/>
        </w:trPr>
        <w:tc>
          <w:tcPr>
            <w:tcW w:w="3366"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1、公务用车购置和维护经费</w:t>
            </w:r>
          </w:p>
        </w:tc>
        <w:tc>
          <w:tcPr>
            <w:tcW w:w="1958"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1986"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2000"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r>
      <w:tr>
        <w:tblPrEx>
          <w:tblCellMar>
            <w:top w:w="0" w:type="dxa"/>
            <w:left w:w="108" w:type="dxa"/>
            <w:bottom w:w="0" w:type="dxa"/>
            <w:right w:w="108" w:type="dxa"/>
          </w:tblCellMar>
        </w:tblPrEx>
        <w:trPr>
          <w:trHeight w:val="294" w:hRule="atLeast"/>
        </w:trPr>
        <w:tc>
          <w:tcPr>
            <w:tcW w:w="3366"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其中：公车购置</w:t>
            </w:r>
          </w:p>
        </w:tc>
        <w:tc>
          <w:tcPr>
            <w:tcW w:w="1958"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　0</w:t>
            </w:r>
          </w:p>
        </w:tc>
        <w:tc>
          <w:tcPr>
            <w:tcW w:w="1986"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　0</w:t>
            </w:r>
          </w:p>
        </w:tc>
        <w:tc>
          <w:tcPr>
            <w:tcW w:w="2000"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0　</w:t>
            </w:r>
          </w:p>
        </w:tc>
      </w:tr>
      <w:tr>
        <w:tblPrEx>
          <w:tblCellMar>
            <w:top w:w="0" w:type="dxa"/>
            <w:left w:w="108" w:type="dxa"/>
            <w:bottom w:w="0" w:type="dxa"/>
            <w:right w:w="108" w:type="dxa"/>
          </w:tblCellMar>
        </w:tblPrEx>
        <w:trPr>
          <w:trHeight w:val="259" w:hRule="atLeast"/>
        </w:trPr>
        <w:tc>
          <w:tcPr>
            <w:tcW w:w="3366"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公车运行维护</w:t>
            </w:r>
          </w:p>
        </w:tc>
        <w:tc>
          <w:tcPr>
            <w:tcW w:w="1958"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　0</w:t>
            </w:r>
          </w:p>
        </w:tc>
        <w:tc>
          <w:tcPr>
            <w:tcW w:w="1986"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　0</w:t>
            </w:r>
          </w:p>
        </w:tc>
        <w:tc>
          <w:tcPr>
            <w:tcW w:w="2000"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　0</w:t>
            </w:r>
          </w:p>
        </w:tc>
      </w:tr>
      <w:tr>
        <w:tblPrEx>
          <w:tblCellMar>
            <w:top w:w="0" w:type="dxa"/>
            <w:left w:w="108" w:type="dxa"/>
            <w:bottom w:w="0" w:type="dxa"/>
            <w:right w:w="108" w:type="dxa"/>
          </w:tblCellMar>
        </w:tblPrEx>
        <w:trPr>
          <w:trHeight w:val="382" w:hRule="atLeast"/>
        </w:trPr>
        <w:tc>
          <w:tcPr>
            <w:tcW w:w="3366"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2、出国经费</w:t>
            </w:r>
          </w:p>
        </w:tc>
        <w:tc>
          <w:tcPr>
            <w:tcW w:w="1958"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　0</w:t>
            </w:r>
          </w:p>
        </w:tc>
        <w:tc>
          <w:tcPr>
            <w:tcW w:w="1986"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　0</w:t>
            </w:r>
          </w:p>
        </w:tc>
        <w:tc>
          <w:tcPr>
            <w:tcW w:w="2000"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0　</w:t>
            </w:r>
          </w:p>
        </w:tc>
      </w:tr>
      <w:tr>
        <w:tblPrEx>
          <w:tblCellMar>
            <w:top w:w="0" w:type="dxa"/>
            <w:left w:w="108" w:type="dxa"/>
            <w:bottom w:w="0" w:type="dxa"/>
            <w:right w:w="108" w:type="dxa"/>
          </w:tblCellMar>
        </w:tblPrEx>
        <w:trPr>
          <w:trHeight w:val="329" w:hRule="atLeast"/>
        </w:trPr>
        <w:tc>
          <w:tcPr>
            <w:tcW w:w="3366"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3、公务接待</w:t>
            </w:r>
          </w:p>
        </w:tc>
        <w:tc>
          <w:tcPr>
            <w:tcW w:w="1958"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0.29</w:t>
            </w:r>
          </w:p>
        </w:tc>
        <w:tc>
          <w:tcPr>
            <w:tcW w:w="1986"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0.5</w:t>
            </w:r>
          </w:p>
        </w:tc>
        <w:tc>
          <w:tcPr>
            <w:tcW w:w="2000"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r>
      <w:tr>
        <w:tblPrEx>
          <w:tblCellMar>
            <w:top w:w="0" w:type="dxa"/>
            <w:left w:w="108" w:type="dxa"/>
            <w:bottom w:w="0" w:type="dxa"/>
            <w:right w:w="108" w:type="dxa"/>
          </w:tblCellMar>
        </w:tblPrEx>
        <w:trPr>
          <w:trHeight w:val="302" w:hRule="atLeast"/>
        </w:trPr>
        <w:tc>
          <w:tcPr>
            <w:tcW w:w="3366"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项目支出：</w:t>
            </w:r>
          </w:p>
        </w:tc>
        <w:tc>
          <w:tcPr>
            <w:tcW w:w="1958"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36.69</w:t>
            </w:r>
          </w:p>
        </w:tc>
        <w:tc>
          <w:tcPr>
            <w:tcW w:w="1986"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ascii="宋体" w:hAnsi="宋体" w:eastAsia="宋体" w:cs="宋体"/>
                <w:color w:val="000000"/>
                <w:sz w:val="18"/>
                <w:szCs w:val="18"/>
              </w:rPr>
              <w:t>0</w:t>
            </w:r>
          </w:p>
        </w:tc>
        <w:tc>
          <w:tcPr>
            <w:tcW w:w="2000"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ascii="宋体" w:hAnsi="宋体" w:eastAsia="宋体" w:cs="宋体"/>
                <w:color w:val="000000"/>
                <w:sz w:val="18"/>
                <w:szCs w:val="18"/>
              </w:rPr>
              <w:t>0</w:t>
            </w:r>
          </w:p>
        </w:tc>
      </w:tr>
      <w:tr>
        <w:tblPrEx>
          <w:tblCellMar>
            <w:top w:w="0" w:type="dxa"/>
            <w:left w:w="108" w:type="dxa"/>
            <w:bottom w:w="0" w:type="dxa"/>
            <w:right w:w="108" w:type="dxa"/>
          </w:tblCellMar>
        </w:tblPrEx>
        <w:trPr>
          <w:trHeight w:val="382" w:hRule="atLeast"/>
        </w:trPr>
        <w:tc>
          <w:tcPr>
            <w:tcW w:w="3366"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1、业务工作经费</w:t>
            </w:r>
          </w:p>
        </w:tc>
        <w:tc>
          <w:tcPr>
            <w:tcW w:w="1958"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0　</w:t>
            </w:r>
          </w:p>
        </w:tc>
        <w:tc>
          <w:tcPr>
            <w:tcW w:w="1986"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　0</w:t>
            </w:r>
          </w:p>
        </w:tc>
        <w:tc>
          <w:tcPr>
            <w:tcW w:w="2000"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0　</w:t>
            </w:r>
          </w:p>
        </w:tc>
      </w:tr>
      <w:tr>
        <w:tblPrEx>
          <w:tblCellMar>
            <w:top w:w="0" w:type="dxa"/>
            <w:left w:w="108" w:type="dxa"/>
            <w:bottom w:w="0" w:type="dxa"/>
            <w:right w:w="108" w:type="dxa"/>
          </w:tblCellMar>
        </w:tblPrEx>
        <w:trPr>
          <w:trHeight w:val="381" w:hRule="atLeast"/>
        </w:trPr>
        <w:tc>
          <w:tcPr>
            <w:tcW w:w="3366"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2、运行维护经费</w:t>
            </w:r>
          </w:p>
        </w:tc>
        <w:tc>
          <w:tcPr>
            <w:tcW w:w="1958"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　0</w:t>
            </w:r>
          </w:p>
        </w:tc>
        <w:tc>
          <w:tcPr>
            <w:tcW w:w="1986"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0　</w:t>
            </w:r>
          </w:p>
        </w:tc>
        <w:tc>
          <w:tcPr>
            <w:tcW w:w="2000"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00　</w:t>
            </w:r>
          </w:p>
        </w:tc>
      </w:tr>
      <w:tr>
        <w:tblPrEx>
          <w:tblCellMar>
            <w:top w:w="0" w:type="dxa"/>
            <w:left w:w="108" w:type="dxa"/>
            <w:bottom w:w="0" w:type="dxa"/>
            <w:right w:w="108" w:type="dxa"/>
          </w:tblCellMar>
        </w:tblPrEx>
        <w:trPr>
          <w:trHeight w:val="316" w:hRule="atLeast"/>
        </w:trPr>
        <w:tc>
          <w:tcPr>
            <w:tcW w:w="3366"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3、本级专项资金（一个专项一行）</w:t>
            </w:r>
          </w:p>
        </w:tc>
        <w:tc>
          <w:tcPr>
            <w:tcW w:w="1958"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36.69</w:t>
            </w:r>
          </w:p>
        </w:tc>
        <w:tc>
          <w:tcPr>
            <w:tcW w:w="1986"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ascii="宋体" w:hAnsi="宋体" w:eastAsia="宋体" w:cs="宋体"/>
                <w:color w:val="000000"/>
                <w:sz w:val="18"/>
                <w:szCs w:val="18"/>
              </w:rPr>
              <w:t>0</w:t>
            </w:r>
          </w:p>
        </w:tc>
        <w:tc>
          <w:tcPr>
            <w:tcW w:w="2000"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ascii="宋体" w:hAnsi="宋体" w:eastAsia="宋体" w:cs="宋体"/>
                <w:color w:val="000000"/>
                <w:sz w:val="18"/>
                <w:szCs w:val="18"/>
              </w:rPr>
              <w:t>0</w:t>
            </w:r>
          </w:p>
        </w:tc>
      </w:tr>
      <w:tr>
        <w:tblPrEx>
          <w:tblCellMar>
            <w:top w:w="0" w:type="dxa"/>
            <w:left w:w="108" w:type="dxa"/>
            <w:bottom w:w="0" w:type="dxa"/>
            <w:right w:w="108" w:type="dxa"/>
          </w:tblCellMar>
        </w:tblPrEx>
        <w:trPr>
          <w:trHeight w:val="273" w:hRule="atLeast"/>
        </w:trPr>
        <w:tc>
          <w:tcPr>
            <w:tcW w:w="3366"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公用经费</w:t>
            </w:r>
          </w:p>
        </w:tc>
        <w:tc>
          <w:tcPr>
            <w:tcW w:w="1958"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12.31</w:t>
            </w:r>
          </w:p>
        </w:tc>
        <w:tc>
          <w:tcPr>
            <w:tcW w:w="1986"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ascii="宋体" w:hAnsi="宋体" w:eastAsia="宋体" w:cs="宋体"/>
                <w:color w:val="000000"/>
                <w:sz w:val="18"/>
                <w:szCs w:val="18"/>
              </w:rPr>
              <w:t>0</w:t>
            </w:r>
          </w:p>
        </w:tc>
        <w:tc>
          <w:tcPr>
            <w:tcW w:w="2000"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ascii="宋体" w:hAnsi="宋体" w:eastAsia="宋体" w:cs="宋体"/>
                <w:color w:val="000000"/>
                <w:sz w:val="18"/>
                <w:szCs w:val="18"/>
              </w:rPr>
              <w:t>0</w:t>
            </w:r>
          </w:p>
        </w:tc>
      </w:tr>
      <w:tr>
        <w:tblPrEx>
          <w:tblCellMar>
            <w:top w:w="0" w:type="dxa"/>
            <w:left w:w="108" w:type="dxa"/>
            <w:bottom w:w="0" w:type="dxa"/>
            <w:right w:w="108" w:type="dxa"/>
          </w:tblCellMar>
        </w:tblPrEx>
        <w:trPr>
          <w:trHeight w:val="372" w:hRule="atLeast"/>
        </w:trPr>
        <w:tc>
          <w:tcPr>
            <w:tcW w:w="3366"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绩效奖</w:t>
            </w:r>
          </w:p>
        </w:tc>
        <w:tc>
          <w:tcPr>
            <w:tcW w:w="1958"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5.86</w:t>
            </w:r>
          </w:p>
        </w:tc>
        <w:tc>
          <w:tcPr>
            <w:tcW w:w="1986"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ascii="宋体" w:hAnsi="宋体" w:eastAsia="宋体" w:cs="宋体"/>
                <w:color w:val="000000"/>
                <w:sz w:val="18"/>
                <w:szCs w:val="18"/>
              </w:rPr>
              <w:t>0</w:t>
            </w:r>
          </w:p>
        </w:tc>
        <w:tc>
          <w:tcPr>
            <w:tcW w:w="2000"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ascii="宋体" w:hAnsi="宋体" w:eastAsia="宋体" w:cs="宋体"/>
                <w:color w:val="000000"/>
                <w:sz w:val="18"/>
                <w:szCs w:val="18"/>
              </w:rPr>
              <w:t>0</w:t>
            </w:r>
          </w:p>
        </w:tc>
      </w:tr>
      <w:tr>
        <w:tblPrEx>
          <w:tblCellMar>
            <w:top w:w="0" w:type="dxa"/>
            <w:left w:w="108" w:type="dxa"/>
            <w:bottom w:w="0" w:type="dxa"/>
            <w:right w:w="108" w:type="dxa"/>
          </w:tblCellMar>
        </w:tblPrEx>
        <w:trPr>
          <w:trHeight w:val="358" w:hRule="atLeast"/>
        </w:trPr>
        <w:tc>
          <w:tcPr>
            <w:tcW w:w="3366"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非税收入</w:t>
            </w:r>
          </w:p>
        </w:tc>
        <w:tc>
          <w:tcPr>
            <w:tcW w:w="1958"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10.02</w:t>
            </w:r>
          </w:p>
        </w:tc>
        <w:tc>
          <w:tcPr>
            <w:tcW w:w="1986"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ascii="宋体" w:hAnsi="宋体" w:eastAsia="宋体" w:cs="宋体"/>
                <w:color w:val="000000"/>
                <w:sz w:val="18"/>
                <w:szCs w:val="18"/>
              </w:rPr>
              <w:t>0</w:t>
            </w:r>
          </w:p>
        </w:tc>
        <w:tc>
          <w:tcPr>
            <w:tcW w:w="2000"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ascii="宋体" w:hAnsi="宋体" w:eastAsia="宋体" w:cs="宋体"/>
                <w:color w:val="000000"/>
                <w:sz w:val="18"/>
                <w:szCs w:val="18"/>
              </w:rPr>
              <w:t>0</w:t>
            </w:r>
          </w:p>
        </w:tc>
      </w:tr>
      <w:tr>
        <w:tblPrEx>
          <w:tblCellMar>
            <w:top w:w="0" w:type="dxa"/>
            <w:left w:w="108" w:type="dxa"/>
            <w:bottom w:w="0" w:type="dxa"/>
            <w:right w:w="108" w:type="dxa"/>
          </w:tblCellMar>
        </w:tblPrEx>
        <w:trPr>
          <w:trHeight w:val="287" w:hRule="atLeast"/>
        </w:trPr>
        <w:tc>
          <w:tcPr>
            <w:tcW w:w="3366"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人才津贴</w:t>
            </w:r>
          </w:p>
        </w:tc>
        <w:tc>
          <w:tcPr>
            <w:tcW w:w="1958"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5.35</w:t>
            </w:r>
          </w:p>
        </w:tc>
        <w:tc>
          <w:tcPr>
            <w:tcW w:w="1986"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ascii="宋体" w:hAnsi="宋体" w:eastAsia="宋体" w:cs="宋体"/>
                <w:color w:val="000000"/>
                <w:sz w:val="18"/>
                <w:szCs w:val="18"/>
              </w:rPr>
              <w:t>0</w:t>
            </w:r>
          </w:p>
        </w:tc>
        <w:tc>
          <w:tcPr>
            <w:tcW w:w="2000"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ascii="宋体" w:hAnsi="宋体" w:eastAsia="宋体" w:cs="宋体"/>
                <w:color w:val="000000"/>
                <w:sz w:val="18"/>
                <w:szCs w:val="18"/>
              </w:rPr>
              <w:t>0</w:t>
            </w:r>
          </w:p>
        </w:tc>
      </w:tr>
      <w:tr>
        <w:tblPrEx>
          <w:tblCellMar>
            <w:top w:w="0" w:type="dxa"/>
            <w:left w:w="108" w:type="dxa"/>
            <w:bottom w:w="0" w:type="dxa"/>
            <w:right w:w="108" w:type="dxa"/>
          </w:tblCellMar>
        </w:tblPrEx>
        <w:trPr>
          <w:trHeight w:val="273" w:hRule="atLeast"/>
        </w:trPr>
        <w:tc>
          <w:tcPr>
            <w:tcW w:w="3366"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教师节慰问金</w:t>
            </w:r>
          </w:p>
        </w:tc>
        <w:tc>
          <w:tcPr>
            <w:tcW w:w="1958"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0.3</w:t>
            </w:r>
          </w:p>
        </w:tc>
        <w:tc>
          <w:tcPr>
            <w:tcW w:w="1986"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ascii="宋体" w:hAnsi="宋体" w:eastAsia="宋体" w:cs="宋体"/>
                <w:color w:val="000000"/>
                <w:sz w:val="18"/>
                <w:szCs w:val="18"/>
              </w:rPr>
              <w:t>0</w:t>
            </w:r>
          </w:p>
        </w:tc>
        <w:tc>
          <w:tcPr>
            <w:tcW w:w="2000"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ascii="宋体" w:hAnsi="宋体" w:eastAsia="宋体" w:cs="宋体"/>
                <w:color w:val="000000"/>
                <w:sz w:val="18"/>
                <w:szCs w:val="18"/>
              </w:rPr>
              <w:t>0</w:t>
            </w:r>
          </w:p>
        </w:tc>
      </w:tr>
      <w:tr>
        <w:tblPrEx>
          <w:tblCellMar>
            <w:top w:w="0" w:type="dxa"/>
            <w:left w:w="108" w:type="dxa"/>
            <w:bottom w:w="0" w:type="dxa"/>
            <w:right w:w="108" w:type="dxa"/>
          </w:tblCellMar>
        </w:tblPrEx>
        <w:trPr>
          <w:trHeight w:val="283" w:hRule="atLeast"/>
        </w:trPr>
        <w:tc>
          <w:tcPr>
            <w:tcW w:w="3366"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体检费</w:t>
            </w:r>
          </w:p>
        </w:tc>
        <w:tc>
          <w:tcPr>
            <w:tcW w:w="1958"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ascii="宋体" w:hAnsi="宋体" w:eastAsia="宋体" w:cs="宋体"/>
                <w:color w:val="000000"/>
                <w:sz w:val="18"/>
                <w:szCs w:val="18"/>
              </w:rPr>
              <w:t>0</w:t>
            </w:r>
          </w:p>
        </w:tc>
        <w:tc>
          <w:tcPr>
            <w:tcW w:w="1986"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ascii="宋体" w:hAnsi="宋体" w:eastAsia="宋体" w:cs="宋体"/>
                <w:color w:val="000000"/>
                <w:sz w:val="18"/>
                <w:szCs w:val="18"/>
              </w:rPr>
              <w:t>0</w:t>
            </w:r>
          </w:p>
        </w:tc>
        <w:tc>
          <w:tcPr>
            <w:tcW w:w="2000"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r>
      <w:tr>
        <w:tblPrEx>
          <w:tblCellMar>
            <w:top w:w="0" w:type="dxa"/>
            <w:left w:w="108" w:type="dxa"/>
            <w:bottom w:w="0" w:type="dxa"/>
            <w:right w:w="108" w:type="dxa"/>
          </w:tblCellMar>
        </w:tblPrEx>
        <w:trPr>
          <w:trHeight w:val="288" w:hRule="atLeast"/>
        </w:trPr>
        <w:tc>
          <w:tcPr>
            <w:tcW w:w="3366"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（预算股）离退休人员（人员经费）</w:t>
            </w:r>
          </w:p>
        </w:tc>
        <w:tc>
          <w:tcPr>
            <w:tcW w:w="1958"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0.23</w:t>
            </w:r>
          </w:p>
        </w:tc>
        <w:tc>
          <w:tcPr>
            <w:tcW w:w="1986"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2000"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r>
      <w:tr>
        <w:tblPrEx>
          <w:tblCellMar>
            <w:top w:w="0" w:type="dxa"/>
            <w:left w:w="108" w:type="dxa"/>
            <w:bottom w:w="0" w:type="dxa"/>
            <w:right w:w="108" w:type="dxa"/>
          </w:tblCellMar>
        </w:tblPrEx>
        <w:trPr>
          <w:trHeight w:val="274" w:hRule="atLeast"/>
        </w:trPr>
        <w:tc>
          <w:tcPr>
            <w:tcW w:w="3366"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班主任津贴</w:t>
            </w:r>
          </w:p>
        </w:tc>
        <w:tc>
          <w:tcPr>
            <w:tcW w:w="1958"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1.62</w:t>
            </w:r>
          </w:p>
        </w:tc>
        <w:tc>
          <w:tcPr>
            <w:tcW w:w="1986"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ascii="宋体" w:hAnsi="宋体" w:eastAsia="宋体" w:cs="宋体"/>
                <w:color w:val="000000"/>
                <w:sz w:val="18"/>
                <w:szCs w:val="18"/>
              </w:rPr>
              <w:t>0</w:t>
            </w:r>
          </w:p>
        </w:tc>
        <w:tc>
          <w:tcPr>
            <w:tcW w:w="2000"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ascii="宋体" w:hAnsi="宋体" w:eastAsia="宋体" w:cs="宋体"/>
                <w:color w:val="000000"/>
                <w:sz w:val="18"/>
                <w:szCs w:val="18"/>
              </w:rPr>
              <w:t>0</w:t>
            </w:r>
          </w:p>
        </w:tc>
      </w:tr>
      <w:tr>
        <w:tblPrEx>
          <w:tblCellMar>
            <w:top w:w="0" w:type="dxa"/>
            <w:left w:w="108" w:type="dxa"/>
            <w:bottom w:w="0" w:type="dxa"/>
            <w:right w:w="108" w:type="dxa"/>
          </w:tblCellMar>
        </w:tblPrEx>
        <w:trPr>
          <w:trHeight w:val="217" w:hRule="atLeast"/>
        </w:trPr>
        <w:tc>
          <w:tcPr>
            <w:tcW w:w="3366"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乡镇补贴</w:t>
            </w:r>
          </w:p>
        </w:tc>
        <w:tc>
          <w:tcPr>
            <w:tcW w:w="1958"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0.72</w:t>
            </w:r>
          </w:p>
        </w:tc>
        <w:tc>
          <w:tcPr>
            <w:tcW w:w="1986"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2000"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r>
      <w:tr>
        <w:tblPrEx>
          <w:tblCellMar>
            <w:top w:w="0" w:type="dxa"/>
            <w:left w:w="108" w:type="dxa"/>
            <w:bottom w:w="0" w:type="dxa"/>
            <w:right w:w="108" w:type="dxa"/>
          </w:tblCellMar>
        </w:tblPrEx>
        <w:trPr>
          <w:trHeight w:val="277" w:hRule="atLeast"/>
        </w:trPr>
        <w:tc>
          <w:tcPr>
            <w:tcW w:w="3366"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公用经费：</w:t>
            </w:r>
          </w:p>
        </w:tc>
        <w:tc>
          <w:tcPr>
            <w:tcW w:w="1958"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0.07</w:t>
            </w:r>
          </w:p>
        </w:tc>
        <w:tc>
          <w:tcPr>
            <w:tcW w:w="1986"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7.99</w:t>
            </w:r>
          </w:p>
        </w:tc>
        <w:tc>
          <w:tcPr>
            <w:tcW w:w="2000"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7.99</w:t>
            </w:r>
          </w:p>
        </w:tc>
      </w:tr>
      <w:tr>
        <w:tblPrEx>
          <w:tblCellMar>
            <w:top w:w="0" w:type="dxa"/>
            <w:left w:w="108" w:type="dxa"/>
            <w:bottom w:w="0" w:type="dxa"/>
            <w:right w:w="108" w:type="dxa"/>
          </w:tblCellMar>
        </w:tblPrEx>
        <w:trPr>
          <w:trHeight w:val="315" w:hRule="atLeast"/>
        </w:trPr>
        <w:tc>
          <w:tcPr>
            <w:tcW w:w="3366"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其中：办公经费</w:t>
            </w:r>
          </w:p>
        </w:tc>
        <w:tc>
          <w:tcPr>
            <w:tcW w:w="1958"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1986"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7.5</w:t>
            </w:r>
          </w:p>
        </w:tc>
        <w:tc>
          <w:tcPr>
            <w:tcW w:w="2000"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　7.5</w:t>
            </w:r>
          </w:p>
        </w:tc>
      </w:tr>
      <w:tr>
        <w:tblPrEx>
          <w:tblCellMar>
            <w:top w:w="0" w:type="dxa"/>
            <w:left w:w="108" w:type="dxa"/>
            <w:bottom w:w="0" w:type="dxa"/>
            <w:right w:w="108" w:type="dxa"/>
          </w:tblCellMar>
        </w:tblPrEx>
        <w:trPr>
          <w:trHeight w:val="339" w:hRule="atLeast"/>
        </w:trPr>
        <w:tc>
          <w:tcPr>
            <w:tcW w:w="3366"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水费、电费、差旅费</w:t>
            </w:r>
          </w:p>
        </w:tc>
        <w:tc>
          <w:tcPr>
            <w:tcW w:w="1958"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1986"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　0.46</w:t>
            </w:r>
          </w:p>
        </w:tc>
        <w:tc>
          <w:tcPr>
            <w:tcW w:w="2000"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0.46　</w:t>
            </w:r>
          </w:p>
        </w:tc>
      </w:tr>
      <w:tr>
        <w:tblPrEx>
          <w:tblCellMar>
            <w:top w:w="0" w:type="dxa"/>
            <w:left w:w="108" w:type="dxa"/>
            <w:bottom w:w="0" w:type="dxa"/>
            <w:right w:w="108" w:type="dxa"/>
          </w:tblCellMar>
        </w:tblPrEx>
        <w:trPr>
          <w:trHeight w:val="326" w:hRule="atLeast"/>
        </w:trPr>
        <w:tc>
          <w:tcPr>
            <w:tcW w:w="3366"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会议费、培训费</w:t>
            </w:r>
          </w:p>
        </w:tc>
        <w:tc>
          <w:tcPr>
            <w:tcW w:w="1958"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0.07</w:t>
            </w:r>
          </w:p>
        </w:tc>
        <w:tc>
          <w:tcPr>
            <w:tcW w:w="1986"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0.03　</w:t>
            </w:r>
          </w:p>
        </w:tc>
        <w:tc>
          <w:tcPr>
            <w:tcW w:w="2000"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　0.03</w:t>
            </w:r>
          </w:p>
        </w:tc>
      </w:tr>
      <w:tr>
        <w:tblPrEx>
          <w:tblCellMar>
            <w:top w:w="0" w:type="dxa"/>
            <w:left w:w="108" w:type="dxa"/>
            <w:bottom w:w="0" w:type="dxa"/>
            <w:right w:w="108" w:type="dxa"/>
          </w:tblCellMar>
        </w:tblPrEx>
        <w:trPr>
          <w:trHeight w:val="325" w:hRule="atLeast"/>
        </w:trPr>
        <w:tc>
          <w:tcPr>
            <w:tcW w:w="3366"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政府采购金额</w:t>
            </w:r>
          </w:p>
        </w:tc>
        <w:tc>
          <w:tcPr>
            <w:tcW w:w="1958"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1986"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0　</w:t>
            </w:r>
          </w:p>
        </w:tc>
        <w:tc>
          <w:tcPr>
            <w:tcW w:w="2000"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r>
      <w:tr>
        <w:tblPrEx>
          <w:tblCellMar>
            <w:top w:w="0" w:type="dxa"/>
            <w:left w:w="108" w:type="dxa"/>
            <w:bottom w:w="0" w:type="dxa"/>
            <w:right w:w="108" w:type="dxa"/>
          </w:tblCellMar>
        </w:tblPrEx>
        <w:trPr>
          <w:trHeight w:val="410" w:hRule="atLeast"/>
        </w:trPr>
        <w:tc>
          <w:tcPr>
            <w:tcW w:w="3366"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 xml:space="preserve">部门基本支出预算调整 </w:t>
            </w:r>
          </w:p>
        </w:tc>
        <w:tc>
          <w:tcPr>
            <w:tcW w:w="1958"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1986"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　0</w:t>
            </w:r>
          </w:p>
        </w:tc>
        <w:tc>
          <w:tcPr>
            <w:tcW w:w="2000" w:type="dxa"/>
            <w:gridSpan w:val="2"/>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0　</w:t>
            </w:r>
          </w:p>
        </w:tc>
      </w:tr>
      <w:tr>
        <w:tblPrEx>
          <w:tblCellMar>
            <w:top w:w="0" w:type="dxa"/>
            <w:left w:w="108" w:type="dxa"/>
            <w:bottom w:w="0" w:type="dxa"/>
            <w:right w:w="108" w:type="dxa"/>
          </w:tblCellMar>
        </w:tblPrEx>
        <w:trPr>
          <w:trHeight w:val="480" w:hRule="atLeast"/>
        </w:trPr>
        <w:tc>
          <w:tcPr>
            <w:tcW w:w="33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rPr>
              <w:t xml:space="preserve">楼堂馆所控制情况 </w:t>
            </w:r>
          </w:p>
          <w:p>
            <w:pPr>
              <w:adjustRightInd/>
              <w:snapToGrid/>
              <w:spacing w:after="0"/>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（2024年完工项目）</w:t>
            </w:r>
          </w:p>
        </w:tc>
        <w:tc>
          <w:tcPr>
            <w:tcW w:w="97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rPr>
              <w:t xml:space="preserve">批复规模 </w:t>
            </w:r>
          </w:p>
          <w:p>
            <w:pPr>
              <w:adjustRightInd/>
              <w:snapToGrid/>
              <w:spacing w:after="0"/>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w:t>
            </w:r>
          </w:p>
        </w:tc>
        <w:tc>
          <w:tcPr>
            <w:tcW w:w="986"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rPr>
              <w:t>实际规模</w:t>
            </w:r>
          </w:p>
          <w:p>
            <w:pPr>
              <w:adjustRightInd/>
              <w:snapToGrid/>
              <w:spacing w:after="0"/>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w:t>
            </w:r>
          </w:p>
        </w:tc>
        <w:tc>
          <w:tcPr>
            <w:tcW w:w="971"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规模控制率</w:t>
            </w:r>
          </w:p>
        </w:tc>
        <w:tc>
          <w:tcPr>
            <w:tcW w:w="10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rPr>
              <w:t>预算投资</w:t>
            </w:r>
          </w:p>
          <w:p>
            <w:pPr>
              <w:adjustRightInd/>
              <w:snapToGrid/>
              <w:spacing w:after="0"/>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（万元）</w:t>
            </w:r>
          </w:p>
        </w:tc>
        <w:tc>
          <w:tcPr>
            <w:tcW w:w="9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rPr>
              <w:t>实际投资</w:t>
            </w:r>
          </w:p>
          <w:p>
            <w:pPr>
              <w:adjustRightInd/>
              <w:snapToGrid/>
              <w:spacing w:after="0"/>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（万元）</w:t>
            </w:r>
          </w:p>
        </w:tc>
        <w:tc>
          <w:tcPr>
            <w:tcW w:w="1029"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投资概算控制率</w:t>
            </w:r>
          </w:p>
        </w:tc>
      </w:tr>
      <w:tr>
        <w:tblPrEx>
          <w:tblCellMar>
            <w:top w:w="0" w:type="dxa"/>
            <w:left w:w="108" w:type="dxa"/>
            <w:bottom w:w="0" w:type="dxa"/>
            <w:right w:w="108" w:type="dxa"/>
          </w:tblCellMar>
        </w:tblPrEx>
        <w:trPr>
          <w:trHeight w:val="398" w:hRule="atLeast"/>
        </w:trPr>
        <w:tc>
          <w:tcPr>
            <w:tcW w:w="3366"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color w:val="000000"/>
                <w:sz w:val="18"/>
                <w:szCs w:val="18"/>
              </w:rPr>
            </w:pPr>
          </w:p>
        </w:tc>
        <w:tc>
          <w:tcPr>
            <w:tcW w:w="972"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98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971"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　100%</w:t>
            </w:r>
          </w:p>
        </w:tc>
        <w:tc>
          <w:tcPr>
            <w:tcW w:w="1015"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971"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029"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　100%</w:t>
            </w:r>
          </w:p>
        </w:tc>
      </w:tr>
      <w:tr>
        <w:tblPrEx>
          <w:tblCellMar>
            <w:top w:w="0" w:type="dxa"/>
            <w:left w:w="108" w:type="dxa"/>
            <w:bottom w:w="0" w:type="dxa"/>
            <w:right w:w="108" w:type="dxa"/>
          </w:tblCellMar>
        </w:tblPrEx>
        <w:trPr>
          <w:trHeight w:val="720" w:hRule="atLeast"/>
        </w:trPr>
        <w:tc>
          <w:tcPr>
            <w:tcW w:w="3366"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厉行节约保障措施</w:t>
            </w:r>
          </w:p>
        </w:tc>
        <w:tc>
          <w:tcPr>
            <w:tcW w:w="5944" w:type="dxa"/>
            <w:gridSpan w:val="6"/>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提倡无纸化办公，节约办公用品，加强资产管理，提高物品的使用年限，已收定支，量入为出，保证重点，兼顾一般。</w:t>
            </w:r>
          </w:p>
        </w:tc>
      </w:tr>
    </w:tbl>
    <w:p>
      <w:r>
        <w:rPr>
          <w:rFonts w:eastAsia="仿宋_GB2312"/>
          <w:sz w:val="21"/>
          <w:szCs w:val="21"/>
        </w:rPr>
        <w:t>说明：“项目支出”需要填报基本支出以外的所有项目支出情况，“公用经费”填报基本支出中的一般商品和服务支出。</w:t>
      </w:r>
    </w:p>
    <w:p>
      <w:pPr>
        <w:keepNext w:val="0"/>
        <w:keepLines w:val="0"/>
        <w:pageBreakBefore w:val="0"/>
        <w:widowControl w:val="0"/>
        <w:suppressLineNumbers w:val="0"/>
        <w:kinsoku/>
        <w:wordWrap/>
        <w:overflowPunct/>
        <w:topLinePunct w:val="0"/>
        <w:autoSpaceDE w:val="0"/>
        <w:autoSpaceDN/>
        <w:bidi w:val="0"/>
        <w:adjustRightInd w:val="0"/>
        <w:snapToGrid w:val="0"/>
        <w:spacing w:before="0" w:beforeAutospacing="0" w:after="0" w:afterAutospacing="0" w:line="440" w:lineRule="exact"/>
        <w:ind w:left="0" w:right="0"/>
        <w:jc w:val="center"/>
        <w:textAlignment w:val="auto"/>
        <w:outlineLvl w:val="0"/>
        <w:rPr>
          <w:rFonts w:hint="default" w:ascii="方正小标宋_GBK" w:hAnsi="方正小标宋_GBK" w:eastAsia="方正小标宋_GBK" w:cs="方正小标宋_GBK"/>
          <w:snapToGrid/>
          <w:color w:val="000000"/>
          <w:kern w:val="0"/>
          <w:sz w:val="44"/>
          <w:szCs w:val="44"/>
          <w:lang w:val="en-US" w:eastAsia="zh-CN" w:bidi="ar"/>
        </w:rPr>
      </w:pPr>
    </w:p>
    <w:p>
      <w:pPr>
        <w:keepNext w:val="0"/>
        <w:keepLines w:val="0"/>
        <w:pageBreakBefore w:val="0"/>
        <w:widowControl w:val="0"/>
        <w:suppressLineNumbers w:val="0"/>
        <w:kinsoku/>
        <w:wordWrap/>
        <w:overflowPunct/>
        <w:topLinePunct w:val="0"/>
        <w:autoSpaceDE w:val="0"/>
        <w:autoSpaceDN/>
        <w:bidi w:val="0"/>
        <w:adjustRightInd w:val="0"/>
        <w:snapToGrid w:val="0"/>
        <w:spacing w:before="0" w:beforeAutospacing="0" w:after="0" w:afterAutospacing="0" w:line="440" w:lineRule="exact"/>
        <w:ind w:left="0" w:right="0"/>
        <w:jc w:val="center"/>
        <w:textAlignment w:val="auto"/>
        <w:outlineLvl w:val="0"/>
        <w:rPr>
          <w:rFonts w:hint="default" w:ascii="Tahoma" w:hAnsi="Tahoma" w:eastAsia="方正小标宋_GBK" w:cs="Times New Roman"/>
          <w:color w:val="000000"/>
          <w:sz w:val="36"/>
          <w:szCs w:val="36"/>
        </w:rPr>
      </w:pPr>
      <w:r>
        <w:rPr>
          <w:rFonts w:hint="default" w:ascii="方正小标宋_GBK" w:hAnsi="方正小标宋_GBK" w:eastAsia="方正小标宋_GBK" w:cs="方正小标宋_GBK"/>
          <w:snapToGrid/>
          <w:color w:val="000000"/>
          <w:kern w:val="0"/>
          <w:sz w:val="44"/>
          <w:szCs w:val="44"/>
          <w:lang w:val="en-US" w:eastAsia="zh-CN" w:bidi="ar"/>
        </w:rPr>
        <w:t>部门整体支出绩效自评表</w:t>
      </w:r>
    </w:p>
    <w:p>
      <w:pPr>
        <w:keepNext w:val="0"/>
        <w:keepLines w:val="0"/>
        <w:pageBreakBefore w:val="0"/>
        <w:widowControl w:val="0"/>
        <w:suppressLineNumbers w:val="0"/>
        <w:kinsoku/>
        <w:wordWrap/>
        <w:overflowPunct/>
        <w:topLinePunct w:val="0"/>
        <w:autoSpaceDE w:val="0"/>
        <w:autoSpaceDN/>
        <w:bidi w:val="0"/>
        <w:adjustRightInd w:val="0"/>
        <w:snapToGrid w:val="0"/>
        <w:spacing w:before="0" w:beforeAutospacing="0" w:after="0" w:afterAutospacing="0" w:line="440" w:lineRule="exact"/>
        <w:ind w:left="0" w:right="0"/>
        <w:jc w:val="center"/>
        <w:textAlignment w:val="auto"/>
        <w:rPr>
          <w:rFonts w:hint="default" w:ascii="Tahoma" w:hAnsi="Tahoma" w:eastAsia="仿宋_GB2312" w:cs="Times New Roman"/>
          <w:color w:val="000000"/>
          <w:sz w:val="22"/>
          <w:szCs w:val="22"/>
        </w:rPr>
      </w:pPr>
      <w:r>
        <w:rPr>
          <w:rFonts w:hint="default" w:ascii="仿宋_GB2312" w:hAnsi="Tahoma" w:eastAsia="仿宋_GB2312" w:cs="仿宋_GB2312"/>
          <w:snapToGrid/>
          <w:color w:val="000000"/>
          <w:kern w:val="0"/>
          <w:sz w:val="22"/>
          <w:szCs w:val="22"/>
          <w:lang w:val="en-US" w:eastAsia="zh-CN" w:bidi="ar"/>
        </w:rPr>
        <w:t>（</w:t>
      </w:r>
      <w:r>
        <w:rPr>
          <w:rFonts w:hint="default" w:ascii="Tahoma" w:hAnsi="Tahoma" w:eastAsia="Tahoma" w:cs="Tahoma"/>
          <w:snapToGrid/>
          <w:color w:val="000000"/>
          <w:kern w:val="0"/>
          <w:sz w:val="22"/>
          <w:szCs w:val="22"/>
          <w:lang w:val="en-US" w:eastAsia="zh-CN" w:bidi="ar"/>
        </w:rPr>
        <w:t>2024</w:t>
      </w:r>
      <w:r>
        <w:rPr>
          <w:rFonts w:hint="default" w:ascii="仿宋_GB2312" w:hAnsi="Tahoma" w:eastAsia="仿宋_GB2312" w:cs="仿宋_GB2312"/>
          <w:snapToGrid/>
          <w:color w:val="000000"/>
          <w:kern w:val="0"/>
          <w:sz w:val="22"/>
          <w:szCs w:val="22"/>
          <w:lang w:val="en-US" w:eastAsia="zh-CN" w:bidi="ar"/>
        </w:rPr>
        <w:t>年度）</w:t>
      </w:r>
    </w:p>
    <w:tbl>
      <w:tblPr>
        <w:tblStyle w:val="3"/>
        <w:tblW w:w="10039" w:type="dxa"/>
        <w:tblInd w:w="-54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0"/>
        <w:gridCol w:w="670"/>
        <w:gridCol w:w="907"/>
        <w:gridCol w:w="1452"/>
        <w:gridCol w:w="1284"/>
        <w:gridCol w:w="1242"/>
        <w:gridCol w:w="573"/>
        <w:gridCol w:w="599"/>
        <w:gridCol w:w="949"/>
        <w:gridCol w:w="768"/>
        <w:gridCol w:w="9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134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宋体" w:hAnsi="宋体" w:eastAsia="宋体" w:cs="宋体"/>
                <w:b/>
                <w:bCs/>
                <w:color w:val="000000"/>
                <w:sz w:val="18"/>
                <w:szCs w:val="18"/>
              </w:rPr>
            </w:pPr>
            <w:r>
              <w:rPr>
                <w:rFonts w:hint="eastAsia" w:ascii="宋体" w:hAnsi="宋体" w:eastAsia="宋体" w:cs="宋体"/>
                <w:b/>
                <w:bCs/>
                <w:snapToGrid/>
                <w:color w:val="000000"/>
                <w:kern w:val="0"/>
                <w:sz w:val="18"/>
                <w:szCs w:val="18"/>
                <w:lang w:val="en-US" w:eastAsia="zh-CN" w:bidi="ar"/>
              </w:rPr>
              <w:t>预算部门名称</w:t>
            </w:r>
          </w:p>
        </w:tc>
        <w:tc>
          <w:tcPr>
            <w:tcW w:w="8699" w:type="dxa"/>
            <w:gridSpan w:val="9"/>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宋体" w:hAnsi="宋体" w:eastAsia="宋体" w:cs="宋体"/>
                <w:color w:val="000000"/>
                <w:sz w:val="18"/>
                <w:szCs w:val="18"/>
              </w:rPr>
            </w:pPr>
            <w:r>
              <w:rPr>
                <w:rFonts w:hint="eastAsia" w:ascii="宋体" w:hAnsi="宋体" w:eastAsia="宋体" w:cs="宋体"/>
                <w:snapToGrid/>
                <w:color w:val="000000"/>
                <w:kern w:val="0"/>
                <w:sz w:val="18"/>
                <w:szCs w:val="18"/>
                <w:lang w:val="en-US" w:eastAsia="zh-CN" w:bidi="ar"/>
              </w:rPr>
              <w:t>江永县源口乡中心幼儿园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3" w:hRule="atLeast"/>
        </w:trPr>
        <w:tc>
          <w:tcPr>
            <w:tcW w:w="1340" w:type="dxa"/>
            <w:gridSpan w:val="2"/>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宋体" w:hAnsi="宋体" w:eastAsia="宋体" w:cs="宋体"/>
                <w:snapToGrid/>
                <w:color w:val="000000"/>
                <w:kern w:val="0"/>
                <w:sz w:val="18"/>
                <w:szCs w:val="18"/>
                <w:lang w:val="en-US" w:eastAsia="zh-CN" w:bidi="ar"/>
              </w:rPr>
            </w:pPr>
            <w:r>
              <w:rPr>
                <w:rFonts w:hint="eastAsia" w:ascii="宋体" w:hAnsi="宋体" w:eastAsia="宋体" w:cs="宋体"/>
                <w:snapToGrid/>
                <w:color w:val="000000"/>
                <w:kern w:val="0"/>
                <w:sz w:val="18"/>
                <w:szCs w:val="18"/>
                <w:lang w:val="en-US" w:eastAsia="zh-CN" w:bidi="ar"/>
              </w:rPr>
              <w:t>年度预算申请</w:t>
            </w:r>
          </w:p>
          <w:p>
            <w:pPr>
              <w:keepNext w:val="0"/>
              <w:keepLines w:val="0"/>
              <w:widowControl/>
              <w:suppressLineNumbers w:val="0"/>
              <w:adjustRightInd w:val="0"/>
              <w:snapToGrid w:val="0"/>
              <w:spacing w:before="0" w:beforeAutospacing="1" w:after="0" w:afterAutospacing="0"/>
              <w:ind w:left="0" w:right="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napToGrid/>
                <w:color w:val="000000"/>
                <w:kern w:val="0"/>
                <w:sz w:val="18"/>
                <w:szCs w:val="18"/>
                <w:lang w:val="en-US" w:eastAsia="zh-CN" w:bidi="ar"/>
              </w:rPr>
              <w:t>(</w:t>
            </w:r>
            <w:r>
              <w:rPr>
                <w:rFonts w:hint="eastAsia" w:ascii="宋体" w:hAnsi="宋体" w:eastAsia="宋体" w:cs="宋体"/>
                <w:snapToGrid/>
                <w:color w:val="000000"/>
                <w:kern w:val="0"/>
                <w:sz w:val="18"/>
                <w:szCs w:val="18"/>
                <w:lang w:val="en-US" w:eastAsia="zh-CN" w:bidi="ar"/>
              </w:rPr>
              <w:t>万元</w:t>
            </w:r>
            <w:r>
              <w:rPr>
                <w:rFonts w:hint="default" w:ascii="Times New Roman" w:hAnsi="Times New Roman" w:eastAsia="宋体" w:cs="Times New Roman"/>
                <w:snapToGrid/>
                <w:color w:val="000000"/>
                <w:kern w:val="0"/>
                <w:sz w:val="18"/>
                <w:szCs w:val="18"/>
                <w:lang w:val="en-US" w:eastAsia="zh-CN" w:bidi="ar"/>
              </w:rPr>
              <w:t>)</w:t>
            </w:r>
          </w:p>
        </w:tc>
        <w:tc>
          <w:tcPr>
            <w:tcW w:w="2359"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宋体" w:hAnsi="宋体" w:eastAsia="宋体" w:cs="宋体"/>
                <w:color w:val="000000"/>
                <w:sz w:val="18"/>
                <w:szCs w:val="18"/>
              </w:rPr>
            </w:pPr>
            <w:r>
              <w:rPr>
                <w:rFonts w:hint="eastAsia" w:ascii="宋体" w:hAnsi="宋体" w:eastAsia="宋体" w:cs="宋体"/>
                <w:snapToGrid/>
                <w:color w:val="000000"/>
                <w:kern w:val="0"/>
                <w:sz w:val="18"/>
                <w:szCs w:val="18"/>
                <w:lang w:val="en-US" w:eastAsia="zh-CN" w:bidi="ar"/>
              </w:rPr>
              <w:t>　</w:t>
            </w:r>
          </w:p>
        </w:tc>
        <w:tc>
          <w:tcPr>
            <w:tcW w:w="12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b/>
                <w:bCs/>
                <w:color w:val="000000"/>
                <w:sz w:val="18"/>
                <w:szCs w:val="18"/>
              </w:rPr>
            </w:pPr>
            <w:r>
              <w:rPr>
                <w:rFonts w:hint="default" w:ascii="仿宋_GB2312" w:hAnsi="宋体" w:eastAsia="仿宋_GB2312" w:cs="仿宋_GB2312"/>
                <w:b/>
                <w:bCs/>
                <w:snapToGrid/>
                <w:color w:val="000000"/>
                <w:kern w:val="0"/>
                <w:sz w:val="18"/>
                <w:szCs w:val="18"/>
                <w:lang w:val="en-US" w:eastAsia="zh-CN" w:bidi="ar"/>
              </w:rPr>
              <w:t>年初预算数(万元)</w:t>
            </w:r>
          </w:p>
        </w:tc>
        <w:tc>
          <w:tcPr>
            <w:tcW w:w="124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宋体" w:hAnsi="宋体" w:eastAsia="宋体" w:cs="宋体"/>
                <w:b/>
                <w:bCs/>
                <w:color w:val="000000"/>
                <w:sz w:val="18"/>
                <w:szCs w:val="18"/>
              </w:rPr>
            </w:pPr>
            <w:r>
              <w:rPr>
                <w:rFonts w:hint="eastAsia" w:ascii="宋体" w:hAnsi="宋体" w:eastAsia="宋体" w:cs="宋体"/>
                <w:b/>
                <w:bCs/>
                <w:snapToGrid/>
                <w:color w:val="000000"/>
                <w:kern w:val="0"/>
                <w:sz w:val="18"/>
                <w:szCs w:val="18"/>
                <w:lang w:val="en-US" w:eastAsia="zh-CN" w:bidi="ar"/>
              </w:rPr>
              <w:t>全年预算数（万元）</w:t>
            </w:r>
          </w:p>
        </w:tc>
        <w:tc>
          <w:tcPr>
            <w:tcW w:w="1172"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宋体" w:hAnsi="宋体" w:eastAsia="宋体" w:cs="宋体"/>
                <w:b/>
                <w:bCs/>
                <w:color w:val="000000"/>
                <w:sz w:val="18"/>
                <w:szCs w:val="18"/>
              </w:rPr>
            </w:pPr>
            <w:r>
              <w:rPr>
                <w:rFonts w:hint="eastAsia" w:ascii="宋体" w:hAnsi="宋体" w:eastAsia="宋体" w:cs="宋体"/>
                <w:b/>
                <w:bCs/>
                <w:snapToGrid/>
                <w:color w:val="000000"/>
                <w:kern w:val="0"/>
                <w:sz w:val="18"/>
                <w:szCs w:val="18"/>
                <w:lang w:val="en-US" w:eastAsia="zh-CN" w:bidi="ar"/>
              </w:rPr>
              <w:t>全年执行数（万元）</w:t>
            </w:r>
          </w:p>
        </w:tc>
        <w:tc>
          <w:tcPr>
            <w:tcW w:w="94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宋体" w:hAnsi="宋体" w:eastAsia="宋体" w:cs="宋体"/>
                <w:b/>
                <w:bCs/>
                <w:color w:val="000000"/>
                <w:sz w:val="18"/>
                <w:szCs w:val="18"/>
              </w:rPr>
            </w:pPr>
            <w:r>
              <w:rPr>
                <w:rFonts w:hint="eastAsia" w:ascii="宋体" w:hAnsi="宋体" w:eastAsia="宋体" w:cs="宋体"/>
                <w:b/>
                <w:bCs/>
                <w:snapToGrid/>
                <w:color w:val="000000"/>
                <w:kern w:val="0"/>
                <w:sz w:val="18"/>
                <w:szCs w:val="18"/>
                <w:lang w:val="en-US" w:eastAsia="zh-CN" w:bidi="ar"/>
              </w:rPr>
              <w:t>分值</w:t>
            </w:r>
          </w:p>
        </w:tc>
        <w:tc>
          <w:tcPr>
            <w:tcW w:w="76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宋体" w:hAnsi="宋体" w:eastAsia="宋体" w:cs="宋体"/>
                <w:b/>
                <w:bCs/>
                <w:color w:val="000000"/>
                <w:sz w:val="18"/>
                <w:szCs w:val="18"/>
              </w:rPr>
            </w:pPr>
            <w:r>
              <w:rPr>
                <w:rFonts w:hint="eastAsia" w:ascii="宋体" w:hAnsi="宋体" w:eastAsia="宋体" w:cs="宋体"/>
                <w:b/>
                <w:bCs/>
                <w:snapToGrid/>
                <w:color w:val="000000"/>
                <w:kern w:val="0"/>
                <w:sz w:val="18"/>
                <w:szCs w:val="18"/>
                <w:lang w:val="en-US" w:eastAsia="zh-CN" w:bidi="ar"/>
              </w:rPr>
              <w:t>执行率</w:t>
            </w:r>
          </w:p>
        </w:tc>
        <w:tc>
          <w:tcPr>
            <w:tcW w:w="92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b/>
                <w:bCs/>
                <w:color w:val="000000"/>
                <w:sz w:val="18"/>
                <w:szCs w:val="18"/>
              </w:rPr>
            </w:pPr>
            <w:r>
              <w:rPr>
                <w:rFonts w:hint="default" w:ascii="仿宋_GB2312" w:hAnsi="宋体" w:eastAsia="仿宋_GB2312" w:cs="仿宋_GB2312"/>
                <w:b/>
                <w:bCs/>
                <w:snapToGrid/>
                <w:color w:val="000000"/>
                <w:kern w:val="0"/>
                <w:sz w:val="18"/>
                <w:szCs w:val="18"/>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45" w:hRule="atLeast"/>
        </w:trPr>
        <w:tc>
          <w:tcPr>
            <w:tcW w:w="1340" w:type="dxa"/>
            <w:gridSpan w:val="2"/>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2359"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b/>
                <w:bCs/>
                <w:color w:val="000000"/>
                <w:sz w:val="18"/>
                <w:szCs w:val="18"/>
              </w:rPr>
            </w:pPr>
            <w:r>
              <w:rPr>
                <w:rFonts w:hint="default" w:ascii="仿宋_GB2312" w:hAnsi="宋体" w:eastAsia="仿宋_GB2312" w:cs="仿宋_GB2312"/>
                <w:b/>
                <w:bCs/>
                <w:snapToGrid/>
                <w:color w:val="000000"/>
                <w:kern w:val="0"/>
                <w:sz w:val="18"/>
                <w:szCs w:val="18"/>
                <w:lang w:val="en-US" w:eastAsia="zh-CN" w:bidi="ar"/>
              </w:rPr>
              <w:t>年度资金总额：</w:t>
            </w:r>
          </w:p>
        </w:tc>
        <w:tc>
          <w:tcPr>
            <w:tcW w:w="12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napToGrid/>
                <w:color w:val="000000"/>
                <w:kern w:val="0"/>
                <w:sz w:val="18"/>
                <w:szCs w:val="18"/>
                <w:lang w:val="en-US" w:eastAsia="zh-CN" w:bidi="ar"/>
              </w:rPr>
              <w:t>38.67</w:t>
            </w:r>
          </w:p>
        </w:tc>
        <w:tc>
          <w:tcPr>
            <w:tcW w:w="124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100.38</w:t>
            </w:r>
          </w:p>
        </w:tc>
        <w:tc>
          <w:tcPr>
            <w:tcW w:w="1172"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napToGrid/>
                <w:color w:val="000000"/>
                <w:kern w:val="0"/>
                <w:sz w:val="18"/>
                <w:szCs w:val="18"/>
                <w:lang w:val="en-US" w:eastAsia="zh-CN" w:bidi="ar"/>
              </w:rPr>
              <w:t>88.30</w:t>
            </w:r>
          </w:p>
        </w:tc>
        <w:tc>
          <w:tcPr>
            <w:tcW w:w="94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napToGrid/>
                <w:color w:val="000000"/>
                <w:kern w:val="0"/>
                <w:sz w:val="18"/>
                <w:szCs w:val="18"/>
                <w:lang w:val="en-US" w:eastAsia="zh-CN" w:bidi="ar"/>
              </w:rPr>
              <w:t>10</w:t>
            </w:r>
          </w:p>
        </w:tc>
        <w:tc>
          <w:tcPr>
            <w:tcW w:w="76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Times New Roman" w:hAnsi="Times New Roman" w:eastAsia="宋体" w:cs="Times New Roman"/>
                <w:color w:val="000000"/>
                <w:sz w:val="18"/>
                <w:szCs w:val="18"/>
              </w:rPr>
            </w:pPr>
            <w:r>
              <w:rPr>
                <w:rFonts w:hint="eastAsia" w:ascii="Times New Roman" w:hAnsi="Times New Roman" w:eastAsia="宋体" w:cs="Times New Roman"/>
                <w:snapToGrid/>
                <w:color w:val="000000"/>
                <w:kern w:val="0"/>
                <w:sz w:val="18"/>
                <w:szCs w:val="18"/>
                <w:lang w:val="en-US" w:eastAsia="zh-CN" w:bidi="ar"/>
              </w:rPr>
              <w:t>87.97</w:t>
            </w:r>
            <w:r>
              <w:rPr>
                <w:rFonts w:hint="default" w:ascii="Times New Roman" w:hAnsi="Times New Roman" w:eastAsia="宋体" w:cs="Times New Roman"/>
                <w:snapToGrid/>
                <w:color w:val="000000"/>
                <w:kern w:val="0"/>
                <w:sz w:val="18"/>
                <w:szCs w:val="18"/>
                <w:lang w:val="en-US" w:eastAsia="zh-CN" w:bidi="ar"/>
              </w:rPr>
              <w:t>%</w:t>
            </w:r>
          </w:p>
        </w:tc>
        <w:tc>
          <w:tcPr>
            <w:tcW w:w="92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8.80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1340" w:type="dxa"/>
            <w:gridSpan w:val="2"/>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6057" w:type="dxa"/>
            <w:gridSpan w:val="6"/>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left"/>
              <w:rPr>
                <w:rFonts w:hint="default" w:ascii="仿宋_GB2312" w:hAnsi="宋体" w:eastAsia="仿宋_GB2312" w:cs="宋体"/>
                <w:b/>
                <w:bCs/>
                <w:color w:val="000000"/>
                <w:sz w:val="18"/>
                <w:szCs w:val="18"/>
              </w:rPr>
            </w:pPr>
            <w:r>
              <w:rPr>
                <w:rFonts w:hint="default" w:ascii="仿宋_GB2312" w:hAnsi="宋体" w:eastAsia="仿宋_GB2312" w:cs="仿宋_GB2312"/>
                <w:b/>
                <w:bCs/>
                <w:snapToGrid/>
                <w:color w:val="000000"/>
                <w:kern w:val="0"/>
                <w:sz w:val="18"/>
                <w:szCs w:val="18"/>
                <w:lang w:val="en-US" w:eastAsia="zh-CN" w:bidi="ar"/>
              </w:rPr>
              <w:t>按收入性质分：</w:t>
            </w:r>
          </w:p>
        </w:tc>
        <w:tc>
          <w:tcPr>
            <w:tcW w:w="2642"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left"/>
              <w:rPr>
                <w:rFonts w:hint="eastAsia" w:ascii="宋体" w:hAnsi="宋体" w:eastAsia="宋体" w:cs="宋体"/>
                <w:color w:val="000000"/>
                <w:sz w:val="18"/>
                <w:szCs w:val="18"/>
              </w:rPr>
            </w:pPr>
            <w:r>
              <w:rPr>
                <w:rFonts w:hint="eastAsia" w:ascii="宋体" w:hAnsi="宋体" w:eastAsia="宋体" w:cs="宋体"/>
                <w:snapToGrid/>
                <w:color w:val="000000"/>
                <w:kern w:val="0"/>
                <w:sz w:val="18"/>
                <w:szCs w:val="18"/>
                <w:lang w:val="en-US" w:eastAsia="zh-CN" w:bidi="ar"/>
              </w:rPr>
              <w:t>按支出性质分：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1340" w:type="dxa"/>
            <w:gridSpan w:val="2"/>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2359"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b/>
                <w:bCs/>
                <w:color w:val="000000"/>
                <w:sz w:val="18"/>
                <w:szCs w:val="18"/>
              </w:rPr>
            </w:pPr>
            <w:r>
              <w:rPr>
                <w:rFonts w:hint="default" w:ascii="仿宋_GB2312" w:hAnsi="宋体" w:eastAsia="仿宋_GB2312" w:cs="仿宋_GB2312"/>
                <w:b/>
                <w:bCs/>
                <w:snapToGrid/>
                <w:color w:val="000000"/>
                <w:kern w:val="0"/>
                <w:sz w:val="18"/>
                <w:szCs w:val="18"/>
                <w:lang w:val="en-US" w:eastAsia="zh-CN" w:bidi="ar"/>
              </w:rPr>
              <w:t>一般公共预算：</w:t>
            </w:r>
          </w:p>
        </w:tc>
        <w:tc>
          <w:tcPr>
            <w:tcW w:w="3698"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100.38</w:t>
            </w:r>
          </w:p>
        </w:tc>
        <w:tc>
          <w:tcPr>
            <w:tcW w:w="949"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宋体" w:hAnsi="宋体" w:eastAsia="宋体" w:cs="宋体"/>
                <w:b/>
                <w:bCs/>
                <w:color w:val="000000"/>
                <w:sz w:val="18"/>
                <w:szCs w:val="18"/>
              </w:rPr>
            </w:pPr>
            <w:r>
              <w:rPr>
                <w:rFonts w:hint="eastAsia" w:ascii="宋体" w:hAnsi="宋体" w:eastAsia="宋体" w:cs="宋体"/>
                <w:b/>
                <w:bCs/>
                <w:snapToGrid/>
                <w:color w:val="000000"/>
                <w:kern w:val="0"/>
                <w:sz w:val="18"/>
                <w:szCs w:val="18"/>
                <w:lang w:val="en-US" w:eastAsia="zh-CN" w:bidi="ar"/>
              </w:rPr>
              <w:t>其中:基本支出：</w:t>
            </w:r>
          </w:p>
        </w:tc>
        <w:tc>
          <w:tcPr>
            <w:tcW w:w="1693" w:type="dxa"/>
            <w:gridSpan w:val="2"/>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Times New Roman" w:hAnsi="Times New Roman" w:eastAsia="宋体" w:cs="Times New Roman"/>
                <w:color w:val="000000"/>
                <w:sz w:val="18"/>
                <w:szCs w:val="18"/>
                <w:lang w:val="en-US"/>
              </w:rPr>
            </w:pPr>
            <w:r>
              <w:rPr>
                <w:rFonts w:hint="eastAsia" w:ascii="Times New Roman" w:hAnsi="Times New Roman" w:eastAsia="宋体" w:cs="Times New Roman"/>
                <w:snapToGrid/>
                <w:color w:val="000000"/>
                <w:kern w:val="0"/>
                <w:sz w:val="18"/>
                <w:szCs w:val="18"/>
                <w:lang w:val="en-US" w:eastAsia="zh-CN" w:bidi="ar"/>
              </w:rPr>
              <w:t>88.30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1340" w:type="dxa"/>
            <w:gridSpan w:val="2"/>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2359"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b/>
                <w:bCs/>
                <w:color w:val="000000"/>
                <w:sz w:val="18"/>
                <w:szCs w:val="18"/>
              </w:rPr>
            </w:pPr>
            <w:r>
              <w:rPr>
                <w:rFonts w:hint="default" w:ascii="仿宋_GB2312" w:hAnsi="宋体" w:eastAsia="仿宋_GB2312" w:cs="仿宋_GB2312"/>
                <w:b/>
                <w:bCs/>
                <w:snapToGrid/>
                <w:color w:val="000000"/>
                <w:kern w:val="0"/>
                <w:sz w:val="18"/>
                <w:szCs w:val="18"/>
                <w:lang w:val="en-US" w:eastAsia="zh-CN" w:bidi="ar"/>
              </w:rPr>
              <w:t>政府性基金拨款：</w:t>
            </w:r>
          </w:p>
        </w:tc>
        <w:tc>
          <w:tcPr>
            <w:tcW w:w="3698"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napToGrid/>
                <w:color w:val="000000"/>
                <w:kern w:val="0"/>
                <w:sz w:val="18"/>
                <w:szCs w:val="18"/>
                <w:lang w:val="en-US" w:eastAsia="zh-CN" w:bidi="ar"/>
              </w:rPr>
              <w:t>0.0</w:t>
            </w:r>
          </w:p>
        </w:tc>
        <w:tc>
          <w:tcPr>
            <w:tcW w:w="949" w:type="dxa"/>
            <w:vMerge w:val="continue"/>
            <w:tcBorders>
              <w:top w:val="single" w:color="auto" w:sz="4" w:space="0"/>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693" w:type="dxa"/>
            <w:gridSpan w:val="2"/>
            <w:vMerge w:val="continue"/>
            <w:tcBorders>
              <w:top w:val="single" w:color="auto" w:sz="4" w:space="0"/>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 w:hRule="atLeast"/>
        </w:trPr>
        <w:tc>
          <w:tcPr>
            <w:tcW w:w="1340" w:type="dxa"/>
            <w:gridSpan w:val="2"/>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2359"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b/>
                <w:bCs/>
                <w:color w:val="000000"/>
                <w:sz w:val="18"/>
                <w:szCs w:val="18"/>
              </w:rPr>
            </w:pPr>
            <w:r>
              <w:rPr>
                <w:rFonts w:hint="default" w:ascii="仿宋_GB2312" w:hAnsi="宋体" w:eastAsia="仿宋_GB2312" w:cs="仿宋_GB2312"/>
                <w:b/>
                <w:bCs/>
                <w:snapToGrid/>
                <w:color w:val="000000"/>
                <w:kern w:val="0"/>
                <w:sz w:val="18"/>
                <w:szCs w:val="18"/>
                <w:lang w:val="en-US" w:eastAsia="zh-CN" w:bidi="ar"/>
              </w:rPr>
              <w:t>纳入专户管理的非税收入拨款：</w:t>
            </w:r>
          </w:p>
        </w:tc>
        <w:tc>
          <w:tcPr>
            <w:tcW w:w="3698"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napToGrid/>
                <w:color w:val="000000"/>
                <w:kern w:val="0"/>
                <w:sz w:val="18"/>
                <w:szCs w:val="18"/>
                <w:lang w:val="en-US" w:eastAsia="zh-CN" w:bidi="ar"/>
              </w:rPr>
              <w:t>0.00</w:t>
            </w:r>
          </w:p>
        </w:tc>
        <w:tc>
          <w:tcPr>
            <w:tcW w:w="949" w:type="dxa"/>
            <w:vMerge w:val="restar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宋体" w:hAnsi="宋体" w:eastAsia="宋体" w:cs="宋体"/>
                <w:b/>
                <w:bCs/>
                <w:color w:val="000000"/>
                <w:sz w:val="18"/>
                <w:szCs w:val="18"/>
              </w:rPr>
            </w:pPr>
            <w:r>
              <w:rPr>
                <w:rFonts w:hint="eastAsia" w:ascii="宋体" w:hAnsi="宋体" w:eastAsia="宋体" w:cs="宋体"/>
                <w:b/>
                <w:bCs/>
                <w:snapToGrid/>
                <w:color w:val="000000"/>
                <w:kern w:val="0"/>
                <w:sz w:val="18"/>
                <w:szCs w:val="18"/>
                <w:lang w:val="en-US" w:eastAsia="zh-CN" w:bidi="ar"/>
              </w:rPr>
              <w:t>项目支出：</w:t>
            </w:r>
          </w:p>
        </w:tc>
        <w:tc>
          <w:tcPr>
            <w:tcW w:w="1693" w:type="dxa"/>
            <w:gridSpan w:val="2"/>
            <w:vMerge w:val="restar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Times New Roman" w:hAnsi="Times New Roman" w:eastAsia="宋体" w:cs="Times New Roman"/>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1340" w:type="dxa"/>
            <w:gridSpan w:val="2"/>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2359"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b/>
                <w:bCs/>
                <w:color w:val="000000"/>
                <w:sz w:val="18"/>
                <w:szCs w:val="18"/>
              </w:rPr>
            </w:pPr>
            <w:r>
              <w:rPr>
                <w:rFonts w:hint="default" w:ascii="仿宋_GB2312" w:hAnsi="宋体" w:eastAsia="仿宋_GB2312" w:cs="仿宋_GB2312"/>
                <w:b/>
                <w:bCs/>
                <w:snapToGrid/>
                <w:color w:val="000000"/>
                <w:kern w:val="0"/>
                <w:sz w:val="18"/>
                <w:szCs w:val="18"/>
                <w:lang w:val="en-US" w:eastAsia="zh-CN" w:bidi="ar"/>
              </w:rPr>
              <w:t>其他资金</w:t>
            </w:r>
          </w:p>
        </w:tc>
        <w:tc>
          <w:tcPr>
            <w:tcW w:w="3698"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napToGrid/>
                <w:color w:val="000000"/>
                <w:kern w:val="0"/>
                <w:sz w:val="18"/>
                <w:szCs w:val="18"/>
                <w:lang w:val="en-US" w:eastAsia="zh-CN" w:bidi="ar"/>
              </w:rPr>
              <w:t>0.0</w:t>
            </w:r>
          </w:p>
        </w:tc>
        <w:tc>
          <w:tcPr>
            <w:tcW w:w="949" w:type="dxa"/>
            <w:vMerge w:val="continue"/>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693" w:type="dxa"/>
            <w:gridSpan w:val="2"/>
            <w:vMerge w:val="continue"/>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1340" w:type="dxa"/>
            <w:gridSpan w:val="2"/>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b/>
                <w:bCs/>
                <w:color w:val="000000"/>
                <w:sz w:val="18"/>
                <w:szCs w:val="18"/>
              </w:rPr>
            </w:pPr>
            <w:r>
              <w:rPr>
                <w:rFonts w:hint="default" w:ascii="仿宋_GB2312" w:hAnsi="宋体" w:eastAsia="仿宋_GB2312" w:cs="仿宋_GB2312"/>
                <w:b/>
                <w:bCs/>
                <w:snapToGrid/>
                <w:color w:val="000000"/>
                <w:kern w:val="0"/>
                <w:sz w:val="18"/>
                <w:szCs w:val="18"/>
                <w:lang w:val="en-US" w:eastAsia="zh-CN" w:bidi="ar"/>
              </w:rPr>
              <w:t>年度总体目标</w:t>
            </w:r>
          </w:p>
        </w:tc>
        <w:tc>
          <w:tcPr>
            <w:tcW w:w="6057" w:type="dxa"/>
            <w:gridSpan w:val="6"/>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b/>
                <w:bCs/>
                <w:color w:val="000000"/>
                <w:sz w:val="18"/>
                <w:szCs w:val="18"/>
              </w:rPr>
            </w:pPr>
            <w:r>
              <w:rPr>
                <w:rFonts w:hint="default" w:ascii="仿宋_GB2312" w:hAnsi="宋体" w:eastAsia="仿宋_GB2312" w:cs="仿宋_GB2312"/>
                <w:b/>
                <w:bCs/>
                <w:snapToGrid/>
                <w:color w:val="000000"/>
                <w:kern w:val="0"/>
                <w:sz w:val="18"/>
                <w:szCs w:val="18"/>
                <w:lang w:val="en-US" w:eastAsia="zh-CN" w:bidi="ar"/>
              </w:rPr>
              <w:t>预期目标</w:t>
            </w:r>
          </w:p>
        </w:tc>
        <w:tc>
          <w:tcPr>
            <w:tcW w:w="2642"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宋体" w:hAnsi="宋体" w:eastAsia="宋体" w:cs="宋体"/>
                <w:b/>
                <w:bCs/>
                <w:color w:val="000000"/>
                <w:sz w:val="18"/>
                <w:szCs w:val="18"/>
              </w:rPr>
            </w:pPr>
            <w:r>
              <w:rPr>
                <w:rFonts w:hint="eastAsia" w:ascii="宋体" w:hAnsi="宋体" w:eastAsia="宋体" w:cs="宋体"/>
                <w:b/>
                <w:bCs/>
                <w:snapToGrid/>
                <w:color w:val="000000"/>
                <w:kern w:val="0"/>
                <w:sz w:val="18"/>
                <w:szCs w:val="18"/>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19" w:hRule="atLeast"/>
        </w:trPr>
        <w:tc>
          <w:tcPr>
            <w:tcW w:w="1340" w:type="dxa"/>
            <w:gridSpan w:val="2"/>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6057" w:type="dxa"/>
            <w:gridSpan w:val="6"/>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adjustRightInd w:val="0"/>
              <w:snapToGrid w:val="0"/>
              <w:spacing w:before="0" w:beforeAutospacing="1" w:after="0" w:afterAutospacing="0"/>
              <w:ind w:left="0" w:right="0"/>
              <w:jc w:val="left"/>
              <w:rPr>
                <w:rFonts w:hint="default" w:ascii="仿宋_GB2312" w:hAnsi="宋体" w:eastAsia="仿宋_GB2312" w:cs="宋体"/>
                <w:color w:val="000000"/>
                <w:sz w:val="18"/>
                <w:szCs w:val="18"/>
              </w:rPr>
            </w:pPr>
            <w:r>
              <w:rPr>
                <w:rFonts w:hint="default" w:ascii="仿宋_GB2312" w:hAnsi="宋体" w:eastAsia="仿宋_GB2312" w:cs="仿宋_GB2312"/>
                <w:snapToGrid/>
                <w:color w:val="000000"/>
                <w:kern w:val="0"/>
                <w:sz w:val="16"/>
                <w:szCs w:val="16"/>
                <w:lang w:val="en-US" w:eastAsia="zh-CN" w:bidi="ar"/>
              </w:rPr>
              <w:t>1.进一步激发人才活力，完善教师奖励机制，激发教学工作的积极性、主动性。2.保障教职工工资、住房公积金、社会保障费等人员经费以及津贴补贴的正常发放，保证幼儿园正常运转，提高教职工幸福感及基本生活保障。3.坚持经费专款专用，继续完善财务相关制度，确保经费使用在预算范围内使用。4.开展多形式的教师培训项目，确保每月至少进行1次的教师培训。5.开展形式丰富的教育教学活动，努力提升幼儿园教育教学质量。6.定期开展家访、家长会，成立家长学校，促进家校联合的教育，提高家长满意度。</w:t>
            </w:r>
          </w:p>
        </w:tc>
        <w:tc>
          <w:tcPr>
            <w:tcW w:w="2642"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Times New Roman" w:hAnsi="Times New Roman" w:eastAsia="宋体" w:cs="Times New Roman"/>
                <w:color w:val="000000"/>
                <w:sz w:val="18"/>
                <w:szCs w:val="18"/>
              </w:rPr>
            </w:pPr>
            <w:r>
              <w:rPr>
                <w:rFonts w:hint="eastAsia" w:ascii="宋体" w:hAnsi="宋体" w:eastAsia="宋体" w:cs="宋体"/>
                <w:snapToGrid/>
                <w:color w:val="000000"/>
                <w:kern w:val="0"/>
                <w:sz w:val="18"/>
                <w:szCs w:val="18"/>
                <w:lang w:val="en-US" w:eastAsia="zh-CN" w:bidi="ar"/>
              </w:rPr>
              <w:t>全面完成。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67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b/>
                <w:bCs/>
                <w:color w:val="000000"/>
                <w:sz w:val="18"/>
                <w:szCs w:val="18"/>
              </w:rPr>
            </w:pPr>
            <w:r>
              <w:rPr>
                <w:rFonts w:hint="default" w:ascii="仿宋_GB2312" w:hAnsi="宋体" w:eastAsia="仿宋_GB2312" w:cs="仿宋_GB2312"/>
                <w:b/>
                <w:bCs/>
                <w:snapToGrid/>
                <w:color w:val="000000"/>
                <w:kern w:val="0"/>
                <w:sz w:val="18"/>
                <w:szCs w:val="18"/>
                <w:lang w:val="en-US" w:eastAsia="zh-CN" w:bidi="ar"/>
              </w:rPr>
              <w:t>绩效指标</w:t>
            </w:r>
          </w:p>
        </w:tc>
        <w:tc>
          <w:tcPr>
            <w:tcW w:w="670" w:type="dxa"/>
            <w:vMerge w:val="restar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b/>
                <w:bCs/>
                <w:color w:val="000000"/>
                <w:sz w:val="18"/>
                <w:szCs w:val="18"/>
              </w:rPr>
            </w:pPr>
            <w:r>
              <w:rPr>
                <w:rFonts w:hint="default" w:ascii="仿宋_GB2312" w:hAnsi="宋体" w:eastAsia="仿宋_GB2312" w:cs="仿宋_GB2312"/>
                <w:b/>
                <w:bCs/>
                <w:snapToGrid/>
                <w:color w:val="000000"/>
                <w:kern w:val="0"/>
                <w:sz w:val="18"/>
                <w:szCs w:val="18"/>
                <w:lang w:val="en-US" w:eastAsia="zh-CN" w:bidi="ar"/>
              </w:rPr>
              <w:t>一级指标</w:t>
            </w:r>
          </w:p>
        </w:tc>
        <w:tc>
          <w:tcPr>
            <w:tcW w:w="907" w:type="dxa"/>
            <w:vMerge w:val="restar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b/>
                <w:bCs/>
                <w:color w:val="000000"/>
                <w:sz w:val="18"/>
                <w:szCs w:val="18"/>
              </w:rPr>
            </w:pPr>
            <w:r>
              <w:rPr>
                <w:rFonts w:hint="default" w:ascii="仿宋_GB2312" w:hAnsi="宋体" w:eastAsia="仿宋_GB2312" w:cs="仿宋_GB2312"/>
                <w:b/>
                <w:bCs/>
                <w:snapToGrid/>
                <w:color w:val="000000"/>
                <w:kern w:val="0"/>
                <w:sz w:val="18"/>
                <w:szCs w:val="18"/>
                <w:lang w:val="en-US" w:eastAsia="zh-CN" w:bidi="ar"/>
              </w:rPr>
              <w:t>二级指标</w:t>
            </w:r>
          </w:p>
        </w:tc>
        <w:tc>
          <w:tcPr>
            <w:tcW w:w="1452" w:type="dxa"/>
            <w:vMerge w:val="restar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b/>
                <w:bCs/>
                <w:color w:val="000000"/>
                <w:sz w:val="18"/>
                <w:szCs w:val="18"/>
              </w:rPr>
            </w:pPr>
            <w:r>
              <w:rPr>
                <w:rFonts w:hint="default" w:ascii="仿宋_GB2312" w:hAnsi="宋体" w:eastAsia="仿宋_GB2312" w:cs="仿宋_GB2312"/>
                <w:b/>
                <w:bCs/>
                <w:snapToGrid/>
                <w:color w:val="000000"/>
                <w:kern w:val="0"/>
                <w:sz w:val="18"/>
                <w:szCs w:val="18"/>
                <w:lang w:val="en-US" w:eastAsia="zh-CN" w:bidi="ar"/>
              </w:rPr>
              <w:t>三级指标</w:t>
            </w:r>
          </w:p>
        </w:tc>
        <w:tc>
          <w:tcPr>
            <w:tcW w:w="1284"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b/>
                <w:bCs/>
                <w:color w:val="000000"/>
                <w:sz w:val="18"/>
                <w:szCs w:val="18"/>
              </w:rPr>
            </w:pPr>
            <w:r>
              <w:rPr>
                <w:rFonts w:hint="default" w:ascii="仿宋_GB2312" w:hAnsi="宋体" w:eastAsia="仿宋_GB2312" w:cs="仿宋_GB2312"/>
                <w:b/>
                <w:bCs/>
                <w:snapToGrid/>
                <w:color w:val="000000"/>
                <w:kern w:val="0"/>
                <w:sz w:val="18"/>
                <w:szCs w:val="18"/>
                <w:lang w:val="en-US" w:eastAsia="zh-CN" w:bidi="ar"/>
              </w:rPr>
              <w:t>年度指标值</w:t>
            </w:r>
          </w:p>
        </w:tc>
        <w:tc>
          <w:tcPr>
            <w:tcW w:w="1242"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宋体" w:hAnsi="宋体" w:eastAsia="宋体" w:cs="宋体"/>
                <w:b/>
                <w:bCs/>
                <w:color w:val="000000"/>
                <w:sz w:val="18"/>
                <w:szCs w:val="18"/>
              </w:rPr>
            </w:pPr>
            <w:r>
              <w:rPr>
                <w:rFonts w:hint="eastAsia" w:ascii="宋体" w:hAnsi="宋体" w:eastAsia="宋体" w:cs="宋体"/>
                <w:b/>
                <w:bCs/>
                <w:snapToGrid/>
                <w:color w:val="000000"/>
                <w:kern w:val="0"/>
                <w:sz w:val="18"/>
                <w:szCs w:val="18"/>
                <w:lang w:val="en-US" w:eastAsia="zh-CN" w:bidi="ar"/>
              </w:rPr>
              <w:t>实际完成值</w:t>
            </w:r>
          </w:p>
        </w:tc>
        <w:tc>
          <w:tcPr>
            <w:tcW w:w="573" w:type="dxa"/>
            <w:vMerge w:val="restar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b/>
                <w:bCs/>
                <w:color w:val="000000"/>
                <w:sz w:val="18"/>
                <w:szCs w:val="18"/>
              </w:rPr>
            </w:pPr>
            <w:r>
              <w:rPr>
                <w:rFonts w:hint="default" w:ascii="仿宋_GB2312" w:hAnsi="宋体" w:eastAsia="仿宋_GB2312" w:cs="仿宋_GB2312"/>
                <w:b/>
                <w:bCs/>
                <w:snapToGrid/>
                <w:color w:val="000000"/>
                <w:kern w:val="0"/>
                <w:sz w:val="18"/>
                <w:szCs w:val="18"/>
                <w:lang w:val="en-US" w:eastAsia="zh-CN" w:bidi="ar"/>
              </w:rPr>
              <w:t>分值</w:t>
            </w:r>
          </w:p>
        </w:tc>
        <w:tc>
          <w:tcPr>
            <w:tcW w:w="599" w:type="dxa"/>
            <w:vMerge w:val="restar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b/>
                <w:bCs/>
                <w:color w:val="000000"/>
                <w:sz w:val="18"/>
                <w:szCs w:val="18"/>
              </w:rPr>
            </w:pPr>
            <w:r>
              <w:rPr>
                <w:rFonts w:hint="default" w:ascii="仿宋_GB2312" w:hAnsi="宋体" w:eastAsia="仿宋_GB2312" w:cs="仿宋_GB2312"/>
                <w:b/>
                <w:bCs/>
                <w:snapToGrid/>
                <w:color w:val="000000"/>
                <w:kern w:val="0"/>
                <w:sz w:val="18"/>
                <w:szCs w:val="18"/>
                <w:lang w:val="en-US" w:eastAsia="zh-CN" w:bidi="ar"/>
              </w:rPr>
              <w:t>得分</w:t>
            </w:r>
          </w:p>
        </w:tc>
        <w:tc>
          <w:tcPr>
            <w:tcW w:w="2642" w:type="dxa"/>
            <w:gridSpan w:val="3"/>
            <w:vMerge w:val="restart"/>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宋体" w:hAnsi="宋体" w:eastAsia="宋体" w:cs="宋体"/>
                <w:b/>
                <w:bCs/>
                <w:color w:val="000000"/>
                <w:sz w:val="18"/>
                <w:szCs w:val="18"/>
              </w:rPr>
            </w:pPr>
            <w:r>
              <w:rPr>
                <w:rFonts w:hint="eastAsia" w:ascii="宋体" w:hAnsi="宋体" w:eastAsia="宋体" w:cs="宋体"/>
                <w:b/>
                <w:bCs/>
                <w:snapToGrid/>
                <w:color w:val="000000"/>
                <w:kern w:val="0"/>
                <w:sz w:val="18"/>
                <w:szCs w:val="18"/>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670"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670" w:type="dxa"/>
            <w:vMerge w:val="continue"/>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907" w:type="dxa"/>
            <w:vMerge w:val="continue"/>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452" w:type="dxa"/>
            <w:vMerge w:val="continue"/>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284" w:type="dxa"/>
            <w:vMerge w:val="continue"/>
            <w:tcBorders>
              <w:top w:val="single" w:color="auto" w:sz="4" w:space="0"/>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242" w:type="dxa"/>
            <w:vMerge w:val="continue"/>
            <w:tcBorders>
              <w:top w:val="single" w:color="auto" w:sz="4" w:space="0"/>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573" w:type="dxa"/>
            <w:vMerge w:val="continue"/>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599" w:type="dxa"/>
            <w:vMerge w:val="continue"/>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2642" w:type="dxa"/>
            <w:gridSpan w:val="3"/>
            <w:vMerge w:val="continue"/>
            <w:tcBorders>
              <w:top w:val="single" w:color="auto" w:sz="4" w:space="0"/>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8" w:hRule="atLeast"/>
        </w:trPr>
        <w:tc>
          <w:tcPr>
            <w:tcW w:w="67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left"/>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绩效指标</w:t>
            </w:r>
          </w:p>
        </w:tc>
        <w:tc>
          <w:tcPr>
            <w:tcW w:w="670" w:type="dxa"/>
            <w:vMerge w:val="restar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left"/>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产出指标</w:t>
            </w:r>
          </w:p>
        </w:tc>
        <w:tc>
          <w:tcPr>
            <w:tcW w:w="907" w:type="dxa"/>
            <w:vMerge w:val="restart"/>
            <w:tcBorders>
              <w:top w:val="nil"/>
              <w:left w:val="nil"/>
              <w:bottom w:val="nil"/>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仿宋" w:hAnsi="仿宋" w:eastAsia="仿宋" w:cs="宋体"/>
                <w:color w:val="000000"/>
                <w:sz w:val="16"/>
                <w:szCs w:val="16"/>
              </w:rPr>
            </w:pPr>
            <w:r>
              <w:rPr>
                <w:rFonts w:hint="eastAsia" w:ascii="仿宋" w:hAnsi="仿宋" w:eastAsia="仿宋" w:cs="仿宋"/>
                <w:snapToGrid/>
                <w:color w:val="000000"/>
                <w:kern w:val="0"/>
                <w:sz w:val="16"/>
                <w:szCs w:val="16"/>
                <w:lang w:val="en-US" w:eastAsia="zh-CN" w:bidi="ar"/>
              </w:rPr>
              <w:t>数量指标</w:t>
            </w:r>
          </w:p>
        </w:tc>
        <w:tc>
          <w:tcPr>
            <w:tcW w:w="145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仿宋" w:hAnsi="仿宋" w:eastAsia="仿宋" w:cs="宋体"/>
                <w:color w:val="000000"/>
                <w:sz w:val="16"/>
                <w:szCs w:val="16"/>
              </w:rPr>
            </w:pPr>
            <w:r>
              <w:rPr>
                <w:rFonts w:hint="eastAsia" w:ascii="仿宋" w:hAnsi="仿宋" w:eastAsia="仿宋" w:cs="仿宋"/>
                <w:snapToGrid/>
                <w:color w:val="000000"/>
                <w:kern w:val="0"/>
                <w:sz w:val="16"/>
                <w:szCs w:val="16"/>
                <w:lang w:val="en-US" w:eastAsia="zh-CN" w:bidi="ar"/>
              </w:rPr>
              <w:t>组织教师培训次数</w:t>
            </w:r>
          </w:p>
        </w:tc>
        <w:tc>
          <w:tcPr>
            <w:tcW w:w="12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10次</w:t>
            </w:r>
          </w:p>
        </w:tc>
        <w:tc>
          <w:tcPr>
            <w:tcW w:w="124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eastAsia" w:ascii="仿宋_GB2312" w:hAnsi="宋体" w:eastAsia="仿宋_GB2312" w:cs="仿宋_GB2312"/>
                <w:snapToGrid/>
                <w:color w:val="000000"/>
                <w:kern w:val="0"/>
                <w:sz w:val="16"/>
                <w:szCs w:val="16"/>
                <w:lang w:val="en-US" w:eastAsia="zh-CN" w:bidi="ar"/>
              </w:rPr>
              <w:t>10</w:t>
            </w:r>
            <w:r>
              <w:rPr>
                <w:rFonts w:hint="default" w:ascii="仿宋_GB2312" w:hAnsi="宋体" w:eastAsia="仿宋_GB2312" w:cs="仿宋_GB2312"/>
                <w:snapToGrid/>
                <w:color w:val="000000"/>
                <w:kern w:val="0"/>
                <w:sz w:val="16"/>
                <w:szCs w:val="16"/>
                <w:lang w:val="en-US" w:eastAsia="zh-CN" w:bidi="ar"/>
              </w:rPr>
              <w:t>次</w:t>
            </w:r>
          </w:p>
        </w:tc>
        <w:tc>
          <w:tcPr>
            <w:tcW w:w="57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5</w:t>
            </w:r>
          </w:p>
        </w:tc>
        <w:tc>
          <w:tcPr>
            <w:tcW w:w="59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lang w:val="en-US" w:eastAsia="zh-CN"/>
              </w:rPr>
            </w:pPr>
            <w:r>
              <w:rPr>
                <w:rFonts w:hint="eastAsia" w:ascii="仿宋_GB2312" w:hAnsi="宋体" w:eastAsia="仿宋_GB2312" w:cs="宋体"/>
                <w:color w:val="000000"/>
                <w:sz w:val="16"/>
                <w:szCs w:val="16"/>
                <w:lang w:val="en-US" w:eastAsia="zh-CN"/>
              </w:rPr>
              <w:t>5</w:t>
            </w:r>
          </w:p>
        </w:tc>
        <w:tc>
          <w:tcPr>
            <w:tcW w:w="2642" w:type="dxa"/>
            <w:gridSpan w:val="3"/>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宋体" w:hAnsi="宋体" w:eastAsia="宋体" w:cs="宋体"/>
                <w:color w:val="000000"/>
                <w:sz w:val="16"/>
                <w:szCs w:val="16"/>
              </w:rPr>
            </w:pPr>
            <w:r>
              <w:rPr>
                <w:rFonts w:hint="eastAsia" w:ascii="宋体" w:hAnsi="宋体" w:eastAsia="宋体" w:cs="宋体"/>
                <w:snapToGrid/>
                <w:color w:val="000000"/>
                <w:kern w:val="0"/>
                <w:sz w:val="16"/>
                <w:szCs w:val="16"/>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8" w:hRule="atLeast"/>
        </w:trPr>
        <w:tc>
          <w:tcPr>
            <w:tcW w:w="670"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670" w:type="dxa"/>
            <w:vMerge w:val="continue"/>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907" w:type="dxa"/>
            <w:vMerge w:val="continue"/>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45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仿宋" w:hAnsi="仿宋" w:eastAsia="仿宋" w:cs="宋体"/>
                <w:color w:val="000000"/>
                <w:sz w:val="16"/>
                <w:szCs w:val="16"/>
              </w:rPr>
            </w:pPr>
            <w:r>
              <w:rPr>
                <w:rFonts w:hint="eastAsia" w:ascii="仿宋" w:hAnsi="仿宋" w:eastAsia="仿宋" w:cs="仿宋"/>
                <w:snapToGrid/>
                <w:color w:val="000000"/>
                <w:kern w:val="0"/>
                <w:sz w:val="16"/>
                <w:szCs w:val="16"/>
                <w:lang w:val="en-US" w:eastAsia="zh-CN" w:bidi="ar"/>
              </w:rPr>
              <w:t>保障教职工发放人数</w:t>
            </w:r>
          </w:p>
        </w:tc>
        <w:tc>
          <w:tcPr>
            <w:tcW w:w="12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4人</w:t>
            </w:r>
          </w:p>
        </w:tc>
        <w:tc>
          <w:tcPr>
            <w:tcW w:w="124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4人</w:t>
            </w:r>
          </w:p>
        </w:tc>
        <w:tc>
          <w:tcPr>
            <w:tcW w:w="57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5</w:t>
            </w:r>
          </w:p>
        </w:tc>
        <w:tc>
          <w:tcPr>
            <w:tcW w:w="59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5</w:t>
            </w:r>
          </w:p>
        </w:tc>
        <w:tc>
          <w:tcPr>
            <w:tcW w:w="2642" w:type="dxa"/>
            <w:gridSpan w:val="3"/>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宋体" w:hAnsi="宋体" w:eastAsia="宋体" w:cs="宋体"/>
                <w:color w:val="000000"/>
                <w:sz w:val="16"/>
                <w:szCs w:val="16"/>
              </w:rPr>
            </w:pPr>
            <w:r>
              <w:rPr>
                <w:rFonts w:hint="eastAsia" w:ascii="宋体" w:hAnsi="宋体" w:eastAsia="宋体" w:cs="宋体"/>
                <w:snapToGrid/>
                <w:color w:val="000000"/>
                <w:kern w:val="0"/>
                <w:sz w:val="16"/>
                <w:szCs w:val="16"/>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8" w:hRule="atLeast"/>
        </w:trPr>
        <w:tc>
          <w:tcPr>
            <w:tcW w:w="670"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670" w:type="dxa"/>
            <w:vMerge w:val="continue"/>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907" w:type="dxa"/>
            <w:vMerge w:val="restart"/>
            <w:tcBorders>
              <w:top w:val="single" w:color="auto" w:sz="4" w:space="0"/>
              <w:left w:val="nil"/>
              <w:bottom w:val="nil"/>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仿宋" w:hAnsi="仿宋" w:eastAsia="仿宋" w:cs="宋体"/>
                <w:color w:val="000000"/>
                <w:sz w:val="16"/>
                <w:szCs w:val="16"/>
              </w:rPr>
            </w:pPr>
            <w:r>
              <w:rPr>
                <w:rFonts w:hint="eastAsia" w:ascii="仿宋" w:hAnsi="仿宋" w:eastAsia="仿宋" w:cs="仿宋"/>
                <w:snapToGrid/>
                <w:color w:val="000000"/>
                <w:kern w:val="0"/>
                <w:sz w:val="16"/>
                <w:szCs w:val="16"/>
                <w:lang w:val="en-US" w:eastAsia="zh-CN" w:bidi="ar"/>
              </w:rPr>
              <w:t>质量指标</w:t>
            </w:r>
          </w:p>
        </w:tc>
        <w:tc>
          <w:tcPr>
            <w:tcW w:w="145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仿宋" w:hAnsi="仿宋" w:eastAsia="仿宋" w:cs="宋体"/>
                <w:color w:val="000000"/>
                <w:sz w:val="16"/>
                <w:szCs w:val="16"/>
              </w:rPr>
            </w:pPr>
            <w:r>
              <w:rPr>
                <w:rFonts w:hint="eastAsia" w:ascii="仿宋" w:hAnsi="仿宋" w:eastAsia="仿宋" w:cs="仿宋"/>
                <w:snapToGrid/>
                <w:color w:val="000000"/>
                <w:kern w:val="0"/>
                <w:sz w:val="16"/>
                <w:szCs w:val="16"/>
                <w:lang w:val="en-US" w:eastAsia="zh-CN" w:bidi="ar"/>
              </w:rPr>
              <w:t>确保人员经费按时发放</w:t>
            </w:r>
          </w:p>
        </w:tc>
        <w:tc>
          <w:tcPr>
            <w:tcW w:w="12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100%</w:t>
            </w:r>
          </w:p>
        </w:tc>
        <w:tc>
          <w:tcPr>
            <w:tcW w:w="124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100%</w:t>
            </w:r>
          </w:p>
        </w:tc>
        <w:tc>
          <w:tcPr>
            <w:tcW w:w="57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5</w:t>
            </w:r>
          </w:p>
        </w:tc>
        <w:tc>
          <w:tcPr>
            <w:tcW w:w="59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5</w:t>
            </w:r>
          </w:p>
        </w:tc>
        <w:tc>
          <w:tcPr>
            <w:tcW w:w="2642" w:type="dxa"/>
            <w:gridSpan w:val="3"/>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宋体" w:hAnsi="宋体" w:eastAsia="宋体" w:cs="宋体"/>
                <w:color w:val="000000"/>
                <w:sz w:val="16"/>
                <w:szCs w:val="16"/>
              </w:rPr>
            </w:pPr>
            <w:r>
              <w:rPr>
                <w:rFonts w:hint="eastAsia" w:ascii="宋体" w:hAnsi="宋体" w:eastAsia="宋体" w:cs="宋体"/>
                <w:snapToGrid/>
                <w:color w:val="000000"/>
                <w:kern w:val="0"/>
                <w:sz w:val="16"/>
                <w:szCs w:val="16"/>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8" w:hRule="atLeast"/>
        </w:trPr>
        <w:tc>
          <w:tcPr>
            <w:tcW w:w="670"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670" w:type="dxa"/>
            <w:vMerge w:val="continue"/>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907" w:type="dxa"/>
            <w:vMerge w:val="continue"/>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45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仿宋" w:hAnsi="仿宋" w:eastAsia="仿宋" w:cs="宋体"/>
                <w:color w:val="000000"/>
                <w:sz w:val="16"/>
                <w:szCs w:val="16"/>
              </w:rPr>
            </w:pPr>
            <w:r>
              <w:rPr>
                <w:rFonts w:hint="eastAsia" w:ascii="仿宋" w:hAnsi="仿宋" w:eastAsia="仿宋" w:cs="仿宋"/>
                <w:snapToGrid/>
                <w:color w:val="000000"/>
                <w:kern w:val="0"/>
                <w:sz w:val="16"/>
                <w:szCs w:val="16"/>
                <w:lang w:val="en-US" w:eastAsia="zh-CN" w:bidi="ar"/>
              </w:rPr>
              <w:t>经费使用的准确率</w:t>
            </w:r>
          </w:p>
        </w:tc>
        <w:tc>
          <w:tcPr>
            <w:tcW w:w="12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100%</w:t>
            </w:r>
          </w:p>
        </w:tc>
        <w:tc>
          <w:tcPr>
            <w:tcW w:w="124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100%</w:t>
            </w:r>
          </w:p>
        </w:tc>
        <w:tc>
          <w:tcPr>
            <w:tcW w:w="57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5</w:t>
            </w:r>
          </w:p>
        </w:tc>
        <w:tc>
          <w:tcPr>
            <w:tcW w:w="59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5</w:t>
            </w:r>
          </w:p>
        </w:tc>
        <w:tc>
          <w:tcPr>
            <w:tcW w:w="2642" w:type="dxa"/>
            <w:gridSpan w:val="3"/>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宋体" w:hAnsi="宋体" w:eastAsia="宋体" w:cs="宋体"/>
                <w:color w:val="000000"/>
                <w:sz w:val="16"/>
                <w:szCs w:val="16"/>
              </w:rPr>
            </w:pPr>
            <w:r>
              <w:rPr>
                <w:rFonts w:hint="eastAsia" w:ascii="宋体" w:hAnsi="宋体" w:eastAsia="宋体" w:cs="宋体"/>
                <w:snapToGrid/>
                <w:color w:val="000000"/>
                <w:kern w:val="0"/>
                <w:sz w:val="16"/>
                <w:szCs w:val="16"/>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3" w:hRule="atLeast"/>
        </w:trPr>
        <w:tc>
          <w:tcPr>
            <w:tcW w:w="670"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670" w:type="dxa"/>
            <w:vMerge w:val="continue"/>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90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仿宋" w:hAnsi="仿宋" w:eastAsia="仿宋" w:cs="宋体"/>
                <w:color w:val="000000"/>
                <w:sz w:val="16"/>
                <w:szCs w:val="16"/>
              </w:rPr>
            </w:pPr>
            <w:r>
              <w:rPr>
                <w:rFonts w:hint="eastAsia" w:ascii="仿宋" w:hAnsi="仿宋" w:eastAsia="仿宋" w:cs="仿宋"/>
                <w:snapToGrid/>
                <w:color w:val="000000"/>
                <w:kern w:val="0"/>
                <w:sz w:val="16"/>
                <w:szCs w:val="16"/>
                <w:lang w:val="en-US" w:eastAsia="zh-CN" w:bidi="ar"/>
              </w:rPr>
              <w:t>时效指标</w:t>
            </w:r>
          </w:p>
        </w:tc>
        <w:tc>
          <w:tcPr>
            <w:tcW w:w="145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仿宋" w:hAnsi="仿宋" w:eastAsia="仿宋" w:cs="宋体"/>
                <w:color w:val="000000"/>
                <w:sz w:val="16"/>
                <w:szCs w:val="16"/>
              </w:rPr>
            </w:pPr>
            <w:r>
              <w:rPr>
                <w:rFonts w:hint="eastAsia" w:ascii="仿宋" w:hAnsi="仿宋" w:eastAsia="仿宋" w:cs="仿宋"/>
                <w:snapToGrid/>
                <w:color w:val="000000"/>
                <w:kern w:val="0"/>
                <w:sz w:val="16"/>
                <w:szCs w:val="16"/>
                <w:lang w:val="en-US" w:eastAsia="zh-CN" w:bidi="ar"/>
              </w:rPr>
              <w:t>资金到位及时率</w:t>
            </w:r>
          </w:p>
        </w:tc>
        <w:tc>
          <w:tcPr>
            <w:tcW w:w="12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100%</w:t>
            </w:r>
          </w:p>
        </w:tc>
        <w:tc>
          <w:tcPr>
            <w:tcW w:w="124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100%</w:t>
            </w:r>
          </w:p>
        </w:tc>
        <w:tc>
          <w:tcPr>
            <w:tcW w:w="57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10</w:t>
            </w:r>
          </w:p>
        </w:tc>
        <w:tc>
          <w:tcPr>
            <w:tcW w:w="59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10</w:t>
            </w:r>
          </w:p>
        </w:tc>
        <w:tc>
          <w:tcPr>
            <w:tcW w:w="2642" w:type="dxa"/>
            <w:gridSpan w:val="3"/>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宋体" w:hAnsi="宋体" w:eastAsia="宋体" w:cs="宋体"/>
                <w:color w:val="000000"/>
                <w:sz w:val="16"/>
                <w:szCs w:val="16"/>
              </w:rPr>
            </w:pPr>
            <w:r>
              <w:rPr>
                <w:rFonts w:hint="eastAsia" w:ascii="宋体" w:hAnsi="宋体" w:eastAsia="宋体" w:cs="宋体"/>
                <w:snapToGrid/>
                <w:color w:val="000000"/>
                <w:kern w:val="0"/>
                <w:sz w:val="16"/>
                <w:szCs w:val="16"/>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8" w:hRule="atLeast"/>
        </w:trPr>
        <w:tc>
          <w:tcPr>
            <w:tcW w:w="670"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670" w:type="dxa"/>
            <w:vMerge w:val="restart"/>
            <w:tcBorders>
              <w:top w:val="nil"/>
              <w:left w:val="nil"/>
              <w:bottom w:val="nil"/>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left"/>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效益指标</w:t>
            </w:r>
          </w:p>
        </w:tc>
        <w:tc>
          <w:tcPr>
            <w:tcW w:w="90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仿宋" w:hAnsi="仿宋" w:eastAsia="仿宋" w:cs="宋体"/>
                <w:color w:val="000000"/>
                <w:sz w:val="16"/>
                <w:szCs w:val="16"/>
              </w:rPr>
            </w:pPr>
            <w:r>
              <w:rPr>
                <w:rFonts w:hint="eastAsia" w:ascii="仿宋" w:hAnsi="仿宋" w:eastAsia="仿宋" w:cs="仿宋"/>
                <w:snapToGrid/>
                <w:color w:val="000000"/>
                <w:kern w:val="0"/>
                <w:sz w:val="16"/>
                <w:szCs w:val="16"/>
                <w:lang w:val="en-US" w:eastAsia="zh-CN" w:bidi="ar"/>
              </w:rPr>
              <w:t>经济效益指标</w:t>
            </w:r>
          </w:p>
        </w:tc>
        <w:tc>
          <w:tcPr>
            <w:tcW w:w="145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仿宋" w:hAnsi="仿宋" w:eastAsia="仿宋" w:cs="宋体"/>
                <w:color w:val="000000"/>
                <w:sz w:val="16"/>
                <w:szCs w:val="16"/>
              </w:rPr>
            </w:pPr>
            <w:r>
              <w:rPr>
                <w:rFonts w:hint="eastAsia" w:ascii="仿宋" w:hAnsi="仿宋" w:eastAsia="仿宋" w:cs="仿宋"/>
                <w:snapToGrid/>
                <w:color w:val="000000"/>
                <w:kern w:val="0"/>
                <w:sz w:val="16"/>
                <w:szCs w:val="16"/>
                <w:lang w:val="en-US" w:eastAsia="zh-CN" w:bidi="ar"/>
              </w:rPr>
              <w:t>促进幼儿园收入率</w:t>
            </w:r>
          </w:p>
        </w:tc>
        <w:tc>
          <w:tcPr>
            <w:tcW w:w="12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5%</w:t>
            </w:r>
          </w:p>
        </w:tc>
        <w:tc>
          <w:tcPr>
            <w:tcW w:w="124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eastAsia" w:ascii="仿宋_GB2312" w:hAnsi="宋体" w:eastAsia="仿宋_GB2312" w:cs="仿宋_GB2312"/>
                <w:snapToGrid/>
                <w:color w:val="000000"/>
                <w:kern w:val="0"/>
                <w:sz w:val="16"/>
                <w:szCs w:val="16"/>
                <w:lang w:val="en-US" w:eastAsia="zh-CN" w:bidi="ar"/>
              </w:rPr>
              <w:t>5</w:t>
            </w:r>
            <w:r>
              <w:rPr>
                <w:rFonts w:hint="default" w:ascii="仿宋_GB2312" w:hAnsi="宋体" w:eastAsia="仿宋_GB2312" w:cs="仿宋_GB2312"/>
                <w:snapToGrid/>
                <w:color w:val="000000"/>
                <w:kern w:val="0"/>
                <w:sz w:val="16"/>
                <w:szCs w:val="16"/>
                <w:lang w:val="en-US" w:eastAsia="zh-CN" w:bidi="ar"/>
              </w:rPr>
              <w:t>%</w:t>
            </w:r>
          </w:p>
        </w:tc>
        <w:tc>
          <w:tcPr>
            <w:tcW w:w="57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5</w:t>
            </w:r>
          </w:p>
        </w:tc>
        <w:tc>
          <w:tcPr>
            <w:tcW w:w="59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lang w:val="en-US" w:eastAsia="zh-CN"/>
              </w:rPr>
            </w:pPr>
            <w:r>
              <w:rPr>
                <w:rFonts w:hint="eastAsia" w:ascii="仿宋_GB2312" w:hAnsi="宋体" w:eastAsia="仿宋_GB2312" w:cs="宋体"/>
                <w:color w:val="000000"/>
                <w:sz w:val="16"/>
                <w:szCs w:val="16"/>
                <w:lang w:val="en-US" w:eastAsia="zh-CN"/>
              </w:rPr>
              <w:t>5</w:t>
            </w:r>
          </w:p>
        </w:tc>
        <w:tc>
          <w:tcPr>
            <w:tcW w:w="2642" w:type="dxa"/>
            <w:gridSpan w:val="3"/>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宋体" w:hAnsi="宋体" w:eastAsia="宋体" w:cs="宋体"/>
                <w:color w:val="000000"/>
                <w:sz w:val="16"/>
                <w:szCs w:val="16"/>
              </w:rPr>
            </w:pPr>
            <w:r>
              <w:rPr>
                <w:rFonts w:hint="eastAsia" w:ascii="宋体" w:hAnsi="宋体" w:eastAsia="宋体" w:cs="宋体"/>
                <w:snapToGrid/>
                <w:color w:val="000000"/>
                <w:kern w:val="0"/>
                <w:sz w:val="16"/>
                <w:szCs w:val="16"/>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3" w:hRule="atLeast"/>
        </w:trPr>
        <w:tc>
          <w:tcPr>
            <w:tcW w:w="670"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670" w:type="dxa"/>
            <w:vMerge w:val="continue"/>
            <w:tcBorders>
              <w:top w:val="nil"/>
              <w:left w:val="nil"/>
              <w:bottom w:val="nil"/>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907" w:type="dxa"/>
            <w:vMerge w:val="restart"/>
            <w:tcBorders>
              <w:top w:val="nil"/>
              <w:left w:val="nil"/>
              <w:bottom w:val="nil"/>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仿宋" w:hAnsi="仿宋" w:eastAsia="仿宋" w:cs="宋体"/>
                <w:color w:val="000000"/>
                <w:sz w:val="16"/>
                <w:szCs w:val="16"/>
              </w:rPr>
            </w:pPr>
            <w:r>
              <w:rPr>
                <w:rFonts w:hint="eastAsia" w:ascii="仿宋" w:hAnsi="仿宋" w:eastAsia="仿宋" w:cs="仿宋"/>
                <w:snapToGrid/>
                <w:color w:val="000000"/>
                <w:kern w:val="0"/>
                <w:sz w:val="16"/>
                <w:szCs w:val="16"/>
                <w:lang w:val="en-US" w:eastAsia="zh-CN" w:bidi="ar"/>
              </w:rPr>
              <w:t>社会效益指标</w:t>
            </w:r>
          </w:p>
        </w:tc>
        <w:tc>
          <w:tcPr>
            <w:tcW w:w="145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仿宋" w:hAnsi="仿宋" w:eastAsia="仿宋" w:cs="宋体"/>
                <w:color w:val="000000"/>
                <w:sz w:val="16"/>
                <w:szCs w:val="16"/>
              </w:rPr>
            </w:pPr>
            <w:r>
              <w:rPr>
                <w:rFonts w:hint="eastAsia" w:ascii="仿宋" w:hAnsi="仿宋" w:eastAsia="仿宋" w:cs="仿宋"/>
                <w:snapToGrid/>
                <w:color w:val="000000"/>
                <w:kern w:val="0"/>
                <w:sz w:val="16"/>
                <w:szCs w:val="16"/>
                <w:lang w:val="en-US" w:eastAsia="zh-CN" w:bidi="ar"/>
              </w:rPr>
              <w:t>提高教师幸福感</w:t>
            </w:r>
          </w:p>
        </w:tc>
        <w:tc>
          <w:tcPr>
            <w:tcW w:w="12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100%</w:t>
            </w:r>
          </w:p>
        </w:tc>
        <w:tc>
          <w:tcPr>
            <w:tcW w:w="124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100%</w:t>
            </w:r>
          </w:p>
        </w:tc>
        <w:tc>
          <w:tcPr>
            <w:tcW w:w="57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5</w:t>
            </w:r>
          </w:p>
        </w:tc>
        <w:tc>
          <w:tcPr>
            <w:tcW w:w="59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5</w:t>
            </w:r>
          </w:p>
        </w:tc>
        <w:tc>
          <w:tcPr>
            <w:tcW w:w="2642" w:type="dxa"/>
            <w:gridSpan w:val="3"/>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宋体" w:hAnsi="宋体" w:eastAsia="宋体" w:cs="宋体"/>
                <w:color w:val="000000"/>
                <w:sz w:val="16"/>
                <w:szCs w:val="16"/>
              </w:rPr>
            </w:pPr>
            <w:r>
              <w:rPr>
                <w:rFonts w:hint="eastAsia" w:ascii="宋体" w:hAnsi="宋体" w:eastAsia="宋体" w:cs="宋体"/>
                <w:snapToGrid/>
                <w:color w:val="000000"/>
                <w:kern w:val="0"/>
                <w:sz w:val="16"/>
                <w:szCs w:val="16"/>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8" w:hRule="atLeast"/>
        </w:trPr>
        <w:tc>
          <w:tcPr>
            <w:tcW w:w="670"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670" w:type="dxa"/>
            <w:vMerge w:val="continue"/>
            <w:tcBorders>
              <w:top w:val="nil"/>
              <w:left w:val="nil"/>
              <w:bottom w:val="nil"/>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907" w:type="dxa"/>
            <w:vMerge w:val="continue"/>
            <w:tcBorders>
              <w:top w:val="nil"/>
              <w:left w:val="nil"/>
              <w:bottom w:val="nil"/>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45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仿宋" w:hAnsi="仿宋" w:eastAsia="仿宋" w:cs="宋体"/>
                <w:color w:val="000000"/>
                <w:sz w:val="16"/>
                <w:szCs w:val="16"/>
              </w:rPr>
            </w:pPr>
            <w:r>
              <w:rPr>
                <w:rFonts w:hint="eastAsia" w:ascii="仿宋" w:hAnsi="仿宋" w:eastAsia="仿宋" w:cs="仿宋"/>
                <w:snapToGrid/>
                <w:color w:val="000000"/>
                <w:kern w:val="0"/>
                <w:sz w:val="16"/>
                <w:szCs w:val="16"/>
                <w:lang w:val="en-US" w:eastAsia="zh-CN" w:bidi="ar"/>
              </w:rPr>
              <w:t>提高基本生活保障</w:t>
            </w:r>
          </w:p>
        </w:tc>
        <w:tc>
          <w:tcPr>
            <w:tcW w:w="12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100%</w:t>
            </w:r>
          </w:p>
        </w:tc>
        <w:tc>
          <w:tcPr>
            <w:tcW w:w="124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100%</w:t>
            </w:r>
          </w:p>
        </w:tc>
        <w:tc>
          <w:tcPr>
            <w:tcW w:w="57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5</w:t>
            </w:r>
          </w:p>
        </w:tc>
        <w:tc>
          <w:tcPr>
            <w:tcW w:w="59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5</w:t>
            </w:r>
          </w:p>
        </w:tc>
        <w:tc>
          <w:tcPr>
            <w:tcW w:w="2642" w:type="dxa"/>
            <w:gridSpan w:val="3"/>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宋体" w:hAnsi="宋体" w:eastAsia="宋体" w:cs="宋体"/>
                <w:color w:val="000000"/>
                <w:sz w:val="16"/>
                <w:szCs w:val="16"/>
              </w:rPr>
            </w:pPr>
            <w:r>
              <w:rPr>
                <w:rFonts w:hint="eastAsia" w:ascii="宋体" w:hAnsi="宋体" w:eastAsia="宋体" w:cs="宋体"/>
                <w:snapToGrid/>
                <w:color w:val="000000"/>
                <w:kern w:val="0"/>
                <w:sz w:val="16"/>
                <w:szCs w:val="16"/>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8" w:hRule="atLeast"/>
        </w:trPr>
        <w:tc>
          <w:tcPr>
            <w:tcW w:w="670"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670" w:type="dxa"/>
            <w:vMerge w:val="continue"/>
            <w:tcBorders>
              <w:top w:val="nil"/>
              <w:left w:val="nil"/>
              <w:bottom w:val="nil"/>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907" w:type="dxa"/>
            <w:vMerge w:val="continue"/>
            <w:tcBorders>
              <w:top w:val="nil"/>
              <w:left w:val="nil"/>
              <w:bottom w:val="nil"/>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45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left"/>
              <w:rPr>
                <w:rFonts w:hint="eastAsia" w:ascii="仿宋" w:hAnsi="仿宋" w:eastAsia="仿宋" w:cs="宋体"/>
                <w:color w:val="000000"/>
                <w:sz w:val="16"/>
                <w:szCs w:val="16"/>
              </w:rPr>
            </w:pPr>
            <w:r>
              <w:rPr>
                <w:rFonts w:hint="eastAsia" w:ascii="仿宋" w:hAnsi="仿宋" w:eastAsia="仿宋" w:cs="仿宋"/>
                <w:snapToGrid/>
                <w:color w:val="000000"/>
                <w:kern w:val="0"/>
                <w:sz w:val="16"/>
                <w:szCs w:val="16"/>
                <w:lang w:val="en-US" w:eastAsia="zh-CN" w:bidi="ar"/>
              </w:rPr>
              <w:t>提升幼儿园教育教学质量</w:t>
            </w:r>
          </w:p>
        </w:tc>
        <w:tc>
          <w:tcPr>
            <w:tcW w:w="12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100%</w:t>
            </w:r>
          </w:p>
        </w:tc>
        <w:tc>
          <w:tcPr>
            <w:tcW w:w="124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100%</w:t>
            </w:r>
          </w:p>
        </w:tc>
        <w:tc>
          <w:tcPr>
            <w:tcW w:w="57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5</w:t>
            </w:r>
          </w:p>
        </w:tc>
        <w:tc>
          <w:tcPr>
            <w:tcW w:w="59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5</w:t>
            </w:r>
          </w:p>
        </w:tc>
        <w:tc>
          <w:tcPr>
            <w:tcW w:w="2642" w:type="dxa"/>
            <w:gridSpan w:val="3"/>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宋体" w:hAnsi="宋体" w:eastAsia="宋体" w:cs="宋体"/>
                <w:color w:val="000000"/>
                <w:sz w:val="16"/>
                <w:szCs w:val="16"/>
              </w:rPr>
            </w:pPr>
            <w:r>
              <w:rPr>
                <w:rFonts w:hint="eastAsia" w:ascii="宋体" w:hAnsi="宋体" w:eastAsia="宋体" w:cs="宋体"/>
                <w:snapToGrid/>
                <w:color w:val="000000"/>
                <w:kern w:val="0"/>
                <w:sz w:val="16"/>
                <w:szCs w:val="16"/>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8" w:hRule="atLeast"/>
        </w:trPr>
        <w:tc>
          <w:tcPr>
            <w:tcW w:w="670"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670" w:type="dxa"/>
            <w:vMerge w:val="continue"/>
            <w:tcBorders>
              <w:top w:val="nil"/>
              <w:left w:val="nil"/>
              <w:bottom w:val="nil"/>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90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left"/>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生态效益指标</w:t>
            </w:r>
          </w:p>
        </w:tc>
        <w:tc>
          <w:tcPr>
            <w:tcW w:w="145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left"/>
              <w:rPr>
                <w:rFonts w:hint="eastAsia" w:ascii="仿宋" w:hAnsi="仿宋" w:eastAsia="仿宋" w:cs="宋体"/>
                <w:color w:val="000000"/>
                <w:sz w:val="16"/>
                <w:szCs w:val="16"/>
              </w:rPr>
            </w:pPr>
            <w:r>
              <w:rPr>
                <w:rFonts w:hint="eastAsia" w:ascii="仿宋" w:hAnsi="仿宋" w:eastAsia="仿宋" w:cs="仿宋"/>
                <w:snapToGrid/>
                <w:color w:val="000000"/>
                <w:kern w:val="0"/>
                <w:sz w:val="16"/>
                <w:szCs w:val="16"/>
                <w:lang w:val="en-US" w:eastAsia="zh-CN" w:bidi="ar"/>
              </w:rPr>
              <w:t>幼儿园饮用水水质优良率</w:t>
            </w:r>
          </w:p>
        </w:tc>
        <w:tc>
          <w:tcPr>
            <w:tcW w:w="12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90%</w:t>
            </w:r>
          </w:p>
        </w:tc>
        <w:tc>
          <w:tcPr>
            <w:tcW w:w="124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95%</w:t>
            </w:r>
          </w:p>
        </w:tc>
        <w:tc>
          <w:tcPr>
            <w:tcW w:w="57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5</w:t>
            </w:r>
          </w:p>
        </w:tc>
        <w:tc>
          <w:tcPr>
            <w:tcW w:w="59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5</w:t>
            </w:r>
          </w:p>
        </w:tc>
        <w:tc>
          <w:tcPr>
            <w:tcW w:w="2642" w:type="dxa"/>
            <w:gridSpan w:val="3"/>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宋体" w:hAnsi="宋体" w:eastAsia="宋体" w:cs="宋体"/>
                <w:color w:val="000000"/>
                <w:sz w:val="16"/>
                <w:szCs w:val="16"/>
              </w:rPr>
            </w:pPr>
            <w:r>
              <w:rPr>
                <w:rFonts w:hint="eastAsia" w:ascii="宋体" w:hAnsi="宋体" w:eastAsia="宋体" w:cs="宋体"/>
                <w:snapToGrid/>
                <w:color w:val="000000"/>
                <w:kern w:val="0"/>
                <w:sz w:val="16"/>
                <w:szCs w:val="16"/>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8" w:hRule="atLeast"/>
        </w:trPr>
        <w:tc>
          <w:tcPr>
            <w:tcW w:w="670"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670" w:type="dxa"/>
            <w:vMerge w:val="continue"/>
            <w:tcBorders>
              <w:top w:val="nil"/>
              <w:left w:val="nil"/>
              <w:bottom w:val="nil"/>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907" w:type="dxa"/>
            <w:vMerge w:val="restart"/>
            <w:tcBorders>
              <w:top w:val="nil"/>
              <w:left w:val="nil"/>
              <w:bottom w:val="nil"/>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left"/>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可持续影响指标</w:t>
            </w:r>
          </w:p>
        </w:tc>
        <w:tc>
          <w:tcPr>
            <w:tcW w:w="145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left"/>
              <w:rPr>
                <w:rFonts w:hint="eastAsia" w:ascii="仿宋" w:hAnsi="仿宋" w:eastAsia="仿宋" w:cs="宋体"/>
                <w:color w:val="000000"/>
                <w:sz w:val="16"/>
                <w:szCs w:val="16"/>
              </w:rPr>
            </w:pPr>
            <w:r>
              <w:rPr>
                <w:rFonts w:hint="eastAsia" w:ascii="仿宋" w:hAnsi="仿宋" w:eastAsia="仿宋" w:cs="仿宋"/>
                <w:snapToGrid/>
                <w:color w:val="000000"/>
                <w:kern w:val="0"/>
                <w:sz w:val="16"/>
                <w:szCs w:val="16"/>
                <w:lang w:val="en-US" w:eastAsia="zh-CN" w:bidi="ar"/>
              </w:rPr>
              <w:t>长期促进社会和谐</w:t>
            </w:r>
          </w:p>
        </w:tc>
        <w:tc>
          <w:tcPr>
            <w:tcW w:w="12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0次</w:t>
            </w:r>
          </w:p>
        </w:tc>
        <w:tc>
          <w:tcPr>
            <w:tcW w:w="1242" w:type="dxa"/>
            <w:tcBorders>
              <w:top w:val="single" w:color="auto" w:sz="4" w:space="0"/>
              <w:left w:val="nil"/>
              <w:bottom w:val="nil"/>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0次</w:t>
            </w:r>
          </w:p>
        </w:tc>
        <w:tc>
          <w:tcPr>
            <w:tcW w:w="57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5</w:t>
            </w:r>
          </w:p>
        </w:tc>
        <w:tc>
          <w:tcPr>
            <w:tcW w:w="59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5</w:t>
            </w:r>
          </w:p>
        </w:tc>
        <w:tc>
          <w:tcPr>
            <w:tcW w:w="2642" w:type="dxa"/>
            <w:gridSpan w:val="3"/>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宋体" w:hAnsi="宋体" w:eastAsia="宋体" w:cs="宋体"/>
                <w:color w:val="000000"/>
                <w:sz w:val="16"/>
                <w:szCs w:val="16"/>
              </w:rPr>
            </w:pPr>
            <w:r>
              <w:rPr>
                <w:rFonts w:hint="eastAsia" w:ascii="宋体" w:hAnsi="宋体" w:eastAsia="宋体" w:cs="宋体"/>
                <w:snapToGrid/>
                <w:color w:val="000000"/>
                <w:kern w:val="0"/>
                <w:sz w:val="16"/>
                <w:szCs w:val="16"/>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6" w:hRule="atLeast"/>
        </w:trPr>
        <w:tc>
          <w:tcPr>
            <w:tcW w:w="670"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670" w:type="dxa"/>
            <w:vMerge w:val="continue"/>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907" w:type="dxa"/>
            <w:vMerge w:val="continue"/>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45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left"/>
              <w:rPr>
                <w:rFonts w:hint="eastAsia" w:ascii="仿宋" w:hAnsi="仿宋" w:eastAsia="仿宋" w:cs="宋体"/>
                <w:color w:val="000000"/>
                <w:sz w:val="16"/>
                <w:szCs w:val="16"/>
              </w:rPr>
            </w:pPr>
            <w:r>
              <w:rPr>
                <w:rFonts w:hint="eastAsia" w:ascii="仿宋" w:hAnsi="仿宋" w:eastAsia="仿宋" w:cs="仿宋"/>
                <w:snapToGrid/>
                <w:color w:val="000000"/>
                <w:kern w:val="0"/>
                <w:sz w:val="16"/>
                <w:szCs w:val="16"/>
                <w:lang w:val="en-US" w:eastAsia="zh-CN" w:bidi="ar"/>
              </w:rPr>
              <w:t>激发教学工作的积极性、主动性。</w:t>
            </w:r>
          </w:p>
        </w:tc>
        <w:tc>
          <w:tcPr>
            <w:tcW w:w="12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100%</w:t>
            </w:r>
          </w:p>
        </w:tc>
        <w:tc>
          <w:tcPr>
            <w:tcW w:w="124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100%</w:t>
            </w:r>
          </w:p>
        </w:tc>
        <w:tc>
          <w:tcPr>
            <w:tcW w:w="573"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5</w:t>
            </w:r>
          </w:p>
        </w:tc>
        <w:tc>
          <w:tcPr>
            <w:tcW w:w="59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5</w:t>
            </w:r>
          </w:p>
        </w:tc>
        <w:tc>
          <w:tcPr>
            <w:tcW w:w="2642"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宋体" w:hAnsi="宋体" w:eastAsia="宋体" w:cs="宋体"/>
                <w:color w:val="000000"/>
                <w:sz w:val="16"/>
                <w:szCs w:val="16"/>
              </w:rPr>
            </w:pPr>
            <w:r>
              <w:rPr>
                <w:rFonts w:hint="eastAsia" w:ascii="宋体" w:hAnsi="宋体" w:eastAsia="宋体" w:cs="宋体"/>
                <w:snapToGrid/>
                <w:color w:val="000000"/>
                <w:kern w:val="0"/>
                <w:sz w:val="16"/>
                <w:szCs w:val="16"/>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3" w:hRule="atLeast"/>
        </w:trPr>
        <w:tc>
          <w:tcPr>
            <w:tcW w:w="670"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670"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left"/>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满意度指标</w:t>
            </w:r>
          </w:p>
        </w:tc>
        <w:tc>
          <w:tcPr>
            <w:tcW w:w="907" w:type="dxa"/>
            <w:vMerge w:val="restart"/>
            <w:tcBorders>
              <w:top w:val="single" w:color="auto" w:sz="4" w:space="0"/>
              <w:left w:val="nil"/>
              <w:bottom w:val="nil"/>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left"/>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服务对象满意度指标</w:t>
            </w:r>
          </w:p>
        </w:tc>
        <w:tc>
          <w:tcPr>
            <w:tcW w:w="145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left"/>
              <w:rPr>
                <w:rFonts w:hint="eastAsia" w:ascii="仿宋" w:hAnsi="仿宋" w:eastAsia="仿宋" w:cs="宋体"/>
                <w:color w:val="000000"/>
                <w:sz w:val="16"/>
                <w:szCs w:val="16"/>
              </w:rPr>
            </w:pPr>
            <w:r>
              <w:rPr>
                <w:rFonts w:hint="eastAsia" w:ascii="仿宋" w:hAnsi="仿宋" w:eastAsia="仿宋" w:cs="仿宋"/>
                <w:snapToGrid/>
                <w:color w:val="000000"/>
                <w:kern w:val="0"/>
                <w:sz w:val="16"/>
                <w:szCs w:val="16"/>
                <w:lang w:val="en-US" w:eastAsia="zh-CN" w:bidi="ar"/>
              </w:rPr>
              <w:t>教师满意度</w:t>
            </w:r>
          </w:p>
        </w:tc>
        <w:tc>
          <w:tcPr>
            <w:tcW w:w="12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90%</w:t>
            </w:r>
          </w:p>
        </w:tc>
        <w:tc>
          <w:tcPr>
            <w:tcW w:w="124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100%</w:t>
            </w:r>
          </w:p>
        </w:tc>
        <w:tc>
          <w:tcPr>
            <w:tcW w:w="57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5</w:t>
            </w:r>
          </w:p>
        </w:tc>
        <w:tc>
          <w:tcPr>
            <w:tcW w:w="59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5</w:t>
            </w:r>
          </w:p>
        </w:tc>
        <w:tc>
          <w:tcPr>
            <w:tcW w:w="2642"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宋体" w:hAnsi="宋体" w:eastAsia="宋体" w:cs="宋体"/>
                <w:color w:val="000000"/>
                <w:sz w:val="16"/>
                <w:szCs w:val="16"/>
              </w:rPr>
            </w:pPr>
            <w:r>
              <w:rPr>
                <w:rFonts w:hint="eastAsia" w:ascii="宋体" w:hAnsi="宋体" w:eastAsia="宋体" w:cs="宋体"/>
                <w:snapToGrid/>
                <w:color w:val="000000"/>
                <w:kern w:val="0"/>
                <w:sz w:val="16"/>
                <w:szCs w:val="16"/>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7" w:hRule="atLeast"/>
        </w:trPr>
        <w:tc>
          <w:tcPr>
            <w:tcW w:w="670"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670" w:type="dxa"/>
            <w:vMerge w:val="continue"/>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907" w:type="dxa"/>
            <w:vMerge w:val="continue"/>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45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left"/>
              <w:rPr>
                <w:rFonts w:hint="eastAsia" w:ascii="仿宋" w:hAnsi="仿宋" w:eastAsia="仿宋" w:cs="宋体"/>
                <w:color w:val="000000"/>
                <w:sz w:val="16"/>
                <w:szCs w:val="16"/>
              </w:rPr>
            </w:pPr>
            <w:r>
              <w:rPr>
                <w:rFonts w:hint="eastAsia" w:ascii="仿宋" w:hAnsi="仿宋" w:eastAsia="仿宋" w:cs="仿宋"/>
                <w:snapToGrid/>
                <w:color w:val="000000"/>
                <w:kern w:val="0"/>
                <w:sz w:val="16"/>
                <w:szCs w:val="16"/>
                <w:lang w:val="en-US" w:eastAsia="zh-CN" w:bidi="ar"/>
              </w:rPr>
              <w:t>家长满意度</w:t>
            </w:r>
          </w:p>
        </w:tc>
        <w:tc>
          <w:tcPr>
            <w:tcW w:w="12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90%</w:t>
            </w:r>
          </w:p>
        </w:tc>
        <w:tc>
          <w:tcPr>
            <w:tcW w:w="124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100%</w:t>
            </w:r>
          </w:p>
        </w:tc>
        <w:tc>
          <w:tcPr>
            <w:tcW w:w="57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5</w:t>
            </w:r>
          </w:p>
        </w:tc>
        <w:tc>
          <w:tcPr>
            <w:tcW w:w="59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5</w:t>
            </w:r>
          </w:p>
        </w:tc>
        <w:tc>
          <w:tcPr>
            <w:tcW w:w="2642"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宋体" w:hAnsi="宋体" w:eastAsia="宋体" w:cs="宋体"/>
                <w:color w:val="000000"/>
                <w:sz w:val="16"/>
                <w:szCs w:val="16"/>
              </w:rPr>
            </w:pPr>
            <w:r>
              <w:rPr>
                <w:rFonts w:hint="eastAsia" w:ascii="宋体" w:hAnsi="宋体" w:eastAsia="宋体" w:cs="宋体"/>
                <w:snapToGrid/>
                <w:color w:val="000000"/>
                <w:kern w:val="0"/>
                <w:sz w:val="16"/>
                <w:szCs w:val="16"/>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8" w:hRule="atLeast"/>
        </w:trPr>
        <w:tc>
          <w:tcPr>
            <w:tcW w:w="670"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670" w:type="dxa"/>
            <w:vMerge w:val="restar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left"/>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成本指标</w:t>
            </w:r>
          </w:p>
        </w:tc>
        <w:tc>
          <w:tcPr>
            <w:tcW w:w="90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left"/>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经济成本指标</w:t>
            </w:r>
          </w:p>
        </w:tc>
        <w:tc>
          <w:tcPr>
            <w:tcW w:w="145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left"/>
              <w:rPr>
                <w:rFonts w:hint="eastAsia" w:ascii="仿宋" w:hAnsi="仿宋" w:eastAsia="仿宋" w:cs="宋体"/>
                <w:color w:val="000000"/>
                <w:sz w:val="16"/>
                <w:szCs w:val="16"/>
              </w:rPr>
            </w:pPr>
            <w:r>
              <w:rPr>
                <w:rFonts w:hint="eastAsia" w:ascii="仿宋" w:hAnsi="仿宋" w:eastAsia="仿宋" w:cs="仿宋"/>
                <w:snapToGrid/>
                <w:color w:val="000000"/>
                <w:kern w:val="0"/>
                <w:sz w:val="16"/>
                <w:szCs w:val="16"/>
                <w:lang w:val="en-US" w:eastAsia="zh-CN" w:bidi="ar"/>
              </w:rPr>
              <w:t>部门整体控制数</w:t>
            </w:r>
          </w:p>
        </w:tc>
        <w:tc>
          <w:tcPr>
            <w:tcW w:w="12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eastAsia" w:ascii="仿宋_GB2312" w:hAnsi="宋体" w:eastAsia="仿宋_GB2312" w:cs="仿宋_GB2312"/>
                <w:snapToGrid/>
                <w:color w:val="000000"/>
                <w:kern w:val="0"/>
                <w:sz w:val="16"/>
                <w:szCs w:val="16"/>
                <w:lang w:val="en-US" w:eastAsia="zh-CN" w:bidi="ar"/>
              </w:rPr>
              <w:t>100.38</w:t>
            </w:r>
            <w:r>
              <w:rPr>
                <w:rFonts w:hint="default" w:ascii="仿宋_GB2312" w:hAnsi="宋体" w:eastAsia="仿宋_GB2312" w:cs="仿宋_GB2312"/>
                <w:snapToGrid/>
                <w:color w:val="000000"/>
                <w:kern w:val="0"/>
                <w:sz w:val="16"/>
                <w:szCs w:val="16"/>
                <w:lang w:val="en-US" w:eastAsia="zh-CN" w:bidi="ar"/>
              </w:rPr>
              <w:t>万元</w:t>
            </w:r>
          </w:p>
        </w:tc>
        <w:tc>
          <w:tcPr>
            <w:tcW w:w="124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88.30万元</w:t>
            </w:r>
          </w:p>
        </w:tc>
        <w:tc>
          <w:tcPr>
            <w:tcW w:w="57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5</w:t>
            </w:r>
          </w:p>
        </w:tc>
        <w:tc>
          <w:tcPr>
            <w:tcW w:w="59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仿宋_GB2312" w:hAnsi="宋体" w:eastAsia="仿宋_GB2312" w:cs="宋体"/>
                <w:color w:val="000000"/>
                <w:sz w:val="16"/>
                <w:szCs w:val="16"/>
                <w:lang w:val="en-US" w:eastAsia="zh-CN"/>
              </w:rPr>
            </w:pPr>
            <w:r>
              <w:rPr>
                <w:rFonts w:hint="eastAsia" w:ascii="仿宋_GB2312" w:hAnsi="宋体" w:eastAsia="仿宋_GB2312" w:cs="宋体"/>
                <w:color w:val="000000"/>
                <w:sz w:val="16"/>
                <w:szCs w:val="16"/>
                <w:lang w:val="en-US" w:eastAsia="zh-CN"/>
              </w:rPr>
              <w:t>5</w:t>
            </w:r>
          </w:p>
        </w:tc>
        <w:tc>
          <w:tcPr>
            <w:tcW w:w="2642"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宋体" w:hAnsi="宋体" w:eastAsia="宋体" w:cs="宋体"/>
                <w:color w:val="000000"/>
                <w:sz w:val="16"/>
                <w:szCs w:val="16"/>
                <w:lang w:eastAsia="zh-CN"/>
              </w:rPr>
            </w:pPr>
            <w:r>
              <w:rPr>
                <w:rFonts w:hint="eastAsia" w:ascii="宋体" w:hAnsi="宋体" w:eastAsia="宋体" w:cs="宋体"/>
                <w:color w:val="000000"/>
                <w:sz w:val="16"/>
                <w:szCs w:val="16"/>
                <w:lang w:eastAsia="zh-CN"/>
              </w:rPr>
              <w:t>县财政资金困难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rPr>
        <w:tc>
          <w:tcPr>
            <w:tcW w:w="670"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670" w:type="dxa"/>
            <w:vMerge w:val="continue"/>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90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left"/>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社会成本指标</w:t>
            </w:r>
          </w:p>
        </w:tc>
        <w:tc>
          <w:tcPr>
            <w:tcW w:w="145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left"/>
              <w:rPr>
                <w:rFonts w:hint="eastAsia" w:ascii="仿宋" w:hAnsi="仿宋" w:eastAsia="仿宋" w:cs="宋体"/>
                <w:color w:val="000000"/>
                <w:sz w:val="16"/>
                <w:szCs w:val="16"/>
              </w:rPr>
            </w:pPr>
            <w:r>
              <w:rPr>
                <w:rFonts w:hint="eastAsia" w:ascii="仿宋" w:hAnsi="仿宋" w:eastAsia="仿宋" w:cs="仿宋"/>
                <w:snapToGrid/>
                <w:color w:val="000000"/>
                <w:kern w:val="0"/>
                <w:sz w:val="16"/>
                <w:szCs w:val="16"/>
                <w:lang w:val="en-US" w:eastAsia="zh-CN" w:bidi="ar"/>
              </w:rPr>
              <w:t>增加投诉案件</w:t>
            </w:r>
          </w:p>
        </w:tc>
        <w:tc>
          <w:tcPr>
            <w:tcW w:w="12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0次</w:t>
            </w:r>
          </w:p>
        </w:tc>
        <w:tc>
          <w:tcPr>
            <w:tcW w:w="124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0次</w:t>
            </w:r>
          </w:p>
        </w:tc>
        <w:tc>
          <w:tcPr>
            <w:tcW w:w="57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5</w:t>
            </w:r>
          </w:p>
        </w:tc>
        <w:tc>
          <w:tcPr>
            <w:tcW w:w="59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5</w:t>
            </w:r>
          </w:p>
        </w:tc>
        <w:tc>
          <w:tcPr>
            <w:tcW w:w="2642"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宋体" w:hAnsi="宋体" w:eastAsia="宋体" w:cs="宋体"/>
                <w:color w:val="000000"/>
                <w:sz w:val="16"/>
                <w:szCs w:val="16"/>
              </w:rPr>
            </w:pPr>
            <w:r>
              <w:rPr>
                <w:rFonts w:hint="eastAsia" w:ascii="宋体" w:hAnsi="宋体" w:eastAsia="宋体" w:cs="宋体"/>
                <w:snapToGrid/>
                <w:color w:val="000000"/>
                <w:kern w:val="0"/>
                <w:sz w:val="16"/>
                <w:szCs w:val="16"/>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 w:hRule="atLeast"/>
        </w:trPr>
        <w:tc>
          <w:tcPr>
            <w:tcW w:w="670"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670" w:type="dxa"/>
            <w:vMerge w:val="continue"/>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90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left"/>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生态环境成本指标</w:t>
            </w:r>
          </w:p>
        </w:tc>
        <w:tc>
          <w:tcPr>
            <w:tcW w:w="145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left"/>
              <w:rPr>
                <w:rFonts w:hint="eastAsia" w:ascii="仿宋" w:hAnsi="仿宋" w:eastAsia="仿宋" w:cs="宋体"/>
                <w:color w:val="000000"/>
                <w:sz w:val="16"/>
                <w:szCs w:val="16"/>
              </w:rPr>
            </w:pPr>
            <w:r>
              <w:rPr>
                <w:rFonts w:hint="eastAsia" w:ascii="仿宋" w:hAnsi="仿宋" w:eastAsia="仿宋" w:cs="仿宋"/>
                <w:snapToGrid/>
                <w:color w:val="000000"/>
                <w:kern w:val="0"/>
                <w:sz w:val="16"/>
                <w:szCs w:val="16"/>
                <w:lang w:val="en-US" w:eastAsia="zh-CN" w:bidi="ar"/>
              </w:rPr>
              <w:t>提高幼儿园绿化面积覆盖率</w:t>
            </w:r>
          </w:p>
        </w:tc>
        <w:tc>
          <w:tcPr>
            <w:tcW w:w="12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75%</w:t>
            </w:r>
          </w:p>
        </w:tc>
        <w:tc>
          <w:tcPr>
            <w:tcW w:w="124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75%</w:t>
            </w:r>
          </w:p>
        </w:tc>
        <w:tc>
          <w:tcPr>
            <w:tcW w:w="57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5</w:t>
            </w:r>
          </w:p>
        </w:tc>
        <w:tc>
          <w:tcPr>
            <w:tcW w:w="59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仿宋_GB2312" w:hAnsi="宋体" w:eastAsia="仿宋_GB2312" w:cs="宋体"/>
                <w:color w:val="000000"/>
                <w:sz w:val="16"/>
                <w:szCs w:val="16"/>
              </w:rPr>
            </w:pPr>
            <w:r>
              <w:rPr>
                <w:rFonts w:hint="default" w:ascii="仿宋_GB2312" w:hAnsi="宋体" w:eastAsia="仿宋_GB2312" w:cs="仿宋_GB2312"/>
                <w:snapToGrid/>
                <w:color w:val="000000"/>
                <w:kern w:val="0"/>
                <w:sz w:val="16"/>
                <w:szCs w:val="16"/>
                <w:lang w:val="en-US" w:eastAsia="zh-CN" w:bidi="ar"/>
              </w:rPr>
              <w:t>5</w:t>
            </w:r>
          </w:p>
        </w:tc>
        <w:tc>
          <w:tcPr>
            <w:tcW w:w="2642"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宋体" w:hAnsi="宋体" w:eastAsia="宋体" w:cs="宋体"/>
                <w:color w:val="000000"/>
                <w:sz w:val="16"/>
                <w:szCs w:val="16"/>
              </w:rPr>
            </w:pPr>
            <w:r>
              <w:rPr>
                <w:rFonts w:hint="eastAsia" w:ascii="宋体" w:hAnsi="宋体" w:eastAsia="宋体" w:cs="宋体"/>
                <w:snapToGrid/>
                <w:color w:val="000000"/>
                <w:kern w:val="0"/>
                <w:sz w:val="16"/>
                <w:szCs w:val="16"/>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34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宋体" w:hAnsi="宋体" w:eastAsia="宋体" w:cs="宋体"/>
                <w:b/>
                <w:bCs/>
                <w:color w:val="000000"/>
                <w:sz w:val="18"/>
                <w:szCs w:val="18"/>
              </w:rPr>
            </w:pPr>
            <w:r>
              <w:rPr>
                <w:rFonts w:hint="eastAsia" w:ascii="宋体" w:hAnsi="宋体" w:eastAsia="宋体" w:cs="宋体"/>
                <w:b/>
                <w:bCs/>
                <w:snapToGrid/>
                <w:color w:val="000000"/>
                <w:kern w:val="0"/>
                <w:sz w:val="18"/>
                <w:szCs w:val="18"/>
                <w:lang w:val="en-US" w:eastAsia="zh-CN" w:bidi="ar"/>
              </w:rPr>
              <w:t>总分</w:t>
            </w:r>
          </w:p>
        </w:tc>
        <w:tc>
          <w:tcPr>
            <w:tcW w:w="2359" w:type="dxa"/>
            <w:gridSpan w:val="2"/>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adjustRightInd w:val="0"/>
              <w:snapToGrid w:val="0"/>
              <w:spacing w:before="0" w:beforeAutospacing="1" w:after="0" w:afterAutospacing="0"/>
              <w:ind w:left="0" w:right="0"/>
              <w:jc w:val="center"/>
              <w:rPr>
                <w:rFonts w:hint="eastAsia" w:ascii="宋体" w:hAnsi="宋体" w:eastAsia="宋体" w:cs="宋体"/>
                <w:b/>
                <w:bCs/>
                <w:color w:val="000000"/>
                <w:sz w:val="18"/>
                <w:szCs w:val="18"/>
              </w:rPr>
            </w:pPr>
          </w:p>
        </w:tc>
        <w:tc>
          <w:tcPr>
            <w:tcW w:w="6340" w:type="dxa"/>
            <w:gridSpan w:val="7"/>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adjustRightInd w:val="0"/>
              <w:snapToGrid w:val="0"/>
              <w:spacing w:before="0" w:beforeAutospacing="1" w:after="0" w:afterAutospacing="0"/>
              <w:ind w:left="0" w:right="0"/>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97.8</w:t>
            </w:r>
          </w:p>
        </w:tc>
      </w:tr>
    </w:tbl>
    <w:p>
      <w:pPr>
        <w:widowControl w:val="0"/>
        <w:adjustRightInd/>
        <w:snapToGrid/>
        <w:spacing w:beforeLines="0" w:afterLines="0"/>
        <w:jc w:val="center"/>
        <w:outlineLvl w:val="0"/>
        <w:rPr>
          <w:rFonts w:hint="eastAsia" w:ascii="宋体" w:hAnsi="宋体" w:eastAsia="宋体" w:cs="宋体"/>
          <w:b/>
          <w:sz w:val="40"/>
          <w:szCs w:val="40"/>
        </w:rPr>
      </w:pPr>
      <w:r>
        <w:rPr>
          <w:rFonts w:hint="eastAsia" w:ascii="宋体" w:hAnsi="宋体" w:eastAsia="宋体" w:cs="宋体"/>
          <w:b/>
          <w:sz w:val="40"/>
          <w:szCs w:val="40"/>
        </w:rPr>
        <w:t>江永县源口瑶族乡中心幼儿</w:t>
      </w:r>
      <w:bookmarkStart w:id="0" w:name="_GoBack"/>
      <w:bookmarkEnd w:id="0"/>
      <w:r>
        <w:rPr>
          <w:rFonts w:hint="eastAsia" w:ascii="宋体" w:hAnsi="宋体" w:eastAsia="宋体" w:cs="宋体"/>
          <w:b/>
          <w:sz w:val="40"/>
          <w:szCs w:val="40"/>
        </w:rPr>
        <w:t>园部门整体支出绩效评价表</w:t>
      </w:r>
    </w:p>
    <w:tbl>
      <w:tblPr>
        <w:tblStyle w:val="3"/>
        <w:tblW w:w="1060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18"/>
        <w:gridCol w:w="416"/>
        <w:gridCol w:w="432"/>
        <w:gridCol w:w="245"/>
        <w:gridCol w:w="416"/>
        <w:gridCol w:w="1194"/>
        <w:gridCol w:w="478"/>
        <w:gridCol w:w="2977"/>
        <w:gridCol w:w="3402"/>
        <w:gridCol w:w="522"/>
        <w:gridCol w:w="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0" w:hRule="atLeast"/>
          <w:jc w:val="center"/>
        </w:trPr>
        <w:tc>
          <w:tcPr>
            <w:tcW w:w="518" w:type="dxa"/>
            <w:tcBorders>
              <w:top w:val="single" w:color="auto" w:sz="4" w:space="0"/>
              <w:left w:val="single" w:color="auto" w:sz="4" w:space="0"/>
              <w:bottom w:val="single" w:color="auto" w:sz="4" w:space="0"/>
              <w:right w:val="single" w:color="auto" w:sz="4" w:space="0"/>
              <w:tl2br w:val="nil"/>
              <w:tr2bl w:val="nil"/>
            </w:tcBorders>
            <w:noWrap/>
            <w:vAlign w:val="center"/>
          </w:tcPr>
          <w:p>
            <w:pPr>
              <w:spacing w:beforeLines="0" w:afterLines="0"/>
              <w:rPr>
                <w:rFonts w:hint="default" w:eastAsia="仿宋_GB2312"/>
                <w:sz w:val="20"/>
                <w:szCs w:val="20"/>
              </w:rPr>
            </w:pPr>
            <w:r>
              <w:rPr>
                <w:rFonts w:hint="eastAsia" w:eastAsia="仿宋_GB2312"/>
                <w:sz w:val="20"/>
                <w:szCs w:val="20"/>
              </w:rPr>
              <w:t>一级指标</w:t>
            </w:r>
          </w:p>
        </w:tc>
        <w:tc>
          <w:tcPr>
            <w:tcW w:w="416" w:type="dxa"/>
            <w:tcBorders>
              <w:top w:val="single" w:color="auto" w:sz="4" w:space="0"/>
              <w:left w:val="nil"/>
              <w:bottom w:val="single" w:color="auto" w:sz="4" w:space="0"/>
              <w:right w:val="single" w:color="auto" w:sz="4" w:space="0"/>
              <w:tl2br w:val="nil"/>
              <w:tr2bl w:val="nil"/>
            </w:tcBorders>
            <w:noWrap/>
            <w:vAlign w:val="center"/>
          </w:tcPr>
          <w:p>
            <w:pPr>
              <w:spacing w:beforeLines="0" w:afterLines="0"/>
              <w:jc w:val="center"/>
              <w:rPr>
                <w:rFonts w:hint="default" w:eastAsia="仿宋_GB2312"/>
                <w:sz w:val="20"/>
                <w:szCs w:val="20"/>
              </w:rPr>
            </w:pPr>
            <w:r>
              <w:rPr>
                <w:rFonts w:hint="eastAsia" w:eastAsia="仿宋_GB2312"/>
                <w:sz w:val="20"/>
                <w:szCs w:val="20"/>
              </w:rPr>
              <w:t>分值</w:t>
            </w:r>
          </w:p>
        </w:tc>
        <w:tc>
          <w:tcPr>
            <w:tcW w:w="677" w:type="dxa"/>
            <w:gridSpan w:val="2"/>
            <w:tcBorders>
              <w:top w:val="single" w:color="auto" w:sz="4" w:space="0"/>
              <w:left w:val="nil"/>
              <w:bottom w:val="single" w:color="auto" w:sz="4" w:space="0"/>
              <w:right w:val="single" w:color="auto" w:sz="4" w:space="0"/>
              <w:tl2br w:val="nil"/>
              <w:tr2bl w:val="nil"/>
            </w:tcBorders>
            <w:noWrap/>
            <w:vAlign w:val="center"/>
          </w:tcPr>
          <w:p>
            <w:pPr>
              <w:spacing w:beforeLines="0" w:afterLines="0"/>
              <w:jc w:val="center"/>
              <w:rPr>
                <w:rFonts w:hint="default" w:eastAsia="仿宋_GB2312"/>
                <w:sz w:val="20"/>
                <w:szCs w:val="20"/>
              </w:rPr>
            </w:pPr>
            <w:r>
              <w:rPr>
                <w:rFonts w:hint="eastAsia" w:eastAsia="仿宋_GB2312"/>
                <w:sz w:val="20"/>
                <w:szCs w:val="20"/>
              </w:rPr>
              <w:t>二级指标</w:t>
            </w:r>
          </w:p>
        </w:tc>
        <w:tc>
          <w:tcPr>
            <w:tcW w:w="416" w:type="dxa"/>
            <w:tcBorders>
              <w:top w:val="single" w:color="auto" w:sz="4" w:space="0"/>
              <w:left w:val="nil"/>
              <w:bottom w:val="single" w:color="auto" w:sz="4" w:space="0"/>
              <w:right w:val="single" w:color="auto" w:sz="4" w:space="0"/>
              <w:tl2br w:val="nil"/>
              <w:tr2bl w:val="nil"/>
            </w:tcBorders>
            <w:noWrap/>
            <w:vAlign w:val="center"/>
          </w:tcPr>
          <w:p>
            <w:pPr>
              <w:spacing w:beforeLines="0" w:afterLines="0"/>
              <w:jc w:val="center"/>
              <w:rPr>
                <w:rFonts w:hint="default" w:eastAsia="仿宋_GB2312"/>
                <w:sz w:val="20"/>
                <w:szCs w:val="20"/>
              </w:rPr>
            </w:pPr>
            <w:r>
              <w:rPr>
                <w:rFonts w:hint="eastAsia" w:eastAsia="仿宋_GB2312"/>
                <w:sz w:val="20"/>
                <w:szCs w:val="20"/>
              </w:rPr>
              <w:t>分值</w:t>
            </w:r>
          </w:p>
        </w:tc>
        <w:tc>
          <w:tcPr>
            <w:tcW w:w="1194" w:type="dxa"/>
            <w:tcBorders>
              <w:top w:val="single" w:color="auto" w:sz="4" w:space="0"/>
              <w:left w:val="nil"/>
              <w:bottom w:val="single" w:color="auto" w:sz="4" w:space="0"/>
              <w:right w:val="single" w:color="auto" w:sz="4" w:space="0"/>
              <w:tl2br w:val="nil"/>
              <w:tr2bl w:val="nil"/>
            </w:tcBorders>
            <w:noWrap/>
            <w:vAlign w:val="center"/>
          </w:tcPr>
          <w:p>
            <w:pPr>
              <w:spacing w:beforeLines="0" w:afterLines="0"/>
              <w:jc w:val="center"/>
              <w:rPr>
                <w:rFonts w:hint="default" w:eastAsia="仿宋_GB2312"/>
                <w:sz w:val="20"/>
                <w:szCs w:val="20"/>
              </w:rPr>
            </w:pPr>
            <w:r>
              <w:rPr>
                <w:rFonts w:hint="eastAsia" w:eastAsia="仿宋_GB2312"/>
                <w:sz w:val="20"/>
                <w:szCs w:val="20"/>
              </w:rPr>
              <w:t>三级</w:t>
            </w:r>
          </w:p>
          <w:p>
            <w:pPr>
              <w:spacing w:beforeLines="0" w:afterLines="0"/>
              <w:jc w:val="center"/>
              <w:rPr>
                <w:rFonts w:hint="default" w:eastAsia="仿宋_GB2312"/>
                <w:sz w:val="20"/>
                <w:szCs w:val="20"/>
              </w:rPr>
            </w:pPr>
            <w:r>
              <w:rPr>
                <w:rFonts w:hint="eastAsia" w:eastAsia="仿宋_GB2312"/>
                <w:sz w:val="20"/>
                <w:szCs w:val="20"/>
              </w:rPr>
              <w:t>指标</w:t>
            </w:r>
          </w:p>
        </w:tc>
        <w:tc>
          <w:tcPr>
            <w:tcW w:w="478" w:type="dxa"/>
            <w:tcBorders>
              <w:top w:val="single" w:color="auto" w:sz="4" w:space="0"/>
              <w:left w:val="nil"/>
              <w:bottom w:val="single" w:color="auto" w:sz="4" w:space="0"/>
              <w:right w:val="single" w:color="auto" w:sz="4" w:space="0"/>
              <w:tl2br w:val="nil"/>
              <w:tr2bl w:val="nil"/>
            </w:tcBorders>
            <w:noWrap/>
            <w:vAlign w:val="center"/>
          </w:tcPr>
          <w:p>
            <w:pPr>
              <w:spacing w:beforeLines="0" w:afterLines="0"/>
              <w:jc w:val="center"/>
              <w:rPr>
                <w:rFonts w:hint="default" w:eastAsia="仿宋_GB2312"/>
                <w:sz w:val="20"/>
                <w:szCs w:val="20"/>
              </w:rPr>
            </w:pPr>
            <w:r>
              <w:rPr>
                <w:rFonts w:hint="eastAsia" w:eastAsia="仿宋_GB2312"/>
                <w:sz w:val="20"/>
                <w:szCs w:val="20"/>
              </w:rPr>
              <w:t>分值</w:t>
            </w:r>
          </w:p>
        </w:tc>
        <w:tc>
          <w:tcPr>
            <w:tcW w:w="2977" w:type="dxa"/>
            <w:tcBorders>
              <w:top w:val="single" w:color="auto" w:sz="4" w:space="0"/>
              <w:left w:val="nil"/>
              <w:bottom w:val="single" w:color="auto" w:sz="4" w:space="0"/>
              <w:right w:val="single" w:color="auto" w:sz="4" w:space="0"/>
              <w:tl2br w:val="nil"/>
              <w:tr2bl w:val="nil"/>
            </w:tcBorders>
            <w:noWrap/>
            <w:vAlign w:val="center"/>
          </w:tcPr>
          <w:p>
            <w:pPr>
              <w:spacing w:beforeLines="0" w:afterLines="0"/>
              <w:jc w:val="center"/>
              <w:rPr>
                <w:rFonts w:hint="default" w:eastAsia="仿宋_GB2312"/>
                <w:sz w:val="20"/>
                <w:szCs w:val="20"/>
              </w:rPr>
            </w:pPr>
            <w:r>
              <w:rPr>
                <w:rFonts w:hint="eastAsia" w:eastAsia="仿宋_GB2312"/>
                <w:sz w:val="20"/>
                <w:szCs w:val="20"/>
              </w:rPr>
              <w:t>评价标准</w:t>
            </w:r>
          </w:p>
        </w:tc>
        <w:tc>
          <w:tcPr>
            <w:tcW w:w="3402" w:type="dxa"/>
            <w:tcBorders>
              <w:top w:val="single" w:color="auto" w:sz="4" w:space="0"/>
              <w:left w:val="nil"/>
              <w:bottom w:val="single" w:color="auto" w:sz="4" w:space="0"/>
              <w:right w:val="single" w:color="auto" w:sz="4" w:space="0"/>
              <w:tl2br w:val="nil"/>
              <w:tr2bl w:val="nil"/>
            </w:tcBorders>
            <w:noWrap/>
            <w:vAlign w:val="center"/>
          </w:tcPr>
          <w:p>
            <w:pPr>
              <w:spacing w:beforeLines="0" w:afterLines="0"/>
              <w:jc w:val="center"/>
              <w:rPr>
                <w:rFonts w:hint="default" w:eastAsia="仿宋_GB2312"/>
                <w:sz w:val="20"/>
                <w:szCs w:val="20"/>
              </w:rPr>
            </w:pPr>
            <w:r>
              <w:rPr>
                <w:rFonts w:hint="eastAsia" w:eastAsia="仿宋_GB2312"/>
                <w:sz w:val="20"/>
                <w:szCs w:val="20"/>
              </w:rPr>
              <w:t>指标说明</w:t>
            </w:r>
          </w:p>
        </w:tc>
        <w:tc>
          <w:tcPr>
            <w:tcW w:w="522" w:type="dxa"/>
            <w:tcBorders>
              <w:top w:val="single" w:color="auto" w:sz="4" w:space="0"/>
              <w:left w:val="nil"/>
              <w:bottom w:val="single" w:color="auto" w:sz="4" w:space="0"/>
              <w:right w:val="single" w:color="auto" w:sz="4" w:space="0"/>
              <w:tl2br w:val="nil"/>
              <w:tr2bl w:val="nil"/>
            </w:tcBorders>
            <w:noWrap/>
            <w:vAlign w:val="center"/>
          </w:tcPr>
          <w:p>
            <w:pPr>
              <w:spacing w:beforeLines="0" w:afterLines="0"/>
              <w:jc w:val="center"/>
              <w:rPr>
                <w:rFonts w:hint="default" w:eastAsia="仿宋_GB2312"/>
                <w:sz w:val="20"/>
                <w:szCs w:val="20"/>
              </w:rPr>
            </w:pPr>
            <w:r>
              <w:rPr>
                <w:rFonts w:hint="eastAsia" w:eastAsia="仿宋_GB2312"/>
                <w:sz w:val="20"/>
                <w:szCs w:val="20"/>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0" w:hRule="atLeast"/>
          <w:jc w:val="center"/>
        </w:trPr>
        <w:tc>
          <w:tcPr>
            <w:tcW w:w="518" w:type="dxa"/>
            <w:vMerge w:val="restart"/>
            <w:tcBorders>
              <w:top w:val="nil"/>
              <w:left w:val="single" w:color="auto" w:sz="4" w:space="0"/>
              <w:bottom w:val="single" w:color="auto" w:sz="4" w:space="0"/>
              <w:right w:val="single" w:color="auto" w:sz="4" w:space="0"/>
              <w:tl2br w:val="nil"/>
              <w:tr2bl w:val="nil"/>
            </w:tcBorders>
            <w:noWrap/>
            <w:vAlign w:val="center"/>
          </w:tcPr>
          <w:p>
            <w:pPr>
              <w:spacing w:beforeLines="0" w:afterLine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投入</w:t>
            </w:r>
          </w:p>
        </w:tc>
        <w:tc>
          <w:tcPr>
            <w:tcW w:w="416" w:type="dxa"/>
            <w:vMerge w:val="restart"/>
            <w:tcBorders>
              <w:top w:val="nil"/>
              <w:left w:val="nil"/>
              <w:bottom w:val="single" w:color="000000" w:sz="4" w:space="0"/>
              <w:right w:val="single" w:color="auto" w:sz="4" w:space="0"/>
              <w:tl2br w:val="nil"/>
              <w:tr2bl w:val="nil"/>
            </w:tcBorders>
            <w:noWrap/>
            <w:vAlign w:val="center"/>
          </w:tcPr>
          <w:p>
            <w:pPr>
              <w:spacing w:beforeLines="0" w:afterLine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10</w:t>
            </w:r>
          </w:p>
        </w:tc>
        <w:tc>
          <w:tcPr>
            <w:tcW w:w="677" w:type="dxa"/>
            <w:gridSpan w:val="2"/>
            <w:vMerge w:val="restart"/>
            <w:tcBorders>
              <w:top w:val="nil"/>
              <w:left w:val="nil"/>
              <w:bottom w:val="single" w:color="auto" w:sz="4" w:space="0"/>
              <w:right w:val="single" w:color="auto" w:sz="4" w:space="0"/>
              <w:tl2br w:val="nil"/>
              <w:tr2bl w:val="nil"/>
            </w:tcBorders>
            <w:noWrap/>
            <w:vAlign w:val="center"/>
          </w:tcPr>
          <w:p>
            <w:pPr>
              <w:spacing w:beforeLines="0" w:afterLine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预算配置</w:t>
            </w:r>
          </w:p>
        </w:tc>
        <w:tc>
          <w:tcPr>
            <w:tcW w:w="416" w:type="dxa"/>
            <w:vMerge w:val="restart"/>
            <w:tcBorders>
              <w:top w:val="nil"/>
              <w:left w:val="nil"/>
              <w:bottom w:val="single" w:color="000000" w:sz="4" w:space="0"/>
              <w:right w:val="single" w:color="auto" w:sz="4" w:space="0"/>
              <w:tl2br w:val="nil"/>
              <w:tr2bl w:val="nil"/>
            </w:tcBorders>
            <w:noWrap/>
            <w:vAlign w:val="center"/>
          </w:tcPr>
          <w:p>
            <w:pPr>
              <w:spacing w:beforeLines="0" w:afterLine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10</w:t>
            </w:r>
          </w:p>
        </w:tc>
        <w:tc>
          <w:tcPr>
            <w:tcW w:w="1194"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在职人员控制率</w:t>
            </w:r>
          </w:p>
        </w:tc>
        <w:tc>
          <w:tcPr>
            <w:tcW w:w="478" w:type="dxa"/>
            <w:tcBorders>
              <w:top w:val="nil"/>
              <w:left w:val="nil"/>
              <w:bottom w:val="single" w:color="auto" w:sz="4" w:space="0"/>
              <w:right w:val="single" w:color="auto" w:sz="4" w:space="0"/>
              <w:tl2br w:val="nil"/>
              <w:tr2bl w:val="nil"/>
            </w:tcBorders>
            <w:noWrap/>
            <w:vAlign w:val="center"/>
          </w:tcPr>
          <w:p>
            <w:pPr>
              <w:spacing w:beforeLines="0" w:afterLine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5</w:t>
            </w:r>
          </w:p>
        </w:tc>
        <w:tc>
          <w:tcPr>
            <w:tcW w:w="2977" w:type="dxa"/>
            <w:tcBorders>
              <w:top w:val="nil"/>
              <w:left w:val="nil"/>
              <w:bottom w:val="nil"/>
              <w:right w:val="nil"/>
              <w:tl2br w:val="nil"/>
              <w:tr2bl w:val="nil"/>
            </w:tcBorders>
            <w:noWrap/>
            <w:vAlign w:val="center"/>
          </w:tcPr>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以100%为标准。在职人员控制率≦100%，计5分；每超过一个百分点扣0.5分，扣完为止。</w:t>
            </w:r>
          </w:p>
        </w:tc>
        <w:tc>
          <w:tcPr>
            <w:tcW w:w="3402" w:type="dxa"/>
            <w:tcBorders>
              <w:top w:val="nil"/>
              <w:left w:val="single" w:color="auto" w:sz="4" w:space="0"/>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rPr>
              <w:t>在职人员控制率=（在职人员数/编制数）×100%，在职人员数：部门（单位）实际在职人数，以市财政局确定的部门决算编制口径为准。</w:t>
            </w:r>
          </w:p>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编制数：机构编制部门核定批复的部门（单位）的人员编制数。</w:t>
            </w:r>
          </w:p>
        </w:tc>
        <w:tc>
          <w:tcPr>
            <w:tcW w:w="522"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　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0" w:hRule="atLeast"/>
          <w:jc w:val="center"/>
        </w:trPr>
        <w:tc>
          <w:tcPr>
            <w:tcW w:w="518" w:type="dxa"/>
            <w:vMerge w:val="continue"/>
            <w:tcBorders>
              <w:top w:val="nil"/>
              <w:left w:val="single" w:color="auto" w:sz="4" w:space="0"/>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416" w:type="dxa"/>
            <w:vMerge w:val="continue"/>
            <w:tcBorders>
              <w:top w:val="nil"/>
              <w:left w:val="nil"/>
              <w:bottom w:val="single" w:color="000000"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677" w:type="dxa"/>
            <w:gridSpan w:val="2"/>
            <w:vMerge w:val="continue"/>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416" w:type="dxa"/>
            <w:vMerge w:val="continue"/>
            <w:tcBorders>
              <w:top w:val="nil"/>
              <w:left w:val="nil"/>
              <w:bottom w:val="single" w:color="000000"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1194"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“三公经费”变动率</w:t>
            </w:r>
          </w:p>
        </w:tc>
        <w:tc>
          <w:tcPr>
            <w:tcW w:w="478" w:type="dxa"/>
            <w:tcBorders>
              <w:top w:val="nil"/>
              <w:left w:val="nil"/>
              <w:bottom w:val="single" w:color="auto" w:sz="4" w:space="0"/>
              <w:right w:val="single" w:color="auto" w:sz="4" w:space="0"/>
              <w:tl2br w:val="nil"/>
              <w:tr2bl w:val="nil"/>
            </w:tcBorders>
            <w:noWrap/>
            <w:vAlign w:val="center"/>
          </w:tcPr>
          <w:p>
            <w:pPr>
              <w:spacing w:beforeLines="0" w:afterLine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5</w:t>
            </w:r>
          </w:p>
        </w:tc>
        <w:tc>
          <w:tcPr>
            <w:tcW w:w="2977" w:type="dxa"/>
            <w:tcBorders>
              <w:top w:val="single" w:color="auto" w:sz="4" w:space="0"/>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“三公经费”变动率≦0,计5分；“三公经费”＞0，每超过一个百分点扣0.8分，扣完为止。</w:t>
            </w:r>
          </w:p>
        </w:tc>
        <w:tc>
          <w:tcPr>
            <w:tcW w:w="3402"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“三公经费”变动率=[（本年度“三公经费”预算数-上年度“三公经费”预算数）/上年度“三公经费”预算数]×100%</w:t>
            </w:r>
          </w:p>
        </w:tc>
        <w:tc>
          <w:tcPr>
            <w:tcW w:w="522"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0" w:hRule="atLeast"/>
          <w:jc w:val="center"/>
        </w:trPr>
        <w:tc>
          <w:tcPr>
            <w:tcW w:w="518" w:type="dxa"/>
            <w:vMerge w:val="restart"/>
            <w:tcBorders>
              <w:top w:val="nil"/>
              <w:left w:val="single" w:color="auto" w:sz="4" w:space="0"/>
              <w:bottom w:val="single" w:color="000000" w:sz="4" w:space="0"/>
              <w:right w:val="single" w:color="auto" w:sz="4" w:space="0"/>
              <w:tl2br w:val="nil"/>
              <w:tr2bl w:val="nil"/>
            </w:tcBorders>
            <w:noWrap/>
            <w:vAlign w:val="center"/>
          </w:tcPr>
          <w:p>
            <w:pPr>
              <w:spacing w:beforeLines="0" w:afterLine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过                                                                                                                                       程</w:t>
            </w:r>
          </w:p>
        </w:tc>
        <w:tc>
          <w:tcPr>
            <w:tcW w:w="416" w:type="dxa"/>
            <w:vMerge w:val="restart"/>
            <w:tcBorders>
              <w:top w:val="nil"/>
              <w:left w:val="nil"/>
              <w:bottom w:val="single" w:color="000000" w:sz="4" w:space="0"/>
              <w:right w:val="single" w:color="auto" w:sz="4" w:space="0"/>
              <w:tl2br w:val="nil"/>
              <w:tr2bl w:val="nil"/>
            </w:tcBorders>
            <w:noWrap/>
            <w:vAlign w:val="center"/>
          </w:tcPr>
          <w:p>
            <w:pPr>
              <w:spacing w:beforeLines="0" w:afterLine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60</w:t>
            </w:r>
          </w:p>
        </w:tc>
        <w:tc>
          <w:tcPr>
            <w:tcW w:w="677" w:type="dxa"/>
            <w:gridSpan w:val="2"/>
            <w:vMerge w:val="restart"/>
            <w:tcBorders>
              <w:top w:val="nil"/>
              <w:left w:val="nil"/>
              <w:bottom w:val="single" w:color="000000" w:sz="4" w:space="0"/>
              <w:right w:val="single" w:color="auto" w:sz="4" w:space="0"/>
              <w:tl2br w:val="nil"/>
              <w:tr2bl w:val="nil"/>
            </w:tcBorders>
            <w:noWrap/>
            <w:vAlign w:val="center"/>
          </w:tcPr>
          <w:p>
            <w:pPr>
              <w:spacing w:beforeLines="0" w:afterLine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预算执行</w:t>
            </w:r>
          </w:p>
        </w:tc>
        <w:tc>
          <w:tcPr>
            <w:tcW w:w="416" w:type="dxa"/>
            <w:vMerge w:val="restart"/>
            <w:tcBorders>
              <w:top w:val="nil"/>
              <w:left w:val="nil"/>
              <w:bottom w:val="single" w:color="000000" w:sz="4" w:space="0"/>
              <w:right w:val="single" w:color="auto" w:sz="4" w:space="0"/>
              <w:tl2br w:val="nil"/>
              <w:tr2bl w:val="nil"/>
            </w:tcBorders>
            <w:noWrap/>
            <w:vAlign w:val="center"/>
          </w:tcPr>
          <w:p>
            <w:pPr>
              <w:spacing w:beforeLines="0" w:afterLine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20</w:t>
            </w:r>
          </w:p>
        </w:tc>
        <w:tc>
          <w:tcPr>
            <w:tcW w:w="1194"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预算完成率</w:t>
            </w:r>
          </w:p>
        </w:tc>
        <w:tc>
          <w:tcPr>
            <w:tcW w:w="478" w:type="dxa"/>
            <w:tcBorders>
              <w:top w:val="nil"/>
              <w:left w:val="nil"/>
              <w:bottom w:val="single" w:color="auto" w:sz="4" w:space="0"/>
              <w:right w:val="single" w:color="auto" w:sz="4" w:space="0"/>
              <w:tl2br w:val="nil"/>
              <w:tr2bl w:val="nil"/>
            </w:tcBorders>
            <w:noWrap/>
            <w:vAlign w:val="center"/>
          </w:tcPr>
          <w:p>
            <w:pPr>
              <w:spacing w:beforeLines="0" w:afterLine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5</w:t>
            </w:r>
          </w:p>
        </w:tc>
        <w:tc>
          <w:tcPr>
            <w:tcW w:w="2977"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100%计满分，每低于5%扣2分，扣完为止。</w:t>
            </w:r>
          </w:p>
        </w:tc>
        <w:tc>
          <w:tcPr>
            <w:tcW w:w="3402"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预算完成率=（上年结转+年初预算+本年追加预算-年末结余）/（上年结转+年初预算+本年追加预算）×100%。</w:t>
            </w:r>
          </w:p>
        </w:tc>
        <w:tc>
          <w:tcPr>
            <w:tcW w:w="522"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0" w:hRule="atLeast"/>
          <w:jc w:val="center"/>
        </w:trPr>
        <w:tc>
          <w:tcPr>
            <w:tcW w:w="518" w:type="dxa"/>
            <w:vMerge w:val="continue"/>
            <w:tcBorders>
              <w:top w:val="nil"/>
              <w:left w:val="single" w:color="auto" w:sz="4" w:space="0"/>
              <w:bottom w:val="single" w:color="000000"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416" w:type="dxa"/>
            <w:vMerge w:val="continue"/>
            <w:tcBorders>
              <w:top w:val="nil"/>
              <w:left w:val="nil"/>
              <w:bottom w:val="single" w:color="000000"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677" w:type="dxa"/>
            <w:gridSpan w:val="2"/>
            <w:vMerge w:val="continue"/>
            <w:tcBorders>
              <w:top w:val="nil"/>
              <w:left w:val="nil"/>
              <w:bottom w:val="single" w:color="000000"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416" w:type="dxa"/>
            <w:vMerge w:val="continue"/>
            <w:tcBorders>
              <w:top w:val="nil"/>
              <w:left w:val="nil"/>
              <w:bottom w:val="single" w:color="000000"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1194"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预算控制率</w:t>
            </w:r>
          </w:p>
        </w:tc>
        <w:tc>
          <w:tcPr>
            <w:tcW w:w="478" w:type="dxa"/>
            <w:tcBorders>
              <w:top w:val="nil"/>
              <w:left w:val="nil"/>
              <w:bottom w:val="single" w:color="auto" w:sz="4" w:space="0"/>
              <w:right w:val="single" w:color="auto" w:sz="4" w:space="0"/>
              <w:tl2br w:val="nil"/>
              <w:tr2bl w:val="nil"/>
            </w:tcBorders>
            <w:noWrap/>
            <w:vAlign w:val="center"/>
          </w:tcPr>
          <w:p>
            <w:pPr>
              <w:spacing w:beforeLines="0" w:afterLine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5</w:t>
            </w:r>
          </w:p>
        </w:tc>
        <w:tc>
          <w:tcPr>
            <w:tcW w:w="2977"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预算控制率=0，计5分；0-10%（含），计4分；10-20%（含），计3分；20-30%（含），计2分；大于30%不得分。</w:t>
            </w:r>
          </w:p>
        </w:tc>
        <w:tc>
          <w:tcPr>
            <w:tcW w:w="3402"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预算控制率=（本年追加预算/年初预算）×100%。</w:t>
            </w:r>
          </w:p>
        </w:tc>
        <w:tc>
          <w:tcPr>
            <w:tcW w:w="522"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　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0" w:hRule="atLeast"/>
          <w:jc w:val="center"/>
        </w:trPr>
        <w:tc>
          <w:tcPr>
            <w:tcW w:w="518" w:type="dxa"/>
            <w:vMerge w:val="continue"/>
            <w:tcBorders>
              <w:top w:val="nil"/>
              <w:left w:val="single" w:color="auto" w:sz="4" w:space="0"/>
              <w:bottom w:val="single" w:color="000000"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416" w:type="dxa"/>
            <w:vMerge w:val="continue"/>
            <w:tcBorders>
              <w:top w:val="nil"/>
              <w:left w:val="nil"/>
              <w:bottom w:val="single" w:color="000000"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677" w:type="dxa"/>
            <w:gridSpan w:val="2"/>
            <w:vMerge w:val="continue"/>
            <w:tcBorders>
              <w:top w:val="nil"/>
              <w:left w:val="nil"/>
              <w:bottom w:val="single" w:color="000000"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416" w:type="dxa"/>
            <w:vMerge w:val="continue"/>
            <w:tcBorders>
              <w:top w:val="nil"/>
              <w:left w:val="nil"/>
              <w:bottom w:val="single" w:color="000000"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1194"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新建楼堂馆所面积控制率</w:t>
            </w:r>
          </w:p>
        </w:tc>
        <w:tc>
          <w:tcPr>
            <w:tcW w:w="478" w:type="dxa"/>
            <w:tcBorders>
              <w:top w:val="nil"/>
              <w:left w:val="nil"/>
              <w:bottom w:val="single" w:color="auto" w:sz="4" w:space="0"/>
              <w:right w:val="single" w:color="auto" w:sz="4" w:space="0"/>
              <w:tl2br w:val="nil"/>
              <w:tr2bl w:val="nil"/>
            </w:tcBorders>
            <w:noWrap/>
            <w:vAlign w:val="center"/>
          </w:tcPr>
          <w:p>
            <w:pPr>
              <w:spacing w:beforeLines="0" w:afterLine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5</w:t>
            </w:r>
          </w:p>
        </w:tc>
        <w:tc>
          <w:tcPr>
            <w:tcW w:w="2977"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100%以下（含）计满分，每超出5%扣2分，扣完为止。没有楼堂馆所项目的部门按满分计算。</w:t>
            </w:r>
          </w:p>
        </w:tc>
        <w:tc>
          <w:tcPr>
            <w:tcW w:w="3402"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rPr>
              <w:t>楼堂馆所面积控制率=实际建设面积/批准建设面积×100% 。</w:t>
            </w:r>
          </w:p>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该指标以2020年完工的新建楼堂馆所为评价内容。</w:t>
            </w:r>
          </w:p>
        </w:tc>
        <w:tc>
          <w:tcPr>
            <w:tcW w:w="522"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　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0" w:hRule="atLeast"/>
          <w:jc w:val="center"/>
        </w:trPr>
        <w:tc>
          <w:tcPr>
            <w:tcW w:w="518" w:type="dxa"/>
            <w:vMerge w:val="continue"/>
            <w:tcBorders>
              <w:top w:val="nil"/>
              <w:left w:val="single" w:color="auto" w:sz="4" w:space="0"/>
              <w:bottom w:val="single" w:color="000000"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416" w:type="dxa"/>
            <w:vMerge w:val="continue"/>
            <w:tcBorders>
              <w:top w:val="nil"/>
              <w:left w:val="nil"/>
              <w:bottom w:val="single" w:color="000000"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677" w:type="dxa"/>
            <w:gridSpan w:val="2"/>
            <w:vMerge w:val="continue"/>
            <w:tcBorders>
              <w:top w:val="nil"/>
              <w:left w:val="nil"/>
              <w:bottom w:val="single" w:color="000000"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416" w:type="dxa"/>
            <w:vMerge w:val="continue"/>
            <w:tcBorders>
              <w:top w:val="nil"/>
              <w:left w:val="nil"/>
              <w:bottom w:val="single" w:color="000000"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1194"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新建楼堂馆所投资概算控制率</w:t>
            </w:r>
          </w:p>
        </w:tc>
        <w:tc>
          <w:tcPr>
            <w:tcW w:w="478" w:type="dxa"/>
            <w:tcBorders>
              <w:top w:val="nil"/>
              <w:left w:val="nil"/>
              <w:bottom w:val="single" w:color="auto" w:sz="4" w:space="0"/>
              <w:right w:val="single" w:color="auto" w:sz="4" w:space="0"/>
              <w:tl2br w:val="nil"/>
              <w:tr2bl w:val="nil"/>
            </w:tcBorders>
            <w:noWrap/>
            <w:vAlign w:val="center"/>
          </w:tcPr>
          <w:p>
            <w:pPr>
              <w:spacing w:beforeLines="0" w:afterLine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5</w:t>
            </w:r>
          </w:p>
        </w:tc>
        <w:tc>
          <w:tcPr>
            <w:tcW w:w="2977"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100%以下（含）计满分，每超出5%扣2分，扣完为止。</w:t>
            </w:r>
          </w:p>
        </w:tc>
        <w:tc>
          <w:tcPr>
            <w:tcW w:w="3402"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rPr>
              <w:t>楼堂馆所投资预算控制率=实际投资金额/批准投资金额×100% 。</w:t>
            </w:r>
          </w:p>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该指标以2020年完工的新建楼堂馆所为评价内容。</w:t>
            </w:r>
          </w:p>
        </w:tc>
        <w:tc>
          <w:tcPr>
            <w:tcW w:w="522"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　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0" w:hRule="atLeast"/>
          <w:jc w:val="center"/>
        </w:trPr>
        <w:tc>
          <w:tcPr>
            <w:tcW w:w="518" w:type="dxa"/>
            <w:vMerge w:val="continue"/>
            <w:tcBorders>
              <w:top w:val="nil"/>
              <w:left w:val="single" w:color="auto" w:sz="4" w:space="0"/>
              <w:bottom w:val="single" w:color="000000"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416" w:type="dxa"/>
            <w:vMerge w:val="continue"/>
            <w:tcBorders>
              <w:top w:val="nil"/>
              <w:left w:val="nil"/>
              <w:bottom w:val="single" w:color="000000"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677" w:type="dxa"/>
            <w:gridSpan w:val="2"/>
            <w:vMerge w:val="restart"/>
            <w:tcBorders>
              <w:top w:val="nil"/>
              <w:left w:val="nil"/>
              <w:bottom w:val="single" w:color="000000" w:sz="4" w:space="0"/>
              <w:right w:val="single" w:color="auto" w:sz="4" w:space="0"/>
              <w:tl2br w:val="nil"/>
              <w:tr2bl w:val="nil"/>
            </w:tcBorders>
            <w:noWrap/>
            <w:vAlign w:val="center"/>
          </w:tcPr>
          <w:p>
            <w:pPr>
              <w:spacing w:beforeLines="0" w:afterLine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预算管理</w:t>
            </w:r>
          </w:p>
        </w:tc>
        <w:tc>
          <w:tcPr>
            <w:tcW w:w="416" w:type="dxa"/>
            <w:vMerge w:val="restart"/>
            <w:tcBorders>
              <w:top w:val="nil"/>
              <w:left w:val="nil"/>
              <w:bottom w:val="single" w:color="000000" w:sz="4" w:space="0"/>
              <w:right w:val="single" w:color="auto" w:sz="4" w:space="0"/>
              <w:tl2br w:val="nil"/>
              <w:tr2bl w:val="nil"/>
            </w:tcBorders>
            <w:noWrap/>
            <w:vAlign w:val="center"/>
          </w:tcPr>
          <w:p>
            <w:pPr>
              <w:spacing w:beforeLines="0" w:afterLine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40</w:t>
            </w:r>
          </w:p>
        </w:tc>
        <w:tc>
          <w:tcPr>
            <w:tcW w:w="1194"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公用经费控制率</w:t>
            </w:r>
          </w:p>
        </w:tc>
        <w:tc>
          <w:tcPr>
            <w:tcW w:w="478" w:type="dxa"/>
            <w:tcBorders>
              <w:top w:val="nil"/>
              <w:left w:val="nil"/>
              <w:bottom w:val="single" w:color="auto" w:sz="4" w:space="0"/>
              <w:right w:val="single" w:color="auto" w:sz="4" w:space="0"/>
              <w:tl2br w:val="nil"/>
              <w:tr2bl w:val="nil"/>
            </w:tcBorders>
            <w:noWrap/>
            <w:vAlign w:val="center"/>
          </w:tcPr>
          <w:p>
            <w:pPr>
              <w:spacing w:beforeLines="0" w:afterLine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8</w:t>
            </w:r>
          </w:p>
        </w:tc>
        <w:tc>
          <w:tcPr>
            <w:tcW w:w="2977"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100%以下（含）计满分，每超出1%扣1分，扣完为止。</w:t>
            </w:r>
          </w:p>
        </w:tc>
        <w:tc>
          <w:tcPr>
            <w:tcW w:w="3402"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rPr>
              <w:t>公用经费控制率=（实际支出公用经费总额/预算安排公用经费总额）×100%。</w:t>
            </w:r>
          </w:p>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公用经费支出是指部门基本支出中的一般商品和服务支出。</w:t>
            </w:r>
          </w:p>
        </w:tc>
        <w:tc>
          <w:tcPr>
            <w:tcW w:w="522"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　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0" w:hRule="atLeast"/>
          <w:jc w:val="center"/>
        </w:trPr>
        <w:tc>
          <w:tcPr>
            <w:tcW w:w="518" w:type="dxa"/>
            <w:vMerge w:val="continue"/>
            <w:tcBorders>
              <w:top w:val="nil"/>
              <w:left w:val="single" w:color="auto" w:sz="4" w:space="0"/>
              <w:bottom w:val="single" w:color="000000"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416" w:type="dxa"/>
            <w:vMerge w:val="continue"/>
            <w:tcBorders>
              <w:top w:val="nil"/>
              <w:left w:val="nil"/>
              <w:bottom w:val="single" w:color="000000"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677" w:type="dxa"/>
            <w:gridSpan w:val="2"/>
            <w:vMerge w:val="continue"/>
            <w:tcBorders>
              <w:top w:val="nil"/>
              <w:left w:val="nil"/>
              <w:bottom w:val="single" w:color="000000"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416" w:type="dxa"/>
            <w:vMerge w:val="continue"/>
            <w:tcBorders>
              <w:top w:val="nil"/>
              <w:left w:val="nil"/>
              <w:bottom w:val="single" w:color="000000"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1194"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“三公经费”控制率</w:t>
            </w:r>
          </w:p>
        </w:tc>
        <w:tc>
          <w:tcPr>
            <w:tcW w:w="478" w:type="dxa"/>
            <w:tcBorders>
              <w:top w:val="nil"/>
              <w:left w:val="nil"/>
              <w:bottom w:val="single" w:color="auto" w:sz="4" w:space="0"/>
              <w:right w:val="single" w:color="auto" w:sz="4" w:space="0"/>
              <w:tl2br w:val="nil"/>
              <w:tr2bl w:val="nil"/>
            </w:tcBorders>
            <w:noWrap/>
            <w:vAlign w:val="center"/>
          </w:tcPr>
          <w:p>
            <w:pPr>
              <w:spacing w:beforeLines="0" w:afterLine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7</w:t>
            </w:r>
          </w:p>
        </w:tc>
        <w:tc>
          <w:tcPr>
            <w:tcW w:w="2977"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100%以下（含）计满分，每超出1%扣1分，扣完为止。</w:t>
            </w:r>
          </w:p>
        </w:tc>
        <w:tc>
          <w:tcPr>
            <w:tcW w:w="3402"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“三公经费”控制率=（“三公经费”实际支出数/“三公经费”预算安排数）×100%。</w:t>
            </w:r>
          </w:p>
        </w:tc>
        <w:tc>
          <w:tcPr>
            <w:tcW w:w="522"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　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0" w:hRule="atLeast"/>
          <w:jc w:val="center"/>
        </w:trPr>
        <w:tc>
          <w:tcPr>
            <w:tcW w:w="518" w:type="dxa"/>
            <w:vMerge w:val="continue"/>
            <w:tcBorders>
              <w:top w:val="nil"/>
              <w:left w:val="single" w:color="auto" w:sz="4" w:space="0"/>
              <w:bottom w:val="single" w:color="000000"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416" w:type="dxa"/>
            <w:vMerge w:val="continue"/>
            <w:tcBorders>
              <w:top w:val="nil"/>
              <w:left w:val="nil"/>
              <w:bottom w:val="single" w:color="000000"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677" w:type="dxa"/>
            <w:gridSpan w:val="2"/>
            <w:vMerge w:val="continue"/>
            <w:tcBorders>
              <w:top w:val="nil"/>
              <w:left w:val="nil"/>
              <w:bottom w:val="single" w:color="000000"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416" w:type="dxa"/>
            <w:vMerge w:val="continue"/>
            <w:tcBorders>
              <w:top w:val="nil"/>
              <w:left w:val="nil"/>
              <w:bottom w:val="single" w:color="000000"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1194"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政府采购执行率</w:t>
            </w:r>
          </w:p>
        </w:tc>
        <w:tc>
          <w:tcPr>
            <w:tcW w:w="478" w:type="dxa"/>
            <w:tcBorders>
              <w:top w:val="nil"/>
              <w:left w:val="nil"/>
              <w:bottom w:val="single" w:color="auto" w:sz="4" w:space="0"/>
              <w:right w:val="single" w:color="auto" w:sz="4" w:space="0"/>
              <w:tl2br w:val="nil"/>
              <w:tr2bl w:val="nil"/>
            </w:tcBorders>
            <w:noWrap/>
            <w:vAlign w:val="center"/>
          </w:tcPr>
          <w:p>
            <w:pPr>
              <w:spacing w:beforeLines="0" w:afterLine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6</w:t>
            </w:r>
          </w:p>
        </w:tc>
        <w:tc>
          <w:tcPr>
            <w:tcW w:w="2977"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100%计满分，每超过（降低）5%扣2分。扣完为止。</w:t>
            </w:r>
          </w:p>
        </w:tc>
        <w:tc>
          <w:tcPr>
            <w:tcW w:w="3402"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政府采购执行率=（实际政府采购金额/政府采购预算数）×100%</w:t>
            </w:r>
          </w:p>
        </w:tc>
        <w:tc>
          <w:tcPr>
            <w:tcW w:w="522"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　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0" w:hRule="atLeast"/>
          <w:jc w:val="center"/>
        </w:trPr>
        <w:tc>
          <w:tcPr>
            <w:tcW w:w="518" w:type="dxa"/>
            <w:vMerge w:val="restart"/>
            <w:tcBorders>
              <w:top w:val="nil"/>
              <w:left w:val="single" w:color="auto" w:sz="4" w:space="0"/>
              <w:bottom w:val="single" w:color="000000"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过                                                                                                                                       程</w:t>
            </w:r>
          </w:p>
        </w:tc>
        <w:tc>
          <w:tcPr>
            <w:tcW w:w="416" w:type="dxa"/>
            <w:vMerge w:val="restart"/>
            <w:tcBorders>
              <w:top w:val="nil"/>
              <w:left w:val="nil"/>
              <w:bottom w:val="single" w:color="000000"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677" w:type="dxa"/>
            <w:gridSpan w:val="2"/>
            <w:vMerge w:val="restart"/>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预算管理</w:t>
            </w:r>
          </w:p>
        </w:tc>
        <w:tc>
          <w:tcPr>
            <w:tcW w:w="416" w:type="dxa"/>
            <w:vMerge w:val="continue"/>
            <w:tcBorders>
              <w:top w:val="nil"/>
              <w:left w:val="nil"/>
              <w:bottom w:val="single" w:color="000000"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1194"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管理制度健全性</w:t>
            </w:r>
          </w:p>
        </w:tc>
        <w:tc>
          <w:tcPr>
            <w:tcW w:w="478" w:type="dxa"/>
            <w:tcBorders>
              <w:top w:val="nil"/>
              <w:left w:val="nil"/>
              <w:bottom w:val="single" w:color="auto" w:sz="4" w:space="0"/>
              <w:right w:val="single" w:color="auto" w:sz="4" w:space="0"/>
              <w:tl2br w:val="nil"/>
              <w:tr2bl w:val="nil"/>
            </w:tcBorders>
            <w:noWrap/>
            <w:vAlign w:val="center"/>
          </w:tcPr>
          <w:p>
            <w:pPr>
              <w:spacing w:beforeLines="0" w:afterLine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8</w:t>
            </w:r>
          </w:p>
        </w:tc>
        <w:tc>
          <w:tcPr>
            <w:tcW w:w="6379" w:type="dxa"/>
            <w:gridSpan w:val="2"/>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rPr>
              <w:t>①有内部财务管理制度、会计核算制度等管理制度，2分；</w:t>
            </w:r>
          </w:p>
          <w:p>
            <w:pPr>
              <w:spacing w:beforeLines="0" w:afterLines="0"/>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rPr>
              <w:t>②有本部门厉行节约制度,2分；</w:t>
            </w:r>
          </w:p>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③相关管理制度合法、合规、完整，2分；④相关管理制度得到有效执行，2分。</w:t>
            </w:r>
          </w:p>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w:t>
            </w:r>
          </w:p>
        </w:tc>
        <w:tc>
          <w:tcPr>
            <w:tcW w:w="522"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371" w:hRule="atLeast"/>
          <w:jc w:val="center"/>
        </w:trPr>
        <w:tc>
          <w:tcPr>
            <w:tcW w:w="518" w:type="dxa"/>
            <w:vMerge w:val="continue"/>
            <w:tcBorders>
              <w:top w:val="nil"/>
              <w:left w:val="single" w:color="auto" w:sz="4" w:space="0"/>
              <w:bottom w:val="single" w:color="000000"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416" w:type="dxa"/>
            <w:vMerge w:val="continue"/>
            <w:tcBorders>
              <w:top w:val="nil"/>
              <w:left w:val="nil"/>
              <w:bottom w:val="single" w:color="000000"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677" w:type="dxa"/>
            <w:gridSpan w:val="2"/>
            <w:vMerge w:val="continue"/>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416" w:type="dxa"/>
            <w:vMerge w:val="continue"/>
            <w:tcBorders>
              <w:top w:val="nil"/>
              <w:left w:val="nil"/>
              <w:bottom w:val="single" w:color="000000"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1194"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资金使用合规性</w:t>
            </w:r>
          </w:p>
        </w:tc>
        <w:tc>
          <w:tcPr>
            <w:tcW w:w="478" w:type="dxa"/>
            <w:tcBorders>
              <w:top w:val="nil"/>
              <w:left w:val="nil"/>
              <w:bottom w:val="single" w:color="auto" w:sz="4" w:space="0"/>
              <w:right w:val="single" w:color="auto" w:sz="4" w:space="0"/>
              <w:tl2br w:val="nil"/>
              <w:tr2bl w:val="nil"/>
            </w:tcBorders>
            <w:noWrap/>
            <w:vAlign w:val="center"/>
          </w:tcPr>
          <w:p>
            <w:pPr>
              <w:spacing w:beforeLines="0" w:afterLine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6</w:t>
            </w:r>
          </w:p>
        </w:tc>
        <w:tc>
          <w:tcPr>
            <w:tcW w:w="6379" w:type="dxa"/>
            <w:gridSpan w:val="2"/>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rPr>
              <w:t>①支出符合国家财经法规和财务管理制度规定以及有关专项资金管理办法的规定；②资金拨付有完整的审批程序和手续；③项目支出按规定经过评估论证；④支出符合部门预算批复的用途；⑤资金使用无截留、挤占、挪用、虚列支出等情况。</w:t>
            </w:r>
          </w:p>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以上情况每出现一例不符合要求的扣1分，扣完为止。</w:t>
            </w:r>
          </w:p>
        </w:tc>
        <w:tc>
          <w:tcPr>
            <w:tcW w:w="522"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　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0" w:hRule="atLeast"/>
          <w:jc w:val="center"/>
        </w:trPr>
        <w:tc>
          <w:tcPr>
            <w:tcW w:w="518" w:type="dxa"/>
            <w:vMerge w:val="continue"/>
            <w:tcBorders>
              <w:top w:val="nil"/>
              <w:left w:val="single" w:color="auto" w:sz="4" w:space="0"/>
              <w:bottom w:val="single" w:color="000000"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416" w:type="dxa"/>
            <w:vMerge w:val="continue"/>
            <w:tcBorders>
              <w:top w:val="nil"/>
              <w:left w:val="nil"/>
              <w:bottom w:val="single" w:color="000000"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677" w:type="dxa"/>
            <w:gridSpan w:val="2"/>
            <w:vMerge w:val="continue"/>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416" w:type="dxa"/>
            <w:vMerge w:val="continue"/>
            <w:tcBorders>
              <w:top w:val="nil"/>
              <w:left w:val="nil"/>
              <w:bottom w:val="single" w:color="000000"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1194"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预决算信息公开性</w:t>
            </w:r>
          </w:p>
        </w:tc>
        <w:tc>
          <w:tcPr>
            <w:tcW w:w="478" w:type="dxa"/>
            <w:tcBorders>
              <w:top w:val="nil"/>
              <w:left w:val="nil"/>
              <w:bottom w:val="single" w:color="auto" w:sz="4" w:space="0"/>
              <w:right w:val="single" w:color="auto" w:sz="4" w:space="0"/>
              <w:tl2br w:val="nil"/>
              <w:tr2bl w:val="nil"/>
            </w:tcBorders>
            <w:noWrap/>
            <w:vAlign w:val="center"/>
          </w:tcPr>
          <w:p>
            <w:pPr>
              <w:spacing w:beforeLines="0" w:afterLine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5</w:t>
            </w:r>
          </w:p>
        </w:tc>
        <w:tc>
          <w:tcPr>
            <w:tcW w:w="2977"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xml:space="preserve">①按规定内容公开预决算信息，1分；②按规定时限公开预决算信息，1分；③基础数据信息和会计信息资料真实，1分；④基础数据信息和会计信息资料完整，1分；⑤基础数据信息和汇集信息资料准确，1分。  </w:t>
            </w:r>
          </w:p>
        </w:tc>
        <w:tc>
          <w:tcPr>
            <w:tcW w:w="3402"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预决算信息是指与部门预算、执行、决算、监督、绩效等管理相关的信息。</w:t>
            </w:r>
          </w:p>
        </w:tc>
        <w:tc>
          <w:tcPr>
            <w:tcW w:w="522"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281" w:hRule="atLeast"/>
          <w:jc w:val="center"/>
        </w:trPr>
        <w:tc>
          <w:tcPr>
            <w:tcW w:w="518" w:type="dxa"/>
            <w:vMerge w:val="restart"/>
            <w:tcBorders>
              <w:top w:val="nil"/>
              <w:left w:val="single" w:color="auto" w:sz="4" w:space="0"/>
              <w:bottom w:val="single" w:color="000000" w:sz="4" w:space="0"/>
              <w:right w:val="single" w:color="auto" w:sz="4" w:space="0"/>
              <w:tl2br w:val="nil"/>
              <w:tr2bl w:val="nil"/>
            </w:tcBorders>
            <w:noWrap/>
            <w:vAlign w:val="center"/>
          </w:tcPr>
          <w:p>
            <w:pPr>
              <w:spacing w:beforeLines="0" w:afterLine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产出及效率</w:t>
            </w:r>
          </w:p>
        </w:tc>
        <w:tc>
          <w:tcPr>
            <w:tcW w:w="416" w:type="dxa"/>
            <w:vMerge w:val="restart"/>
            <w:tcBorders>
              <w:top w:val="nil"/>
              <w:left w:val="nil"/>
              <w:bottom w:val="single" w:color="000000" w:sz="4" w:space="0"/>
              <w:right w:val="single" w:color="auto" w:sz="4" w:space="0"/>
              <w:tl2br w:val="nil"/>
              <w:tr2bl w:val="nil"/>
            </w:tcBorders>
            <w:noWrap/>
            <w:vAlign w:val="center"/>
          </w:tcPr>
          <w:p>
            <w:pPr>
              <w:spacing w:beforeLines="0" w:afterLine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30</w:t>
            </w:r>
          </w:p>
        </w:tc>
        <w:tc>
          <w:tcPr>
            <w:tcW w:w="677" w:type="dxa"/>
            <w:gridSpan w:val="2"/>
            <w:tcBorders>
              <w:top w:val="nil"/>
              <w:left w:val="nil"/>
              <w:bottom w:val="single" w:color="auto" w:sz="4" w:space="0"/>
              <w:right w:val="single" w:color="auto" w:sz="4" w:space="0"/>
              <w:tl2br w:val="nil"/>
              <w:tr2bl w:val="nil"/>
            </w:tcBorders>
            <w:noWrap/>
            <w:vAlign w:val="center"/>
          </w:tcPr>
          <w:p>
            <w:pPr>
              <w:spacing w:beforeLines="0" w:afterLine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职责履行</w:t>
            </w:r>
          </w:p>
        </w:tc>
        <w:tc>
          <w:tcPr>
            <w:tcW w:w="416" w:type="dxa"/>
            <w:tcBorders>
              <w:top w:val="nil"/>
              <w:left w:val="nil"/>
              <w:bottom w:val="single" w:color="auto" w:sz="4" w:space="0"/>
              <w:right w:val="single" w:color="auto" w:sz="4" w:space="0"/>
              <w:tl2br w:val="nil"/>
              <w:tr2bl w:val="nil"/>
            </w:tcBorders>
            <w:noWrap/>
            <w:vAlign w:val="center"/>
          </w:tcPr>
          <w:p>
            <w:pPr>
              <w:spacing w:beforeLines="0" w:afterLine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8</w:t>
            </w:r>
          </w:p>
        </w:tc>
        <w:tc>
          <w:tcPr>
            <w:tcW w:w="1194" w:type="dxa"/>
            <w:tcBorders>
              <w:top w:val="nil"/>
              <w:left w:val="nil"/>
              <w:bottom w:val="nil"/>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重点工作实际完成率</w:t>
            </w:r>
          </w:p>
        </w:tc>
        <w:tc>
          <w:tcPr>
            <w:tcW w:w="478" w:type="dxa"/>
            <w:tcBorders>
              <w:top w:val="nil"/>
              <w:left w:val="nil"/>
              <w:bottom w:val="single" w:color="auto" w:sz="4" w:space="0"/>
              <w:right w:val="single" w:color="auto" w:sz="4" w:space="0"/>
              <w:tl2br w:val="nil"/>
              <w:tr2bl w:val="nil"/>
            </w:tcBorders>
            <w:noWrap/>
            <w:vAlign w:val="center"/>
          </w:tcPr>
          <w:p>
            <w:pPr>
              <w:spacing w:beforeLines="0" w:afterLine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8</w:t>
            </w:r>
          </w:p>
        </w:tc>
        <w:tc>
          <w:tcPr>
            <w:tcW w:w="2977" w:type="dxa"/>
            <w:tcBorders>
              <w:top w:val="nil"/>
              <w:left w:val="nil"/>
              <w:bottom w:val="single" w:color="auto" w:sz="4" w:space="0"/>
              <w:right w:val="single" w:color="auto" w:sz="4" w:space="0"/>
              <w:tl2br w:val="nil"/>
              <w:tr2bl w:val="nil"/>
            </w:tcBorders>
            <w:noWrap/>
            <w:vAlign w:val="center"/>
          </w:tcPr>
          <w:p>
            <w:pPr>
              <w:spacing w:beforeLines="0" w:afterLines="0"/>
              <w:rPr>
                <w:rFonts w:hint="eastAsia" w:eastAsia="仿宋_GB2312"/>
                <w:sz w:val="20"/>
                <w:szCs w:val="20"/>
                <w:lang w:eastAsia="zh-CN"/>
              </w:rPr>
            </w:pPr>
            <w:r>
              <w:rPr>
                <w:rFonts w:hint="eastAsia" w:eastAsia="仿宋_GB2312"/>
                <w:sz w:val="20"/>
                <w:szCs w:val="20"/>
              </w:rPr>
              <w:t>根据绩效办2024年对各部门为民办实事和部门重点工程与重点工作考核分数折算。</w:t>
            </w:r>
          </w:p>
          <w:p>
            <w:pPr>
              <w:spacing w:beforeLines="0" w:afterLines="0"/>
              <w:rPr>
                <w:rFonts w:hint="eastAsia" w:ascii="仿宋_GB2312" w:hAnsi="仿宋_GB2312" w:eastAsia="仿宋_GB2312" w:cs="仿宋_GB2312"/>
                <w:sz w:val="20"/>
                <w:szCs w:val="20"/>
              </w:rPr>
            </w:pPr>
            <w:r>
              <w:rPr>
                <w:rFonts w:hint="eastAsia" w:eastAsia="仿宋_GB2312"/>
                <w:sz w:val="20"/>
                <w:szCs w:val="20"/>
              </w:rPr>
              <w:t>该项得分=</w:t>
            </w:r>
            <w:r>
              <w:rPr>
                <w:rFonts w:hint="eastAsia" w:ascii="仿宋_GB2312" w:hAnsi="仿宋_GB2312" w:eastAsia="仿宋_GB2312"/>
                <w:sz w:val="20"/>
                <w:szCs w:val="20"/>
              </w:rPr>
              <w:t>（绩效办对应部分考核得分</w:t>
            </w:r>
            <w:r>
              <w:rPr>
                <w:rFonts w:hint="default" w:eastAsia="仿宋_GB2312"/>
                <w:sz w:val="20"/>
                <w:szCs w:val="20"/>
              </w:rPr>
              <w:t>/350</w:t>
            </w:r>
            <w:r>
              <w:rPr>
                <w:rFonts w:hint="eastAsia" w:ascii="仿宋_GB2312" w:hAnsi="仿宋_GB2312" w:eastAsia="仿宋_GB2312"/>
                <w:sz w:val="20"/>
                <w:szCs w:val="20"/>
              </w:rPr>
              <w:t>）</w:t>
            </w:r>
            <w:r>
              <w:rPr>
                <w:rFonts w:hint="default" w:eastAsia="仿宋_GB2312"/>
                <w:sz w:val="20"/>
                <w:szCs w:val="20"/>
              </w:rPr>
              <w:t>*8</w:t>
            </w:r>
          </w:p>
        </w:tc>
        <w:tc>
          <w:tcPr>
            <w:tcW w:w="3402"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w:t>
            </w:r>
          </w:p>
        </w:tc>
        <w:tc>
          <w:tcPr>
            <w:tcW w:w="522"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0" w:hRule="atLeast"/>
          <w:jc w:val="center"/>
        </w:trPr>
        <w:tc>
          <w:tcPr>
            <w:tcW w:w="518" w:type="dxa"/>
            <w:vMerge w:val="continue"/>
            <w:tcBorders>
              <w:top w:val="nil"/>
              <w:left w:val="single" w:color="auto" w:sz="4" w:space="0"/>
              <w:bottom w:val="single" w:color="000000"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416" w:type="dxa"/>
            <w:vMerge w:val="continue"/>
            <w:tcBorders>
              <w:top w:val="nil"/>
              <w:left w:val="nil"/>
              <w:bottom w:val="single" w:color="000000"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677" w:type="dxa"/>
            <w:gridSpan w:val="2"/>
            <w:vMerge w:val="restart"/>
            <w:tcBorders>
              <w:top w:val="nil"/>
              <w:left w:val="nil"/>
              <w:bottom w:val="single" w:color="000000" w:sz="4" w:space="0"/>
              <w:right w:val="single" w:color="auto" w:sz="4" w:space="0"/>
              <w:tl2br w:val="nil"/>
              <w:tr2bl w:val="nil"/>
            </w:tcBorders>
            <w:noWrap/>
            <w:vAlign w:val="center"/>
          </w:tcPr>
          <w:p>
            <w:pPr>
              <w:spacing w:beforeLines="0" w:afterLine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履职 效益</w:t>
            </w:r>
          </w:p>
        </w:tc>
        <w:tc>
          <w:tcPr>
            <w:tcW w:w="416" w:type="dxa"/>
            <w:vMerge w:val="restart"/>
            <w:tcBorders>
              <w:top w:val="nil"/>
              <w:left w:val="nil"/>
              <w:bottom w:val="single" w:color="000000" w:sz="4" w:space="0"/>
              <w:right w:val="single" w:color="auto" w:sz="4" w:space="0"/>
              <w:tl2br w:val="nil"/>
              <w:tr2bl w:val="nil"/>
            </w:tcBorders>
            <w:noWrap/>
            <w:vAlign w:val="center"/>
          </w:tcPr>
          <w:p>
            <w:pPr>
              <w:spacing w:beforeLines="0" w:afterLine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10</w:t>
            </w:r>
          </w:p>
        </w:tc>
        <w:tc>
          <w:tcPr>
            <w:tcW w:w="1194" w:type="dxa"/>
            <w:tcBorders>
              <w:top w:val="single" w:color="auto" w:sz="4" w:space="0"/>
              <w:left w:val="nil"/>
              <w:bottom w:val="single" w:color="auto" w:sz="4" w:space="0"/>
              <w:right w:val="single" w:color="auto" w:sz="4" w:space="0"/>
              <w:tl2br w:val="nil"/>
              <w:tr2bl w:val="nil"/>
            </w:tcBorders>
            <w:noWrap/>
            <w:vAlign w:val="center"/>
          </w:tcPr>
          <w:p>
            <w:pPr>
              <w:spacing w:beforeLines="0" w:afterLine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经济效益</w:t>
            </w:r>
          </w:p>
        </w:tc>
        <w:tc>
          <w:tcPr>
            <w:tcW w:w="478" w:type="dxa"/>
            <w:vMerge w:val="restart"/>
            <w:tcBorders>
              <w:top w:val="nil"/>
              <w:left w:val="nil"/>
              <w:bottom w:val="nil"/>
              <w:right w:val="single" w:color="auto" w:sz="4" w:space="0"/>
              <w:tl2br w:val="nil"/>
              <w:tr2bl w:val="nil"/>
            </w:tcBorders>
            <w:noWrap/>
            <w:vAlign w:val="center"/>
          </w:tcPr>
          <w:p>
            <w:pPr>
              <w:spacing w:beforeLines="0" w:afterLine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10</w:t>
            </w:r>
          </w:p>
        </w:tc>
        <w:tc>
          <w:tcPr>
            <w:tcW w:w="6379" w:type="dxa"/>
            <w:gridSpan w:val="2"/>
            <w:vMerge w:val="restart"/>
            <w:tcBorders>
              <w:top w:val="nil"/>
              <w:left w:val="nil"/>
              <w:bottom w:val="nil"/>
              <w:right w:val="single" w:color="000000" w:sz="4" w:space="0"/>
              <w:tl2br w:val="nil"/>
              <w:tr2bl w:val="nil"/>
            </w:tcBorders>
            <w:noWrap/>
            <w:vAlign w:val="center"/>
          </w:tcPr>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此两项指标为设置部门整体支出绩效评价指标时必须考虑的共性要素，可根据部门实际情况有选择的进行设置，并将其细化为相应的个性化指标。</w:t>
            </w:r>
          </w:p>
        </w:tc>
        <w:tc>
          <w:tcPr>
            <w:tcW w:w="522" w:type="dxa"/>
            <w:vMerge w:val="restart"/>
            <w:tcBorders>
              <w:top w:val="nil"/>
              <w:left w:val="nil"/>
              <w:bottom w:val="nil"/>
              <w:right w:val="single" w:color="auto" w:sz="4" w:space="0"/>
              <w:tl2br w:val="nil"/>
              <w:tr2bl w:val="nil"/>
            </w:tcBorders>
            <w:noWrap/>
            <w:vAlign w:val="center"/>
          </w:tcPr>
          <w:p>
            <w:pPr>
              <w:spacing w:beforeLines="0" w:afterLines="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0" w:hRule="atLeast"/>
          <w:jc w:val="center"/>
        </w:trPr>
        <w:tc>
          <w:tcPr>
            <w:tcW w:w="518" w:type="dxa"/>
            <w:vMerge w:val="continue"/>
            <w:tcBorders>
              <w:top w:val="nil"/>
              <w:left w:val="single" w:color="auto" w:sz="4" w:space="0"/>
              <w:bottom w:val="single" w:color="000000"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416" w:type="dxa"/>
            <w:vMerge w:val="continue"/>
            <w:tcBorders>
              <w:top w:val="nil"/>
              <w:left w:val="nil"/>
              <w:bottom w:val="single" w:color="000000"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677" w:type="dxa"/>
            <w:gridSpan w:val="2"/>
            <w:vMerge w:val="continue"/>
            <w:tcBorders>
              <w:top w:val="nil"/>
              <w:left w:val="nil"/>
              <w:bottom w:val="single" w:color="000000"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416" w:type="dxa"/>
            <w:vMerge w:val="continue"/>
            <w:tcBorders>
              <w:top w:val="nil"/>
              <w:left w:val="nil"/>
              <w:bottom w:val="single" w:color="000000"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1194" w:type="dxa"/>
            <w:tcBorders>
              <w:top w:val="nil"/>
              <w:left w:val="nil"/>
              <w:bottom w:val="single" w:color="auto" w:sz="4" w:space="0"/>
              <w:right w:val="single" w:color="auto" w:sz="4" w:space="0"/>
              <w:tl2br w:val="nil"/>
              <w:tr2bl w:val="nil"/>
            </w:tcBorders>
            <w:noWrap/>
            <w:vAlign w:val="center"/>
          </w:tcPr>
          <w:p>
            <w:pPr>
              <w:spacing w:beforeLines="0" w:afterLine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社会效益</w:t>
            </w:r>
          </w:p>
        </w:tc>
        <w:tc>
          <w:tcPr>
            <w:tcW w:w="478" w:type="dxa"/>
            <w:vMerge w:val="continue"/>
            <w:tcBorders>
              <w:top w:val="nil"/>
              <w:left w:val="nil"/>
              <w:bottom w:val="nil"/>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6379" w:type="dxa"/>
            <w:gridSpan w:val="2"/>
            <w:vMerge w:val="continue"/>
            <w:tcBorders>
              <w:top w:val="nil"/>
              <w:left w:val="nil"/>
              <w:bottom w:val="nil"/>
              <w:right w:val="single" w:color="000000"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522" w:type="dxa"/>
            <w:vMerge w:val="continue"/>
            <w:tcBorders>
              <w:top w:val="nil"/>
              <w:left w:val="nil"/>
              <w:bottom w:val="nil"/>
              <w:right w:val="single" w:color="auto" w:sz="4" w:space="0"/>
              <w:tl2br w:val="nil"/>
              <w:tr2bl w:val="nil"/>
            </w:tcBorders>
            <w:noWrap/>
            <w:vAlign w:val="center"/>
          </w:tcPr>
          <w:p>
            <w:pPr>
              <w:spacing w:beforeLines="0" w:afterLines="0"/>
              <w:rPr>
                <w:rFonts w:hint="eastAsia" w:ascii="仿宋_GB2312" w:hAnsi="仿宋_GB2312" w:eastAsia="仿宋_GB2312" w:cs="仿宋_GB2312"/>
                <w:sz w:val="24"/>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0" w:hRule="atLeast"/>
          <w:jc w:val="center"/>
        </w:trPr>
        <w:tc>
          <w:tcPr>
            <w:tcW w:w="518" w:type="dxa"/>
            <w:vMerge w:val="continue"/>
            <w:tcBorders>
              <w:top w:val="nil"/>
              <w:left w:val="single" w:color="auto" w:sz="4" w:space="0"/>
              <w:bottom w:val="single" w:color="000000"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416" w:type="dxa"/>
            <w:vMerge w:val="continue"/>
            <w:tcBorders>
              <w:top w:val="nil"/>
              <w:left w:val="nil"/>
              <w:bottom w:val="single" w:color="000000"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677" w:type="dxa"/>
            <w:gridSpan w:val="2"/>
            <w:vMerge w:val="continue"/>
            <w:tcBorders>
              <w:top w:val="nil"/>
              <w:left w:val="nil"/>
              <w:bottom w:val="single" w:color="000000"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416" w:type="dxa"/>
            <w:vMerge w:val="restart"/>
            <w:tcBorders>
              <w:top w:val="nil"/>
              <w:left w:val="nil"/>
              <w:bottom w:val="single" w:color="000000" w:sz="4" w:space="0"/>
              <w:right w:val="single" w:color="auto" w:sz="4" w:space="0"/>
              <w:tl2br w:val="nil"/>
              <w:tr2bl w:val="nil"/>
            </w:tcBorders>
            <w:noWrap/>
            <w:vAlign w:val="center"/>
          </w:tcPr>
          <w:p>
            <w:pPr>
              <w:spacing w:beforeLines="0" w:afterLine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12</w:t>
            </w:r>
          </w:p>
        </w:tc>
        <w:tc>
          <w:tcPr>
            <w:tcW w:w="1194" w:type="dxa"/>
            <w:tcBorders>
              <w:top w:val="nil"/>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行政效能</w:t>
            </w:r>
          </w:p>
        </w:tc>
        <w:tc>
          <w:tcPr>
            <w:tcW w:w="478" w:type="dxa"/>
            <w:tcBorders>
              <w:top w:val="single" w:color="auto" w:sz="4" w:space="0"/>
              <w:left w:val="nil"/>
              <w:bottom w:val="single" w:color="auto" w:sz="4" w:space="0"/>
              <w:right w:val="single" w:color="auto" w:sz="4" w:space="0"/>
              <w:tl2br w:val="nil"/>
              <w:tr2bl w:val="nil"/>
            </w:tcBorders>
            <w:noWrap/>
            <w:vAlign w:val="center"/>
          </w:tcPr>
          <w:p>
            <w:pPr>
              <w:spacing w:beforeLines="0" w:afterLine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6</w:t>
            </w:r>
          </w:p>
        </w:tc>
        <w:tc>
          <w:tcPr>
            <w:tcW w:w="2977" w:type="dxa"/>
            <w:tcBorders>
              <w:top w:val="single" w:color="auto" w:sz="4" w:space="0"/>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促进部门改进文风会风，加强经费及资产管理，推动网上办事，提高行政效率，降低行政成本效果较好的计6分；一般3分；无效果或者效果不明显0分。</w:t>
            </w:r>
          </w:p>
        </w:tc>
        <w:tc>
          <w:tcPr>
            <w:tcW w:w="3402" w:type="dxa"/>
            <w:tcBorders>
              <w:top w:val="single" w:color="auto" w:sz="4" w:space="0"/>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根据部门自评材料评定。</w:t>
            </w:r>
          </w:p>
        </w:tc>
        <w:tc>
          <w:tcPr>
            <w:tcW w:w="522" w:type="dxa"/>
            <w:tcBorders>
              <w:top w:val="single" w:color="auto" w:sz="4" w:space="0"/>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0" w:hRule="atLeast"/>
          <w:jc w:val="center"/>
        </w:trPr>
        <w:tc>
          <w:tcPr>
            <w:tcW w:w="518" w:type="dxa"/>
            <w:vMerge w:val="continue"/>
            <w:tcBorders>
              <w:top w:val="nil"/>
              <w:left w:val="single" w:color="auto" w:sz="4" w:space="0"/>
              <w:bottom w:val="nil"/>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416" w:type="dxa"/>
            <w:vMerge w:val="continue"/>
            <w:tcBorders>
              <w:top w:val="nil"/>
              <w:left w:val="nil"/>
              <w:bottom w:val="nil"/>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677" w:type="dxa"/>
            <w:gridSpan w:val="2"/>
            <w:vMerge w:val="continue"/>
            <w:tcBorders>
              <w:top w:val="nil"/>
              <w:left w:val="nil"/>
              <w:bottom w:val="nil"/>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416" w:type="dxa"/>
            <w:vMerge w:val="continue"/>
            <w:tcBorders>
              <w:top w:val="nil"/>
              <w:left w:val="nil"/>
              <w:bottom w:val="nil"/>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p>
        </w:tc>
        <w:tc>
          <w:tcPr>
            <w:tcW w:w="1194" w:type="dxa"/>
            <w:tcBorders>
              <w:top w:val="nil"/>
              <w:left w:val="nil"/>
              <w:bottom w:val="nil"/>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社会公众或服务对象满意度</w:t>
            </w:r>
          </w:p>
        </w:tc>
        <w:tc>
          <w:tcPr>
            <w:tcW w:w="478" w:type="dxa"/>
            <w:tcBorders>
              <w:top w:val="nil"/>
              <w:left w:val="nil"/>
              <w:bottom w:val="nil"/>
              <w:right w:val="single" w:color="auto" w:sz="4" w:space="0"/>
              <w:tl2br w:val="nil"/>
              <w:tr2bl w:val="nil"/>
            </w:tcBorders>
            <w:noWrap/>
            <w:vAlign w:val="center"/>
          </w:tcPr>
          <w:p>
            <w:pPr>
              <w:spacing w:beforeLines="0" w:afterLine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6</w:t>
            </w:r>
          </w:p>
        </w:tc>
        <w:tc>
          <w:tcPr>
            <w:tcW w:w="2977" w:type="dxa"/>
            <w:tcBorders>
              <w:top w:val="nil"/>
              <w:left w:val="nil"/>
              <w:bottom w:val="nil"/>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rPr>
              <w:t>90%（含）以上计6分；</w:t>
            </w:r>
          </w:p>
          <w:p>
            <w:pPr>
              <w:spacing w:beforeLines="0" w:afterLines="0"/>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rPr>
              <w:t>80%（含）-90%，计4分；</w:t>
            </w:r>
          </w:p>
          <w:p>
            <w:pPr>
              <w:spacing w:beforeLines="0" w:afterLines="0"/>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rPr>
              <w:t>70%（含）-80%，计2分；</w:t>
            </w:r>
          </w:p>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低于70%计0分。</w:t>
            </w:r>
          </w:p>
        </w:tc>
        <w:tc>
          <w:tcPr>
            <w:tcW w:w="3402" w:type="dxa"/>
            <w:tcBorders>
              <w:top w:val="nil"/>
              <w:left w:val="nil"/>
              <w:bottom w:val="nil"/>
              <w:right w:val="single" w:color="auto" w:sz="4" w:space="0"/>
              <w:tl2br w:val="nil"/>
              <w:tr2bl w:val="nil"/>
            </w:tcBorders>
            <w:noWrap/>
            <w:vAlign w:val="center"/>
          </w:tcPr>
          <w:p>
            <w:pPr>
              <w:spacing w:beforeLines="0" w:afterLines="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社会公众或服务对象是指部门（单位）履行职责而影响到的部门、群体或个人，一般采取社会调查的方式。</w:t>
            </w:r>
          </w:p>
        </w:tc>
        <w:tc>
          <w:tcPr>
            <w:tcW w:w="522" w:type="dxa"/>
            <w:tcBorders>
              <w:top w:val="nil"/>
              <w:left w:val="nil"/>
              <w:bottom w:val="nil"/>
              <w:right w:val="single" w:color="auto" w:sz="4" w:space="0"/>
              <w:tl2br w:val="nil"/>
              <w:tr2bl w:val="nil"/>
            </w:tcBorders>
            <w:noWrap/>
            <w:vAlign w:val="center"/>
          </w:tcPr>
          <w:p>
            <w:pPr>
              <w:spacing w:beforeLines="0" w:afterLines="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1" w:hRule="atLeast"/>
          <w:jc w:val="center"/>
        </w:trPr>
        <w:tc>
          <w:tcPr>
            <w:tcW w:w="1366" w:type="dxa"/>
            <w:gridSpan w:val="3"/>
            <w:tcBorders>
              <w:top w:val="single" w:color="auto" w:sz="4" w:space="0"/>
              <w:left w:val="single" w:color="auto" w:sz="4" w:space="0"/>
              <w:bottom w:val="single" w:color="auto" w:sz="4" w:space="0"/>
              <w:right w:val="single" w:color="auto" w:sz="4" w:space="0"/>
              <w:tl2br w:val="nil"/>
              <w:tr2bl w:val="nil"/>
            </w:tcBorders>
            <w:noWrap/>
            <w:vAlign w:val="top"/>
          </w:tcPr>
          <w:p>
            <w:pPr>
              <w:spacing w:beforeLines="0" w:afterLines="0"/>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合计(分)</w:t>
            </w:r>
          </w:p>
        </w:tc>
        <w:tc>
          <w:tcPr>
            <w:tcW w:w="9242" w:type="dxa"/>
            <w:gridSpan w:val="8"/>
            <w:tcBorders>
              <w:top w:val="single" w:color="auto" w:sz="4" w:space="0"/>
              <w:left w:val="nil"/>
              <w:bottom w:val="single" w:color="auto" w:sz="4" w:space="0"/>
              <w:right w:val="single" w:color="auto" w:sz="4" w:space="0"/>
              <w:tl2br w:val="nil"/>
              <w:tr2bl w:val="nil"/>
            </w:tcBorders>
            <w:noWrap/>
            <w:vAlign w:val="center"/>
          </w:tcPr>
          <w:p>
            <w:pPr>
              <w:spacing w:beforeLines="0" w:afterLines="0"/>
              <w:rPr>
                <w:rFonts w:hint="eastAsia" w:ascii="仿宋_GB2312" w:hAnsi="仿宋_GB2312" w:eastAsia="仿宋_GB2312" w:cs="仿宋_GB2312"/>
                <w:color w:val="000000"/>
                <w:sz w:val="24"/>
                <w:szCs w:val="22"/>
              </w:rPr>
            </w:pPr>
            <w:r>
              <w:rPr>
                <w:rFonts w:hint="eastAsia" w:ascii="仿宋_GB2312" w:hAnsi="仿宋_GB2312" w:eastAsia="仿宋_GB2312" w:cs="仿宋_GB2312"/>
                <w:color w:val="000000"/>
                <w:sz w:val="24"/>
                <w:szCs w:val="22"/>
              </w:rPr>
              <w:t>98</w:t>
            </w:r>
          </w:p>
        </w:tc>
      </w:tr>
    </w:tbl>
    <w:p>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_GBK">
    <w:altName w:val="微软雅黑"/>
    <w:panose1 w:val="00000000000000000000"/>
    <w:charset w:val="86"/>
    <w:family w:val="script"/>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102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1"/>
    <w:basedOn w:val="1"/>
    <w:next w:val="1"/>
    <w:qFormat/>
    <w:uiPriority w:val="0"/>
    <w:pPr>
      <w:widowControl w:val="0"/>
      <w:adjustRightInd/>
      <w:snapToGrid/>
      <w:spacing w:before="100" w:beforeAutospacing="1" w:after="100" w:afterAutospacing="1"/>
      <w:outlineLvl w:val="0"/>
    </w:pPr>
    <w:rPr>
      <w:rFonts w:ascii="宋体" w:hAnsi="Times New Roman" w:eastAsia="宋体" w:cs="Times New Roman"/>
      <w:b/>
      <w:kern w:val="44"/>
      <w:sz w:val="48"/>
      <w:szCs w:val="48"/>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2025-05-14T07:12:57Z</dcterms:created>
  <dc:creator>Administrator</dc:creator>
  <cp:lastModifiedBy>Fitzgerald</cp:lastModifiedBy>
  <dcterms:modified xsi:type="dcterms:W3CDTF">2025-05-14T07:14:39Z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147E91D92975431F849BBDFF65B85FE7</vt:lpwstr>
  </property>
</Properties>
</file>