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方正小标宋_GBK"/>
          <w:sz w:val="48"/>
          <w:szCs w:val="48"/>
        </w:rPr>
      </w:pPr>
    </w:p>
    <w:p>
      <w:pPr>
        <w:jc w:val="center"/>
        <w:rPr>
          <w:rFonts w:eastAsia="方正小标宋_GBK"/>
          <w:sz w:val="48"/>
          <w:szCs w:val="48"/>
        </w:rPr>
      </w:pPr>
      <w:r>
        <w:rPr>
          <w:rFonts w:hint="eastAsia" w:eastAsia="方正小标宋_GBK"/>
          <w:sz w:val="48"/>
          <w:szCs w:val="48"/>
        </w:rPr>
        <w:t>202</w:t>
      </w:r>
      <w:r>
        <w:rPr>
          <w:rFonts w:hint="eastAsia" w:eastAsia="方正小标宋_GBK"/>
          <w:sz w:val="48"/>
          <w:szCs w:val="48"/>
          <w:lang w:val="en-US" w:eastAsia="zh-CN"/>
        </w:rPr>
        <w:t>4</w:t>
      </w:r>
      <w:r>
        <w:rPr>
          <w:rFonts w:eastAsia="方正小标宋_GBK"/>
          <w:sz w:val="48"/>
          <w:szCs w:val="48"/>
        </w:rPr>
        <w:t>年度</w:t>
      </w:r>
      <w:r>
        <w:rPr>
          <w:rFonts w:hint="eastAsia" w:eastAsia="方正小标宋_GBK"/>
          <w:sz w:val="48"/>
          <w:szCs w:val="48"/>
        </w:rPr>
        <w:t>江永县</w:t>
      </w:r>
      <w:r>
        <w:rPr>
          <w:rFonts w:hint="eastAsia" w:eastAsia="方正小标宋_GBK"/>
          <w:sz w:val="48"/>
          <w:szCs w:val="48"/>
          <w:lang w:eastAsia="zh-CN"/>
        </w:rPr>
        <w:t>第一小</w:t>
      </w:r>
      <w:r>
        <w:rPr>
          <w:rFonts w:hint="eastAsia" w:eastAsia="方正小标宋_GBK"/>
          <w:sz w:val="48"/>
          <w:szCs w:val="48"/>
        </w:rPr>
        <w:t>学</w:t>
      </w:r>
      <w:r>
        <w:rPr>
          <w:rFonts w:eastAsia="方正小标宋_GBK"/>
          <w:sz w:val="48"/>
          <w:szCs w:val="48"/>
        </w:rPr>
        <w:t>整体</w:t>
      </w:r>
      <w:r>
        <w:rPr>
          <w:rFonts w:hint="eastAsia" w:eastAsia="方正小标宋_GBK"/>
          <w:sz w:val="48"/>
          <w:szCs w:val="48"/>
        </w:rPr>
        <w:t>支</w:t>
      </w:r>
      <w:r>
        <w:rPr>
          <w:rFonts w:eastAsia="方正小标宋_GBK"/>
          <w:sz w:val="48"/>
          <w:szCs w:val="48"/>
        </w:rPr>
        <w:t>出绩效自评报告</w:t>
      </w: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rPr>
          <w:rFonts w:hint="eastAsia" w:eastAsia="黑体"/>
          <w:sz w:val="36"/>
          <w:szCs w:val="36"/>
          <w:lang w:val="en-US" w:eastAsia="zh-CN"/>
        </w:rPr>
      </w:pPr>
      <w:r>
        <w:rPr>
          <w:rFonts w:eastAsia="黑体"/>
          <w:sz w:val="36"/>
          <w:szCs w:val="36"/>
        </w:rPr>
        <w:t>单位名称（盖章）：</w:t>
      </w:r>
      <w:r>
        <w:rPr>
          <w:rFonts w:hint="eastAsia" w:eastAsia="黑体"/>
          <w:sz w:val="36"/>
          <w:szCs w:val="36"/>
        </w:rPr>
        <w:t>江永县</w:t>
      </w:r>
      <w:r>
        <w:rPr>
          <w:rFonts w:hint="eastAsia" w:eastAsia="黑体"/>
          <w:sz w:val="36"/>
          <w:szCs w:val="36"/>
          <w:lang w:eastAsia="zh-CN"/>
        </w:rPr>
        <w:t>第一小学</w:t>
      </w: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jc w:val="center"/>
        <w:rPr>
          <w:rFonts w:ascii="宋体" w:hAnsi="宋体" w:eastAsia="宋体" w:cs="宋体"/>
          <w:sz w:val="44"/>
          <w:szCs w:val="44"/>
        </w:rPr>
      </w:pPr>
    </w:p>
    <w:p>
      <w:pPr>
        <w:ind w:left="2879" w:leftChars="228" w:hanging="2400" w:hangingChars="500"/>
        <w:jc w:val="both"/>
        <w:rPr>
          <w:rFonts w:eastAsia="方正小标宋_GBK"/>
          <w:sz w:val="48"/>
          <w:szCs w:val="48"/>
        </w:rPr>
      </w:pPr>
      <w:r>
        <w:rPr>
          <w:rFonts w:hint="eastAsia" w:ascii="方正小标宋_GBK" w:hAnsi="方正小标宋_GBK" w:eastAsia="方正小标宋_GBK" w:cs="方正小标宋_GBK"/>
          <w:sz w:val="48"/>
          <w:szCs w:val="48"/>
          <w:lang w:val="en-US" w:eastAsia="zh-CN"/>
        </w:rPr>
        <w:t>2024</w:t>
      </w:r>
      <w:r>
        <w:rPr>
          <w:rFonts w:hint="eastAsia" w:ascii="方正小标宋_GBK" w:hAnsi="方正小标宋_GBK" w:eastAsia="方正小标宋_GBK" w:cs="方正小标宋_GBK"/>
          <w:sz w:val="48"/>
          <w:szCs w:val="48"/>
        </w:rPr>
        <w:t>年度</w:t>
      </w:r>
      <w:r>
        <w:rPr>
          <w:rFonts w:hint="eastAsia" w:ascii="方正小标宋_GBK" w:hAnsi="方正小标宋_GBK" w:eastAsia="方正小标宋_GBK" w:cs="方正小标宋_GBK"/>
          <w:sz w:val="48"/>
          <w:szCs w:val="48"/>
          <w:lang w:eastAsia="zh-CN"/>
        </w:rPr>
        <w:t>江永县第一小学部门</w:t>
      </w:r>
      <w:r>
        <w:rPr>
          <w:rFonts w:hint="eastAsia" w:ascii="方正小标宋_GBK" w:hAnsi="方正小标宋_GBK" w:eastAsia="方正小标宋_GBK" w:cs="方正小标宋_GBK"/>
          <w:sz w:val="48"/>
          <w:szCs w:val="48"/>
        </w:rPr>
        <w:t>整体支</w:t>
      </w:r>
      <w:r>
        <w:rPr>
          <w:rFonts w:eastAsia="方正小标宋_GBK"/>
          <w:sz w:val="48"/>
          <w:szCs w:val="48"/>
        </w:rPr>
        <w:t>出绩效自评报告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为贯彻落实党“全面实施绩效管理”的要求，进一步规范</w:t>
      </w:r>
      <w:r>
        <w:rPr>
          <w:rFonts w:hint="eastAsia" w:ascii="仿宋_GB2312" w:hAnsi="仿宋_GB2312" w:eastAsia="仿宋_GB2312" w:cs="仿宋_GB2312"/>
          <w:sz w:val="32"/>
          <w:szCs w:val="32"/>
          <w:lang w:eastAsia="zh-CN"/>
        </w:rPr>
        <w:t>和加强预算</w:t>
      </w:r>
      <w:r>
        <w:rPr>
          <w:rFonts w:hint="eastAsia" w:ascii="仿宋_GB2312" w:hAnsi="仿宋_GB2312" w:eastAsia="仿宋_GB2312" w:cs="仿宋_GB2312"/>
          <w:sz w:val="32"/>
          <w:szCs w:val="32"/>
        </w:rPr>
        <w:t>资金管理，提高财政资金使用效益，根据《中共中央  国务院关于全面实施预算绩效管理的意见》（中发〔2018〕34号）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《中共湖南省委办公厅 湖南省人民政府办公厅关于全面实施预算绩效管理的实施意见》（湘办发〔2019〕10号）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《湖南省预算</w:t>
      </w:r>
      <w:r>
        <w:rPr>
          <w:rFonts w:hint="eastAsia" w:ascii="仿宋_GB2312" w:hAnsi="仿宋_GB2312" w:eastAsia="仿宋_GB2312" w:cs="仿宋_GB2312"/>
          <w:sz w:val="32"/>
          <w:szCs w:val="32"/>
          <w:lang w:eastAsia="zh-CN"/>
        </w:rPr>
        <w:t>支出绩效评价管理办法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《湖南省</w:t>
      </w:r>
      <w:r>
        <w:rPr>
          <w:rFonts w:hint="eastAsia" w:ascii="仿宋_GB2312" w:hAnsi="仿宋_GB2312" w:eastAsia="仿宋_GB2312" w:cs="仿宋_GB2312"/>
          <w:sz w:val="32"/>
          <w:szCs w:val="32"/>
          <w:lang w:eastAsia="zh-CN"/>
        </w:rPr>
        <w:t>省级预算部门绩效自评操作规程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湘财绩</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江永县</w:t>
      </w:r>
      <w:r>
        <w:rPr>
          <w:rFonts w:hint="eastAsia" w:ascii="仿宋_GB2312" w:hAnsi="仿宋_GB2312" w:eastAsia="仿宋_GB2312" w:cs="仿宋_GB2312"/>
          <w:sz w:val="32"/>
          <w:szCs w:val="32"/>
        </w:rPr>
        <w:t>预算绩效管理暂行办法》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县级预算支出绩效评价管理办法江永财发〔2021〕93号）的要求，</w:t>
      </w:r>
      <w:r>
        <w:rPr>
          <w:rFonts w:hint="eastAsia" w:ascii="仿宋_GB2312" w:hAnsi="仿宋_GB2312" w:eastAsia="仿宋_GB2312" w:cs="仿宋_GB2312"/>
          <w:sz w:val="32"/>
          <w:szCs w:val="32"/>
          <w:lang w:eastAsia="zh-CN"/>
        </w:rPr>
        <w:t>对本校的</w:t>
      </w:r>
      <w:r>
        <w:rPr>
          <w:rFonts w:hint="eastAsia" w:ascii="仿宋_GB2312" w:hAnsi="仿宋_GB2312" w:eastAsia="仿宋_GB2312" w:cs="仿宋_GB2312"/>
          <w:sz w:val="32"/>
          <w:szCs w:val="32"/>
          <w:lang w:val="en-US" w:eastAsia="zh-CN"/>
        </w:rPr>
        <w:t>2024年度整体部门支出</w:t>
      </w:r>
      <w:r>
        <w:rPr>
          <w:rFonts w:hint="eastAsia" w:ascii="仿宋_GB2312" w:hAnsi="仿宋_GB2312" w:eastAsia="仿宋_GB2312" w:cs="仿宋_GB2312"/>
          <w:sz w:val="32"/>
          <w:szCs w:val="32"/>
        </w:rPr>
        <w:t>资金进行了认真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仔细的</w:t>
      </w:r>
      <w:r>
        <w:rPr>
          <w:rFonts w:hint="eastAsia" w:ascii="仿宋_GB2312" w:hAnsi="仿宋_GB2312" w:eastAsia="仿宋_GB2312" w:cs="仿宋_GB2312"/>
          <w:sz w:val="32"/>
          <w:szCs w:val="32"/>
          <w:lang w:eastAsia="zh-CN"/>
        </w:rPr>
        <w:t>绩效</w:t>
      </w:r>
      <w:r>
        <w:rPr>
          <w:rFonts w:hint="eastAsia" w:ascii="仿宋_GB2312" w:hAnsi="仿宋_GB2312" w:eastAsia="仿宋_GB2312" w:cs="仿宋_GB2312"/>
          <w:sz w:val="32"/>
          <w:szCs w:val="32"/>
        </w:rPr>
        <w:t>自评。现将有关情况</w:t>
      </w:r>
      <w:r>
        <w:rPr>
          <w:rFonts w:hint="eastAsia" w:ascii="仿宋_GB2312" w:hAnsi="仿宋_GB2312" w:eastAsia="仿宋_GB2312" w:cs="仿宋_GB2312"/>
          <w:sz w:val="32"/>
          <w:szCs w:val="32"/>
          <w:lang w:eastAsia="zh-CN"/>
        </w:rPr>
        <w:t>汇报</w:t>
      </w:r>
      <w:r>
        <w:rPr>
          <w:rFonts w:hint="eastAsia" w:ascii="仿宋_GB2312" w:hAnsi="仿宋_GB2312" w:eastAsia="仿宋_GB2312" w:cs="仿宋_GB2312"/>
          <w:sz w:val="32"/>
          <w:szCs w:val="32"/>
        </w:rPr>
        <w:t>如下：</w:t>
      </w:r>
    </w:p>
    <w:p>
      <w:pPr>
        <w:spacing w:line="600" w:lineRule="exact"/>
        <w:rPr>
          <w:rFonts w:eastAsia="黑体"/>
          <w:b/>
          <w:bCs/>
          <w:sz w:val="32"/>
          <w:szCs w:val="32"/>
        </w:rPr>
      </w:pPr>
      <w:r>
        <w:rPr>
          <w:rFonts w:eastAsia="黑体"/>
          <w:b/>
          <w:bCs/>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（一）部门基本情况</w:t>
      </w:r>
    </w:p>
    <w:p>
      <w:pPr>
        <w:spacing w:before="0"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1、江永县第一小学</w:t>
      </w:r>
      <w:r>
        <w:rPr>
          <w:rFonts w:hint="eastAsia" w:ascii="仿宋_GB2312" w:hAnsi="仿宋_GB2312" w:eastAsia="仿宋_GB2312" w:cs="仿宋_GB2312"/>
          <w:sz w:val="32"/>
          <w:szCs w:val="32"/>
        </w:rPr>
        <w:t>现有在编职工</w:t>
      </w:r>
      <w:r>
        <w:rPr>
          <w:rFonts w:hint="eastAsia" w:ascii="仿宋_GB2312" w:hAnsi="仿宋_GB2312" w:eastAsia="仿宋_GB2312" w:cs="仿宋_GB2312"/>
          <w:sz w:val="32"/>
          <w:szCs w:val="32"/>
          <w:lang w:val="en-US" w:eastAsia="zh-CN"/>
        </w:rPr>
        <w:t>146</w:t>
      </w:r>
      <w:r>
        <w:rPr>
          <w:rFonts w:hint="eastAsia" w:ascii="仿宋_GB2312" w:hAnsi="仿宋_GB2312" w:eastAsia="仿宋_GB2312" w:cs="仿宋_GB2312"/>
          <w:sz w:val="32"/>
          <w:szCs w:val="32"/>
        </w:rPr>
        <w:t>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事业编制</w:t>
      </w:r>
      <w:r>
        <w:rPr>
          <w:rFonts w:hint="eastAsia" w:ascii="仿宋_GB2312" w:hAnsi="仿宋_GB2312" w:eastAsia="仿宋_GB2312" w:cs="仿宋_GB2312"/>
          <w:sz w:val="32"/>
          <w:szCs w:val="32"/>
          <w:lang w:val="en-US" w:eastAsia="zh-CN"/>
        </w:rPr>
        <w:t>146人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退休人员</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rPr>
        <w:t>人。</w:t>
      </w:r>
    </w:p>
    <w:p>
      <w:pPr>
        <w:spacing w:line="520" w:lineRule="exact"/>
        <w:ind w:firstLine="643" w:firstLineChars="200"/>
        <w:rPr>
          <w:rFonts w:hint="eastAsia" w:ascii="CESI楷体-GB2312" w:hAnsi="CESI楷体-GB2312" w:eastAsia="CESI楷体-GB2312" w:cs="CESI楷体-GB2312"/>
          <w:b/>
          <w:bCs/>
          <w:kern w:val="0"/>
          <w:sz w:val="32"/>
          <w:szCs w:val="32"/>
        </w:rPr>
      </w:pPr>
      <w:r>
        <w:rPr>
          <w:rFonts w:hint="eastAsia" w:ascii="CESI楷体-GB2312" w:hAnsi="CESI楷体-GB2312" w:eastAsia="CESI楷体-GB2312" w:cs="CESI楷体-GB2312"/>
          <w:b/>
          <w:bCs/>
          <w:kern w:val="0"/>
          <w:sz w:val="32"/>
          <w:szCs w:val="32"/>
        </w:rPr>
        <w:t>（二</w:t>
      </w:r>
      <w:r>
        <w:rPr>
          <w:rFonts w:hint="eastAsia" w:ascii="CESI楷体-GB2312" w:hAnsi="CESI楷体-GB2312" w:eastAsia="CESI楷体-GB2312" w:cs="CESI楷体-GB2312"/>
          <w:b/>
          <w:bCs/>
          <w:kern w:val="0"/>
          <w:sz w:val="32"/>
          <w:szCs w:val="32"/>
          <w:lang w:eastAsia="zh-CN"/>
        </w:rPr>
        <w:t>）</w:t>
      </w:r>
      <w:r>
        <w:rPr>
          <w:rFonts w:hint="eastAsia" w:ascii="CESI楷体-GB2312" w:hAnsi="CESI楷体-GB2312" w:eastAsia="CESI楷体-GB2312" w:cs="CESI楷体-GB2312"/>
          <w:b/>
          <w:bCs/>
          <w:kern w:val="0"/>
          <w:sz w:val="32"/>
          <w:szCs w:val="32"/>
        </w:rPr>
        <w:t>项目绩效目标</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项目绩效总目标：充分发挥资金经济性、效率性和效益性，</w:t>
      </w:r>
      <w:r>
        <w:rPr>
          <w:rFonts w:hint="eastAsia" w:ascii="仿宋_GB2312" w:hAnsi="仿宋_GB2312" w:eastAsia="仿宋_GB2312" w:cs="仿宋_GB2312"/>
          <w:sz w:val="32"/>
          <w:szCs w:val="32"/>
        </w:rPr>
        <w:t>贯彻落实党和国家的教育方针政策、法律法规，全</w:t>
      </w:r>
      <w:r>
        <w:rPr>
          <w:rFonts w:hint="eastAsia" w:ascii="仿宋_GB2312" w:hAnsi="仿宋_GB2312" w:eastAsia="仿宋_GB2312" w:cs="仿宋_GB2312"/>
          <w:sz w:val="32"/>
          <w:szCs w:val="32"/>
          <w:lang w:eastAsia="zh-CN"/>
        </w:rPr>
        <w:t>面</w:t>
      </w:r>
      <w:r>
        <w:rPr>
          <w:rFonts w:hint="eastAsia" w:ascii="仿宋_GB2312" w:hAnsi="仿宋_GB2312" w:eastAsia="仿宋_GB2312" w:cs="仿宋_GB2312"/>
          <w:sz w:val="32"/>
          <w:szCs w:val="32"/>
        </w:rPr>
        <w:t>实施素质教育，努力提高教育教学质量，稳步推进</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教育事业持续健康协调发展。</w:t>
      </w:r>
      <w:r>
        <w:rPr>
          <w:rFonts w:hint="eastAsia" w:ascii="仿宋_GB2312" w:hAnsi="仿宋_GB2312" w:eastAsia="仿宋_GB2312" w:cs="仿宋_GB2312"/>
          <w:sz w:val="32"/>
          <w:szCs w:val="32"/>
          <w:lang w:val="en-US" w:eastAsia="zh-CN"/>
        </w:rPr>
        <w:t xml:space="preserve">  </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项目绩效阶段性目标：改善办学条件，推进学校建设，优化整合教学资源，提升办学条件和质量。</w:t>
      </w:r>
    </w:p>
    <w:p>
      <w:pPr>
        <w:pStyle w:val="7"/>
        <w:spacing w:line="600" w:lineRule="exact"/>
        <w:ind w:left="0" w:leftChars="0" w:firstLine="0" w:firstLineChars="0"/>
        <w:rPr>
          <w:rFonts w:hint="eastAsia" w:ascii="黑体" w:hAnsi="黑体" w:eastAsia="黑体" w:cs="黑体"/>
          <w:b/>
          <w:bCs/>
          <w:sz w:val="32"/>
          <w:szCs w:val="32"/>
        </w:rPr>
      </w:pPr>
      <w:r>
        <w:rPr>
          <w:rFonts w:hint="eastAsia" w:ascii="黑体" w:hAnsi="黑体" w:eastAsia="黑体" w:cs="黑体"/>
          <w:b/>
          <w:bCs/>
          <w:sz w:val="32"/>
          <w:szCs w:val="32"/>
        </w:rPr>
        <w:t>二、一般公共预算支出情况</w:t>
      </w:r>
    </w:p>
    <w:p>
      <w:pPr>
        <w:pStyle w:val="7"/>
        <w:spacing w:line="600" w:lineRule="exact"/>
        <w:ind w:left="0" w:leftChars="0" w:firstLine="643" w:firstLineChars="200"/>
        <w:rPr>
          <w:rFonts w:hint="eastAsia" w:ascii="楷体" w:hAnsi="楷体" w:eastAsia="楷体" w:cs="楷体"/>
          <w:b/>
          <w:sz w:val="32"/>
          <w:szCs w:val="32"/>
        </w:rPr>
      </w:pPr>
      <w:r>
        <w:rPr>
          <w:rFonts w:hint="eastAsia" w:ascii="楷体" w:hAnsi="楷体" w:eastAsia="楷体" w:cs="楷体"/>
          <w:b/>
          <w:sz w:val="32"/>
          <w:szCs w:val="32"/>
        </w:rPr>
        <w:t>（一）基本支出情况</w:t>
      </w:r>
    </w:p>
    <w:p>
      <w:pPr>
        <w:pStyle w:val="7"/>
        <w:spacing w:line="600" w:lineRule="exact"/>
        <w:ind w:firstLine="643"/>
        <w:rPr>
          <w:rFonts w:hint="eastAsia" w:ascii="宋体" w:hAnsi="宋体" w:eastAsia="宋体" w:cs="宋体"/>
          <w:b w:val="0"/>
          <w:bCs w:val="0"/>
          <w:sz w:val="28"/>
          <w:szCs w:val="28"/>
        </w:rPr>
      </w:pPr>
      <w:r>
        <w:rPr>
          <w:rFonts w:hint="eastAsia" w:ascii="仿宋_GB2312" w:hAnsi="仿宋_GB2312" w:eastAsia="仿宋_GB2312" w:cs="仿宋_GB2312"/>
          <w:b w:val="0"/>
          <w:bCs w:val="0"/>
          <w:kern w:val="0"/>
          <w:sz w:val="32"/>
          <w:szCs w:val="32"/>
        </w:rPr>
        <w:t>202</w:t>
      </w:r>
      <w:r>
        <w:rPr>
          <w:rFonts w:hint="eastAsia" w:ascii="仿宋_GB2312" w:hAnsi="仿宋_GB2312" w:eastAsia="仿宋_GB2312" w:cs="仿宋_GB2312"/>
          <w:b w:val="0"/>
          <w:bCs w:val="0"/>
          <w:kern w:val="0"/>
          <w:sz w:val="32"/>
          <w:szCs w:val="32"/>
          <w:lang w:val="en-US" w:eastAsia="zh-CN"/>
        </w:rPr>
        <w:t>4</w:t>
      </w:r>
      <w:r>
        <w:rPr>
          <w:rFonts w:hint="eastAsia" w:ascii="仿宋_GB2312" w:hAnsi="仿宋_GB2312" w:eastAsia="仿宋_GB2312" w:cs="仿宋_GB2312"/>
          <w:b w:val="0"/>
          <w:bCs w:val="0"/>
          <w:kern w:val="0"/>
          <w:sz w:val="32"/>
          <w:szCs w:val="32"/>
        </w:rPr>
        <w:t>年度</w:t>
      </w:r>
      <w:r>
        <w:rPr>
          <w:rFonts w:hint="eastAsia" w:ascii="仿宋_GB2312" w:hAnsi="仿宋_GB2312" w:eastAsia="仿宋_GB2312" w:cs="仿宋_GB2312"/>
          <w:b w:val="0"/>
          <w:bCs w:val="0"/>
          <w:kern w:val="0"/>
          <w:sz w:val="32"/>
          <w:szCs w:val="32"/>
          <w:lang w:eastAsia="zh-CN"/>
        </w:rPr>
        <w:t>，</w:t>
      </w:r>
      <w:r>
        <w:rPr>
          <w:rFonts w:hint="eastAsia" w:ascii="仿宋_GB2312" w:hAnsi="仿宋_GB2312" w:eastAsia="仿宋_GB2312" w:cs="仿宋_GB2312"/>
          <w:b w:val="0"/>
          <w:bCs w:val="0"/>
          <w:kern w:val="0"/>
          <w:sz w:val="32"/>
          <w:szCs w:val="32"/>
        </w:rPr>
        <w:t>江永县</w:t>
      </w:r>
      <w:r>
        <w:rPr>
          <w:rFonts w:hint="eastAsia" w:ascii="仿宋_GB2312" w:hAnsi="仿宋_GB2312" w:eastAsia="仿宋_GB2312" w:cs="仿宋_GB2312"/>
          <w:b w:val="0"/>
          <w:bCs w:val="0"/>
          <w:kern w:val="0"/>
          <w:sz w:val="32"/>
          <w:szCs w:val="32"/>
          <w:lang w:eastAsia="zh-CN"/>
        </w:rPr>
        <w:t>第一小学</w:t>
      </w:r>
      <w:r>
        <w:rPr>
          <w:rFonts w:hint="eastAsia" w:ascii="仿宋_GB2312" w:hAnsi="仿宋_GB2312" w:eastAsia="仿宋_GB2312" w:cs="仿宋_GB2312"/>
          <w:b w:val="0"/>
          <w:bCs w:val="0"/>
          <w:kern w:val="0"/>
          <w:sz w:val="32"/>
          <w:szCs w:val="32"/>
        </w:rPr>
        <w:t>基本支出</w:t>
      </w:r>
      <w:r>
        <w:rPr>
          <w:rFonts w:hint="eastAsia" w:ascii="仿宋_GB2312" w:hAnsi="仿宋_GB2312" w:eastAsia="仿宋_GB2312" w:cs="仿宋_GB2312"/>
          <w:b w:val="0"/>
          <w:bCs w:val="0"/>
          <w:color w:val="auto"/>
          <w:kern w:val="0"/>
          <w:sz w:val="32"/>
          <w:szCs w:val="32"/>
          <w:lang w:val="en-US" w:eastAsia="zh-CN"/>
        </w:rPr>
        <w:t>2372.6039</w:t>
      </w:r>
      <w:r>
        <w:rPr>
          <w:rFonts w:hint="eastAsia" w:ascii="仿宋_GB2312" w:hAnsi="仿宋_GB2312" w:eastAsia="仿宋_GB2312" w:cs="仿宋_GB2312"/>
          <w:b w:val="0"/>
          <w:bCs w:val="0"/>
          <w:kern w:val="0"/>
          <w:sz w:val="32"/>
          <w:szCs w:val="32"/>
        </w:rPr>
        <w:t>万元。</w:t>
      </w:r>
      <w:r>
        <w:rPr>
          <w:rFonts w:hint="eastAsia" w:ascii="仿宋_GB2312" w:hAnsi="仿宋_GB2312" w:eastAsia="仿宋_GB2312" w:cs="仿宋_GB2312"/>
          <w:b w:val="0"/>
          <w:bCs w:val="0"/>
          <w:sz w:val="32"/>
          <w:szCs w:val="32"/>
          <w:lang w:val="en-US" w:eastAsia="zh-CN"/>
        </w:rPr>
        <w:t>主要用于</w:t>
      </w:r>
      <w:r>
        <w:rPr>
          <w:rFonts w:hint="eastAsia" w:ascii="仿宋_GB2312" w:hAnsi="仿宋_GB2312" w:eastAsia="仿宋_GB2312" w:cs="仿宋_GB2312"/>
          <w:b w:val="0"/>
          <w:bCs w:val="0"/>
          <w:kern w:val="0"/>
          <w:sz w:val="32"/>
          <w:szCs w:val="32"/>
          <w:lang w:val="en-US" w:eastAsia="zh-CN"/>
        </w:rPr>
        <w:t>学校的</w:t>
      </w:r>
      <w:r>
        <w:rPr>
          <w:rFonts w:hint="eastAsia" w:ascii="仿宋_GB2312" w:hAnsi="仿宋_GB2312" w:eastAsia="仿宋_GB2312" w:cs="仿宋_GB2312"/>
          <w:b w:val="0"/>
          <w:bCs w:val="0"/>
          <w:sz w:val="32"/>
          <w:szCs w:val="32"/>
          <w:lang w:val="en-US" w:eastAsia="zh-CN"/>
        </w:rPr>
        <w:t>人员工资、办公费、水电费、邮电费、差旅费、车辆运行维护费、公务接待费、培训费、工会经费等。</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三、</w:t>
      </w:r>
      <w:r>
        <w:rPr>
          <w:rFonts w:ascii="Times New Roman" w:hAnsi="Times New Roman" w:eastAsia="黑体"/>
          <w:b/>
          <w:bCs/>
          <w:sz w:val="32"/>
          <w:szCs w:val="32"/>
        </w:rPr>
        <w:t>政府性基金预算支出情况</w:t>
      </w:r>
    </w:p>
    <w:p>
      <w:pPr>
        <w:pStyle w:val="7"/>
        <w:numPr>
          <w:ilvl w:val="0"/>
          <w:numId w:val="0"/>
        </w:numPr>
        <w:spacing w:line="600" w:lineRule="exact"/>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年度无</w:t>
      </w:r>
      <w:r>
        <w:rPr>
          <w:rFonts w:hint="eastAsia" w:ascii="仿宋_GB2312" w:hAnsi="仿宋_GB2312" w:eastAsia="仿宋_GB2312" w:cs="仿宋_GB2312"/>
          <w:b w:val="0"/>
          <w:bCs w:val="0"/>
          <w:sz w:val="32"/>
          <w:szCs w:val="32"/>
          <w:lang w:eastAsia="zh-CN"/>
        </w:rPr>
        <w:t>政府性基金预算支出。</w:t>
      </w:r>
    </w:p>
    <w:p>
      <w:pPr>
        <w:pStyle w:val="7"/>
        <w:numPr>
          <w:ilvl w:val="0"/>
          <w:numId w:val="0"/>
        </w:numPr>
        <w:spacing w:line="600" w:lineRule="exact"/>
        <w:rPr>
          <w:rFonts w:ascii="Times New Roman" w:hAnsi="Times New Roman" w:eastAsia="黑体"/>
          <w:sz w:val="32"/>
          <w:szCs w:val="32"/>
        </w:rPr>
      </w:pPr>
      <w:r>
        <w:rPr>
          <w:rFonts w:hint="eastAsia" w:ascii="Times New Roman" w:hAnsi="Times New Roman" w:eastAsia="黑体"/>
          <w:b/>
          <w:bCs/>
          <w:sz w:val="32"/>
          <w:szCs w:val="32"/>
          <w:lang w:eastAsia="zh-CN"/>
        </w:rPr>
        <w:t>四、</w:t>
      </w:r>
      <w:r>
        <w:rPr>
          <w:rFonts w:ascii="Times New Roman" w:hAnsi="Times New Roman" w:eastAsia="黑体"/>
          <w:b/>
          <w:bCs/>
          <w:sz w:val="32"/>
          <w:szCs w:val="32"/>
        </w:rPr>
        <w:t>国有资本经营预算支出情况</w:t>
      </w:r>
    </w:p>
    <w:p>
      <w:pPr>
        <w:pStyle w:val="7"/>
        <w:numPr>
          <w:ilvl w:val="0"/>
          <w:numId w:val="0"/>
        </w:numPr>
        <w:spacing w:line="600" w:lineRule="exact"/>
        <w:ind w:left="630" w:leftChars="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年度无国有资本经营预算支出。</w:t>
      </w:r>
    </w:p>
    <w:p>
      <w:pPr>
        <w:pStyle w:val="7"/>
        <w:numPr>
          <w:ilvl w:val="0"/>
          <w:numId w:val="0"/>
        </w:numPr>
        <w:spacing w:line="600" w:lineRule="exact"/>
        <w:rPr>
          <w:rFonts w:ascii="Times New Roman" w:hAnsi="Times New Roman" w:eastAsia="黑体"/>
          <w:b/>
          <w:bCs/>
          <w:sz w:val="32"/>
          <w:szCs w:val="32"/>
        </w:rPr>
      </w:pPr>
      <w:r>
        <w:rPr>
          <w:rFonts w:hint="eastAsia" w:ascii="Times New Roman" w:hAnsi="Times New Roman" w:eastAsia="黑体"/>
          <w:b/>
          <w:bCs/>
          <w:sz w:val="32"/>
          <w:szCs w:val="32"/>
          <w:lang w:eastAsia="zh-CN"/>
        </w:rPr>
        <w:t>五、</w:t>
      </w:r>
      <w:r>
        <w:rPr>
          <w:rFonts w:ascii="Times New Roman" w:hAnsi="Times New Roman" w:eastAsia="黑体"/>
          <w:b/>
          <w:bCs/>
          <w:sz w:val="32"/>
          <w:szCs w:val="32"/>
        </w:rPr>
        <w:t>社会保险基金预算支出情况</w:t>
      </w:r>
    </w:p>
    <w:p>
      <w:pPr>
        <w:pStyle w:val="7"/>
        <w:widowControl w:val="0"/>
        <w:numPr>
          <w:ilvl w:val="0"/>
          <w:numId w:val="0"/>
        </w:numPr>
        <w:wordWrap/>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val="0"/>
          <w:sz w:val="32"/>
          <w:szCs w:val="32"/>
          <w:lang w:eastAsia="zh-CN"/>
        </w:rPr>
        <w:t>江永县第一小学</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b w:val="0"/>
          <w:bCs/>
          <w:sz w:val="32"/>
          <w:szCs w:val="32"/>
          <w:lang w:eastAsia="zh-CN"/>
        </w:rPr>
        <w:t>年度无社会保险基金预算支出。</w:t>
      </w:r>
    </w:p>
    <w:p>
      <w:pPr>
        <w:spacing w:line="600" w:lineRule="exact"/>
        <w:rPr>
          <w:rFonts w:eastAsia="黑体"/>
          <w:b/>
          <w:bCs/>
          <w:sz w:val="32"/>
          <w:szCs w:val="32"/>
        </w:rPr>
      </w:pPr>
      <w:r>
        <w:rPr>
          <w:rFonts w:hint="eastAsia" w:eastAsia="黑体"/>
          <w:b/>
          <w:bCs/>
          <w:sz w:val="32"/>
          <w:szCs w:val="32"/>
          <w:lang w:eastAsia="zh-CN"/>
        </w:rPr>
        <w:t>六</w:t>
      </w:r>
      <w:r>
        <w:rPr>
          <w:rFonts w:eastAsia="黑体"/>
          <w:b/>
          <w:bCs/>
          <w:sz w:val="32"/>
          <w:szCs w:val="32"/>
        </w:rPr>
        <w:t>、部门整体支出绩效情况</w:t>
      </w:r>
    </w:p>
    <w:p>
      <w:pPr>
        <w:pStyle w:val="7"/>
        <w:spacing w:line="600" w:lineRule="exact"/>
        <w:ind w:firstLine="640"/>
        <w:rPr>
          <w:rFonts w:hint="eastAsia"/>
          <w:sz w:val="28"/>
          <w:szCs w:val="28"/>
          <w:lang w:val="en-US" w:eastAsia="zh-CN"/>
        </w:rPr>
      </w:pPr>
      <w:r>
        <w:rPr>
          <w:rFonts w:hint="eastAsia" w:ascii="仿宋_GB2312" w:hAnsi="仿宋_GB2312" w:eastAsia="仿宋_GB2312" w:cs="仿宋_GB2312"/>
          <w:sz w:val="32"/>
          <w:szCs w:val="32"/>
        </w:rPr>
        <w:t>通过绩效评价工作组对全部项目的实施情况进行了整体跟踪，从项目安排、实施、资金的拨付进行了综合评价，认为教育资金项目任务目标明确，资金到位</w:t>
      </w:r>
      <w:r>
        <w:rPr>
          <w:rFonts w:hint="eastAsia" w:ascii="仿宋_GB2312" w:hAnsi="仿宋_GB2312" w:eastAsia="仿宋_GB2312" w:cs="仿宋_GB2312"/>
          <w:sz w:val="32"/>
          <w:szCs w:val="32"/>
          <w:lang w:eastAsia="zh-CN"/>
        </w:rPr>
        <w:t>比较</w:t>
      </w:r>
      <w:r>
        <w:rPr>
          <w:rFonts w:hint="eastAsia" w:ascii="仿宋_GB2312" w:hAnsi="仿宋_GB2312" w:eastAsia="仿宋_GB2312" w:cs="仿宋_GB2312"/>
          <w:sz w:val="32"/>
          <w:szCs w:val="32"/>
        </w:rPr>
        <w:t>及时，并制定了科学的实施计划，项目实施过程中严格按照有关项目管理和经费管理规定执行，目前各项目持续稳定进展，具有较好的经济和社会效益。我</w:t>
      </w:r>
      <w:r>
        <w:rPr>
          <w:rFonts w:hint="eastAsia" w:ascii="仿宋_GB2312" w:hAnsi="仿宋_GB2312" w:eastAsia="仿宋_GB2312" w:cs="仿宋_GB2312"/>
          <w:sz w:val="32"/>
          <w:szCs w:val="32"/>
          <w:lang w:eastAsia="zh-CN"/>
        </w:rPr>
        <w:t>校</w:t>
      </w:r>
      <w:r>
        <w:rPr>
          <w:rFonts w:hint="eastAsia" w:ascii="仿宋_GB2312" w:hAnsi="仿宋_GB2312" w:eastAsia="仿宋_GB2312" w:cs="仿宋_GB2312"/>
          <w:sz w:val="32"/>
          <w:szCs w:val="32"/>
        </w:rPr>
        <w:t>项目基础数据信息真实、资料收集齐全，每一个项目都有完整的资料，实施进度也基本达到上级的要求。目前项目已全部</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完成，学生、家长、人民群众都很满意</w:t>
      </w:r>
      <w:r>
        <w:rPr>
          <w:rFonts w:hint="eastAsia" w:ascii="仿宋_GB2312" w:hAnsi="仿宋_GB2312" w:eastAsia="仿宋_GB2312" w:cs="仿宋_GB2312"/>
          <w:sz w:val="32"/>
          <w:szCs w:val="32"/>
          <w:lang w:eastAsia="zh-CN"/>
        </w:rPr>
        <w:t>，本次绩效综合评价得分为</w:t>
      </w:r>
      <w:r>
        <w:rPr>
          <w:rFonts w:hint="eastAsia" w:ascii="仿宋_GB2312" w:hAnsi="仿宋_GB2312" w:eastAsia="仿宋_GB2312" w:cs="仿宋_GB2312"/>
          <w:sz w:val="32"/>
          <w:szCs w:val="32"/>
          <w:lang w:val="en-US" w:eastAsia="zh-CN"/>
        </w:rPr>
        <w:t>100分。</w:t>
      </w:r>
    </w:p>
    <w:p>
      <w:pPr>
        <w:pStyle w:val="7"/>
        <w:spacing w:line="600" w:lineRule="exact"/>
        <w:ind w:left="0" w:leftChars="0" w:firstLine="0" w:firstLineChars="0"/>
        <w:rPr>
          <w:rFonts w:hint="eastAsia" w:ascii="黑体" w:hAnsi="黑体" w:eastAsia="黑体" w:cs="黑体"/>
          <w:b/>
          <w:bCs/>
          <w:sz w:val="32"/>
          <w:szCs w:val="32"/>
          <w:lang w:val="en-US" w:eastAsia="zh-CN"/>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、存在的问题及</w:t>
      </w:r>
      <w:r>
        <w:rPr>
          <w:rFonts w:hint="eastAsia" w:ascii="黑体" w:hAnsi="黑体" w:eastAsia="黑体" w:cs="黑体"/>
          <w:b/>
          <w:bCs/>
          <w:sz w:val="32"/>
          <w:szCs w:val="32"/>
          <w:lang w:eastAsia="zh-CN"/>
        </w:rPr>
        <w:t>原因分析</w:t>
      </w:r>
    </w:p>
    <w:p>
      <w:pPr>
        <w:spacing w:line="360" w:lineRule="auto"/>
        <w:ind w:firstLine="42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教育资金拨付流程</w:t>
      </w:r>
      <w:r>
        <w:rPr>
          <w:rFonts w:hint="eastAsia" w:ascii="仿宋_GB2312" w:hAnsi="仿宋_GB2312" w:eastAsia="仿宋_GB2312" w:cs="仿宋_GB2312"/>
          <w:sz w:val="32"/>
          <w:szCs w:val="32"/>
        </w:rPr>
        <w:t>复杂，</w:t>
      </w:r>
      <w:r>
        <w:rPr>
          <w:rFonts w:hint="eastAsia" w:ascii="仿宋_GB2312" w:hAnsi="仿宋_GB2312" w:eastAsia="仿宋_GB2312" w:cs="仿宋_GB2312"/>
          <w:sz w:val="32"/>
          <w:szCs w:val="32"/>
          <w:lang w:eastAsia="zh-CN"/>
        </w:rPr>
        <w:t>教育局国库专项资金不能直接下达到各学校，只能由财政直接下达各学校国库，在由单位录单后支付，</w:t>
      </w:r>
      <w:r>
        <w:rPr>
          <w:rFonts w:hint="eastAsia" w:ascii="仿宋_GB2312" w:hAnsi="仿宋_GB2312" w:eastAsia="仿宋_GB2312" w:cs="仿宋_GB2312"/>
          <w:sz w:val="32"/>
          <w:szCs w:val="32"/>
        </w:rPr>
        <w:t>实施时间跨度大，项目实施进度缓慢。</w:t>
      </w:r>
    </w:p>
    <w:p>
      <w:pPr>
        <w:numPr>
          <w:ilvl w:val="0"/>
          <w:numId w:val="0"/>
        </w:numPr>
        <w:spacing w:line="600" w:lineRule="exact"/>
        <w:rPr>
          <w:rFonts w:eastAsia="黑体"/>
          <w:b/>
          <w:bCs/>
          <w:sz w:val="32"/>
          <w:szCs w:val="32"/>
        </w:rPr>
      </w:pPr>
      <w:r>
        <w:rPr>
          <w:rFonts w:hint="eastAsia" w:eastAsia="黑体"/>
          <w:b/>
          <w:bCs/>
          <w:sz w:val="32"/>
          <w:szCs w:val="32"/>
          <w:lang w:eastAsia="zh-CN"/>
        </w:rPr>
        <w:t>八、</w:t>
      </w:r>
      <w:r>
        <w:rPr>
          <w:rFonts w:eastAsia="黑体"/>
          <w:b/>
          <w:bCs/>
          <w:sz w:val="32"/>
          <w:szCs w:val="32"/>
        </w:rPr>
        <w:t>下一步改进措施</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绩效评价工作要各部门协调齐头并进，制定方案，各司其职</w:t>
      </w:r>
      <w:bookmarkStart w:id="0" w:name="_GoBack"/>
      <w:bookmarkEnd w:id="0"/>
      <w:r>
        <w:rPr>
          <w:rFonts w:hint="eastAsia" w:ascii="仿宋_GB2312" w:hAnsi="仿宋_GB2312" w:eastAsia="仿宋_GB2312" w:cs="仿宋_GB2312"/>
          <w:sz w:val="32"/>
          <w:szCs w:val="32"/>
          <w:lang w:eastAsia="zh-CN"/>
        </w:rPr>
        <w:t>。通过绩效评价，要加强资金的管理。</w:t>
      </w:r>
      <w:r>
        <w:rPr>
          <w:rFonts w:hint="eastAsia" w:ascii="仿宋_GB2312" w:hAnsi="仿宋_GB2312" w:eastAsia="仿宋_GB2312" w:cs="仿宋_GB2312"/>
          <w:sz w:val="32"/>
          <w:szCs w:val="32"/>
        </w:rPr>
        <w:t>一是强化项目制度管理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严格项目资金审批程序，确保项目顺利推进。我</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对专项资金使用管理、项目立项审批、项目基建管理、项目政府采购和招投标等环节和事项进行了明确的规定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强化教育</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在预算、分配、拨付、财务管理、审计等全过程的监督检查，不断提高教育经费的使用效益。二是强化项目统筹管理。</w:t>
      </w:r>
    </w:p>
    <w:p>
      <w:pPr>
        <w:numPr>
          <w:ilvl w:val="0"/>
          <w:numId w:val="0"/>
        </w:numPr>
        <w:spacing w:line="600" w:lineRule="exact"/>
        <w:rPr>
          <w:rFonts w:eastAsia="黑体"/>
          <w:b/>
          <w:bCs/>
          <w:sz w:val="32"/>
          <w:szCs w:val="32"/>
        </w:rPr>
      </w:pPr>
      <w:r>
        <w:rPr>
          <w:rFonts w:hint="eastAsia" w:eastAsia="黑体"/>
          <w:b/>
          <w:bCs/>
          <w:sz w:val="32"/>
          <w:szCs w:val="32"/>
          <w:lang w:eastAsia="zh-CN"/>
        </w:rPr>
        <w:t>九、</w:t>
      </w:r>
      <w:r>
        <w:rPr>
          <w:rFonts w:eastAsia="黑体"/>
          <w:b/>
          <w:bCs/>
          <w:sz w:val="32"/>
          <w:szCs w:val="32"/>
        </w:rPr>
        <w:t>绩效自评结果拟应用和公开情况</w:t>
      </w:r>
    </w:p>
    <w:p>
      <w:pPr>
        <w:numPr>
          <w:ilvl w:val="0"/>
          <w:numId w:val="0"/>
        </w:numPr>
        <w:spacing w:line="60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从绩效自评结果来看，</w:t>
      </w:r>
      <w:r>
        <w:rPr>
          <w:rFonts w:hint="eastAsia" w:ascii="仿宋_GB2312" w:hAnsi="仿宋_GB2312" w:eastAsia="仿宋_GB2312" w:cs="仿宋_GB2312"/>
          <w:b w:val="0"/>
          <w:bCs w:val="0"/>
          <w:kern w:val="0"/>
          <w:sz w:val="32"/>
          <w:szCs w:val="32"/>
          <w:lang w:eastAsia="zh-CN"/>
        </w:rPr>
        <w:t>江永县第一小学</w:t>
      </w:r>
      <w:r>
        <w:rPr>
          <w:rFonts w:hint="eastAsia" w:ascii="仿宋_GB2312" w:hAnsi="仿宋_GB2312" w:eastAsia="仿宋_GB2312" w:cs="仿宋_GB2312"/>
          <w:b w:val="0"/>
          <w:bCs w:val="0"/>
          <w:kern w:val="0"/>
          <w:sz w:val="32"/>
          <w:szCs w:val="32"/>
        </w:rPr>
        <w:t>部门整体</w:t>
      </w:r>
      <w:r>
        <w:rPr>
          <w:rFonts w:hint="eastAsia" w:ascii="仿宋" w:hAnsi="仿宋" w:eastAsia="仿宋" w:cs="仿宋"/>
          <w:sz w:val="32"/>
          <w:szCs w:val="32"/>
          <w:lang w:val="en-US" w:eastAsia="zh-CN"/>
        </w:rPr>
        <w:t>支出绩效较好，有力推动了教育事业持续健康发展。根据预算绩效评价的有关规定，学校将在江永政府网公示绩效自评报告。</w:t>
      </w:r>
    </w:p>
    <w:p>
      <w:pPr>
        <w:numPr>
          <w:ilvl w:val="0"/>
          <w:numId w:val="0"/>
        </w:numPr>
        <w:spacing w:line="600" w:lineRule="exact"/>
        <w:rPr>
          <w:rFonts w:eastAsia="黑体"/>
          <w:b/>
          <w:bCs/>
          <w:sz w:val="32"/>
          <w:szCs w:val="32"/>
        </w:rPr>
      </w:pPr>
      <w:r>
        <w:rPr>
          <w:rFonts w:hint="eastAsia" w:eastAsia="黑体"/>
          <w:b/>
          <w:bCs/>
          <w:sz w:val="32"/>
          <w:szCs w:val="32"/>
          <w:lang w:eastAsia="zh-CN"/>
        </w:rPr>
        <w:t>十、</w:t>
      </w:r>
      <w:r>
        <w:rPr>
          <w:rFonts w:eastAsia="黑体"/>
          <w:b/>
          <w:bCs/>
          <w:sz w:val="32"/>
          <w:szCs w:val="32"/>
        </w:rPr>
        <w:t>其他需要说明的情况</w:t>
      </w:r>
    </w:p>
    <w:p>
      <w:pPr>
        <w:numPr>
          <w:ilvl w:val="0"/>
          <w:numId w:val="0"/>
        </w:numPr>
        <w:spacing w:line="600" w:lineRule="exact"/>
        <w:ind w:leftChars="200"/>
        <w:rPr>
          <w:rFonts w:hint="eastAsia"/>
          <w:sz w:val="28"/>
          <w:szCs w:val="28"/>
          <w:lang w:val="en-US" w:eastAsia="zh-CN"/>
        </w:rPr>
      </w:pPr>
      <w:r>
        <w:rPr>
          <w:rFonts w:hint="eastAsia" w:ascii="仿宋" w:hAnsi="仿宋" w:eastAsia="仿宋" w:cs="仿宋"/>
          <w:sz w:val="32"/>
          <w:szCs w:val="32"/>
          <w:lang w:val="en-US" w:eastAsia="zh-CN"/>
        </w:rPr>
        <w:t xml:space="preserve"> 无。</w:t>
      </w:r>
    </w:p>
    <w:p>
      <w:pPr>
        <w:widowControl w:val="0"/>
        <w:wordWrap/>
        <w:adjustRightInd/>
        <w:snapToGrid/>
        <w:spacing w:line="240" w:lineRule="atLeas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江永县第一小学</w:t>
      </w:r>
    </w:p>
    <w:p>
      <w:pPr>
        <w:pStyle w:val="2"/>
        <w:widowControl w:val="0"/>
        <w:wordWrap/>
        <w:adjustRightInd/>
        <w:snapToGrid/>
        <w:spacing w:line="240" w:lineRule="atLeast"/>
        <w:jc w:val="righ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sz w:val="32"/>
          <w:szCs w:val="32"/>
          <w:lang w:val="en-US" w:eastAsia="zh-CN"/>
        </w:rPr>
        <w:t xml:space="preserve">   2025年4月16日</w:t>
      </w:r>
    </w:p>
    <w:p>
      <w:pPr>
        <w:pStyle w:val="2"/>
      </w:pPr>
    </w:p>
    <w:p>
      <w:r>
        <w:rPr>
          <w:rFonts w:ascii="Calibri" w:hAnsi="Calibri" w:eastAsia="宋体" w:cs="黑体"/>
          <w:kern w:val="2"/>
          <w:sz w:val="21"/>
          <w:szCs w:val="22"/>
          <w:lang w:val="en-US" w:eastAsia="zh-CN" w:bidi="ar-SA"/>
        </w:rPr>
        <w:pict>
          <v:shape id="_x0000_i1025" o:spt="75" type="#_x0000_t75" style="height:518.05pt;width:414.8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tbl>
      <w:tblPr>
        <w:tblStyle w:val="5"/>
        <w:tblW w:w="83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451"/>
        <w:gridCol w:w="474"/>
        <w:gridCol w:w="735"/>
        <w:gridCol w:w="29"/>
        <w:gridCol w:w="948"/>
        <w:gridCol w:w="332"/>
        <w:gridCol w:w="461"/>
        <w:gridCol w:w="765"/>
        <w:gridCol w:w="702"/>
        <w:gridCol w:w="419"/>
        <w:gridCol w:w="185"/>
        <w:gridCol w:w="222"/>
        <w:gridCol w:w="600"/>
        <w:gridCol w:w="741"/>
        <w:gridCol w:w="12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5" w:hRule="atLeast"/>
        </w:trPr>
        <w:tc>
          <w:tcPr>
            <w:tcW w:w="8350" w:type="dxa"/>
            <w:gridSpan w:val="15"/>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32"/>
                <w:u w:val="none"/>
                <w:lang w:eastAsia="zh-CN"/>
              </w:rPr>
            </w:pPr>
            <w:r>
              <w:rPr>
                <w:rFonts w:hint="default" w:ascii="宋体" w:hAnsi="宋体" w:eastAsia="宋体"/>
                <w:b/>
                <w:i w:val="0"/>
                <w:color w:val="000000"/>
                <w:sz w:val="32"/>
                <w:u w:val="none"/>
                <w:lang w:eastAsia="zh-CN"/>
              </w:rPr>
              <w:t>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00"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预算部门名称</w:t>
            </w:r>
          </w:p>
        </w:tc>
        <w:tc>
          <w:tcPr>
            <w:tcW w:w="7425" w:type="dxa"/>
            <w:gridSpan w:val="1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r>
              <w:rPr>
                <w:rFonts w:hint="default" w:ascii="宋体" w:hAnsi="宋体" w:eastAsia="宋体"/>
                <w:b w:val="0"/>
                <w:i w:val="0"/>
                <w:color w:val="000000"/>
                <w:sz w:val="18"/>
                <w:u w:val="none"/>
                <w:lang w:eastAsia="zh-CN"/>
              </w:rPr>
              <w:t>江永县城关镇第一小学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30"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Microsoft YaHei UI" w:hAnsi="宋体"/>
                <w:b w:val="0"/>
                <w:i w:val="0"/>
                <w:color w:val="000000"/>
                <w:sz w:val="18"/>
                <w:u w:val="none"/>
              </w:rPr>
            </w:pPr>
            <w:r>
              <w:rPr>
                <w:rFonts w:hint="default" w:ascii="Microsoft YaHei UI" w:hAnsi="宋体"/>
                <w:b w:val="0"/>
                <w:i w:val="0"/>
                <w:color w:val="000000"/>
                <w:sz w:val="18"/>
                <w:u w:val="none"/>
              </w:rPr>
              <w:t>年度预算申请</w:t>
            </w:r>
            <w:r>
              <w:rPr>
                <w:rFonts w:hint="default" w:ascii="Microsoft YaHei UI" w:hAnsi="宋体"/>
                <w:b w:val="0"/>
                <w:i w:val="0"/>
                <w:color w:val="000000"/>
                <w:sz w:val="18"/>
                <w:u w:val="none"/>
              </w:rPr>
              <w:br w:type="textWrapping"/>
            </w:r>
            <w:r>
              <w:rPr>
                <w:rFonts w:hint="default" w:ascii="Microsoft YaHei UI" w:hAnsi="宋体"/>
                <w:b w:val="0"/>
                <w:i w:val="0"/>
                <w:color w:val="000000"/>
                <w:sz w:val="18"/>
                <w:u w:val="none"/>
              </w:rPr>
              <w:t>(万元)</w:t>
            </w: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c>
          <w:tcPr>
            <w:tcW w:w="1309"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年初预算数</w:t>
            </w:r>
            <w:r>
              <w:rPr>
                <w:rFonts w:hint="default" w:ascii="仿宋_GB2312" w:hAnsi="宋体"/>
                <w:b/>
                <w:i w:val="0"/>
                <w:color w:val="000000"/>
                <w:sz w:val="18"/>
                <w:u w:val="none"/>
              </w:rPr>
              <w:br w:type="textWrapping"/>
            </w:r>
            <w:r>
              <w:rPr>
                <w:rFonts w:hint="default" w:ascii="仿宋_GB2312" w:hAnsi="宋体"/>
                <w:b/>
                <w:i w:val="0"/>
                <w:color w:val="000000"/>
                <w:sz w:val="18"/>
                <w:u w:val="none"/>
              </w:rPr>
              <w:t>(万元)</w:t>
            </w:r>
          </w:p>
        </w:tc>
        <w:tc>
          <w:tcPr>
            <w:tcW w:w="122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全年预算数</w:t>
            </w:r>
            <w:r>
              <w:rPr>
                <w:rFonts w:hint="default" w:ascii="宋体" w:hAnsi="宋体" w:eastAsia="宋体"/>
                <w:b/>
                <w:i w:val="0"/>
                <w:color w:val="000000"/>
                <w:sz w:val="18"/>
                <w:u w:val="none"/>
                <w:lang w:eastAsia="zh-CN"/>
              </w:rPr>
              <w:br w:type="textWrapping"/>
            </w:r>
            <w:r>
              <w:rPr>
                <w:rFonts w:hint="default" w:ascii="宋体" w:hAnsi="宋体" w:eastAsia="宋体"/>
                <w:b/>
                <w:i w:val="0"/>
                <w:color w:val="000000"/>
                <w:sz w:val="18"/>
                <w:u w:val="none"/>
                <w:lang w:eastAsia="zh-CN"/>
              </w:rPr>
              <w:t>（万元）</w:t>
            </w:r>
          </w:p>
        </w:tc>
        <w:tc>
          <w:tcPr>
            <w:tcW w:w="70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分值</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执行率</w:t>
            </w:r>
          </w:p>
        </w:tc>
        <w:tc>
          <w:tcPr>
            <w:tcW w:w="2849"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70"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年度资金总额：</w:t>
            </w:r>
          </w:p>
        </w:tc>
        <w:tc>
          <w:tcPr>
            <w:tcW w:w="1309"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1678.44</w:t>
            </w:r>
          </w:p>
        </w:tc>
        <w:tc>
          <w:tcPr>
            <w:tcW w:w="1226"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2373.60</w:t>
            </w:r>
          </w:p>
        </w:tc>
        <w:tc>
          <w:tcPr>
            <w:tcW w:w="70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10</w:t>
            </w:r>
          </w:p>
        </w:tc>
        <w:tc>
          <w:tcPr>
            <w:tcW w:w="60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99.95%</w:t>
            </w:r>
          </w:p>
        </w:tc>
        <w:tc>
          <w:tcPr>
            <w:tcW w:w="2849" w:type="dxa"/>
            <w:gridSpan w:val="4"/>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398" w:type="dxa"/>
            <w:gridSpan w:val="11"/>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i w:val="0"/>
                <w:color w:val="000000"/>
                <w:sz w:val="18"/>
                <w:u w:val="none"/>
              </w:rPr>
            </w:pPr>
            <w:r>
              <w:rPr>
                <w:rFonts w:hint="default" w:ascii="仿宋_GB2312" w:hAnsi="宋体"/>
                <w:b/>
                <w:i w:val="0"/>
                <w:color w:val="000000"/>
                <w:sz w:val="18"/>
                <w:u w:val="none"/>
              </w:rPr>
              <w:t>按收入性质分：</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r>
              <w:rPr>
                <w:rFonts w:hint="default" w:ascii="宋体" w:hAnsi="宋体" w:eastAsia="宋体"/>
                <w:b w:val="0"/>
                <w:i w:val="0"/>
                <w:color w:val="000000"/>
                <w:sz w:val="18"/>
                <w:u w:val="none"/>
                <w:lang w:eastAsia="zh-CN"/>
              </w:rPr>
              <w:t>按支出性质分：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3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一般公共预算：</w:t>
            </w:r>
          </w:p>
        </w:tc>
        <w:tc>
          <w:tcPr>
            <w:tcW w:w="4663" w:type="dxa"/>
            <w:gridSpan w:val="10"/>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2264.27</w:t>
            </w:r>
          </w:p>
        </w:tc>
        <w:tc>
          <w:tcPr>
            <w:tcW w:w="7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其中:基本支出：</w:t>
            </w:r>
          </w:p>
        </w:tc>
        <w:tc>
          <w:tcPr>
            <w:tcW w:w="12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2372.60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2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政府性基金拨款：</w:t>
            </w:r>
          </w:p>
        </w:tc>
        <w:tc>
          <w:tcPr>
            <w:tcW w:w="4663" w:type="dxa"/>
            <w:gridSpan w:val="10"/>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109.33</w:t>
            </w:r>
          </w:p>
        </w:tc>
        <w:tc>
          <w:tcPr>
            <w:tcW w:w="74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2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540"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纳入专户管理的非税收入拨款：</w:t>
            </w:r>
          </w:p>
        </w:tc>
        <w:tc>
          <w:tcPr>
            <w:tcW w:w="4663" w:type="dxa"/>
            <w:gridSpan w:val="10"/>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0.00</w:t>
            </w:r>
          </w:p>
        </w:tc>
        <w:tc>
          <w:tcPr>
            <w:tcW w:w="74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项目支出：</w:t>
            </w:r>
          </w:p>
        </w:tc>
        <w:tc>
          <w:tcPr>
            <w:tcW w:w="12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6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3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其他资金</w:t>
            </w:r>
          </w:p>
        </w:tc>
        <w:tc>
          <w:tcPr>
            <w:tcW w:w="4663" w:type="dxa"/>
            <w:gridSpan w:val="10"/>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0.0</w:t>
            </w:r>
          </w:p>
        </w:tc>
        <w:tc>
          <w:tcPr>
            <w:tcW w:w="74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286"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年度总体目标</w:t>
            </w:r>
          </w:p>
        </w:tc>
        <w:tc>
          <w:tcPr>
            <w:tcW w:w="5398" w:type="dxa"/>
            <w:gridSpan w:val="11"/>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预期目标</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35"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5398" w:type="dxa"/>
            <w:gridSpan w:val="11"/>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贯彻执行国家教育方针政策，深化教育改革，发展素质教育，稳步提高教育质量，巩固艺术教育特色成果，促进江永教育事业的发展。保障人员经费，提高教师队伍幸福感；管好用好预算内资金，改善和优化学校的办学条件；促进学生全面发展，把教育教学质量放在首位，办人民满意的教育。</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Times New Roman" w:hAnsi="宋体"/>
                <w:b w:val="0"/>
                <w:i w:val="0"/>
                <w:color w:val="000000"/>
                <w:sz w:val="18"/>
                <w:u w:val="none"/>
              </w:rPr>
            </w:pPr>
            <w:r>
              <w:rPr>
                <w:rFonts w:hint="default" w:ascii="Times New Roman" w:hAnsi="宋体"/>
                <w:b w:val="0"/>
                <w:i w:val="0"/>
                <w:color w:val="000000"/>
                <w:sz w:val="18"/>
                <w:u w:val="none"/>
              </w:rPr>
              <w:t>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00"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绩效指标</w:t>
            </w: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一级指标</w:t>
            </w: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三级指标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年度指标值</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实际完成值</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评扣分标准</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分值</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i w:val="0"/>
                <w:color w:val="000000"/>
                <w:sz w:val="18"/>
                <w:u w:val="none"/>
              </w:rPr>
            </w:pPr>
            <w:r>
              <w:rPr>
                <w:rFonts w:hint="default" w:ascii="仿宋_GB2312" w:hAnsi="宋体"/>
                <w:b/>
                <w:i w:val="0"/>
                <w:color w:val="000000"/>
                <w:sz w:val="18"/>
                <w:u w:val="none"/>
              </w:rPr>
              <w:t>得分</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390"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948"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600"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107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绩效指标</w:t>
            </w: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产出指标</w:t>
            </w: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教师年度考核人次</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146人</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146人</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教师年度考核全员参与得2分，每减少1人扣0.1分，扣完为止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教师培训完成次数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5次</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5次</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教师培训五次以上得2分，每减少一次培训扣0.1分，扣完为止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五类学生资助人数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339人</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339人</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贫困生资助数量达标得满分，每减少1人扣0.1分，扣完为止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98"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教师节慰问金发放人数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244人</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244人</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教师体检人次</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152人</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152人</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班主任津贴发放人数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60人</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60人</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贫困生资助准确率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教师培训完成率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培训考核完成率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完成时间</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2024年内完成</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2024年内完成</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该指标于2024年12月31日完成100%得满分，共计2分，每降低1%扣0.1分，扣完为止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效益指标</w:t>
            </w: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提高教师生活水平</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提高教师生活水平</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提高教师生活水平</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该指标达到要求得满分，共计2分，每降低1%扣0.1分，扣完为止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学生入学率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使教师和学生拥有良好的教育氛围</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使教师和学生拥有良好的教育氛围</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使教师和学生拥有良好的教育氛围</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该指标达到要求得满分，共计2分，每降低1%扣0.1分，扣完为止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学生安全事故发生次数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0次</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0次</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该指标达到100%得2分，每减少1人扣0.1分，扣完为止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改善校园环境</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改善校园环境</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90%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该指标达到要求得满分，共计2分，每降低1%扣0.1分，扣完为止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11"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798"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满意度指标</w:t>
            </w: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教师与家长满意率</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100%</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该指标达到90%得满分，共计5分，每减少5%扣1分</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5</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成本指标</w:t>
            </w: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r>
              <w:rPr>
                <w:rFonts w:hint="default" w:ascii="仿宋" w:hAnsi="仿宋" w:eastAsia="仿宋"/>
                <w:b w:val="0"/>
                <w:i w:val="0"/>
                <w:color w:val="000000"/>
                <w:sz w:val="18"/>
                <w:u w:val="none"/>
                <w:lang w:eastAsia="zh-CN"/>
              </w:rPr>
              <w:t>部门整体控制数</w:t>
            </w: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1678.44</w:t>
            </w: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1678.44</w:t>
            </w: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该指标达到要求得满分，共计2分，每降低1%扣0.1分，扣完为止</w:t>
            </w: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w:t>
            </w: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r>
              <w:rPr>
                <w:rFonts w:hint="default" w:ascii="仿宋_GB2312" w:hAnsi="宋体"/>
                <w:b w:val="0"/>
                <w:i w:val="0"/>
                <w:color w:val="000000"/>
                <w:sz w:val="18"/>
                <w:u w:val="none"/>
              </w:rPr>
              <w:t>10</w:t>
            </w: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vMerge w:val="restart"/>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vMerge w:val="restart"/>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645" w:hRule="atLeast"/>
        </w:trPr>
        <w:tc>
          <w:tcPr>
            <w:tcW w:w="451" w:type="dxa"/>
            <w:vMerge w:val="continue"/>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sz w:val="24"/>
              </w:rPr>
            </w:pPr>
          </w:p>
        </w:tc>
        <w:tc>
          <w:tcPr>
            <w:tcW w:w="474" w:type="dxa"/>
            <w:vMerge w:val="continue"/>
            <w:tcBorders>
              <w:top w:val="single" w:color="000000" w:sz="4" w:space="0"/>
              <w:left w:val="single" w:color="000000" w:sz="4" w:space="0"/>
              <w:bottom w:val="single" w:color="000000" w:sz="4" w:space="0"/>
              <w:right w:val="single" w:color="000000" w:sz="4" w:space="0"/>
            </w:tcBorders>
            <w:vAlign w:val="center"/>
          </w:tcPr>
          <w:p>
            <w:pPr>
              <w:autoSpaceDN w:val="0"/>
              <w:textAlignment w:val="auto"/>
              <w:rPr>
                <w:rFonts w:hint="default" w:ascii="宋体" w:hAnsi="宋体"/>
                <w:sz w:val="24"/>
              </w:rPr>
            </w:pPr>
          </w:p>
        </w:tc>
        <w:tc>
          <w:tcPr>
            <w:tcW w:w="76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 w:hAnsi="仿宋" w:eastAsia="仿宋"/>
                <w:b w:val="0"/>
                <w:i w:val="0"/>
                <w:color w:val="000000"/>
                <w:sz w:val="18"/>
                <w:u w:val="none"/>
                <w:lang w:eastAsia="zh-CN"/>
              </w:rPr>
            </w:pPr>
          </w:p>
        </w:tc>
        <w:tc>
          <w:tcPr>
            <w:tcW w:w="948"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79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1886"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40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60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仿宋_GB2312" w:hAnsi="宋体"/>
                <w:b w:val="0"/>
                <w:i w:val="0"/>
                <w:color w:val="000000"/>
                <w:sz w:val="18"/>
                <w:u w:val="none"/>
              </w:rPr>
            </w:pPr>
          </w:p>
        </w:tc>
        <w:tc>
          <w:tcPr>
            <w:tcW w:w="2027"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5" w:type="dxa"/>
            <w:bottom w:w="0" w:type="dxa"/>
            <w:right w:w="15" w:type="dxa"/>
          </w:tblCellMar>
        </w:tblPrEx>
        <w:trPr>
          <w:trHeight w:val="420" w:hRule="atLeast"/>
        </w:trPr>
        <w:tc>
          <w:tcPr>
            <w:tcW w:w="92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i w:val="0"/>
                <w:color w:val="000000"/>
                <w:sz w:val="18"/>
                <w:u w:val="none"/>
                <w:lang w:eastAsia="zh-CN"/>
              </w:rPr>
            </w:pPr>
            <w:r>
              <w:rPr>
                <w:rFonts w:hint="default" w:ascii="宋体" w:hAnsi="宋体" w:eastAsia="宋体"/>
                <w:b/>
                <w:i w:val="0"/>
                <w:color w:val="000000"/>
                <w:sz w:val="18"/>
                <w:u w:val="none"/>
                <w:lang w:eastAsia="zh-CN"/>
              </w:rPr>
              <w:t>总分</w:t>
            </w:r>
          </w:p>
        </w:tc>
        <w:tc>
          <w:tcPr>
            <w:tcW w:w="7425" w:type="dxa"/>
            <w:gridSpan w:val="1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default" w:ascii="宋体" w:hAnsi="宋体" w:eastAsia="宋体"/>
                <w:b w:val="0"/>
                <w:i w:val="0"/>
                <w:color w:val="000000"/>
                <w:sz w:val="18"/>
                <w:u w:val="none"/>
                <w:lang w:eastAsia="zh-CN"/>
              </w:rPr>
            </w:pPr>
            <w:r>
              <w:rPr>
                <w:rFonts w:hint="default" w:ascii="宋体" w:hAnsi="宋体" w:eastAsia="宋体"/>
                <w:b w:val="0"/>
                <w:i w:val="0"/>
                <w:color w:val="000000"/>
                <w:sz w:val="18"/>
                <w:u w:val="none"/>
                <w:lang w:eastAsia="zh-CN"/>
              </w:rPr>
              <w:t>100.00</w:t>
            </w:r>
          </w:p>
        </w:tc>
      </w:tr>
    </w:tbl>
    <w:p>
      <w:pPr>
        <w:spacing w:line="560" w:lineRule="exact"/>
        <w:jc w:val="center"/>
        <w:rPr>
          <w:rFonts w:hint="eastAsia" w:ascii="方正小标宋_GBK" w:hAnsi="方正小标宋_GBK" w:eastAsia="方正小标宋_GBK"/>
          <w:kern w:val="0"/>
          <w:sz w:val="44"/>
          <w:szCs w:val="44"/>
        </w:rPr>
      </w:pPr>
    </w:p>
    <w:p>
      <w:pPr>
        <w:spacing w:line="560" w:lineRule="exact"/>
        <w:jc w:val="center"/>
        <w:rPr>
          <w:rFonts w:hint="eastAsia" w:ascii="方正小标宋_GBK" w:hAnsi="方正小标宋_GBK" w:eastAsia="方正小标宋_GBK"/>
          <w:kern w:val="0"/>
          <w:sz w:val="44"/>
          <w:szCs w:val="44"/>
        </w:rPr>
      </w:pPr>
      <w:r>
        <w:rPr>
          <w:rFonts w:hint="eastAsia" w:ascii="方正小标宋_GBK" w:hAnsi="方正小标宋_GBK" w:eastAsia="方正小标宋_GBK"/>
          <w:kern w:val="0"/>
          <w:sz w:val="44"/>
          <w:szCs w:val="44"/>
        </w:rPr>
        <w:t>江永县</w:t>
      </w:r>
      <w:r>
        <w:rPr>
          <w:rFonts w:hint="eastAsia" w:ascii="方正小标宋_GBK" w:hAnsi="方正小标宋_GBK" w:eastAsia="方正小标宋_GBK"/>
          <w:kern w:val="0"/>
          <w:sz w:val="44"/>
          <w:szCs w:val="44"/>
          <w:lang w:eastAsia="zh-CN"/>
        </w:rPr>
        <w:t>第一小学</w:t>
      </w:r>
    </w:p>
    <w:p>
      <w:pPr>
        <w:spacing w:line="560" w:lineRule="exact"/>
        <w:jc w:val="center"/>
        <w:rPr>
          <w:rFonts w:hint="eastAsia"/>
          <w:kern w:val="0"/>
          <w:sz w:val="44"/>
          <w:szCs w:val="44"/>
        </w:rPr>
      </w:pP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5</w:t>
            </w:r>
            <w:r>
              <w:rPr>
                <w:kern w:val="0"/>
                <w:sz w:val="24"/>
              </w:rPr>
              <w:t>　</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22</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22</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vAlign w:val="center"/>
          </w:tcPr>
          <w:p>
            <w:pPr>
              <w:widowControl/>
              <w:jc w:val="left"/>
              <w:rPr>
                <w:kern w:val="0"/>
                <w:sz w:val="24"/>
              </w:rPr>
            </w:pPr>
            <w:r>
              <w:rPr>
                <w:rFonts w:hint="eastAsia"/>
                <w:kern w:val="0"/>
                <w:sz w:val="24"/>
              </w:rPr>
              <w:t>8</w:t>
            </w:r>
            <w:r>
              <w:rPr>
                <w:kern w:val="0"/>
                <w:sz w:val="24"/>
              </w:rPr>
              <w:t>　</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vAlign w:val="center"/>
          </w:tcPr>
          <w:p>
            <w:pPr>
              <w:widowControl/>
              <w:jc w:val="left"/>
              <w:rPr>
                <w:kern w:val="0"/>
                <w:sz w:val="24"/>
              </w:rPr>
            </w:pPr>
            <w:r>
              <w:rPr>
                <w:rFonts w:hint="eastAsia"/>
                <w:kern w:val="0"/>
                <w:sz w:val="24"/>
              </w:rPr>
              <w:t>10</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vAlign w:val="center"/>
          </w:tcPr>
          <w:p>
            <w:pPr>
              <w:widowControl/>
              <w:jc w:val="left"/>
              <w:rPr>
                <w:rFonts w:eastAsia="仿宋_GB2312"/>
                <w:kern w:val="0"/>
                <w:sz w:val="20"/>
                <w:szCs w:val="20"/>
              </w:rPr>
            </w:pPr>
          </w:p>
        </w:tc>
        <w:tc>
          <w:tcPr>
            <w:tcW w:w="416" w:type="dxa"/>
            <w:tcBorders>
              <w:top w:val="nil"/>
              <w:left w:val="nil"/>
              <w:bottom w:val="single" w:color="000000"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vAlign w:val="center"/>
          </w:tcPr>
          <w:p>
            <w:pPr>
              <w:widowControl/>
              <w:jc w:val="left"/>
              <w:rPr>
                <w:rFonts w:hint="eastAsia"/>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restart"/>
            <w:tcBorders>
              <w:top w:val="nil"/>
              <w:left w:val="single" w:color="auto" w:sz="4" w:space="0"/>
              <w:bottom w:val="nil"/>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nil"/>
              <w:right w:val="single" w:color="auto" w:sz="4" w:space="0"/>
            </w:tcBorders>
            <w:vAlign w:val="center"/>
          </w:tcPr>
          <w:p>
            <w:pPr>
              <w:widowControl/>
              <w:jc w:val="left"/>
              <w:rPr>
                <w:rFonts w:eastAsia="仿宋_GB2312"/>
                <w:kern w:val="0"/>
                <w:sz w:val="20"/>
                <w:szCs w:val="20"/>
              </w:rPr>
            </w:pPr>
          </w:p>
        </w:tc>
        <w:tc>
          <w:tcPr>
            <w:tcW w:w="677" w:type="dxa"/>
            <w:gridSpan w:val="2"/>
            <w:vMerge w:val="restart"/>
            <w:tcBorders>
              <w:top w:val="nil"/>
              <w:left w:val="nil"/>
              <w:bottom w:val="nil"/>
              <w:right w:val="single" w:color="auto" w:sz="4" w:space="0"/>
            </w:tcBorders>
            <w:vAlign w:val="center"/>
          </w:tcPr>
          <w:p>
            <w:pPr>
              <w:widowControl/>
              <w:jc w:val="left"/>
              <w:rPr>
                <w:rFonts w:eastAsia="仿宋_GB2312"/>
                <w:kern w:val="0"/>
                <w:sz w:val="20"/>
                <w:szCs w:val="20"/>
              </w:rPr>
            </w:pPr>
          </w:p>
        </w:tc>
        <w:tc>
          <w:tcPr>
            <w:tcW w:w="416" w:type="dxa"/>
            <w:vMerge w:val="restart"/>
            <w:tcBorders>
              <w:top w:val="nil"/>
              <w:left w:val="nil"/>
              <w:bottom w:val="nil"/>
              <w:right w:val="single" w:color="auto" w:sz="4" w:space="0"/>
            </w:tcBorders>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vAlign w:val="center"/>
          </w:tcPr>
          <w:p>
            <w:pPr>
              <w:widowControl/>
              <w:jc w:val="left"/>
              <w:rPr>
                <w:rFonts w:hint="eastAsia"/>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 w:val="24"/>
              </w:rPr>
            </w:pPr>
            <w:r>
              <w:rPr>
                <w:rFonts w:hint="eastAsia" w:ascii="宋体" w:hAnsi="宋体"/>
                <w:color w:val="000000"/>
                <w:kern w:val="0"/>
                <w:sz w:val="24"/>
              </w:rPr>
              <w:t>99</w:t>
            </w:r>
          </w:p>
        </w:tc>
      </w:tr>
    </w:tbl>
    <w:p>
      <w:pPr>
        <w:pStyle w:val="2"/>
      </w:pPr>
    </w:p>
    <w:p>
      <w:pPr>
        <w:jc w:val="both"/>
        <w:rPr>
          <w:rFonts w:hint="default" w:ascii="宋体" w:hAnsi="宋体" w:eastAsia="宋体" w:cs="宋体"/>
          <w:sz w:val="44"/>
          <w:szCs w:val="4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ESI楷体-GB2312">
    <w:altName w:val="宋体"/>
    <w:panose1 w:val="02000500000000000000"/>
    <w:charset w:val="86"/>
    <w:family w:val="auto"/>
    <w:pitch w:val="default"/>
    <w:sig w:usb0="00000000" w:usb1="00000000" w:usb2="00000012"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icrosoft YaHei UI">
    <w:altName w:val="宋体"/>
    <w:panose1 w:val="020B0503020204020204"/>
    <w:charset w:val="86"/>
    <w:family w:val="auto"/>
    <w:pitch w:val="default"/>
    <w:sig w:usb0="00000000" w:usb1="00000000"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lignBordersAndEdg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6CBF607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kern w:val="44"/>
      <w:sz w:val="48"/>
      <w:szCs w:val="48"/>
      <w:lang w:val="en-US" w:eastAsia="zh-CN"/>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rPr>
      <w:rFonts w:ascii="Calibri" w:hAnsi="Calibri" w:eastAsia="宋体" w:cs="Times New Roman"/>
      <w:szCs w:val="22"/>
    </w:rPr>
  </w:style>
  <w:style w:type="character" w:customStyle="1" w:styleId="8">
    <w:name w:val="页眉 Char Char"/>
    <w:basedOn w:val="6"/>
    <w:link w:val="4"/>
    <w:uiPriority w:val="99"/>
    <w:rPr>
      <w:rFonts w:ascii="Calibri" w:hAnsi="Calibri" w:eastAsia="宋体" w:cs="黑体"/>
      <w:kern w:val="2"/>
      <w:sz w:val="18"/>
      <w:szCs w:val="18"/>
    </w:rPr>
  </w:style>
  <w:style w:type="character" w:customStyle="1" w:styleId="9">
    <w:name w:val="页脚 Char Char"/>
    <w:basedOn w:val="6"/>
    <w:link w:val="3"/>
    <w:qFormat/>
    <w:uiPriority w:val="99"/>
    <w:rPr>
      <w:rFonts w:ascii="Calibri" w:hAnsi="Calibri" w:eastAsia="宋体" w:cs="黑体"/>
      <w:kern w:val="2"/>
      <w:sz w:val="18"/>
      <w:szCs w:val="18"/>
    </w:rPr>
  </w:style>
  <w:style w:type="character" w:customStyle="1" w:styleId="10">
    <w:name w:val="font21"/>
    <w:basedOn w:val="6"/>
    <w:qFormat/>
    <w:uiPriority w:val="0"/>
    <w:rPr>
      <w:rFonts w:hint="eastAsia" w:ascii="宋体" w:hAnsi="宋体" w:eastAsia="宋体" w:cs="宋体"/>
      <w:color w:val="000000"/>
      <w:sz w:val="22"/>
      <w:szCs w:val="22"/>
      <w:u w:val="none"/>
    </w:rPr>
  </w:style>
  <w:style w:type="character" w:customStyle="1" w:styleId="11">
    <w:name w:val="font41"/>
    <w:basedOn w:val="6"/>
    <w:qFormat/>
    <w:uiPriority w:val="0"/>
    <w:rPr>
      <w:rFonts w:ascii="Calibri" w:hAnsi="Calibri" w:cs="Calibri"/>
      <w:color w:val="000000"/>
      <w:sz w:val="21"/>
      <w:szCs w:val="21"/>
      <w:u w:val="none"/>
    </w:rPr>
  </w:style>
  <w:style w:type="character" w:customStyle="1" w:styleId="12">
    <w:name w:val="font81"/>
    <w:basedOn w:val="6"/>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7321</Words>
  <Characters>7825</Characters>
  <Lines>38</Lines>
  <Paragraphs>10</Paragraphs>
  <TotalTime>0</TotalTime>
  <ScaleCrop>false</ScaleCrop>
  <LinksUpToDate>false</LinksUpToDate>
  <CharactersWithSpaces>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2024-03-19T07:04:00Z</dcterms:created>
  <dc:creator>Administrator</dc:creator>
  <cp:lastModifiedBy>Administrator</cp:lastModifiedBy>
  <cp:lastPrinted>2025-04-16T09:53:00Z</cp:lastPrinted>
  <dcterms:modified xsi:type="dcterms:W3CDTF">2025-05-30T03:59:04Z</dcterms:modified>
  <dc:title>2023年度江永县第一小学整体支出绩效自评报告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685C9681D8E346F6948A0FF2B3657BD7_13</vt:lpwstr>
  </property>
</Properties>
</file>