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BE77D6">
      <w:pPr>
        <w:jc w:val="center"/>
        <w:rPr>
          <w:rFonts w:ascii="宋体" w:hAnsi="宋体"/>
          <w:sz w:val="44"/>
          <w:szCs w:val="44"/>
        </w:rPr>
      </w:pPr>
      <w:r>
        <w:rPr>
          <w:rFonts w:hint="eastAsia" w:ascii="宋体" w:hAnsi="宋体"/>
          <w:sz w:val="44"/>
          <w:szCs w:val="44"/>
        </w:rPr>
        <w:t>2024年度江永县</w:t>
      </w:r>
      <w:r>
        <w:rPr>
          <w:rFonts w:hint="eastAsia" w:ascii="宋体" w:hAnsi="宋体"/>
          <w:sz w:val="44"/>
          <w:szCs w:val="44"/>
          <w:lang w:eastAsia="zh-CN"/>
        </w:rPr>
        <w:t>粗石江镇中学</w:t>
      </w:r>
      <w:r>
        <w:rPr>
          <w:rFonts w:hint="eastAsia" w:ascii="宋体" w:hAnsi="宋体"/>
          <w:sz w:val="44"/>
          <w:szCs w:val="44"/>
        </w:rPr>
        <w:t>部门整体支出绩效自评报告</w:t>
      </w:r>
    </w:p>
    <w:p w14:paraId="2729EF47">
      <w:pPr>
        <w:rPr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一、基本情况</w:t>
      </w:r>
    </w:p>
    <w:p w14:paraId="52C117FD">
      <w:pPr>
        <w:ind w:firstLine="280" w:firstLineChars="1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1、江永县</w:t>
      </w:r>
      <w:r>
        <w:rPr>
          <w:rFonts w:hint="eastAsia" w:ascii="宋体" w:hAnsi="宋体"/>
          <w:sz w:val="28"/>
          <w:szCs w:val="28"/>
          <w:lang w:eastAsia="zh-CN"/>
        </w:rPr>
        <w:t>粗石江镇中学</w:t>
      </w:r>
      <w:r>
        <w:rPr>
          <w:rFonts w:hint="eastAsia" w:ascii="宋体" w:hAnsi="宋体"/>
          <w:sz w:val="28"/>
          <w:szCs w:val="28"/>
        </w:rPr>
        <w:t>现有在编教职工</w:t>
      </w:r>
      <w:r>
        <w:rPr>
          <w:rFonts w:hint="eastAsia" w:ascii="宋体" w:hAnsi="宋体"/>
          <w:sz w:val="28"/>
          <w:szCs w:val="28"/>
          <w:lang w:val="en-US" w:eastAsia="zh-CN"/>
        </w:rPr>
        <w:t>30</w:t>
      </w:r>
      <w:r>
        <w:rPr>
          <w:rFonts w:hint="eastAsia" w:ascii="宋体" w:hAnsi="宋体"/>
          <w:sz w:val="28"/>
          <w:szCs w:val="28"/>
        </w:rPr>
        <w:t>人，其中遗属补助人员</w:t>
      </w:r>
      <w:r>
        <w:rPr>
          <w:rFonts w:hint="eastAsia" w:ascii="宋体" w:hAnsi="宋体"/>
          <w:sz w:val="28"/>
          <w:szCs w:val="28"/>
          <w:lang w:val="en-US" w:eastAsia="zh-CN"/>
        </w:rPr>
        <w:t>7</w:t>
      </w:r>
      <w:r>
        <w:rPr>
          <w:rFonts w:hint="eastAsia" w:ascii="宋体" w:hAnsi="宋体"/>
          <w:sz w:val="28"/>
          <w:szCs w:val="28"/>
        </w:rPr>
        <w:t>人，退休人员</w:t>
      </w:r>
      <w:r>
        <w:rPr>
          <w:rFonts w:hint="eastAsia" w:ascii="宋体" w:hAnsi="宋体"/>
          <w:sz w:val="28"/>
          <w:szCs w:val="28"/>
          <w:lang w:val="en-US" w:eastAsia="zh-CN"/>
        </w:rPr>
        <w:t>14</w:t>
      </w:r>
      <w:r>
        <w:rPr>
          <w:rFonts w:hint="eastAsia" w:ascii="宋体" w:hAnsi="宋体"/>
          <w:sz w:val="28"/>
          <w:szCs w:val="28"/>
        </w:rPr>
        <w:t>人。</w:t>
      </w:r>
    </w:p>
    <w:p w14:paraId="2C862137">
      <w:pPr>
        <w:ind w:firstLine="280" w:firstLineChars="100"/>
        <w:rPr>
          <w:sz w:val="24"/>
          <w:szCs w:val="24"/>
        </w:rPr>
      </w:pPr>
      <w:r>
        <w:rPr>
          <w:rFonts w:hint="eastAsia" w:ascii="宋体" w:hAnsi="宋体"/>
          <w:sz w:val="28"/>
          <w:szCs w:val="28"/>
        </w:rPr>
        <w:t>2、本校共有1</w:t>
      </w:r>
      <w:r>
        <w:rPr>
          <w:rFonts w:hint="eastAsia" w:ascii="宋体" w:hAnsi="宋体"/>
          <w:sz w:val="28"/>
          <w:szCs w:val="28"/>
          <w:lang w:val="en-US" w:eastAsia="zh-CN"/>
        </w:rPr>
        <w:t>1</w:t>
      </w:r>
      <w:r>
        <w:rPr>
          <w:rFonts w:hint="eastAsia" w:ascii="宋体" w:hAnsi="宋体"/>
          <w:sz w:val="28"/>
          <w:szCs w:val="28"/>
        </w:rPr>
        <w:t>个教学班，学生人数</w:t>
      </w:r>
      <w:r>
        <w:rPr>
          <w:rFonts w:hint="eastAsia" w:ascii="宋体" w:hAnsi="宋体"/>
          <w:sz w:val="28"/>
          <w:szCs w:val="28"/>
          <w:lang w:val="en-US" w:eastAsia="zh-CN"/>
        </w:rPr>
        <w:t>454</w:t>
      </w:r>
      <w:r>
        <w:rPr>
          <w:rFonts w:hint="eastAsia" w:ascii="宋体" w:hAnsi="宋体"/>
          <w:sz w:val="28"/>
          <w:szCs w:val="28"/>
        </w:rPr>
        <w:t>人。</w:t>
      </w:r>
    </w:p>
    <w:p w14:paraId="32DB80F7">
      <w:pPr>
        <w:rPr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二、一般公共预算支出情况</w:t>
      </w:r>
    </w:p>
    <w:p w14:paraId="71FC4508">
      <w:pPr>
        <w:ind w:firstLine="280" w:firstLineChars="1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2024年度基本支出：</w:t>
      </w:r>
      <w:r>
        <w:rPr>
          <w:rFonts w:hint="eastAsia" w:ascii="宋体" w:hAnsi="宋体"/>
          <w:sz w:val="28"/>
          <w:szCs w:val="28"/>
          <w:lang w:val="en-US" w:eastAsia="zh-CN"/>
        </w:rPr>
        <w:t>304.92</w:t>
      </w:r>
      <w:r>
        <w:rPr>
          <w:rFonts w:hint="eastAsia" w:ascii="宋体" w:hAnsi="宋体"/>
          <w:sz w:val="28"/>
          <w:szCs w:val="28"/>
        </w:rPr>
        <w:t>万元。主要用于教职工的工资、各项社保费、办公费、水电费、遗属生活补助、邮电费、差旅费、培训费、公务接待费等。</w:t>
      </w:r>
    </w:p>
    <w:p w14:paraId="257637CA">
      <w:pPr>
        <w:rPr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三、纳入专户管理的非税收入支出情况</w:t>
      </w:r>
    </w:p>
    <w:p w14:paraId="6F87D198">
      <w:pPr>
        <w:ind w:firstLine="280" w:firstLineChars="1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2024年度基本支出</w:t>
      </w:r>
      <w:r>
        <w:rPr>
          <w:rFonts w:hint="eastAsia" w:ascii="宋体" w:hAnsi="宋体"/>
          <w:sz w:val="28"/>
          <w:szCs w:val="28"/>
          <w:lang w:val="en-US" w:eastAsia="zh-CN"/>
        </w:rPr>
        <w:t>17.52</w:t>
      </w:r>
      <w:r>
        <w:rPr>
          <w:rFonts w:hint="eastAsia" w:ascii="宋体" w:hAnsi="宋体"/>
          <w:sz w:val="28"/>
          <w:szCs w:val="28"/>
        </w:rPr>
        <w:t>万元。主要用于教职工课后服务劳务费、弥补学校经费不足的日常支付。</w:t>
      </w:r>
    </w:p>
    <w:p w14:paraId="44E178EE">
      <w:pPr>
        <w:rPr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四、部门整体支出绩效情况</w:t>
      </w:r>
    </w:p>
    <w:p w14:paraId="5A7E41D7">
      <w:pPr>
        <w:ind w:firstLine="280" w:firstLineChars="1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通过绩效评价工作组对全部资金的实施情况进行了整体跟踪，从资金的拨付及使用进行了综合评价，认为目前资金已全部实施完成，学生、人民群众很满意，本次的绩效综合评价得分</w:t>
      </w:r>
      <w:r>
        <w:rPr>
          <w:rFonts w:hint="eastAsia" w:ascii="宋体" w:hAnsi="宋体"/>
          <w:sz w:val="28"/>
          <w:szCs w:val="28"/>
          <w:lang w:val="en-US" w:eastAsia="zh-CN"/>
        </w:rPr>
        <w:t>98</w:t>
      </w:r>
      <w:r>
        <w:rPr>
          <w:rFonts w:hint="eastAsia" w:ascii="宋体" w:hAnsi="宋体"/>
          <w:sz w:val="28"/>
          <w:szCs w:val="28"/>
        </w:rPr>
        <w:t>分。</w:t>
      </w:r>
    </w:p>
    <w:p w14:paraId="10B63723">
      <w:pPr>
        <w:rPr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五、存在的问题及原因分析</w:t>
      </w:r>
    </w:p>
    <w:p w14:paraId="7D655331">
      <w:pPr>
        <w:ind w:firstLine="280" w:firstLineChars="100"/>
        <w:rPr>
          <w:sz w:val="24"/>
          <w:szCs w:val="24"/>
        </w:rPr>
      </w:pPr>
      <w:r>
        <w:rPr>
          <w:rFonts w:hint="eastAsia" w:ascii="宋体" w:hAnsi="宋体"/>
          <w:sz w:val="28"/>
          <w:szCs w:val="28"/>
        </w:rPr>
        <w:t>单位在录单后，审核支付时间跨度大，造成日常工作的不便。</w:t>
      </w:r>
    </w:p>
    <w:p w14:paraId="263D75C2">
      <w:pPr>
        <w:rPr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六、下一步改进措施</w:t>
      </w:r>
    </w:p>
    <w:p w14:paraId="59BB4F9D"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一是建议加大对督学责任区经费项目的投入力度，提高教学环境和质量，促进教育事业的健康快速高质量发展。</w:t>
      </w:r>
    </w:p>
    <w:p w14:paraId="08644050"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二是进一步健全和完善财务管理制度及内部控制制度，创新管理手段，用新思路、新方法，改进完善财务管理方法。按照财政支出绩效管理的要求，建立科学的财政资金效益考评制度体系，不断提高财政资金使用管理的水平和效率。</w:t>
      </w:r>
    </w:p>
    <w:p w14:paraId="0D9552FE">
      <w:r>
        <w:rPr>
          <w:rFonts w:hint="eastAsia"/>
        </w:rPr>
        <w:t xml:space="preserve"> </w:t>
      </w:r>
    </w:p>
    <w:p w14:paraId="1C93B477">
      <w:r>
        <w:rPr>
          <w:rFonts w:hint="eastAsia"/>
        </w:rPr>
        <w:t xml:space="preserve"> </w:t>
      </w:r>
    </w:p>
    <w:p w14:paraId="7E9E85AC">
      <w:pPr>
        <w:jc w:val="righ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江永县</w:t>
      </w:r>
      <w:r>
        <w:rPr>
          <w:rFonts w:hint="eastAsia" w:ascii="宋体" w:hAnsi="宋体"/>
          <w:sz w:val="28"/>
          <w:szCs w:val="28"/>
          <w:lang w:eastAsia="zh-CN"/>
        </w:rPr>
        <w:t>粗石江镇中学</w:t>
      </w:r>
      <w:r>
        <w:rPr>
          <w:rFonts w:hint="eastAsia" w:ascii="宋体" w:hAnsi="宋体"/>
          <w:sz w:val="28"/>
          <w:szCs w:val="28"/>
        </w:rPr>
        <w:t xml:space="preserve"> </w:t>
      </w:r>
    </w:p>
    <w:p w14:paraId="775410B6">
      <w:pPr>
        <w:jc w:val="righ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2025年04月</w:t>
      </w:r>
      <w:r>
        <w:rPr>
          <w:rFonts w:hint="eastAsia" w:ascii="宋体" w:hAnsi="宋体"/>
          <w:sz w:val="28"/>
          <w:szCs w:val="28"/>
          <w:lang w:val="en-US" w:eastAsia="zh-CN"/>
        </w:rPr>
        <w:t>28</w:t>
      </w:r>
      <w:r>
        <w:rPr>
          <w:rFonts w:hint="eastAsia" w:ascii="宋体" w:hAnsi="宋体"/>
          <w:sz w:val="28"/>
          <w:szCs w:val="28"/>
        </w:rPr>
        <w:t>日</w:t>
      </w:r>
    </w:p>
    <w:p w14:paraId="6E104621">
      <w:pPr>
        <w:rPr>
          <w:rFonts w:hint="eastAsia"/>
        </w:rPr>
      </w:pPr>
    </w:p>
    <w:p w14:paraId="1C759616">
      <w:pPr>
        <w:rPr>
          <w:rFonts w:hint="eastAsia"/>
        </w:rPr>
      </w:pPr>
    </w:p>
    <w:p w14:paraId="3FBA1B51">
      <w:pPr>
        <w:rPr>
          <w:rFonts w:hint="eastAsia"/>
        </w:rPr>
      </w:pPr>
    </w:p>
    <w:p w14:paraId="7D3DB042">
      <w:pPr>
        <w:rPr>
          <w:rFonts w:hint="eastAsia"/>
        </w:rPr>
      </w:pPr>
    </w:p>
    <w:p w14:paraId="5C9E0821">
      <w:pPr>
        <w:rPr>
          <w:rFonts w:hint="eastAsia"/>
        </w:rPr>
      </w:pPr>
    </w:p>
    <w:p w14:paraId="3308DC47">
      <w:pPr>
        <w:rPr>
          <w:rFonts w:hint="eastAsia"/>
        </w:rPr>
      </w:pPr>
    </w:p>
    <w:p w14:paraId="3EC36690">
      <w:pPr>
        <w:rPr>
          <w:rFonts w:hint="eastAsia"/>
        </w:rPr>
      </w:pPr>
    </w:p>
    <w:p w14:paraId="10F99CD3">
      <w:pPr>
        <w:rPr>
          <w:rFonts w:hint="eastAsia"/>
        </w:rPr>
      </w:pPr>
    </w:p>
    <w:p w14:paraId="6F87CF6F">
      <w:pPr>
        <w:rPr>
          <w:rFonts w:hint="eastAsia"/>
        </w:rPr>
      </w:pPr>
    </w:p>
    <w:p w14:paraId="369FBD74">
      <w:pPr>
        <w:rPr>
          <w:rFonts w:hint="eastAsia"/>
        </w:rPr>
      </w:pPr>
    </w:p>
    <w:p w14:paraId="7E254516">
      <w:pPr>
        <w:rPr>
          <w:rFonts w:hint="eastAsia"/>
        </w:rPr>
      </w:pPr>
    </w:p>
    <w:p w14:paraId="145A8373">
      <w:pPr>
        <w:rPr>
          <w:rFonts w:hint="eastAsia"/>
        </w:rPr>
      </w:pPr>
    </w:p>
    <w:p w14:paraId="6DF34C26">
      <w:pPr>
        <w:rPr>
          <w:rFonts w:hint="eastAsia"/>
        </w:rPr>
      </w:pPr>
    </w:p>
    <w:p w14:paraId="4047D998">
      <w:pPr>
        <w:rPr>
          <w:rFonts w:hint="eastAsia"/>
        </w:rPr>
      </w:pPr>
    </w:p>
    <w:p w14:paraId="3F08FD53">
      <w:pPr>
        <w:rPr>
          <w:rFonts w:hint="eastAsia"/>
        </w:rPr>
      </w:pPr>
    </w:p>
    <w:p w14:paraId="35CC37B8">
      <w:pPr>
        <w:rPr>
          <w:rFonts w:hint="eastAsia"/>
        </w:rPr>
      </w:pPr>
    </w:p>
    <w:p w14:paraId="4F29C90F">
      <w:pPr>
        <w:rPr>
          <w:rFonts w:hint="eastAsia"/>
        </w:rPr>
      </w:pPr>
    </w:p>
    <w:p w14:paraId="61DD5442">
      <w:pPr>
        <w:rPr>
          <w:rFonts w:hint="eastAsia"/>
        </w:rPr>
      </w:pPr>
    </w:p>
    <w:p w14:paraId="690C60AC">
      <w:pPr>
        <w:rPr>
          <w:rFonts w:hint="eastAsia"/>
        </w:rPr>
      </w:pPr>
    </w:p>
    <w:p w14:paraId="1C196143">
      <w:pPr>
        <w:rPr>
          <w:rFonts w:hint="eastAsia"/>
        </w:rPr>
      </w:pPr>
    </w:p>
    <w:p w14:paraId="3B025C55">
      <w:pPr>
        <w:rPr>
          <w:rFonts w:hint="eastAsia"/>
        </w:rPr>
      </w:pPr>
    </w:p>
    <w:p w14:paraId="34A2960D">
      <w:pPr>
        <w:rPr>
          <w:rFonts w:hint="eastAsia"/>
        </w:rPr>
      </w:pPr>
    </w:p>
    <w:p w14:paraId="02EC94CB">
      <w:pPr>
        <w:rPr>
          <w:rFonts w:hint="eastAsia"/>
        </w:rPr>
      </w:pPr>
    </w:p>
    <w:p w14:paraId="64F14E85">
      <w:pPr>
        <w:rPr>
          <w:rFonts w:hint="eastAsia"/>
        </w:rPr>
      </w:pPr>
    </w:p>
    <w:p w14:paraId="5D1B583A">
      <w:pPr>
        <w:rPr>
          <w:rFonts w:hint="eastAsia"/>
        </w:rPr>
      </w:pPr>
    </w:p>
    <w:p w14:paraId="45DC3B90">
      <w:pPr>
        <w:rPr>
          <w:rFonts w:hint="eastAsia"/>
        </w:rPr>
      </w:pPr>
    </w:p>
    <w:p w14:paraId="2F67BEC5">
      <w:pPr>
        <w:rPr>
          <w:rFonts w:hint="eastAsia"/>
        </w:rPr>
      </w:pPr>
    </w:p>
    <w:p w14:paraId="307AF3A8">
      <w:pPr>
        <w:rPr>
          <w:rFonts w:hint="eastAsia"/>
        </w:rPr>
      </w:pPr>
    </w:p>
    <w:p w14:paraId="5D145EB2">
      <w:pPr>
        <w:rPr>
          <w:rFonts w:hint="eastAsia"/>
        </w:rPr>
      </w:pPr>
    </w:p>
    <w:tbl>
      <w:tblPr>
        <w:tblStyle w:val="4"/>
        <w:tblpPr w:leftFromText="180" w:rightFromText="180" w:vertAnchor="text" w:horzAnchor="page" w:tblpX="1163" w:tblpY="141"/>
        <w:tblOverlap w:val="never"/>
        <w:tblW w:w="938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2"/>
        <w:gridCol w:w="937"/>
        <w:gridCol w:w="1006"/>
        <w:gridCol w:w="1025"/>
        <w:gridCol w:w="1035"/>
        <w:gridCol w:w="809"/>
        <w:gridCol w:w="766"/>
        <w:gridCol w:w="769"/>
        <w:gridCol w:w="654"/>
        <w:gridCol w:w="771"/>
        <w:gridCol w:w="854"/>
      </w:tblGrid>
      <w:tr w14:paraId="19FC70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9380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D5A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自评表</w:t>
            </w:r>
          </w:p>
        </w:tc>
      </w:tr>
      <w:tr w14:paraId="1FF3B8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17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610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预算部门名称</w:t>
            </w:r>
          </w:p>
        </w:tc>
        <w:tc>
          <w:tcPr>
            <w:tcW w:w="7651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9F5D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江永县粗石江镇中学</w:t>
            </w:r>
          </w:p>
        </w:tc>
      </w:tr>
      <w:tr w14:paraId="4AB378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172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9D47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Microsoft YaHei UI" w:hAnsi="Microsoft YaHei UI" w:eastAsia="Microsoft YaHei UI" w:cs="Microsoft YaHei UI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Microsoft YaHei UI" w:hAnsi="Microsoft YaHei UI" w:eastAsia="Microsoft YaHei UI" w:cs="Microsoft YaHei U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年度预算申请</w:t>
            </w:r>
            <w:r>
              <w:rPr>
                <w:rFonts w:hint="default" w:ascii="Microsoft YaHei UI" w:hAnsi="Microsoft YaHei UI" w:eastAsia="Microsoft YaHei UI" w:cs="Microsoft YaHei U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Microsoft YaHei UI" w:hAnsi="Microsoft YaHei UI" w:eastAsia="Microsoft YaHei UI" w:cs="Microsoft YaHei U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(万元)</w:t>
            </w:r>
          </w:p>
        </w:tc>
        <w:tc>
          <w:tcPr>
            <w:tcW w:w="1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BD43C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1B3E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年初预算数</w:t>
            </w: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(万元)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A35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23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A33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D2D9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B1C0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4BDF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 w14:paraId="086D94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72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C2E1DD">
            <w:pPr>
              <w:jc w:val="center"/>
              <w:rPr>
                <w:rFonts w:hint="default" w:ascii="Microsoft YaHei UI" w:hAnsi="Microsoft YaHei UI" w:eastAsia="Microsoft YaHei UI" w:cs="Microsoft YaHei UI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9C7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年度资金总额：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F12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346.36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00B6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1034.36</w:t>
            </w:r>
          </w:p>
        </w:tc>
        <w:tc>
          <w:tcPr>
            <w:tcW w:w="23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0EA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304.92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043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20B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29.47%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1A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2.95</w:t>
            </w:r>
          </w:p>
        </w:tc>
      </w:tr>
      <w:tr w14:paraId="6246BC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2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4FBF08">
            <w:pPr>
              <w:jc w:val="center"/>
              <w:rPr>
                <w:rFonts w:hint="default" w:ascii="Microsoft YaHei UI" w:hAnsi="Microsoft YaHei UI" w:eastAsia="Microsoft YaHei UI" w:cs="Microsoft YaHei UI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41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62B0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按收入性质分：</w:t>
            </w:r>
          </w:p>
        </w:tc>
        <w:tc>
          <w:tcPr>
            <w:tcW w:w="224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DFC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按支出性质分：</w:t>
            </w:r>
          </w:p>
        </w:tc>
      </w:tr>
      <w:tr w14:paraId="3E93FF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</w:trPr>
        <w:tc>
          <w:tcPr>
            <w:tcW w:w="172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50667A">
            <w:pPr>
              <w:jc w:val="center"/>
              <w:rPr>
                <w:rFonts w:hint="default" w:ascii="Microsoft YaHei UI" w:hAnsi="Microsoft YaHei UI" w:eastAsia="Microsoft YaHei UI" w:cs="Microsoft YaHei UI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0D72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一般公共预算：</w:t>
            </w:r>
          </w:p>
        </w:tc>
        <w:tc>
          <w:tcPr>
            <w:tcW w:w="440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179C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1006.81</w:t>
            </w:r>
          </w:p>
        </w:tc>
        <w:tc>
          <w:tcPr>
            <w:tcW w:w="6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5B7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其中:基本支出：</w:t>
            </w:r>
          </w:p>
        </w:tc>
        <w:tc>
          <w:tcPr>
            <w:tcW w:w="1587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A49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304.92</w:t>
            </w:r>
          </w:p>
        </w:tc>
      </w:tr>
      <w:tr w14:paraId="479169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72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C24BFD">
            <w:pPr>
              <w:jc w:val="center"/>
              <w:rPr>
                <w:rFonts w:hint="default" w:ascii="Microsoft YaHei UI" w:hAnsi="Microsoft YaHei UI" w:eastAsia="Microsoft YaHei UI" w:cs="Microsoft YaHei UI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DE2C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政府性基金拨款：</w:t>
            </w:r>
          </w:p>
        </w:tc>
        <w:tc>
          <w:tcPr>
            <w:tcW w:w="440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C03E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17.52</w:t>
            </w:r>
          </w:p>
        </w:tc>
        <w:tc>
          <w:tcPr>
            <w:tcW w:w="6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10BC2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8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D3071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EFF7F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7" w:hRule="atLeast"/>
        </w:trPr>
        <w:tc>
          <w:tcPr>
            <w:tcW w:w="172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C9119A">
            <w:pPr>
              <w:jc w:val="center"/>
              <w:rPr>
                <w:rFonts w:hint="default" w:ascii="Microsoft YaHei UI" w:hAnsi="Microsoft YaHei UI" w:eastAsia="Microsoft YaHei UI" w:cs="Microsoft YaHei UI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520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纳入专户管理的非税收入拨款：</w:t>
            </w:r>
          </w:p>
        </w:tc>
        <w:tc>
          <w:tcPr>
            <w:tcW w:w="440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F10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10.03</w:t>
            </w:r>
          </w:p>
        </w:tc>
        <w:tc>
          <w:tcPr>
            <w:tcW w:w="6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689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项目支出：</w:t>
            </w:r>
          </w:p>
        </w:tc>
        <w:tc>
          <w:tcPr>
            <w:tcW w:w="1587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C8F9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</w:t>
            </w:r>
          </w:p>
        </w:tc>
      </w:tr>
      <w:tr w14:paraId="5B26B3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72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726618">
            <w:pPr>
              <w:jc w:val="center"/>
              <w:rPr>
                <w:rFonts w:hint="default" w:ascii="Microsoft YaHei UI" w:hAnsi="Microsoft YaHei UI" w:eastAsia="Microsoft YaHei UI" w:cs="Microsoft YaHei UI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57E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</w:t>
            </w:r>
          </w:p>
        </w:tc>
        <w:tc>
          <w:tcPr>
            <w:tcW w:w="440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FC4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</w:t>
            </w:r>
          </w:p>
        </w:tc>
        <w:tc>
          <w:tcPr>
            <w:tcW w:w="6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AFEFE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8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4CE78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9CE5A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72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C10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541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FA6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224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916A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 w14:paraId="6B89CD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7" w:hRule="atLeast"/>
        </w:trPr>
        <w:tc>
          <w:tcPr>
            <w:tcW w:w="172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D4817A"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41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613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全面提升教学质量，注重培养学生的创新精神和实践能力；加强师资队伍建设，营造浓厚的学术氛围；推进校园文化建设，打造安全、和谐、美丽的校园环境。</w:t>
            </w:r>
          </w:p>
        </w:tc>
        <w:tc>
          <w:tcPr>
            <w:tcW w:w="224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80B5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完成</w:t>
            </w:r>
          </w:p>
        </w:tc>
      </w:tr>
      <w:tr w14:paraId="6ECDC4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6F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93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EE5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C5B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0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2F8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10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7E1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8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597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评扣分标准</w:t>
            </w:r>
          </w:p>
        </w:tc>
        <w:tc>
          <w:tcPr>
            <w:tcW w:w="7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3A6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7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2876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2241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FF8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7D274A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7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C27AC7"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C746BB"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034887"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B597F7"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A7D49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771669"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DA19EF"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0C2342"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41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B4F54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0200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7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A426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93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A6DA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A504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教师考核人数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62E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30人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6B47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30人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F00F35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8F6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FC6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224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F216E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182E0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7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68641F">
            <w:pP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4B7BAD">
            <w:pP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ACE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学生招生数量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79BE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454人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2DC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454人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BA8F88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7A1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68B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224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5734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FF415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7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D0AAE9">
            <w:pP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D2F371">
            <w:pP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CC4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贫困生资助数量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269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130人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F52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130人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9B5F86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34C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F5E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224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F9D73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99FF5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7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3F00A1">
            <w:pP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B0885E">
            <w:pP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548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教师培训数量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E81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30人 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EB1C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30人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41AD3F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4DB6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1F5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224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10EAE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F7E8F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7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8E67BF">
            <w:pP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E83F6E">
            <w:pP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23A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一次性抚恤金发放人数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674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1人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2A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1人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F2FCF1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E18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1830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224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5450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DD4D6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7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DADF69">
            <w:pP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968A01">
            <w:pP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0B5D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贫困生资助准确率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CD9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E90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1DE420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F59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ACA3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224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25A4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39C52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7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EB735F">
            <w:pP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76BDE2">
            <w:pP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9D5F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教师培训完成率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ABB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18E2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72B609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476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C5F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224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1016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A3948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7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CF282F">
            <w:pP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F4C53D">
            <w:pP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C9D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食品安全达标率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6768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2CB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47D010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989E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6C4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4.99</w:t>
            </w:r>
          </w:p>
        </w:tc>
        <w:tc>
          <w:tcPr>
            <w:tcW w:w="224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BF743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E7A0F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7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2B072B">
            <w:pP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118311">
            <w:pP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698B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完成时间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31E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2024年内完成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EAB5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2024年内完成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276E04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A93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4204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  <w:bookmarkStart w:id="0" w:name="_GoBack"/>
            <w:bookmarkEnd w:id="0"/>
          </w:p>
        </w:tc>
        <w:tc>
          <w:tcPr>
            <w:tcW w:w="224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39DE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FF7DA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7" w:hRule="atLeast"/>
        </w:trPr>
        <w:tc>
          <w:tcPr>
            <w:tcW w:w="7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D2F69F">
            <w:pP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12EE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40A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提高教师队伍生活水平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B2A8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提高教师队伍生活水平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150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提高教师队伍生活水平 　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3097DF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EBB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B973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224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957B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74B3B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7" w:hRule="atLeast"/>
        </w:trPr>
        <w:tc>
          <w:tcPr>
            <w:tcW w:w="7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867569">
            <w:pP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15573B">
            <w:pP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46FA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使教师与学生拥有良好的教育环境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8BA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使教师与学生拥有良好的教育环境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92D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使教师与学生拥有良好的教育环境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E0F0C8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202E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D41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224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A0C9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DA7A7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7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EB27DF">
            <w:pP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CF4F3D">
            <w:pP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D452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改善校园环境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08D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改善校园环境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65F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改善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30816D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8F3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62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224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7FFC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3177A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7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2F55E0">
            <w:pP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5E994">
            <w:pP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D3D8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可持续发展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B92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可持续发展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0F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可持续发展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3C3BE5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297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D49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224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BBEB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C4E6C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7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6C4421">
            <w:pP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078F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B61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教师与家长满意率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5A1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7FC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95%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5E11D8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E50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1669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224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A917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4523F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7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75F1EE">
            <w:pP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E7B6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96AC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部门整体控制数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4C72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304.92万元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AD2F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304.92万元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AF264E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02E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88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224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C2D6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0C2F8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7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983CE4">
            <w:pP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15D5C2">
            <w:pP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FC5AB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5D9769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00B1D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726CE1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3B8ED4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1F96D2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4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5D31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2F580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7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0FC04E">
            <w:pP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E0F6F2">
            <w:pP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33363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CD20F6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B649A3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908741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861469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3F3D28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4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52B4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C4165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17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F77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7651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715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89.45</w:t>
            </w:r>
          </w:p>
        </w:tc>
      </w:tr>
    </w:tbl>
    <w:p w14:paraId="2C153150">
      <w:pPr>
        <w:rPr>
          <w:rFonts w:hint="eastAsia"/>
        </w:rPr>
      </w:pPr>
    </w:p>
    <w:p w14:paraId="67ECD423">
      <w:pPr>
        <w:rPr>
          <w:rFonts w:hint="eastAsia"/>
        </w:rPr>
      </w:pPr>
    </w:p>
    <w:p w14:paraId="448DB3B8">
      <w:pPr>
        <w:rPr>
          <w:rFonts w:hint="eastAsia"/>
        </w:rPr>
      </w:pPr>
    </w:p>
    <w:p w14:paraId="7D37F3A2"/>
    <w:p w14:paraId="435ADFA4"/>
    <w:p w14:paraId="2F4B3301"/>
    <w:p w14:paraId="4E26C366"/>
    <w:p w14:paraId="521EC789"/>
    <w:p w14:paraId="2CC191F6"/>
    <w:p w14:paraId="4C5ACE01"/>
    <w:p w14:paraId="2138CCE8"/>
    <w:p w14:paraId="34C3F298"/>
    <w:p w14:paraId="02D91493"/>
    <w:p w14:paraId="31A61D9F"/>
    <w:p w14:paraId="1E6B9D2F"/>
    <w:p w14:paraId="097FEFAA"/>
    <w:p w14:paraId="711191FB"/>
    <w:p w14:paraId="75E4BC34"/>
    <w:p w14:paraId="4260FD7A"/>
    <w:p w14:paraId="4EC9AC82"/>
    <w:p w14:paraId="175D6575"/>
    <w:p w14:paraId="4334F129"/>
    <w:tbl>
      <w:tblPr>
        <w:tblW w:w="924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8"/>
        <w:gridCol w:w="1256"/>
        <w:gridCol w:w="610"/>
        <w:gridCol w:w="1504"/>
        <w:gridCol w:w="584"/>
        <w:gridCol w:w="1648"/>
        <w:gridCol w:w="1290"/>
      </w:tblGrid>
      <w:tr w14:paraId="164EAE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" w:hRule="atLeast"/>
        </w:trPr>
        <w:tc>
          <w:tcPr>
            <w:tcW w:w="924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3E6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基础数据表</w:t>
            </w:r>
          </w:p>
        </w:tc>
      </w:tr>
      <w:tr w14:paraId="2A8C41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3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4590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财政供养人员情况</w:t>
            </w:r>
          </w:p>
        </w:tc>
        <w:tc>
          <w:tcPr>
            <w:tcW w:w="18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808C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编制数</w:t>
            </w:r>
          </w:p>
        </w:tc>
        <w:tc>
          <w:tcPr>
            <w:tcW w:w="20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9DF1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2024年实际在职人数</w:t>
            </w:r>
          </w:p>
        </w:tc>
        <w:tc>
          <w:tcPr>
            <w:tcW w:w="29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AC0D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控制率</w:t>
            </w:r>
          </w:p>
        </w:tc>
      </w:tr>
      <w:tr w14:paraId="03148F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3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7DD85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2E0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20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0C5F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29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045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100.00%</w:t>
            </w:r>
          </w:p>
        </w:tc>
      </w:tr>
      <w:tr w14:paraId="5EBFA8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" w:hRule="atLeast"/>
        </w:trPr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02D8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经费控制情况(万元)</w:t>
            </w:r>
          </w:p>
        </w:tc>
        <w:tc>
          <w:tcPr>
            <w:tcW w:w="18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D7C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2023年决算数</w:t>
            </w:r>
          </w:p>
        </w:tc>
        <w:tc>
          <w:tcPr>
            <w:tcW w:w="20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4337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2024年预算数</w:t>
            </w:r>
          </w:p>
        </w:tc>
        <w:tc>
          <w:tcPr>
            <w:tcW w:w="29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C798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2024年决算数</w:t>
            </w:r>
          </w:p>
        </w:tc>
      </w:tr>
      <w:tr w14:paraId="233DB3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A723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三公经费</w:t>
            </w:r>
          </w:p>
        </w:tc>
        <w:tc>
          <w:tcPr>
            <w:tcW w:w="18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8486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3.58</w:t>
            </w:r>
          </w:p>
        </w:tc>
        <w:tc>
          <w:tcPr>
            <w:tcW w:w="20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ABE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3.45</w:t>
            </w:r>
          </w:p>
        </w:tc>
        <w:tc>
          <w:tcPr>
            <w:tcW w:w="29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91A8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3.45</w:t>
            </w:r>
          </w:p>
        </w:tc>
      </w:tr>
      <w:tr w14:paraId="454459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3AE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1、公务用车购置和维护经费</w:t>
            </w:r>
          </w:p>
        </w:tc>
        <w:tc>
          <w:tcPr>
            <w:tcW w:w="18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26E3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20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844E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29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042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</w:tr>
      <w:tr w14:paraId="5A899B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7A5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其中：公车购置</w:t>
            </w:r>
          </w:p>
        </w:tc>
        <w:tc>
          <w:tcPr>
            <w:tcW w:w="18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6216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97DE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9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A111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C1A4D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B1D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公车运行维护</w:t>
            </w:r>
          </w:p>
        </w:tc>
        <w:tc>
          <w:tcPr>
            <w:tcW w:w="18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98A3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6522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9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2115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BE134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56A8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2、出国经费</w:t>
            </w:r>
          </w:p>
        </w:tc>
        <w:tc>
          <w:tcPr>
            <w:tcW w:w="18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B914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F9E39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9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64F4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BE2B3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5B4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3、公务接待</w:t>
            </w:r>
          </w:p>
        </w:tc>
        <w:tc>
          <w:tcPr>
            <w:tcW w:w="18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DE4F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3.58</w:t>
            </w:r>
          </w:p>
        </w:tc>
        <w:tc>
          <w:tcPr>
            <w:tcW w:w="20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A5F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3.45</w:t>
            </w:r>
          </w:p>
        </w:tc>
        <w:tc>
          <w:tcPr>
            <w:tcW w:w="29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D9C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3.45</w:t>
            </w:r>
          </w:p>
        </w:tc>
      </w:tr>
      <w:tr w14:paraId="6C2C9B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176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项目支出：</w:t>
            </w:r>
          </w:p>
        </w:tc>
        <w:tc>
          <w:tcPr>
            <w:tcW w:w="18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9468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184.71</w:t>
            </w:r>
          </w:p>
        </w:tc>
        <w:tc>
          <w:tcPr>
            <w:tcW w:w="20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9E1B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29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A878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</w:tr>
      <w:tr w14:paraId="4C931B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385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1、业务工作经费</w:t>
            </w:r>
          </w:p>
        </w:tc>
        <w:tc>
          <w:tcPr>
            <w:tcW w:w="18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29C6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7727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9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1E61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DE82D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3D8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2、运行维护经费</w:t>
            </w:r>
          </w:p>
        </w:tc>
        <w:tc>
          <w:tcPr>
            <w:tcW w:w="18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D6A7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96E9C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9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8FBC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71903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" w:hRule="atLeast"/>
        </w:trPr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8DE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3、本级专项资金（一个专项一行）</w:t>
            </w:r>
          </w:p>
        </w:tc>
        <w:tc>
          <w:tcPr>
            <w:tcW w:w="18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F07C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184.71</w:t>
            </w:r>
          </w:p>
        </w:tc>
        <w:tc>
          <w:tcPr>
            <w:tcW w:w="20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2ABF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29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51B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</w:tr>
      <w:tr w14:paraId="2594DE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DA43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公用经费：</w:t>
            </w:r>
          </w:p>
        </w:tc>
        <w:tc>
          <w:tcPr>
            <w:tcW w:w="18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8AF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235.1</w:t>
            </w:r>
          </w:p>
        </w:tc>
        <w:tc>
          <w:tcPr>
            <w:tcW w:w="20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D07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304.92</w:t>
            </w:r>
          </w:p>
        </w:tc>
        <w:tc>
          <w:tcPr>
            <w:tcW w:w="29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B41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304.92</w:t>
            </w:r>
          </w:p>
        </w:tc>
      </w:tr>
      <w:tr w14:paraId="1A2118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D65D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其中：办公经费</w:t>
            </w:r>
          </w:p>
        </w:tc>
        <w:tc>
          <w:tcPr>
            <w:tcW w:w="18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B75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81.9</w:t>
            </w:r>
          </w:p>
        </w:tc>
        <w:tc>
          <w:tcPr>
            <w:tcW w:w="20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518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35.5</w:t>
            </w:r>
          </w:p>
        </w:tc>
        <w:tc>
          <w:tcPr>
            <w:tcW w:w="29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50CB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35.5</w:t>
            </w:r>
          </w:p>
        </w:tc>
      </w:tr>
      <w:tr w14:paraId="48879B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63F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水费、电费、差旅费</w:t>
            </w:r>
          </w:p>
        </w:tc>
        <w:tc>
          <w:tcPr>
            <w:tcW w:w="18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3A1B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20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5ECF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29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760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</w:tr>
      <w:tr w14:paraId="550471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13D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会议费、培训费</w:t>
            </w:r>
          </w:p>
        </w:tc>
        <w:tc>
          <w:tcPr>
            <w:tcW w:w="18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D784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74.9</w:t>
            </w:r>
          </w:p>
        </w:tc>
        <w:tc>
          <w:tcPr>
            <w:tcW w:w="20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2CCD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29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83A4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</w:tr>
      <w:tr w14:paraId="511AEB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3245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政府采购金额</w:t>
            </w:r>
          </w:p>
        </w:tc>
        <w:tc>
          <w:tcPr>
            <w:tcW w:w="18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A4A9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B2C0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29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6825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</w:tr>
      <w:tr w14:paraId="3A6040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DD08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部门基本支出预算调整 </w:t>
            </w:r>
          </w:p>
        </w:tc>
        <w:tc>
          <w:tcPr>
            <w:tcW w:w="18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EBE8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4DAE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9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27D8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55018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3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C45F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楼堂馆所控制情况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（2024年完工项目）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B787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批复规模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（㎡）</w:t>
            </w: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CD3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实际规模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（㎡）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DF1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规模控制率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64EA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预算投资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（万元）</w:t>
            </w:r>
          </w:p>
        </w:tc>
        <w:tc>
          <w:tcPr>
            <w:tcW w:w="1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BED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实际投资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（万元）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409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投资概算控制率</w:t>
            </w:r>
          </w:p>
        </w:tc>
      </w:tr>
      <w:tr w14:paraId="1C3FF5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3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27255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3931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0.00</w:t>
            </w: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F65E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84029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9AA7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314C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F4D3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0BCDD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" w:hRule="atLeast"/>
        </w:trPr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1BC7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厉行节约保障措施</w:t>
            </w:r>
          </w:p>
        </w:tc>
        <w:tc>
          <w:tcPr>
            <w:tcW w:w="689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363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 完善规章制度，加强内部控制</w:t>
            </w:r>
          </w:p>
        </w:tc>
      </w:tr>
    </w:tbl>
    <w:p w14:paraId="487C952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YaHei U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527"/>
    <w:rsid w:val="0002680A"/>
    <w:rsid w:val="000C43F4"/>
    <w:rsid w:val="0025253B"/>
    <w:rsid w:val="006D0C55"/>
    <w:rsid w:val="00955CD4"/>
    <w:rsid w:val="00A8073C"/>
    <w:rsid w:val="00B75527"/>
    <w:rsid w:val="00EC68D9"/>
    <w:rsid w:val="433B0204"/>
    <w:rsid w:val="4C1F5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882</Words>
  <Characters>1014</Characters>
  <Lines>31</Lines>
  <Paragraphs>8</Paragraphs>
  <TotalTime>6</TotalTime>
  <ScaleCrop>false</ScaleCrop>
  <LinksUpToDate>false</LinksUpToDate>
  <CharactersWithSpaces>1059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2024-03-20T07:09:00Z</dcterms:created>
  <dc:creator>Administrator</dc:creator>
  <cp:lastModifiedBy>夏天</cp:lastModifiedBy>
  <dcterms:modified xsi:type="dcterms:W3CDTF">2025-04-29T07:26:29Z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eyJoZGlkIjoiMmRiNGM5OTg5MWMzODUxMDJiMmU0OWJjYTk4MzU0MTgiLCJ1c2VySWQiOiI1NTU5MjU1MDkifQ==</vt:lpwstr>
  </property>
  <property fmtid="{D5CDD505-2E9C-101B-9397-08002B2CF9AE}" pid="3" name="KSOProductBuildVer">
    <vt:lpwstr>2052-12.1.0.20784</vt:lpwstr>
  </property>
  <property fmtid="{D5CDD505-2E9C-101B-9397-08002B2CF9AE}" pid="4" name="ICV">
    <vt:lpwstr>7981472717F740649753EF32668745D4_13</vt:lpwstr>
  </property>
</Properties>
</file>