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eastAsia="方正小标宋_GBK"/>
          <w:sz w:val="36"/>
          <w:szCs w:val="36"/>
        </w:rPr>
      </w:pPr>
      <w:r>
        <w:rPr>
          <w:rFonts w:hint="eastAsia" w:eastAsia="方正小标宋_GBK"/>
          <w:sz w:val="36"/>
          <w:szCs w:val="36"/>
        </w:rPr>
        <w:t>2024</w:t>
      </w:r>
      <w:r>
        <w:rPr>
          <w:rFonts w:eastAsia="方正小标宋_GBK"/>
          <w:sz w:val="36"/>
          <w:szCs w:val="36"/>
        </w:rPr>
        <w:t>年度</w:t>
      </w:r>
      <w:r>
        <w:rPr>
          <w:rFonts w:hint="eastAsia" w:eastAsia="方正小标宋_GBK"/>
          <w:sz w:val="36"/>
          <w:szCs w:val="36"/>
        </w:rPr>
        <w:t>江永县兰溪瑶族乡学校</w:t>
      </w:r>
      <w:r>
        <w:rPr>
          <w:rFonts w:eastAsia="方正小标宋_GBK"/>
          <w:sz w:val="36"/>
          <w:szCs w:val="36"/>
        </w:rPr>
        <w:t>整体支出</w:t>
      </w:r>
    </w:p>
    <w:p>
      <w:pPr>
        <w:spacing w:line="640" w:lineRule="exact"/>
        <w:jc w:val="center"/>
        <w:rPr>
          <w:rFonts w:eastAsia="方正小标宋_GBK"/>
          <w:sz w:val="36"/>
          <w:szCs w:val="36"/>
        </w:rPr>
      </w:pPr>
      <w:r>
        <w:rPr>
          <w:rFonts w:eastAsia="方正小标宋_GBK"/>
          <w:sz w:val="36"/>
          <w:szCs w:val="36"/>
        </w:rPr>
        <w:t>绩效运行监控报告</w:t>
      </w:r>
    </w:p>
    <w:p>
      <w:pPr>
        <w:jc w:val="center"/>
        <w:rPr>
          <w:rFonts w:eastAsia="楷体_GB2312"/>
          <w:b/>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ind w:firstLine="880" w:firstLineChars="200"/>
        <w:jc w:val="center"/>
        <w:rPr>
          <w:rFonts w:eastAsia="黑体"/>
          <w:sz w:val="44"/>
          <w:szCs w:val="44"/>
        </w:rPr>
      </w:pPr>
    </w:p>
    <w:p>
      <w:pPr>
        <w:ind w:firstLine="880" w:firstLineChars="200"/>
        <w:jc w:val="center"/>
        <w:rPr>
          <w:rFonts w:eastAsia="黑体"/>
          <w:sz w:val="44"/>
          <w:szCs w:val="44"/>
        </w:rPr>
      </w:pPr>
    </w:p>
    <w:p>
      <w:pPr>
        <w:ind w:firstLine="880" w:firstLineChars="200"/>
        <w:jc w:val="center"/>
        <w:rPr>
          <w:rFonts w:eastAsia="黑体"/>
          <w:sz w:val="44"/>
          <w:szCs w:val="44"/>
        </w:rPr>
      </w:pPr>
    </w:p>
    <w:p>
      <w:pPr>
        <w:ind w:firstLine="720" w:firstLineChars="200"/>
        <w:jc w:val="center"/>
        <w:rPr>
          <w:rFonts w:eastAsia="黑体"/>
          <w:sz w:val="36"/>
          <w:szCs w:val="36"/>
        </w:rPr>
      </w:pPr>
      <w:r>
        <w:rPr>
          <w:rFonts w:eastAsia="黑体"/>
          <w:sz w:val="36"/>
          <w:szCs w:val="36"/>
        </w:rPr>
        <w:t>单位名称（盖章）：</w:t>
      </w:r>
    </w:p>
    <w:p>
      <w:pPr>
        <w:jc w:val="center"/>
        <w:rPr>
          <w:rFonts w:eastAsia="黑体"/>
          <w:sz w:val="36"/>
          <w:szCs w:val="36"/>
        </w:rPr>
      </w:pPr>
      <w:r>
        <w:rPr>
          <w:rFonts w:hint="eastAsia" w:eastAsia="黑体"/>
          <w:sz w:val="36"/>
          <w:szCs w:val="36"/>
        </w:rPr>
        <w:t>江永县兰溪瑶族乡学校</w:t>
      </w:r>
    </w:p>
    <w:p>
      <w:pPr>
        <w:rPr>
          <w:rFonts w:eastAsia="黑体"/>
          <w:sz w:val="32"/>
          <w:szCs w:val="32"/>
        </w:rPr>
      </w:pPr>
    </w:p>
    <w:p>
      <w:pPr>
        <w:jc w:val="center"/>
        <w:rPr>
          <w:rFonts w:eastAsia="黑体"/>
          <w:sz w:val="32"/>
          <w:szCs w:val="32"/>
        </w:rPr>
      </w:pPr>
    </w:p>
    <w:p>
      <w:pPr>
        <w:jc w:val="center"/>
        <w:rPr>
          <w:rFonts w:eastAsia="仿宋_GB2312"/>
          <w:sz w:val="32"/>
          <w:szCs w:val="32"/>
        </w:rPr>
      </w:pPr>
      <w:r>
        <w:rPr>
          <w:rFonts w:eastAsia="仿宋_GB2312"/>
          <w:sz w:val="32"/>
          <w:szCs w:val="32"/>
        </w:rPr>
        <w:t>（此页为封面）</w:t>
      </w:r>
    </w:p>
    <w:p>
      <w:pPr>
        <w:jc w:val="center"/>
        <w:rPr>
          <w:rFonts w:eastAsia="仿宋_GB2312"/>
          <w:sz w:val="32"/>
          <w:szCs w:val="32"/>
        </w:rPr>
      </w:pPr>
    </w:p>
    <w:p>
      <w:pPr>
        <w:spacing w:line="640" w:lineRule="exact"/>
        <w:jc w:val="left"/>
        <w:rPr>
          <w:rFonts w:eastAsia="方正小标宋_GBK"/>
          <w:sz w:val="36"/>
          <w:szCs w:val="36"/>
        </w:rPr>
      </w:pPr>
      <w:r>
        <w:rPr>
          <w:rFonts w:eastAsia="仿宋_GB2312"/>
          <w:sz w:val="32"/>
          <w:szCs w:val="32"/>
        </w:rPr>
        <w:br w:type="page"/>
      </w:r>
    </w:p>
    <w:p>
      <w:pPr>
        <w:numPr>
          <w:ilvl w:val="0"/>
          <w:numId w:val="1"/>
        </w:numPr>
        <w:spacing w:line="640" w:lineRule="exact"/>
        <w:ind w:firstLine="640" w:firstLineChars="200"/>
        <w:jc w:val="left"/>
        <w:rPr>
          <w:rFonts w:eastAsia="黑体"/>
          <w:sz w:val="32"/>
          <w:szCs w:val="32"/>
        </w:rPr>
      </w:pPr>
      <w:r>
        <w:rPr>
          <w:rFonts w:eastAsia="黑体"/>
          <w:sz w:val="32"/>
          <w:szCs w:val="32"/>
        </w:rPr>
        <w:t>项目支出基本情况</w:t>
      </w:r>
    </w:p>
    <w:p>
      <w:pPr>
        <w:spacing w:line="600" w:lineRule="exact"/>
        <w:ind w:firstLine="643" w:firstLineChars="200"/>
        <w:rPr>
          <w:rFonts w:eastAsia="楷体_GB2312"/>
          <w:b/>
          <w:sz w:val="32"/>
          <w:szCs w:val="32"/>
        </w:rPr>
      </w:pPr>
      <w:r>
        <w:rPr>
          <w:rFonts w:eastAsia="楷体_GB2312"/>
          <w:b/>
          <w:sz w:val="32"/>
          <w:szCs w:val="32"/>
        </w:rPr>
        <w:t>（一）部门基本情况</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1、兰溪瑶族乡学校现有在编干部职工30人，其中：行政编制0人，事业编制30人；退休人员13人。</w:t>
      </w:r>
    </w:p>
    <w:p>
      <w:pPr>
        <w:shd w:val="solid" w:color="FFFFFF" w:fill="auto"/>
        <w:autoSpaceDN w:val="0"/>
        <w:spacing w:line="360" w:lineRule="auto"/>
        <w:ind w:left="105" w:firstLine="393"/>
        <w:rPr>
          <w:rFonts w:ascii="仿宋_GB2312" w:hAnsi="仿宋_GB2312" w:eastAsia="仿宋_GB2312" w:cs="仿宋_GB2312"/>
          <w:sz w:val="32"/>
          <w:szCs w:val="32"/>
        </w:rPr>
      </w:pPr>
      <w:r>
        <w:rPr>
          <w:rFonts w:hint="eastAsia" w:ascii="仿宋_GB2312" w:hAnsi="仿宋_GB2312" w:eastAsia="仿宋_GB2312" w:cs="仿宋_GB2312"/>
          <w:sz w:val="32"/>
          <w:szCs w:val="32"/>
        </w:rPr>
        <w:t>2、兰溪瑶族乡学校负责管理兰溪瑶族乡学校及香花井村小</w:t>
      </w:r>
      <w:r>
        <w:rPr>
          <w:rFonts w:hint="eastAsia" w:ascii="仿宋_GB2312" w:hAnsi="仿宋_GB2312" w:eastAsia="仿宋_GB2312" w:cs="仿宋_GB2312"/>
          <w:sz w:val="32"/>
          <w:szCs w:val="32"/>
          <w:shd w:val="clear" w:color="auto" w:fill="FFFFFF"/>
        </w:rPr>
        <w:t>。</w:t>
      </w:r>
      <w:r>
        <w:rPr>
          <w:rFonts w:hint="eastAsia" w:ascii="仿宋_GB2312" w:hAnsi="仿宋_GB2312" w:eastAsia="仿宋_GB2312" w:cs="仿宋_GB2312"/>
          <w:sz w:val="32"/>
          <w:szCs w:val="32"/>
        </w:rPr>
        <w:t>2024-2025学年度，全校在校学生342人。</w:t>
      </w:r>
    </w:p>
    <w:p>
      <w:pPr>
        <w:spacing w:line="520" w:lineRule="exact"/>
        <w:ind w:firstLine="643" w:firstLineChars="200"/>
        <w:rPr>
          <w:rFonts w:ascii="CESI楷体-GB2312" w:hAnsi="CESI楷体-GB2312" w:eastAsia="CESI楷体-GB2312" w:cs="CESI楷体-GB2312"/>
          <w:b/>
          <w:bCs/>
          <w:kern w:val="0"/>
          <w:sz w:val="32"/>
          <w:szCs w:val="32"/>
        </w:rPr>
      </w:pPr>
      <w:r>
        <w:rPr>
          <w:rFonts w:hint="eastAsia" w:ascii="CESI楷体-GB2312" w:hAnsi="CESI楷体-GB2312" w:eastAsia="CESI楷体-GB2312" w:cs="CESI楷体-GB2312"/>
          <w:b/>
          <w:bCs/>
          <w:kern w:val="0"/>
          <w:sz w:val="32"/>
          <w:szCs w:val="32"/>
        </w:rPr>
        <w:t>（二）项目绩效目标</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1、项目绩效总目标：充分发挥资金经济性、效率性和效益性，贯彻落实党和国家的教育方针政策、法律法规，全面实施素质教育，努力提高教育教学质量，稳步推进全县教育事业持续健康协调发展。</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2、项目绩效阶段性目标：改善办学条件，推进学校建设，优化整合教学资源，提升办学条件和质量。</w:t>
      </w:r>
    </w:p>
    <w:p>
      <w:pPr>
        <w:pStyle w:val="8"/>
        <w:spacing w:line="600" w:lineRule="exact"/>
        <w:ind w:firstLine="0" w:firstLineChars="0"/>
        <w:rPr>
          <w:rFonts w:ascii="黑体" w:hAnsi="黑体" w:eastAsia="黑体" w:cs="黑体"/>
          <w:b/>
          <w:bCs/>
          <w:sz w:val="32"/>
          <w:szCs w:val="32"/>
        </w:rPr>
      </w:pPr>
      <w:r>
        <w:rPr>
          <w:rFonts w:hint="eastAsia" w:ascii="黑体" w:hAnsi="黑体" w:eastAsia="黑体" w:cs="黑体"/>
          <w:b/>
          <w:bCs/>
          <w:sz w:val="32"/>
          <w:szCs w:val="32"/>
        </w:rPr>
        <w:t>二、一般公共预算支出情况</w:t>
      </w:r>
    </w:p>
    <w:p>
      <w:pPr>
        <w:pStyle w:val="8"/>
        <w:spacing w:line="600" w:lineRule="exact"/>
        <w:ind w:firstLine="643"/>
        <w:rPr>
          <w:rFonts w:ascii="楷体" w:hAnsi="楷体" w:eastAsia="楷体" w:cs="楷体"/>
          <w:b/>
          <w:sz w:val="32"/>
          <w:szCs w:val="32"/>
        </w:rPr>
      </w:pPr>
      <w:r>
        <w:rPr>
          <w:rFonts w:hint="eastAsia" w:ascii="楷体" w:hAnsi="楷体" w:eastAsia="楷体" w:cs="楷体"/>
          <w:b/>
          <w:sz w:val="32"/>
          <w:szCs w:val="32"/>
        </w:rPr>
        <w:t>（一）基本支出情况</w:t>
      </w:r>
    </w:p>
    <w:p>
      <w:pPr>
        <w:pStyle w:val="8"/>
        <w:spacing w:line="600" w:lineRule="exact"/>
        <w:ind w:firstLine="640"/>
        <w:rPr>
          <w:rFonts w:ascii="宋体" w:hAnsi="宋体" w:cs="宋体"/>
          <w:sz w:val="28"/>
          <w:szCs w:val="28"/>
        </w:rPr>
      </w:pPr>
      <w:r>
        <w:rPr>
          <w:rFonts w:hint="eastAsia" w:ascii="仿宋_GB2312" w:hAnsi="仿宋_GB2312" w:eastAsia="仿宋_GB2312" w:cs="仿宋_GB2312"/>
          <w:kern w:val="0"/>
          <w:sz w:val="32"/>
          <w:szCs w:val="32"/>
        </w:rPr>
        <w:t>2024年度，江永县兰溪瑶族乡学校基本支出586.65万元。</w:t>
      </w:r>
      <w:r>
        <w:rPr>
          <w:rFonts w:hint="eastAsia" w:ascii="仿宋_GB2312" w:hAnsi="仿宋_GB2312" w:eastAsia="仿宋_GB2312" w:cs="仿宋_GB2312"/>
          <w:sz w:val="32"/>
          <w:szCs w:val="32"/>
        </w:rPr>
        <w:t>主要用于</w:t>
      </w:r>
      <w:r>
        <w:rPr>
          <w:rFonts w:hint="eastAsia" w:ascii="仿宋_GB2312" w:hAnsi="仿宋_GB2312" w:eastAsia="仿宋_GB2312" w:cs="仿宋_GB2312"/>
          <w:kern w:val="0"/>
          <w:sz w:val="32"/>
          <w:szCs w:val="32"/>
        </w:rPr>
        <w:t>江永县兰溪瑶族乡学校的</w:t>
      </w:r>
      <w:r>
        <w:rPr>
          <w:rFonts w:hint="eastAsia" w:ascii="仿宋_GB2312" w:hAnsi="仿宋_GB2312" w:eastAsia="仿宋_GB2312" w:cs="仿宋_GB2312"/>
          <w:sz w:val="32"/>
          <w:szCs w:val="32"/>
        </w:rPr>
        <w:t>人员工资、办公费、水电费、邮电费、差旅费、车辆运行维护费、公务接待费、培训费、工会经费等。</w:t>
      </w:r>
    </w:p>
    <w:p>
      <w:pPr>
        <w:pStyle w:val="8"/>
        <w:numPr>
          <w:ilvl w:val="0"/>
          <w:numId w:val="2"/>
        </w:numPr>
        <w:spacing w:line="600" w:lineRule="exact"/>
        <w:ind w:firstLine="643"/>
        <w:rPr>
          <w:rFonts w:ascii="楷体" w:hAnsi="楷体" w:eastAsia="楷体" w:cs="楷体"/>
          <w:b/>
          <w:sz w:val="32"/>
          <w:szCs w:val="32"/>
        </w:rPr>
      </w:pPr>
      <w:r>
        <w:rPr>
          <w:rFonts w:hint="eastAsia" w:ascii="楷体" w:hAnsi="楷体" w:eastAsia="楷体" w:cs="楷体"/>
          <w:b/>
          <w:sz w:val="32"/>
          <w:szCs w:val="32"/>
        </w:rPr>
        <w:t>项目支出情况</w:t>
      </w:r>
    </w:p>
    <w:p>
      <w:pPr>
        <w:spacing w:line="360" w:lineRule="auto"/>
        <w:ind w:firstLine="640" w:firstLineChars="200"/>
        <w:rPr>
          <w:rFonts w:ascii="仿宋_GB2312" w:hAnsi="仿宋_GB2312" w:eastAsia="仿宋_GB2312" w:cs="仿宋_GB2312"/>
          <w:bCs/>
          <w:kern w:val="0"/>
          <w:sz w:val="32"/>
          <w:szCs w:val="32"/>
        </w:rPr>
      </w:pPr>
      <w:r>
        <w:rPr>
          <w:rFonts w:hint="eastAsia" w:ascii="仿宋_GB2312" w:hAnsi="仿宋_GB2312" w:eastAsia="仿宋_GB2312" w:cs="仿宋_GB2312"/>
          <w:bCs/>
          <w:sz w:val="32"/>
          <w:szCs w:val="32"/>
        </w:rPr>
        <w:t>2024年度，</w:t>
      </w:r>
      <w:r>
        <w:rPr>
          <w:rFonts w:hint="eastAsia" w:ascii="仿宋_GB2312" w:hAnsi="仿宋_GB2312" w:eastAsia="仿宋_GB2312" w:cs="仿宋_GB2312"/>
          <w:bCs/>
          <w:kern w:val="0"/>
          <w:sz w:val="32"/>
          <w:szCs w:val="32"/>
        </w:rPr>
        <w:t>江永县兰溪瑶族乡学校f无项目支出。</w:t>
      </w:r>
    </w:p>
    <w:p>
      <w:pPr>
        <w:pStyle w:val="8"/>
        <w:spacing w:line="600" w:lineRule="exact"/>
        <w:ind w:firstLine="0" w:firstLineChars="0"/>
        <w:rPr>
          <w:rFonts w:ascii="Times New Roman" w:hAnsi="Times New Roman" w:eastAsia="黑体"/>
          <w:b/>
          <w:bCs/>
          <w:sz w:val="32"/>
          <w:szCs w:val="32"/>
        </w:rPr>
      </w:pPr>
      <w:r>
        <w:rPr>
          <w:rFonts w:hint="eastAsia" w:ascii="Times New Roman" w:hAnsi="Times New Roman" w:eastAsia="黑体"/>
          <w:b/>
          <w:bCs/>
          <w:sz w:val="32"/>
          <w:szCs w:val="32"/>
        </w:rPr>
        <w:t>三、</w:t>
      </w:r>
      <w:r>
        <w:rPr>
          <w:rFonts w:ascii="Times New Roman" w:hAnsi="Times New Roman" w:eastAsia="黑体"/>
          <w:b/>
          <w:bCs/>
          <w:sz w:val="32"/>
          <w:szCs w:val="32"/>
        </w:rPr>
        <w:t>政府性基金预算支出情况</w:t>
      </w:r>
    </w:p>
    <w:p>
      <w:pPr>
        <w:pStyle w:val="8"/>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无政府性基金预算支出。</w:t>
      </w:r>
    </w:p>
    <w:p>
      <w:pPr>
        <w:pStyle w:val="8"/>
        <w:spacing w:line="600" w:lineRule="exact"/>
        <w:ind w:firstLine="0" w:firstLineChars="0"/>
        <w:rPr>
          <w:rFonts w:ascii="Times New Roman" w:hAnsi="Times New Roman" w:eastAsia="黑体"/>
          <w:sz w:val="32"/>
          <w:szCs w:val="32"/>
        </w:rPr>
      </w:pPr>
      <w:r>
        <w:rPr>
          <w:rFonts w:hint="eastAsia" w:ascii="Times New Roman" w:hAnsi="Times New Roman" w:eastAsia="黑体"/>
          <w:b/>
          <w:bCs/>
          <w:sz w:val="32"/>
          <w:szCs w:val="32"/>
        </w:rPr>
        <w:t>四、</w:t>
      </w:r>
      <w:r>
        <w:rPr>
          <w:rFonts w:ascii="Times New Roman" w:hAnsi="Times New Roman" w:eastAsia="黑体"/>
          <w:b/>
          <w:bCs/>
          <w:sz w:val="32"/>
          <w:szCs w:val="32"/>
        </w:rPr>
        <w:t>国有资本经营预算支出情况</w:t>
      </w:r>
    </w:p>
    <w:p>
      <w:pPr>
        <w:pStyle w:val="8"/>
        <w:spacing w:line="600" w:lineRule="exact"/>
        <w:ind w:left="630" w:firstLine="0"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教育系统2024年度无国有资本经营预算支出。</w:t>
      </w:r>
    </w:p>
    <w:p>
      <w:pPr>
        <w:pStyle w:val="8"/>
        <w:spacing w:line="600" w:lineRule="exact"/>
        <w:ind w:firstLine="0" w:firstLineChars="0"/>
        <w:rPr>
          <w:rFonts w:ascii="Times New Roman" w:hAnsi="Times New Roman" w:eastAsia="黑体"/>
          <w:b/>
          <w:bCs/>
          <w:sz w:val="32"/>
          <w:szCs w:val="32"/>
        </w:rPr>
      </w:pPr>
      <w:r>
        <w:rPr>
          <w:rFonts w:hint="eastAsia" w:ascii="Times New Roman" w:hAnsi="Times New Roman" w:eastAsia="黑体"/>
          <w:b/>
          <w:bCs/>
          <w:sz w:val="32"/>
          <w:szCs w:val="32"/>
        </w:rPr>
        <w:t>五、</w:t>
      </w:r>
      <w:r>
        <w:rPr>
          <w:rFonts w:ascii="Times New Roman" w:hAnsi="Times New Roman" w:eastAsia="黑体"/>
          <w:b/>
          <w:bCs/>
          <w:sz w:val="32"/>
          <w:szCs w:val="32"/>
        </w:rPr>
        <w:t>社会保险基金预算支出情况</w:t>
      </w:r>
    </w:p>
    <w:p>
      <w:pPr>
        <w:pStyle w:val="8"/>
        <w:spacing w:line="600" w:lineRule="exact"/>
        <w:ind w:firstLine="640"/>
        <w:rPr>
          <w:rFonts w:ascii="仿宋_GB2312" w:hAnsi="仿宋_GB2312" w:eastAsia="仿宋_GB2312" w:cs="仿宋_GB2312"/>
          <w:bCs/>
          <w:sz w:val="32"/>
          <w:szCs w:val="32"/>
        </w:rPr>
      </w:pPr>
      <w:r>
        <w:rPr>
          <w:rFonts w:hint="eastAsia" w:ascii="仿宋_GB2312" w:hAnsi="仿宋_GB2312" w:eastAsia="仿宋_GB2312" w:cs="仿宋_GB2312"/>
          <w:sz w:val="32"/>
          <w:szCs w:val="32"/>
        </w:rPr>
        <w:t>教育系统</w:t>
      </w:r>
      <w:r>
        <w:rPr>
          <w:rFonts w:hint="eastAsia" w:ascii="仿宋_GB2312" w:hAnsi="仿宋_GB2312" w:eastAsia="仿宋_GB2312" w:cs="仿宋_GB2312"/>
          <w:bCs/>
          <w:sz w:val="32"/>
          <w:szCs w:val="32"/>
        </w:rPr>
        <w:t>2024年度无社会保险基金预算支出。</w:t>
      </w:r>
    </w:p>
    <w:p>
      <w:pPr>
        <w:spacing w:line="600" w:lineRule="exact"/>
        <w:rPr>
          <w:rFonts w:eastAsia="黑体"/>
          <w:b/>
          <w:bCs/>
          <w:sz w:val="32"/>
          <w:szCs w:val="32"/>
        </w:rPr>
      </w:pPr>
      <w:r>
        <w:rPr>
          <w:rFonts w:hint="eastAsia" w:eastAsia="黑体"/>
          <w:b/>
          <w:bCs/>
          <w:sz w:val="32"/>
          <w:szCs w:val="32"/>
        </w:rPr>
        <w:t>六</w:t>
      </w:r>
      <w:r>
        <w:rPr>
          <w:rFonts w:eastAsia="黑体"/>
          <w:b/>
          <w:bCs/>
          <w:sz w:val="32"/>
          <w:szCs w:val="32"/>
        </w:rPr>
        <w:t>、部门整体支出绩效情况</w:t>
      </w:r>
    </w:p>
    <w:p>
      <w:pPr>
        <w:pStyle w:val="8"/>
        <w:spacing w:line="600" w:lineRule="exact"/>
        <w:ind w:firstLine="640"/>
        <w:rPr>
          <w:sz w:val="28"/>
          <w:szCs w:val="28"/>
        </w:rPr>
      </w:pPr>
      <w:r>
        <w:rPr>
          <w:rFonts w:hint="eastAsia" w:ascii="仿宋_GB2312" w:hAnsi="仿宋_GB2312" w:eastAsia="仿宋_GB2312" w:cs="仿宋_GB2312"/>
          <w:sz w:val="32"/>
          <w:szCs w:val="32"/>
        </w:rPr>
        <w:t>通过绩效评价工作组对全部项目的实施情况进行了整体跟踪，从项目安排、实施、资金的拨付进行了综合评价，认为教育资金项目任务目标明确，资金到位比较及时，并制定了科学的实施计划，项目实施过程中严格按照有关项目管理和经费管理规定执行，目前各项目持续稳定进展，具有较好的经济和社会效益。我县项目基础数据信息真实、资料收集齐全，每一个项目都有完整的资料，实施进度也基本达到上级的要求。目前项目已全部实施完成，学生、家长、人民群众都很满意，本次绩效综合评价得分为90分。</w:t>
      </w:r>
    </w:p>
    <w:p>
      <w:pPr>
        <w:pStyle w:val="8"/>
        <w:spacing w:line="600" w:lineRule="exact"/>
        <w:ind w:firstLine="0" w:firstLineChars="0"/>
        <w:rPr>
          <w:rFonts w:ascii="黑体" w:hAnsi="黑体" w:eastAsia="黑体" w:cs="黑体"/>
          <w:b/>
          <w:bCs/>
          <w:sz w:val="32"/>
          <w:szCs w:val="32"/>
        </w:rPr>
      </w:pPr>
      <w:r>
        <w:rPr>
          <w:rFonts w:hint="eastAsia" w:ascii="黑体" w:hAnsi="黑体" w:eastAsia="黑体" w:cs="黑体"/>
          <w:b/>
          <w:bCs/>
          <w:sz w:val="32"/>
          <w:szCs w:val="32"/>
        </w:rPr>
        <w:t>七、存在的问题及原因分析</w:t>
      </w:r>
    </w:p>
    <w:p>
      <w:pPr>
        <w:spacing w:line="360" w:lineRule="auto"/>
        <w:ind w:firstLine="420"/>
        <w:rPr>
          <w:rFonts w:ascii="仿宋_GB2312" w:hAnsi="仿宋_GB2312" w:eastAsia="仿宋_GB2312" w:cs="仿宋_GB2312"/>
          <w:sz w:val="32"/>
          <w:szCs w:val="32"/>
        </w:rPr>
      </w:pPr>
      <w:r>
        <w:rPr>
          <w:rFonts w:hint="eastAsia" w:ascii="仿宋_GB2312" w:hAnsi="仿宋_GB2312" w:eastAsia="仿宋_GB2312" w:cs="仿宋_GB2312"/>
          <w:sz w:val="32"/>
          <w:szCs w:val="32"/>
        </w:rPr>
        <w:t>国库资金支付流程复杂，录单审核过于拖延，不能按时支付。很多正常支出受资金监控限制，给支付录单工作带来很多不便。实施时间跨度大，项目实施进度缓慢。</w:t>
      </w:r>
    </w:p>
    <w:p>
      <w:pPr>
        <w:spacing w:line="600" w:lineRule="exact"/>
        <w:rPr>
          <w:rFonts w:eastAsia="黑体"/>
          <w:b/>
          <w:bCs/>
          <w:sz w:val="32"/>
          <w:szCs w:val="32"/>
        </w:rPr>
      </w:pPr>
      <w:r>
        <w:rPr>
          <w:rFonts w:hint="eastAsia" w:eastAsia="黑体"/>
          <w:b/>
          <w:bCs/>
          <w:sz w:val="32"/>
          <w:szCs w:val="32"/>
        </w:rPr>
        <w:t>八、</w:t>
      </w:r>
      <w:r>
        <w:rPr>
          <w:rFonts w:eastAsia="黑体"/>
          <w:b/>
          <w:bCs/>
          <w:sz w:val="32"/>
          <w:szCs w:val="32"/>
        </w:rPr>
        <w:t>下一步改进措施</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绩效评价工作要各部门协调齐头并进，制定方案，各司其</w:t>
      </w:r>
      <w:r>
        <w:rPr>
          <w:rFonts w:hint="eastAsia" w:ascii="仿宋_GB2312" w:hAnsi="仿宋_GB2312" w:eastAsia="仿宋_GB2312" w:cs="仿宋_GB2312"/>
          <w:sz w:val="32"/>
          <w:szCs w:val="32"/>
          <w:lang w:eastAsia="zh-CN"/>
        </w:rPr>
        <w:t>职</w:t>
      </w:r>
      <w:bookmarkStart w:id="0" w:name="_GoBack"/>
      <w:bookmarkEnd w:id="0"/>
      <w:r>
        <w:rPr>
          <w:rFonts w:hint="eastAsia" w:ascii="仿宋_GB2312" w:hAnsi="仿宋_GB2312" w:eastAsia="仿宋_GB2312" w:cs="仿宋_GB2312"/>
          <w:sz w:val="32"/>
          <w:szCs w:val="32"/>
        </w:rPr>
        <w:t>。通过绩效评价，要加强资金的管理。一是强化项目制度管理，严格项目资金审批程序，确保项目顺利推进。我县对专项资金使用管理、项目立项审批、项目基建管理、项目政府采购和招投标等环节和事项进行了明确的规定。强化教育专项在预算、分配、拨付、财务管理、审计等全过程的监督检查，不断提高教育经费的使用效益。二是强化项目统筹管理。实行局领导和局机关各股室负责对联系学校各种项目资金实施进行全过程监督指导。</w:t>
      </w:r>
    </w:p>
    <w:p>
      <w:pPr>
        <w:spacing w:line="600" w:lineRule="exact"/>
        <w:rPr>
          <w:rFonts w:eastAsia="黑体"/>
          <w:b/>
          <w:bCs/>
          <w:sz w:val="32"/>
          <w:szCs w:val="32"/>
        </w:rPr>
      </w:pPr>
      <w:r>
        <w:rPr>
          <w:rFonts w:hint="eastAsia" w:eastAsia="黑体"/>
          <w:b/>
          <w:bCs/>
          <w:sz w:val="32"/>
          <w:szCs w:val="32"/>
        </w:rPr>
        <w:t>九、</w:t>
      </w:r>
      <w:r>
        <w:rPr>
          <w:rFonts w:eastAsia="黑体"/>
          <w:b/>
          <w:bCs/>
          <w:sz w:val="32"/>
          <w:szCs w:val="32"/>
        </w:rPr>
        <w:t>绩效自评结果拟应用和公开情况</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从绩效自评结果来看，</w:t>
      </w:r>
      <w:r>
        <w:rPr>
          <w:rFonts w:hint="eastAsia" w:ascii="仿宋_GB2312" w:hAnsi="仿宋_GB2312" w:eastAsia="仿宋_GB2312" w:cs="仿宋_GB2312"/>
          <w:kern w:val="0"/>
          <w:sz w:val="32"/>
          <w:szCs w:val="32"/>
        </w:rPr>
        <w:t>江永县兰溪瑶族乡学校部门整体</w:t>
      </w:r>
      <w:r>
        <w:rPr>
          <w:rFonts w:hint="eastAsia" w:ascii="仿宋" w:hAnsi="仿宋" w:eastAsia="仿宋" w:cs="仿宋"/>
          <w:sz w:val="32"/>
          <w:szCs w:val="32"/>
        </w:rPr>
        <w:t>支出绩效较好，有力推动了全县教育事业持续健康发展。根据预算绩效评价的有关规定，江永县兰溪瑶族乡学校将在江永政府网公示绩效自评报告。</w:t>
      </w:r>
    </w:p>
    <w:p>
      <w:pPr>
        <w:spacing w:line="600" w:lineRule="exact"/>
        <w:rPr>
          <w:rFonts w:eastAsia="黑体"/>
          <w:b/>
          <w:bCs/>
          <w:sz w:val="32"/>
          <w:szCs w:val="32"/>
        </w:rPr>
      </w:pPr>
      <w:r>
        <w:rPr>
          <w:rFonts w:hint="eastAsia" w:eastAsia="黑体"/>
          <w:b/>
          <w:bCs/>
          <w:sz w:val="32"/>
          <w:szCs w:val="32"/>
        </w:rPr>
        <w:t>十、</w:t>
      </w:r>
      <w:r>
        <w:rPr>
          <w:rFonts w:eastAsia="黑体"/>
          <w:b/>
          <w:bCs/>
          <w:sz w:val="32"/>
          <w:szCs w:val="32"/>
        </w:rPr>
        <w:t>其他需要说明的情况</w:t>
      </w:r>
    </w:p>
    <w:p>
      <w:pPr>
        <w:spacing w:line="600" w:lineRule="exact"/>
        <w:ind w:left="420" w:leftChars="200"/>
        <w:rPr>
          <w:rFonts w:ascii="仿宋" w:hAnsi="仿宋" w:eastAsia="仿宋" w:cs="仿宋"/>
          <w:sz w:val="32"/>
          <w:szCs w:val="32"/>
        </w:rPr>
      </w:pPr>
      <w:r>
        <w:rPr>
          <w:rFonts w:hint="eastAsia" w:ascii="仿宋" w:hAnsi="仿宋" w:eastAsia="仿宋" w:cs="仿宋"/>
          <w:sz w:val="32"/>
          <w:szCs w:val="32"/>
        </w:rPr>
        <w:t xml:space="preserve"> 无。</w:t>
      </w:r>
    </w:p>
    <w:p>
      <w:pPr>
        <w:jc w:val="right"/>
        <w:rPr>
          <w:sz w:val="28"/>
          <w:szCs w:val="28"/>
        </w:rPr>
      </w:pPr>
      <w:r>
        <w:rPr>
          <w:rFonts w:hint="eastAsia"/>
          <w:sz w:val="28"/>
          <w:szCs w:val="28"/>
        </w:rPr>
        <w:t>江永县兰溪瑶族乡学校</w:t>
      </w:r>
    </w:p>
    <w:p>
      <w:pPr>
        <w:pStyle w:val="2"/>
        <w:jc w:val="right"/>
        <w:rPr>
          <w:sz w:val="28"/>
          <w:szCs w:val="28"/>
        </w:rPr>
      </w:pPr>
      <w:r>
        <w:rPr>
          <w:rFonts w:hint="eastAsia"/>
          <w:sz w:val="28"/>
          <w:szCs w:val="28"/>
        </w:rPr>
        <w:t>2025年4月1日</w:t>
      </w:r>
    </w:p>
    <w:p>
      <w:pPr>
        <w:rPr>
          <w:rFonts w:hint="eastAsia"/>
          <w:sz w:val="28"/>
          <w:szCs w:val="28"/>
        </w:rPr>
      </w:pPr>
      <w:r>
        <w:rPr>
          <w:rFonts w:hint="eastAsia"/>
          <w:sz w:val="28"/>
          <w:szCs w:val="28"/>
        </w:rPr>
        <w:br w:type="page"/>
      </w:r>
    </w:p>
    <w:tbl>
      <w:tblPr>
        <w:tblStyle w:val="5"/>
        <w:tblW w:w="89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687"/>
        <w:gridCol w:w="917"/>
        <w:gridCol w:w="920"/>
        <w:gridCol w:w="934"/>
        <w:gridCol w:w="1125"/>
        <w:gridCol w:w="1147"/>
        <w:gridCol w:w="11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7" w:hRule="atLeast"/>
          <w:jc w:val="center"/>
        </w:trPr>
        <w:tc>
          <w:tcPr>
            <w:tcW w:w="890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cs="宋体"/>
                <w:b/>
                <w:bCs/>
                <w:i w:val="0"/>
                <w:iCs w:val="0"/>
                <w:color w:val="000000"/>
                <w:kern w:val="0"/>
                <w:sz w:val="32"/>
                <w:szCs w:val="32"/>
                <w:u w:val="none"/>
                <w:lang w:val="en-US" w:eastAsia="zh-CN" w:bidi="ar"/>
              </w:rPr>
              <w:t>兰溪学校</w:t>
            </w:r>
            <w:r>
              <w:rPr>
                <w:rFonts w:hint="eastAsia" w:ascii="宋体" w:hAnsi="宋体" w:eastAsia="宋体" w:cs="宋体"/>
                <w:b/>
                <w:bCs/>
                <w:i w:val="0"/>
                <w:iCs w:val="0"/>
                <w:color w:val="000000"/>
                <w:kern w:val="0"/>
                <w:sz w:val="32"/>
                <w:szCs w:val="32"/>
                <w:u w:val="none"/>
                <w:lang w:val="en-US" w:eastAsia="zh-CN" w:bidi="ar"/>
              </w:rPr>
              <w:t>2024部门整体支出绩效评价基础数据表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8" w:hRule="atLeast"/>
          <w:jc w:val="center"/>
        </w:trPr>
        <w:tc>
          <w:tcPr>
            <w:tcW w:w="268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财政供养人员情况</w:t>
            </w:r>
          </w:p>
        </w:tc>
        <w:tc>
          <w:tcPr>
            <w:tcW w:w="183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编制数</w:t>
            </w:r>
          </w:p>
        </w:tc>
        <w:tc>
          <w:tcPr>
            <w:tcW w:w="205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2024年实际在职人数</w:t>
            </w:r>
          </w:p>
        </w:tc>
        <w:tc>
          <w:tcPr>
            <w:tcW w:w="231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控制率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jc w:val="center"/>
        </w:trPr>
        <w:tc>
          <w:tcPr>
            <w:tcW w:w="268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18"/>
                <w:szCs w:val="18"/>
                <w:u w:val="none"/>
              </w:rPr>
            </w:pPr>
          </w:p>
        </w:tc>
        <w:tc>
          <w:tcPr>
            <w:tcW w:w="183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205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231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5" w:hRule="atLeast"/>
          <w:jc w:val="center"/>
        </w:trPr>
        <w:tc>
          <w:tcPr>
            <w:tcW w:w="26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经费控制情况(万元)</w:t>
            </w:r>
          </w:p>
        </w:tc>
        <w:tc>
          <w:tcPr>
            <w:tcW w:w="183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2023年决算数</w:t>
            </w:r>
          </w:p>
        </w:tc>
        <w:tc>
          <w:tcPr>
            <w:tcW w:w="205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2024年预算数</w:t>
            </w:r>
          </w:p>
        </w:tc>
        <w:tc>
          <w:tcPr>
            <w:tcW w:w="231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2024年决算数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9" w:hRule="atLeast"/>
          <w:jc w:val="center"/>
        </w:trPr>
        <w:tc>
          <w:tcPr>
            <w:tcW w:w="26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三公经费</w:t>
            </w:r>
          </w:p>
        </w:tc>
        <w:tc>
          <w:tcPr>
            <w:tcW w:w="183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0.4345</w:t>
            </w:r>
          </w:p>
        </w:tc>
        <w:tc>
          <w:tcPr>
            <w:tcW w:w="205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0.36</w:t>
            </w:r>
          </w:p>
        </w:tc>
        <w:tc>
          <w:tcPr>
            <w:tcW w:w="231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9" w:hRule="atLeast"/>
          <w:jc w:val="center"/>
        </w:trPr>
        <w:tc>
          <w:tcPr>
            <w:tcW w:w="26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1、公务用车购置和维护经费</w:t>
            </w:r>
          </w:p>
        </w:tc>
        <w:tc>
          <w:tcPr>
            <w:tcW w:w="183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05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31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9" w:hRule="atLeast"/>
          <w:jc w:val="center"/>
        </w:trPr>
        <w:tc>
          <w:tcPr>
            <w:tcW w:w="26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其中：公车购置</w:t>
            </w:r>
          </w:p>
        </w:tc>
        <w:tc>
          <w:tcPr>
            <w:tcW w:w="183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205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231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9" w:hRule="atLeast"/>
          <w:jc w:val="center"/>
        </w:trPr>
        <w:tc>
          <w:tcPr>
            <w:tcW w:w="26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公车运行维护</w:t>
            </w:r>
          </w:p>
        </w:tc>
        <w:tc>
          <w:tcPr>
            <w:tcW w:w="183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205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231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9" w:hRule="atLeast"/>
          <w:jc w:val="center"/>
        </w:trPr>
        <w:tc>
          <w:tcPr>
            <w:tcW w:w="26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2、出国经费</w:t>
            </w:r>
          </w:p>
        </w:tc>
        <w:tc>
          <w:tcPr>
            <w:tcW w:w="183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205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231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9" w:hRule="atLeast"/>
          <w:jc w:val="center"/>
        </w:trPr>
        <w:tc>
          <w:tcPr>
            <w:tcW w:w="26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3、公务接待</w:t>
            </w:r>
          </w:p>
        </w:tc>
        <w:tc>
          <w:tcPr>
            <w:tcW w:w="183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0.4345</w:t>
            </w:r>
          </w:p>
        </w:tc>
        <w:tc>
          <w:tcPr>
            <w:tcW w:w="205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0.36</w:t>
            </w:r>
          </w:p>
        </w:tc>
        <w:tc>
          <w:tcPr>
            <w:tcW w:w="231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9" w:hRule="atLeast"/>
          <w:jc w:val="center"/>
        </w:trPr>
        <w:tc>
          <w:tcPr>
            <w:tcW w:w="26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项目支出：</w:t>
            </w:r>
          </w:p>
        </w:tc>
        <w:tc>
          <w:tcPr>
            <w:tcW w:w="183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05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31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9" w:hRule="atLeast"/>
          <w:jc w:val="center"/>
        </w:trPr>
        <w:tc>
          <w:tcPr>
            <w:tcW w:w="26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w:t>
            </w:r>
          </w:p>
        </w:tc>
        <w:tc>
          <w:tcPr>
            <w:tcW w:w="183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205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231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9" w:hRule="atLeast"/>
          <w:jc w:val="center"/>
        </w:trPr>
        <w:tc>
          <w:tcPr>
            <w:tcW w:w="26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83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205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231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9" w:hRule="atLeast"/>
          <w:jc w:val="center"/>
        </w:trPr>
        <w:tc>
          <w:tcPr>
            <w:tcW w:w="26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83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205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231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9" w:hRule="atLeast"/>
          <w:jc w:val="center"/>
        </w:trPr>
        <w:tc>
          <w:tcPr>
            <w:tcW w:w="26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公用经费：</w:t>
            </w:r>
          </w:p>
        </w:tc>
        <w:tc>
          <w:tcPr>
            <w:tcW w:w="183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47.5</w:t>
            </w:r>
          </w:p>
        </w:tc>
        <w:tc>
          <w:tcPr>
            <w:tcW w:w="205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46.518975</w:t>
            </w:r>
          </w:p>
        </w:tc>
        <w:tc>
          <w:tcPr>
            <w:tcW w:w="231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46.518975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9" w:hRule="atLeast"/>
          <w:jc w:val="center"/>
        </w:trPr>
        <w:tc>
          <w:tcPr>
            <w:tcW w:w="26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其中：办公经费</w:t>
            </w:r>
          </w:p>
        </w:tc>
        <w:tc>
          <w:tcPr>
            <w:tcW w:w="183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39.47</w:t>
            </w:r>
          </w:p>
        </w:tc>
        <w:tc>
          <w:tcPr>
            <w:tcW w:w="205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27.162418</w:t>
            </w:r>
          </w:p>
        </w:tc>
        <w:tc>
          <w:tcPr>
            <w:tcW w:w="231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27.162418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9" w:hRule="atLeast"/>
          <w:jc w:val="center"/>
        </w:trPr>
        <w:tc>
          <w:tcPr>
            <w:tcW w:w="26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水费、电费、差旅费</w:t>
            </w:r>
          </w:p>
        </w:tc>
        <w:tc>
          <w:tcPr>
            <w:tcW w:w="183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7.13</w:t>
            </w:r>
          </w:p>
        </w:tc>
        <w:tc>
          <w:tcPr>
            <w:tcW w:w="205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17.524307</w:t>
            </w:r>
          </w:p>
        </w:tc>
        <w:tc>
          <w:tcPr>
            <w:tcW w:w="231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17.524307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9" w:hRule="atLeast"/>
          <w:jc w:val="center"/>
        </w:trPr>
        <w:tc>
          <w:tcPr>
            <w:tcW w:w="26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会议费、培训费</w:t>
            </w:r>
          </w:p>
        </w:tc>
        <w:tc>
          <w:tcPr>
            <w:tcW w:w="183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0.9</w:t>
            </w:r>
          </w:p>
        </w:tc>
        <w:tc>
          <w:tcPr>
            <w:tcW w:w="205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1.83225</w:t>
            </w:r>
          </w:p>
        </w:tc>
        <w:tc>
          <w:tcPr>
            <w:tcW w:w="231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1.83225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9" w:hRule="atLeast"/>
          <w:jc w:val="center"/>
        </w:trPr>
        <w:tc>
          <w:tcPr>
            <w:tcW w:w="26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政府采购金额</w:t>
            </w:r>
          </w:p>
        </w:tc>
        <w:tc>
          <w:tcPr>
            <w:tcW w:w="183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205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231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9" w:hRule="atLeast"/>
          <w:jc w:val="center"/>
        </w:trPr>
        <w:tc>
          <w:tcPr>
            <w:tcW w:w="26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部门基本支出预算调整 </w:t>
            </w:r>
          </w:p>
        </w:tc>
        <w:tc>
          <w:tcPr>
            <w:tcW w:w="183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205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231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87" w:hRule="atLeast"/>
          <w:jc w:val="center"/>
        </w:trPr>
        <w:tc>
          <w:tcPr>
            <w:tcW w:w="26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楼堂馆所控制情况 </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（2024年完工项目）</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批复规模 </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w:t>
            </w:r>
          </w:p>
        </w:tc>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实际规模</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w:t>
            </w:r>
          </w:p>
        </w:tc>
        <w:tc>
          <w:tcPr>
            <w:tcW w:w="9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规模控制率</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预算投资</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实际投资</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投资概算控制率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9" w:hRule="atLeast"/>
          <w:jc w:val="center"/>
        </w:trPr>
        <w:tc>
          <w:tcPr>
            <w:tcW w:w="26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9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9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1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jc w:val="center"/>
        </w:trPr>
        <w:tc>
          <w:tcPr>
            <w:tcW w:w="26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厉行节约保障措施</w:t>
            </w:r>
          </w:p>
        </w:tc>
        <w:tc>
          <w:tcPr>
            <w:tcW w:w="6213"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bl>
    <w:p>
      <w:pPr>
        <w:rPr>
          <w:rFonts w:hint="eastAsia"/>
          <w:sz w:val="28"/>
          <w:szCs w:val="28"/>
        </w:rPr>
      </w:pPr>
    </w:p>
    <w:p>
      <w:pPr>
        <w:rPr>
          <w:rFonts w:hint="eastAsia"/>
          <w:sz w:val="28"/>
          <w:szCs w:val="28"/>
        </w:rPr>
      </w:pPr>
      <w:r>
        <w:rPr>
          <w:rFonts w:hint="eastAsia"/>
          <w:sz w:val="28"/>
          <w:szCs w:val="28"/>
        </w:rPr>
        <w:br w:type="page"/>
      </w:r>
    </w:p>
    <w:tbl>
      <w:tblPr>
        <w:tblStyle w:val="5"/>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09"/>
        <w:gridCol w:w="627"/>
        <w:gridCol w:w="600"/>
        <w:gridCol w:w="1235"/>
        <w:gridCol w:w="1432"/>
        <w:gridCol w:w="1028"/>
        <w:gridCol w:w="65"/>
        <w:gridCol w:w="613"/>
        <w:gridCol w:w="588"/>
        <w:gridCol w:w="1028"/>
        <w:gridCol w:w="847"/>
        <w:gridCol w:w="58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9" w:hRule="atLeast"/>
          <w:jc w:val="center"/>
        </w:trPr>
        <w:tc>
          <w:tcPr>
            <w:tcW w:w="9260" w:type="dxa"/>
            <w:gridSpan w:val="1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兰溪学校2024部门整体支出绩效评价自评表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6" w:hRule="atLeast"/>
          <w:jc w:val="center"/>
        </w:trPr>
        <w:tc>
          <w:tcPr>
            <w:tcW w:w="12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预算部门名称</w:t>
            </w:r>
          </w:p>
        </w:tc>
        <w:tc>
          <w:tcPr>
            <w:tcW w:w="8024" w:type="dxa"/>
            <w:gridSpan w:val="10"/>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江永县兰溪乡学校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3" w:hRule="atLeast"/>
          <w:jc w:val="center"/>
        </w:trPr>
        <w:tc>
          <w:tcPr>
            <w:tcW w:w="123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Microsoft YaHei UI" w:hAnsi="Microsoft YaHei UI" w:eastAsia="Microsoft YaHei UI" w:cs="Microsoft YaHei UI"/>
                <w:i w:val="0"/>
                <w:iCs w:val="0"/>
                <w:color w:val="000000"/>
                <w:sz w:val="18"/>
                <w:szCs w:val="18"/>
                <w:u w:val="none"/>
              </w:rPr>
            </w:pPr>
            <w:r>
              <w:rPr>
                <w:rFonts w:hint="eastAsia" w:ascii="Microsoft YaHei UI" w:hAnsi="Microsoft YaHei UI" w:eastAsia="Microsoft YaHei UI" w:cs="Microsoft YaHei UI"/>
                <w:i w:val="0"/>
                <w:iCs w:val="0"/>
                <w:color w:val="000000"/>
                <w:kern w:val="0"/>
                <w:sz w:val="18"/>
                <w:szCs w:val="18"/>
                <w:u w:val="none"/>
                <w:lang w:val="en-US" w:eastAsia="zh-CN" w:bidi="ar"/>
              </w:rPr>
              <w:t>年度预算申请</w:t>
            </w:r>
            <w:r>
              <w:rPr>
                <w:rFonts w:hint="eastAsia" w:ascii="Microsoft YaHei UI" w:hAnsi="Microsoft YaHei UI" w:eastAsia="Microsoft YaHei UI" w:cs="Microsoft YaHei UI"/>
                <w:i w:val="0"/>
                <w:iCs w:val="0"/>
                <w:color w:val="000000"/>
                <w:kern w:val="0"/>
                <w:sz w:val="18"/>
                <w:szCs w:val="18"/>
                <w:u w:val="none"/>
                <w:lang w:val="en-US" w:eastAsia="zh-CN" w:bidi="ar"/>
              </w:rPr>
              <w:br w:type="textWrapping"/>
            </w:r>
            <w:r>
              <w:rPr>
                <w:rFonts w:hint="eastAsia" w:ascii="Microsoft YaHei UI" w:hAnsi="Microsoft YaHei UI" w:eastAsia="Microsoft YaHei UI" w:cs="Microsoft YaHei UI"/>
                <w:i w:val="0"/>
                <w:iCs w:val="0"/>
                <w:color w:val="000000"/>
                <w:kern w:val="0"/>
                <w:sz w:val="18"/>
                <w:szCs w:val="18"/>
                <w:u w:val="none"/>
                <w:lang w:val="en-US" w:eastAsia="zh-CN" w:bidi="ar"/>
              </w:rPr>
              <w:t>(万元)</w:t>
            </w:r>
          </w:p>
        </w:tc>
        <w:tc>
          <w:tcPr>
            <w:tcW w:w="18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年初预算数</w:t>
            </w:r>
            <w:r>
              <w:rPr>
                <w:rFonts w:hint="default" w:ascii="仿宋_GB2312" w:hAnsi="宋体" w:eastAsia="仿宋_GB2312" w:cs="仿宋_GB2312"/>
                <w:b/>
                <w:bCs/>
                <w:i w:val="0"/>
                <w:iCs w:val="0"/>
                <w:color w:val="000000"/>
                <w:kern w:val="0"/>
                <w:sz w:val="18"/>
                <w:szCs w:val="18"/>
                <w:u w:val="none"/>
                <w:lang w:val="en-US" w:eastAsia="zh-CN" w:bidi="ar"/>
              </w:rPr>
              <w:br w:type="textWrapping"/>
            </w:r>
            <w:r>
              <w:rPr>
                <w:rFonts w:hint="default" w:ascii="仿宋_GB2312" w:hAnsi="宋体" w:eastAsia="仿宋_GB2312" w:cs="仿宋_GB2312"/>
                <w:b/>
                <w:bCs/>
                <w:i w:val="0"/>
                <w:iCs w:val="0"/>
                <w:color w:val="000000"/>
                <w:kern w:val="0"/>
                <w:sz w:val="18"/>
                <w:szCs w:val="18"/>
                <w:u w:val="none"/>
                <w:lang w:val="en-US" w:eastAsia="zh-CN" w:bidi="ar"/>
              </w:rPr>
              <w:t>(万元)</w:t>
            </w:r>
          </w:p>
        </w:tc>
        <w:tc>
          <w:tcPr>
            <w:tcW w:w="10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126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10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9" w:hRule="atLeast"/>
          <w:jc w:val="center"/>
        </w:trPr>
        <w:tc>
          <w:tcPr>
            <w:tcW w:w="12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Microsoft YaHei UI" w:hAnsi="Microsoft YaHei UI" w:eastAsia="Microsoft YaHei UI" w:cs="Microsoft YaHei UI"/>
                <w:i w:val="0"/>
                <w:iCs w:val="0"/>
                <w:color w:val="000000"/>
                <w:sz w:val="18"/>
                <w:szCs w:val="18"/>
                <w:u w:val="none"/>
              </w:rPr>
            </w:pPr>
          </w:p>
        </w:tc>
        <w:tc>
          <w:tcPr>
            <w:tcW w:w="18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年度资金总额：</w:t>
            </w:r>
          </w:p>
        </w:tc>
        <w:tc>
          <w:tcPr>
            <w:tcW w:w="1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363.96</w:t>
            </w:r>
          </w:p>
        </w:tc>
        <w:tc>
          <w:tcPr>
            <w:tcW w:w="10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782.55</w:t>
            </w:r>
          </w:p>
        </w:tc>
        <w:tc>
          <w:tcPr>
            <w:tcW w:w="126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586.65</w:t>
            </w:r>
          </w:p>
        </w:tc>
        <w:tc>
          <w:tcPr>
            <w:tcW w:w="10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74.96%</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7.49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6" w:hRule="atLeast"/>
          <w:jc w:val="center"/>
        </w:trPr>
        <w:tc>
          <w:tcPr>
            <w:tcW w:w="12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Microsoft YaHei UI" w:hAnsi="Microsoft YaHei UI" w:eastAsia="Microsoft YaHei UI" w:cs="Microsoft YaHei UI"/>
                <w:i w:val="0"/>
                <w:iCs w:val="0"/>
                <w:color w:val="000000"/>
                <w:sz w:val="18"/>
                <w:szCs w:val="18"/>
                <w:u w:val="none"/>
              </w:rPr>
            </w:pPr>
          </w:p>
        </w:tc>
        <w:tc>
          <w:tcPr>
            <w:tcW w:w="5561"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按收入性质分：</w:t>
            </w:r>
          </w:p>
        </w:tc>
        <w:tc>
          <w:tcPr>
            <w:tcW w:w="24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按支出性质分：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9" w:hRule="atLeast"/>
          <w:jc w:val="center"/>
        </w:trPr>
        <w:tc>
          <w:tcPr>
            <w:tcW w:w="12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Microsoft YaHei UI" w:hAnsi="Microsoft YaHei UI" w:eastAsia="Microsoft YaHei UI" w:cs="Microsoft YaHei UI"/>
                <w:i w:val="0"/>
                <w:iCs w:val="0"/>
                <w:color w:val="000000"/>
                <w:sz w:val="18"/>
                <w:szCs w:val="18"/>
                <w:u w:val="none"/>
              </w:rPr>
            </w:pPr>
          </w:p>
        </w:tc>
        <w:tc>
          <w:tcPr>
            <w:tcW w:w="18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一般公共预算：</w:t>
            </w:r>
          </w:p>
        </w:tc>
        <w:tc>
          <w:tcPr>
            <w:tcW w:w="372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741.18</w:t>
            </w:r>
          </w:p>
        </w:tc>
        <w:tc>
          <w:tcPr>
            <w:tcW w:w="10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其中:基本支出：</w:t>
            </w:r>
          </w:p>
        </w:tc>
        <w:tc>
          <w:tcPr>
            <w:tcW w:w="143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586.65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9" w:hRule="atLeast"/>
          <w:jc w:val="center"/>
        </w:trPr>
        <w:tc>
          <w:tcPr>
            <w:tcW w:w="12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Microsoft YaHei UI" w:hAnsi="Microsoft YaHei UI" w:eastAsia="Microsoft YaHei UI" w:cs="Microsoft YaHei UI"/>
                <w:i w:val="0"/>
                <w:iCs w:val="0"/>
                <w:color w:val="000000"/>
                <w:sz w:val="18"/>
                <w:szCs w:val="18"/>
                <w:u w:val="none"/>
              </w:rPr>
            </w:pPr>
          </w:p>
        </w:tc>
        <w:tc>
          <w:tcPr>
            <w:tcW w:w="18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政府性基金拨款：</w:t>
            </w:r>
          </w:p>
        </w:tc>
        <w:tc>
          <w:tcPr>
            <w:tcW w:w="372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10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43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8" w:hRule="atLeast"/>
          <w:jc w:val="center"/>
        </w:trPr>
        <w:tc>
          <w:tcPr>
            <w:tcW w:w="12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Microsoft YaHei UI" w:hAnsi="Microsoft YaHei UI" w:eastAsia="Microsoft YaHei UI" w:cs="Microsoft YaHei UI"/>
                <w:i w:val="0"/>
                <w:iCs w:val="0"/>
                <w:color w:val="000000"/>
                <w:sz w:val="18"/>
                <w:szCs w:val="18"/>
                <w:u w:val="none"/>
              </w:rPr>
            </w:pPr>
          </w:p>
        </w:tc>
        <w:tc>
          <w:tcPr>
            <w:tcW w:w="18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纳入专户管理的非税收入拨款：</w:t>
            </w:r>
          </w:p>
        </w:tc>
        <w:tc>
          <w:tcPr>
            <w:tcW w:w="372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11.32</w:t>
            </w:r>
          </w:p>
        </w:tc>
        <w:tc>
          <w:tcPr>
            <w:tcW w:w="10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项目支出：</w:t>
            </w:r>
          </w:p>
        </w:tc>
        <w:tc>
          <w:tcPr>
            <w:tcW w:w="143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6" w:hRule="atLeast"/>
          <w:jc w:val="center"/>
        </w:trPr>
        <w:tc>
          <w:tcPr>
            <w:tcW w:w="12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Microsoft YaHei UI" w:hAnsi="Microsoft YaHei UI" w:eastAsia="Microsoft YaHei UI" w:cs="Microsoft YaHei UI"/>
                <w:i w:val="0"/>
                <w:iCs w:val="0"/>
                <w:color w:val="000000"/>
                <w:sz w:val="18"/>
                <w:szCs w:val="18"/>
                <w:u w:val="none"/>
              </w:rPr>
            </w:pPr>
          </w:p>
        </w:tc>
        <w:tc>
          <w:tcPr>
            <w:tcW w:w="18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其他资金</w:t>
            </w:r>
          </w:p>
        </w:tc>
        <w:tc>
          <w:tcPr>
            <w:tcW w:w="372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w:t>
            </w:r>
          </w:p>
        </w:tc>
        <w:tc>
          <w:tcPr>
            <w:tcW w:w="10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43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6" w:hRule="atLeast"/>
          <w:jc w:val="center"/>
        </w:trPr>
        <w:tc>
          <w:tcPr>
            <w:tcW w:w="123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年度总体目标</w:t>
            </w:r>
          </w:p>
        </w:tc>
        <w:tc>
          <w:tcPr>
            <w:tcW w:w="5561"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预期目标</w:t>
            </w:r>
          </w:p>
        </w:tc>
        <w:tc>
          <w:tcPr>
            <w:tcW w:w="24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8" w:hRule="atLeast"/>
          <w:jc w:val="center"/>
        </w:trPr>
        <w:tc>
          <w:tcPr>
            <w:tcW w:w="12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b/>
                <w:bCs/>
                <w:i w:val="0"/>
                <w:iCs w:val="0"/>
                <w:color w:val="000000"/>
                <w:sz w:val="18"/>
                <w:szCs w:val="18"/>
                <w:u w:val="none"/>
              </w:rPr>
            </w:pPr>
          </w:p>
        </w:tc>
        <w:tc>
          <w:tcPr>
            <w:tcW w:w="5561"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贯彻执行国家教育方补政策，深化教育改革，发展素质教育，稳步提高教育量，巩固艺术教育特色成果，促进教育事业的发展。保障人员经费，提高参师幸福感管好用好预算内资金，改善和优化学校的办学条件；促进学生全面发展，把教育质量放在首位，办人民满意的教育</w:t>
            </w:r>
          </w:p>
        </w:tc>
        <w:tc>
          <w:tcPr>
            <w:tcW w:w="24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全面完成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6" w:hRule="atLeast"/>
          <w:jc w:val="center"/>
        </w:trPr>
        <w:tc>
          <w:tcPr>
            <w:tcW w:w="6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绩效指标</w:t>
            </w:r>
          </w:p>
        </w:tc>
        <w:tc>
          <w:tcPr>
            <w:tcW w:w="6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一级指标</w:t>
            </w:r>
          </w:p>
        </w:tc>
        <w:tc>
          <w:tcPr>
            <w:tcW w:w="183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三级指标</w:t>
            </w:r>
          </w:p>
        </w:tc>
        <w:tc>
          <w:tcPr>
            <w:tcW w:w="14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年度指标值</w:t>
            </w:r>
          </w:p>
        </w:tc>
        <w:tc>
          <w:tcPr>
            <w:tcW w:w="109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实际完成值</w:t>
            </w:r>
          </w:p>
        </w:tc>
        <w:tc>
          <w:tcPr>
            <w:tcW w:w="6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分值</w:t>
            </w:r>
          </w:p>
        </w:tc>
        <w:tc>
          <w:tcPr>
            <w:tcW w:w="5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得分</w:t>
            </w:r>
          </w:p>
        </w:tc>
        <w:tc>
          <w:tcPr>
            <w:tcW w:w="2463"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6" w:hRule="atLeast"/>
          <w:jc w:val="center"/>
        </w:trPr>
        <w:tc>
          <w:tcPr>
            <w:tcW w:w="6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b/>
                <w:bCs/>
                <w:i w:val="0"/>
                <w:iCs w:val="0"/>
                <w:color w:val="000000"/>
                <w:sz w:val="18"/>
                <w:szCs w:val="18"/>
                <w:u w:val="none"/>
              </w:rPr>
            </w:pPr>
          </w:p>
        </w:tc>
        <w:tc>
          <w:tcPr>
            <w:tcW w:w="6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b/>
                <w:bCs/>
                <w:i w:val="0"/>
                <w:iCs w:val="0"/>
                <w:color w:val="000000"/>
                <w:sz w:val="18"/>
                <w:szCs w:val="18"/>
                <w:u w:val="none"/>
              </w:rPr>
            </w:pPr>
          </w:p>
        </w:tc>
        <w:tc>
          <w:tcPr>
            <w:tcW w:w="183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b/>
                <w:bCs/>
                <w:i w:val="0"/>
                <w:iCs w:val="0"/>
                <w:color w:val="000000"/>
                <w:sz w:val="18"/>
                <w:szCs w:val="18"/>
                <w:u w:val="none"/>
              </w:rPr>
            </w:pPr>
          </w:p>
        </w:tc>
        <w:tc>
          <w:tcPr>
            <w:tcW w:w="14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b/>
                <w:bCs/>
                <w:i w:val="0"/>
                <w:iCs w:val="0"/>
                <w:color w:val="000000"/>
                <w:sz w:val="18"/>
                <w:szCs w:val="18"/>
                <w:u w:val="none"/>
              </w:rPr>
            </w:pPr>
          </w:p>
        </w:tc>
        <w:tc>
          <w:tcPr>
            <w:tcW w:w="10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b/>
                <w:bCs/>
                <w:i w:val="0"/>
                <w:iCs w:val="0"/>
                <w:color w:val="000000"/>
                <w:sz w:val="18"/>
                <w:szCs w:val="18"/>
                <w:u w:val="none"/>
              </w:rPr>
            </w:pPr>
          </w:p>
        </w:tc>
        <w:tc>
          <w:tcPr>
            <w:tcW w:w="5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b/>
                <w:bCs/>
                <w:i w:val="0"/>
                <w:iCs w:val="0"/>
                <w:color w:val="000000"/>
                <w:sz w:val="18"/>
                <w:szCs w:val="18"/>
                <w:u w:val="none"/>
              </w:rPr>
            </w:pPr>
          </w:p>
        </w:tc>
        <w:tc>
          <w:tcPr>
            <w:tcW w:w="246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6" w:hRule="atLeast"/>
          <w:jc w:val="center"/>
        </w:trPr>
        <w:tc>
          <w:tcPr>
            <w:tcW w:w="6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绩效指标</w:t>
            </w:r>
          </w:p>
        </w:tc>
        <w:tc>
          <w:tcPr>
            <w:tcW w:w="6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产出指标</w:t>
            </w:r>
          </w:p>
        </w:tc>
        <w:tc>
          <w:tcPr>
            <w:tcW w:w="18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教师考核人数</w:t>
            </w:r>
          </w:p>
        </w:tc>
        <w:tc>
          <w:tcPr>
            <w:tcW w:w="1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30人</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30人</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w:t>
            </w:r>
          </w:p>
        </w:tc>
        <w:tc>
          <w:tcPr>
            <w:tcW w:w="246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6" w:hRule="atLeast"/>
          <w:jc w:val="center"/>
        </w:trPr>
        <w:tc>
          <w:tcPr>
            <w:tcW w:w="6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仿宋_GB2312" w:hAnsi="宋体" w:eastAsia="仿宋_GB2312" w:cs="仿宋_GB2312"/>
                <w:i w:val="0"/>
                <w:iCs w:val="0"/>
                <w:color w:val="000000"/>
                <w:sz w:val="18"/>
                <w:szCs w:val="18"/>
                <w:u w:val="none"/>
              </w:rPr>
            </w:pPr>
          </w:p>
        </w:tc>
        <w:tc>
          <w:tcPr>
            <w:tcW w:w="6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仿宋_GB2312" w:hAnsi="宋体" w:eastAsia="仿宋_GB2312" w:cs="仿宋_GB2312"/>
                <w:i w:val="0"/>
                <w:iCs w:val="0"/>
                <w:color w:val="000000"/>
                <w:sz w:val="18"/>
                <w:szCs w:val="18"/>
                <w:u w:val="none"/>
              </w:rPr>
            </w:pPr>
          </w:p>
        </w:tc>
        <w:tc>
          <w:tcPr>
            <w:tcW w:w="18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学生招生数量</w:t>
            </w:r>
          </w:p>
        </w:tc>
        <w:tc>
          <w:tcPr>
            <w:tcW w:w="1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320人</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342人</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246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9" w:hRule="atLeast"/>
          <w:jc w:val="center"/>
        </w:trPr>
        <w:tc>
          <w:tcPr>
            <w:tcW w:w="6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仿宋_GB2312" w:hAnsi="宋体" w:eastAsia="仿宋_GB2312" w:cs="仿宋_GB2312"/>
                <w:i w:val="0"/>
                <w:iCs w:val="0"/>
                <w:color w:val="000000"/>
                <w:sz w:val="18"/>
                <w:szCs w:val="18"/>
                <w:u w:val="none"/>
              </w:rPr>
            </w:pPr>
          </w:p>
        </w:tc>
        <w:tc>
          <w:tcPr>
            <w:tcW w:w="6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仿宋_GB2312" w:hAnsi="宋体" w:eastAsia="仿宋_GB2312" w:cs="仿宋_GB2312"/>
                <w:i w:val="0"/>
                <w:iCs w:val="0"/>
                <w:color w:val="000000"/>
                <w:sz w:val="18"/>
                <w:szCs w:val="18"/>
                <w:u w:val="none"/>
              </w:rPr>
            </w:pPr>
          </w:p>
        </w:tc>
        <w:tc>
          <w:tcPr>
            <w:tcW w:w="18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贫困生资助数量</w:t>
            </w:r>
          </w:p>
        </w:tc>
        <w:tc>
          <w:tcPr>
            <w:tcW w:w="1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100人</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100人</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246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6" w:hRule="atLeast"/>
          <w:jc w:val="center"/>
        </w:trPr>
        <w:tc>
          <w:tcPr>
            <w:tcW w:w="6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仿宋_GB2312" w:hAnsi="宋体" w:eastAsia="仿宋_GB2312" w:cs="仿宋_GB2312"/>
                <w:i w:val="0"/>
                <w:iCs w:val="0"/>
                <w:color w:val="000000"/>
                <w:sz w:val="18"/>
                <w:szCs w:val="18"/>
                <w:u w:val="none"/>
              </w:rPr>
            </w:pPr>
          </w:p>
        </w:tc>
        <w:tc>
          <w:tcPr>
            <w:tcW w:w="6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仿宋_GB2312" w:hAnsi="宋体" w:eastAsia="仿宋_GB2312" w:cs="仿宋_GB2312"/>
                <w:i w:val="0"/>
                <w:iCs w:val="0"/>
                <w:color w:val="000000"/>
                <w:sz w:val="18"/>
                <w:szCs w:val="18"/>
                <w:u w:val="none"/>
              </w:rPr>
            </w:pPr>
          </w:p>
        </w:tc>
        <w:tc>
          <w:tcPr>
            <w:tcW w:w="18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教师培训次数</w:t>
            </w:r>
          </w:p>
        </w:tc>
        <w:tc>
          <w:tcPr>
            <w:tcW w:w="1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30人次</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40人次</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246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9" w:hRule="atLeast"/>
          <w:jc w:val="center"/>
        </w:trPr>
        <w:tc>
          <w:tcPr>
            <w:tcW w:w="6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仿宋_GB2312" w:hAnsi="宋体" w:eastAsia="仿宋_GB2312" w:cs="仿宋_GB2312"/>
                <w:i w:val="0"/>
                <w:iCs w:val="0"/>
                <w:color w:val="000000"/>
                <w:sz w:val="18"/>
                <w:szCs w:val="18"/>
                <w:u w:val="none"/>
              </w:rPr>
            </w:pPr>
          </w:p>
        </w:tc>
        <w:tc>
          <w:tcPr>
            <w:tcW w:w="6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仿宋_GB2312" w:hAnsi="宋体" w:eastAsia="仿宋_GB2312" w:cs="仿宋_GB2312"/>
                <w:i w:val="0"/>
                <w:iCs w:val="0"/>
                <w:color w:val="000000"/>
                <w:sz w:val="18"/>
                <w:szCs w:val="18"/>
                <w:u w:val="none"/>
              </w:rPr>
            </w:pPr>
          </w:p>
        </w:tc>
        <w:tc>
          <w:tcPr>
            <w:tcW w:w="18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贫困生资助准确率</w:t>
            </w:r>
          </w:p>
        </w:tc>
        <w:tc>
          <w:tcPr>
            <w:tcW w:w="1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100%</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246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9" w:hRule="atLeast"/>
          <w:jc w:val="center"/>
        </w:trPr>
        <w:tc>
          <w:tcPr>
            <w:tcW w:w="6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仿宋_GB2312" w:hAnsi="宋体" w:eastAsia="仿宋_GB2312" w:cs="仿宋_GB2312"/>
                <w:i w:val="0"/>
                <w:iCs w:val="0"/>
                <w:color w:val="000000"/>
                <w:sz w:val="18"/>
                <w:szCs w:val="18"/>
                <w:u w:val="none"/>
              </w:rPr>
            </w:pPr>
          </w:p>
        </w:tc>
        <w:tc>
          <w:tcPr>
            <w:tcW w:w="6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仿宋_GB2312" w:hAnsi="宋体" w:eastAsia="仿宋_GB2312" w:cs="仿宋_GB2312"/>
                <w:i w:val="0"/>
                <w:iCs w:val="0"/>
                <w:color w:val="000000"/>
                <w:sz w:val="18"/>
                <w:szCs w:val="18"/>
                <w:u w:val="none"/>
              </w:rPr>
            </w:pPr>
          </w:p>
        </w:tc>
        <w:tc>
          <w:tcPr>
            <w:tcW w:w="18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教师培训完成率</w:t>
            </w:r>
          </w:p>
        </w:tc>
        <w:tc>
          <w:tcPr>
            <w:tcW w:w="1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100%</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246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9" w:hRule="atLeast"/>
          <w:jc w:val="center"/>
        </w:trPr>
        <w:tc>
          <w:tcPr>
            <w:tcW w:w="6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仿宋_GB2312" w:hAnsi="宋体" w:eastAsia="仿宋_GB2312" w:cs="仿宋_GB2312"/>
                <w:i w:val="0"/>
                <w:iCs w:val="0"/>
                <w:color w:val="000000"/>
                <w:sz w:val="18"/>
                <w:szCs w:val="18"/>
                <w:u w:val="none"/>
              </w:rPr>
            </w:pPr>
          </w:p>
        </w:tc>
        <w:tc>
          <w:tcPr>
            <w:tcW w:w="6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仿宋_GB2312" w:hAnsi="宋体" w:eastAsia="仿宋_GB2312" w:cs="仿宋_GB2312"/>
                <w:i w:val="0"/>
                <w:iCs w:val="0"/>
                <w:color w:val="000000"/>
                <w:sz w:val="18"/>
                <w:szCs w:val="18"/>
                <w:u w:val="none"/>
              </w:rPr>
            </w:pPr>
          </w:p>
        </w:tc>
        <w:tc>
          <w:tcPr>
            <w:tcW w:w="18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食品安全达标率</w:t>
            </w:r>
          </w:p>
        </w:tc>
        <w:tc>
          <w:tcPr>
            <w:tcW w:w="1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100%</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246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6" w:hRule="atLeast"/>
          <w:jc w:val="center"/>
        </w:trPr>
        <w:tc>
          <w:tcPr>
            <w:tcW w:w="6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仿宋_GB2312" w:hAnsi="宋体" w:eastAsia="仿宋_GB2312" w:cs="仿宋_GB2312"/>
                <w:i w:val="0"/>
                <w:iCs w:val="0"/>
                <w:color w:val="000000"/>
                <w:sz w:val="18"/>
                <w:szCs w:val="18"/>
                <w:u w:val="none"/>
              </w:rPr>
            </w:pPr>
          </w:p>
        </w:tc>
        <w:tc>
          <w:tcPr>
            <w:tcW w:w="6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仿宋_GB2312" w:hAnsi="宋体" w:eastAsia="仿宋_GB2312" w:cs="仿宋_GB2312"/>
                <w:i w:val="0"/>
                <w:iCs w:val="0"/>
                <w:color w:val="000000"/>
                <w:sz w:val="18"/>
                <w:szCs w:val="18"/>
                <w:u w:val="none"/>
              </w:rPr>
            </w:pPr>
          </w:p>
        </w:tc>
        <w:tc>
          <w:tcPr>
            <w:tcW w:w="18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完成时间</w:t>
            </w:r>
          </w:p>
        </w:tc>
        <w:tc>
          <w:tcPr>
            <w:tcW w:w="1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2024年内完成</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2024年内完成</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w:t>
            </w:r>
          </w:p>
        </w:tc>
        <w:tc>
          <w:tcPr>
            <w:tcW w:w="246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9" w:hRule="atLeast"/>
          <w:jc w:val="center"/>
        </w:trPr>
        <w:tc>
          <w:tcPr>
            <w:tcW w:w="609" w:type="dxa"/>
            <w:vMerge w:val="restart"/>
            <w:tcBorders>
              <w:top w:val="single" w:color="000000" w:sz="4" w:space="0"/>
              <w:left w:val="single" w:color="000000" w:sz="4" w:space="0"/>
              <w:right w:val="single" w:color="000000" w:sz="4" w:space="0"/>
            </w:tcBorders>
            <w:shd w:val="clear" w:color="auto" w:fill="auto"/>
            <w:vAlign w:val="center"/>
          </w:tcPr>
          <w:p>
            <w:pPr>
              <w:rPr>
                <w:rFonts w:hint="default" w:ascii="仿宋_GB2312" w:hAnsi="宋体" w:eastAsia="仿宋_GB2312" w:cs="仿宋_GB2312"/>
                <w:i w:val="0"/>
                <w:iCs w:val="0"/>
                <w:color w:val="000000"/>
                <w:sz w:val="18"/>
                <w:szCs w:val="18"/>
                <w:u w:val="none"/>
              </w:rPr>
            </w:pPr>
          </w:p>
        </w:tc>
        <w:tc>
          <w:tcPr>
            <w:tcW w:w="122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效益指标</w:t>
            </w:r>
          </w:p>
        </w:tc>
        <w:tc>
          <w:tcPr>
            <w:tcW w:w="12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提高教师生活水平</w:t>
            </w:r>
          </w:p>
        </w:tc>
        <w:tc>
          <w:tcPr>
            <w:tcW w:w="1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提高教师生活水平</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提高教师生活水平</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246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8" w:hRule="atLeast"/>
          <w:jc w:val="center"/>
        </w:trPr>
        <w:tc>
          <w:tcPr>
            <w:tcW w:w="6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仿宋_GB2312" w:hAnsi="宋体" w:eastAsia="仿宋_GB2312" w:cs="仿宋_GB2312"/>
                <w:i w:val="0"/>
                <w:iCs w:val="0"/>
                <w:color w:val="000000"/>
                <w:sz w:val="18"/>
                <w:szCs w:val="18"/>
                <w:u w:val="none"/>
              </w:rPr>
            </w:pPr>
          </w:p>
        </w:tc>
        <w:tc>
          <w:tcPr>
            <w:tcW w:w="12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仿宋_GB2312" w:hAnsi="宋体" w:eastAsia="仿宋_GB2312" w:cs="仿宋_GB2312"/>
                <w:i w:val="0"/>
                <w:iCs w:val="0"/>
                <w:color w:val="000000"/>
                <w:sz w:val="18"/>
                <w:szCs w:val="18"/>
                <w:u w:val="none"/>
              </w:rPr>
            </w:pPr>
          </w:p>
        </w:tc>
        <w:tc>
          <w:tcPr>
            <w:tcW w:w="12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使教师和学生拥有良好的教育氛围</w:t>
            </w:r>
          </w:p>
        </w:tc>
        <w:tc>
          <w:tcPr>
            <w:tcW w:w="1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使教师和学生拥有良好的教育氛围</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使教师和学生拥有良好的教育氛围</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246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jc w:val="center"/>
        </w:trPr>
        <w:tc>
          <w:tcPr>
            <w:tcW w:w="6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仿宋_GB2312" w:hAnsi="宋体" w:eastAsia="仿宋_GB2312" w:cs="仿宋_GB2312"/>
                <w:i w:val="0"/>
                <w:iCs w:val="0"/>
                <w:color w:val="000000"/>
                <w:sz w:val="18"/>
                <w:szCs w:val="18"/>
                <w:u w:val="none"/>
              </w:rPr>
            </w:pPr>
          </w:p>
        </w:tc>
        <w:tc>
          <w:tcPr>
            <w:tcW w:w="12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仿宋_GB2312" w:hAnsi="宋体" w:eastAsia="仿宋_GB2312" w:cs="仿宋_GB2312"/>
                <w:i w:val="0"/>
                <w:iCs w:val="0"/>
                <w:color w:val="000000"/>
                <w:sz w:val="18"/>
                <w:szCs w:val="18"/>
                <w:u w:val="none"/>
              </w:rPr>
            </w:pPr>
          </w:p>
        </w:tc>
        <w:tc>
          <w:tcPr>
            <w:tcW w:w="12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改善校园环境</w:t>
            </w:r>
          </w:p>
        </w:tc>
        <w:tc>
          <w:tcPr>
            <w:tcW w:w="1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改善校园环境</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改善校园环境</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246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jc w:val="center"/>
        </w:trPr>
        <w:tc>
          <w:tcPr>
            <w:tcW w:w="6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仿宋_GB2312" w:hAnsi="宋体" w:eastAsia="仿宋_GB2312" w:cs="仿宋_GB2312"/>
                <w:i w:val="0"/>
                <w:iCs w:val="0"/>
                <w:color w:val="000000"/>
                <w:sz w:val="18"/>
                <w:szCs w:val="18"/>
                <w:u w:val="none"/>
              </w:rPr>
            </w:pPr>
          </w:p>
        </w:tc>
        <w:tc>
          <w:tcPr>
            <w:tcW w:w="12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仿宋_GB2312" w:hAnsi="宋体" w:eastAsia="仿宋_GB2312" w:cs="仿宋_GB2312"/>
                <w:i w:val="0"/>
                <w:iCs w:val="0"/>
                <w:color w:val="000000"/>
                <w:sz w:val="18"/>
                <w:szCs w:val="18"/>
                <w:u w:val="none"/>
              </w:rPr>
            </w:pPr>
          </w:p>
        </w:tc>
        <w:tc>
          <w:tcPr>
            <w:tcW w:w="12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可持续发展</w:t>
            </w:r>
          </w:p>
        </w:tc>
        <w:tc>
          <w:tcPr>
            <w:tcW w:w="1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可持续发展</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可持续发展</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246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9" w:hRule="atLeast"/>
          <w:jc w:val="center"/>
        </w:trPr>
        <w:tc>
          <w:tcPr>
            <w:tcW w:w="6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仿宋_GB2312" w:hAnsi="宋体" w:eastAsia="仿宋_GB2312" w:cs="仿宋_GB2312"/>
                <w:i w:val="0"/>
                <w:iCs w:val="0"/>
                <w:color w:val="000000"/>
                <w:sz w:val="18"/>
                <w:szCs w:val="18"/>
                <w:u w:val="none"/>
              </w:rPr>
            </w:pPr>
          </w:p>
        </w:tc>
        <w:tc>
          <w:tcPr>
            <w:tcW w:w="12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满意度指标</w:t>
            </w:r>
          </w:p>
        </w:tc>
        <w:tc>
          <w:tcPr>
            <w:tcW w:w="12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教师与家长满意率</w:t>
            </w:r>
          </w:p>
        </w:tc>
        <w:tc>
          <w:tcPr>
            <w:tcW w:w="1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100%</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w:t>
            </w:r>
          </w:p>
        </w:tc>
        <w:tc>
          <w:tcPr>
            <w:tcW w:w="246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9" w:hRule="atLeast"/>
          <w:jc w:val="center"/>
        </w:trPr>
        <w:tc>
          <w:tcPr>
            <w:tcW w:w="6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仿宋_GB2312" w:hAnsi="宋体" w:eastAsia="仿宋_GB2312" w:cs="仿宋_GB2312"/>
                <w:i w:val="0"/>
                <w:iCs w:val="0"/>
                <w:color w:val="000000"/>
                <w:sz w:val="18"/>
                <w:szCs w:val="18"/>
                <w:u w:val="none"/>
              </w:rPr>
            </w:pPr>
          </w:p>
        </w:tc>
        <w:tc>
          <w:tcPr>
            <w:tcW w:w="122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成本指标</w:t>
            </w:r>
          </w:p>
        </w:tc>
        <w:tc>
          <w:tcPr>
            <w:tcW w:w="12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部门整体控制数</w:t>
            </w:r>
          </w:p>
        </w:tc>
        <w:tc>
          <w:tcPr>
            <w:tcW w:w="1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586.65万元</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586.65万元</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w:t>
            </w:r>
          </w:p>
        </w:tc>
        <w:tc>
          <w:tcPr>
            <w:tcW w:w="246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jc w:val="center"/>
        </w:trPr>
        <w:tc>
          <w:tcPr>
            <w:tcW w:w="6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仿宋_GB2312" w:hAnsi="宋体" w:eastAsia="仿宋_GB2312" w:cs="仿宋_GB2312"/>
                <w:i w:val="0"/>
                <w:iCs w:val="0"/>
                <w:color w:val="000000"/>
                <w:sz w:val="18"/>
                <w:szCs w:val="18"/>
                <w:u w:val="none"/>
              </w:rPr>
            </w:pPr>
          </w:p>
        </w:tc>
        <w:tc>
          <w:tcPr>
            <w:tcW w:w="12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仿宋_GB2312" w:hAnsi="宋体" w:eastAsia="仿宋_GB2312" w:cs="仿宋_GB2312"/>
                <w:i w:val="0"/>
                <w:iCs w:val="0"/>
                <w:color w:val="000000"/>
                <w:sz w:val="18"/>
                <w:szCs w:val="18"/>
                <w:u w:val="none"/>
              </w:rPr>
            </w:pPr>
          </w:p>
        </w:tc>
        <w:tc>
          <w:tcPr>
            <w:tcW w:w="12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4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18"/>
                <w:szCs w:val="18"/>
                <w:u w:val="none"/>
              </w:rPr>
            </w:pP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18"/>
                <w:szCs w:val="18"/>
                <w:u w:val="none"/>
              </w:rPr>
            </w:pP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18"/>
                <w:szCs w:val="18"/>
                <w:u w:val="none"/>
              </w:rPr>
            </w:pPr>
          </w:p>
        </w:tc>
        <w:tc>
          <w:tcPr>
            <w:tcW w:w="246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jc w:val="center"/>
        </w:trPr>
        <w:tc>
          <w:tcPr>
            <w:tcW w:w="6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仿宋_GB2312" w:hAnsi="宋体" w:eastAsia="仿宋_GB2312" w:cs="仿宋_GB2312"/>
                <w:i w:val="0"/>
                <w:iCs w:val="0"/>
                <w:color w:val="000000"/>
                <w:sz w:val="18"/>
                <w:szCs w:val="18"/>
                <w:u w:val="none"/>
              </w:rPr>
            </w:pPr>
          </w:p>
        </w:tc>
        <w:tc>
          <w:tcPr>
            <w:tcW w:w="12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仿宋_GB2312" w:hAnsi="宋体" w:eastAsia="仿宋_GB2312" w:cs="仿宋_GB2312"/>
                <w:i w:val="0"/>
                <w:iCs w:val="0"/>
                <w:color w:val="000000"/>
                <w:sz w:val="18"/>
                <w:szCs w:val="18"/>
                <w:u w:val="none"/>
              </w:rPr>
            </w:pPr>
          </w:p>
        </w:tc>
        <w:tc>
          <w:tcPr>
            <w:tcW w:w="12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4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18"/>
                <w:szCs w:val="18"/>
                <w:u w:val="none"/>
              </w:rPr>
            </w:pP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18"/>
                <w:szCs w:val="18"/>
                <w:u w:val="none"/>
              </w:rPr>
            </w:pP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18"/>
                <w:szCs w:val="18"/>
                <w:u w:val="none"/>
              </w:rPr>
            </w:pPr>
          </w:p>
        </w:tc>
        <w:tc>
          <w:tcPr>
            <w:tcW w:w="246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jc w:val="center"/>
        </w:trPr>
        <w:tc>
          <w:tcPr>
            <w:tcW w:w="183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7424" w:type="dxa"/>
            <w:gridSpan w:val="9"/>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r>
    </w:tbl>
    <w:p>
      <w:pPr>
        <w:rPr>
          <w:rFonts w:hint="eastAsia"/>
          <w:sz w:val="28"/>
          <w:szCs w:val="28"/>
        </w:rPr>
      </w:pPr>
    </w:p>
    <w:p>
      <w:pPr>
        <w:rPr>
          <w:rFonts w:hint="eastAsia"/>
          <w:sz w:val="28"/>
          <w:szCs w:val="28"/>
        </w:rPr>
      </w:pPr>
      <w:r>
        <w:rPr>
          <w:rFonts w:hint="eastAsia"/>
          <w:sz w:val="28"/>
          <w:szCs w:val="28"/>
        </w:rPr>
        <w:br w:type="page"/>
      </w:r>
    </w:p>
    <w:p>
      <w:pPr>
        <w:rPr>
          <w:rFonts w:hint="eastAsia"/>
          <w:sz w:val="28"/>
          <w:szCs w:val="28"/>
        </w:rPr>
      </w:pPr>
    </w:p>
    <w:p>
      <w:pPr>
        <w:widowControl/>
        <w:jc w:val="center"/>
        <w:rPr>
          <w:rFonts w:ascii="黑体" w:hAnsi="黑体" w:eastAsia="黑体"/>
          <w:kern w:val="0"/>
          <w:sz w:val="44"/>
          <w:szCs w:val="44"/>
        </w:rPr>
      </w:pPr>
      <w:r>
        <w:rPr>
          <w:rFonts w:hint="eastAsia" w:ascii="黑体" w:hAnsi="黑体" w:eastAsia="黑体"/>
          <w:kern w:val="0"/>
          <w:sz w:val="44"/>
          <w:szCs w:val="44"/>
        </w:rPr>
        <w:t>江永县兰溪瑶族乡学校</w:t>
      </w:r>
    </w:p>
    <w:p>
      <w:pPr>
        <w:widowControl/>
        <w:jc w:val="center"/>
        <w:rPr>
          <w:rFonts w:ascii="黑体" w:hAnsi="黑体" w:eastAsia="黑体"/>
          <w:kern w:val="0"/>
          <w:sz w:val="44"/>
          <w:szCs w:val="44"/>
        </w:rPr>
      </w:pPr>
      <w:r>
        <w:rPr>
          <w:rFonts w:hint="eastAsia" w:ascii="黑体" w:hAnsi="黑体" w:eastAsia="黑体"/>
          <w:kern w:val="0"/>
          <w:sz w:val="44"/>
          <w:szCs w:val="44"/>
        </w:rPr>
        <w:t>2024年度部</w:t>
      </w:r>
      <w:r>
        <w:rPr>
          <w:rFonts w:ascii="黑体" w:hAnsi="黑体" w:eastAsia="黑体"/>
          <w:kern w:val="0"/>
          <w:sz w:val="44"/>
          <w:szCs w:val="44"/>
        </w:rPr>
        <w:t>门整体支出绩效评价表</w:t>
      </w:r>
    </w:p>
    <w:tbl>
      <w:tblPr>
        <w:tblStyle w:val="5"/>
        <w:tblW w:w="0" w:type="auto"/>
        <w:jc w:val="center"/>
        <w:tblLayout w:type="fixed"/>
        <w:tblCellMar>
          <w:top w:w="0" w:type="dxa"/>
          <w:left w:w="108" w:type="dxa"/>
          <w:bottom w:w="0" w:type="dxa"/>
          <w:right w:w="108" w:type="dxa"/>
        </w:tblCellMar>
      </w:tblPr>
      <w:tblGrid>
        <w:gridCol w:w="518"/>
        <w:gridCol w:w="416"/>
        <w:gridCol w:w="432"/>
        <w:gridCol w:w="245"/>
        <w:gridCol w:w="416"/>
        <w:gridCol w:w="1194"/>
        <w:gridCol w:w="478"/>
        <w:gridCol w:w="2977"/>
        <w:gridCol w:w="3402"/>
        <w:gridCol w:w="522"/>
        <w:gridCol w:w="8"/>
      </w:tblGrid>
      <w:tr>
        <w:tblPrEx>
          <w:tblCellMar>
            <w:top w:w="0" w:type="dxa"/>
            <w:left w:w="108" w:type="dxa"/>
            <w:bottom w:w="0" w:type="dxa"/>
            <w:right w:w="108" w:type="dxa"/>
          </w:tblCellMar>
        </w:tblPrEx>
        <w:trPr>
          <w:gridAfter w:val="1"/>
          <w:wAfter w:w="8" w:type="dxa"/>
          <w:trHeight w:val="2320" w:hRule="atLeast"/>
          <w:jc w:val="center"/>
        </w:trPr>
        <w:tc>
          <w:tcPr>
            <w:tcW w:w="518"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一级指标</w:t>
            </w:r>
          </w:p>
        </w:tc>
        <w:tc>
          <w:tcPr>
            <w:tcW w:w="416" w:type="dxa"/>
            <w:tcBorders>
              <w:top w:val="single" w:color="auto" w:sz="4" w:space="0"/>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分值</w:t>
            </w:r>
          </w:p>
        </w:tc>
        <w:tc>
          <w:tcPr>
            <w:tcW w:w="677" w:type="dxa"/>
            <w:gridSpan w:val="2"/>
            <w:tcBorders>
              <w:top w:val="single" w:color="auto" w:sz="4" w:space="0"/>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二级指标</w:t>
            </w:r>
          </w:p>
        </w:tc>
        <w:tc>
          <w:tcPr>
            <w:tcW w:w="416" w:type="dxa"/>
            <w:tcBorders>
              <w:top w:val="single" w:color="auto" w:sz="4" w:space="0"/>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分值</w:t>
            </w:r>
          </w:p>
        </w:tc>
        <w:tc>
          <w:tcPr>
            <w:tcW w:w="1194" w:type="dxa"/>
            <w:tcBorders>
              <w:top w:val="single" w:color="auto" w:sz="4" w:space="0"/>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三级</w:t>
            </w:r>
          </w:p>
          <w:p>
            <w:pPr>
              <w:widowControl/>
              <w:jc w:val="center"/>
              <w:rPr>
                <w:rFonts w:eastAsia="仿宋_GB2312"/>
                <w:kern w:val="0"/>
                <w:sz w:val="20"/>
                <w:szCs w:val="20"/>
              </w:rPr>
            </w:pPr>
            <w:r>
              <w:rPr>
                <w:rFonts w:eastAsia="仿宋_GB2312"/>
                <w:kern w:val="0"/>
                <w:sz w:val="20"/>
                <w:szCs w:val="20"/>
              </w:rPr>
              <w:t>指标</w:t>
            </w:r>
          </w:p>
        </w:tc>
        <w:tc>
          <w:tcPr>
            <w:tcW w:w="478" w:type="dxa"/>
            <w:tcBorders>
              <w:top w:val="single" w:color="auto" w:sz="4" w:space="0"/>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分值</w:t>
            </w:r>
          </w:p>
        </w:tc>
        <w:tc>
          <w:tcPr>
            <w:tcW w:w="2977" w:type="dxa"/>
            <w:tcBorders>
              <w:top w:val="single" w:color="auto" w:sz="4" w:space="0"/>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评价标准</w:t>
            </w:r>
          </w:p>
        </w:tc>
        <w:tc>
          <w:tcPr>
            <w:tcW w:w="3402" w:type="dxa"/>
            <w:tcBorders>
              <w:top w:val="single" w:color="auto" w:sz="4" w:space="0"/>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指标说明</w:t>
            </w:r>
          </w:p>
        </w:tc>
        <w:tc>
          <w:tcPr>
            <w:tcW w:w="522" w:type="dxa"/>
            <w:tcBorders>
              <w:top w:val="single" w:color="auto" w:sz="4" w:space="0"/>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得分</w:t>
            </w:r>
          </w:p>
        </w:tc>
      </w:tr>
      <w:tr>
        <w:tblPrEx>
          <w:tblCellMar>
            <w:top w:w="0" w:type="dxa"/>
            <w:left w:w="108" w:type="dxa"/>
            <w:bottom w:w="0" w:type="dxa"/>
            <w:right w:w="108" w:type="dxa"/>
          </w:tblCellMar>
        </w:tblPrEx>
        <w:trPr>
          <w:gridAfter w:val="1"/>
          <w:wAfter w:w="8" w:type="dxa"/>
          <w:trHeight w:val="1814" w:hRule="atLeast"/>
          <w:jc w:val="center"/>
        </w:trPr>
        <w:tc>
          <w:tcPr>
            <w:tcW w:w="518" w:type="dxa"/>
            <w:vMerge w:val="restart"/>
            <w:tcBorders>
              <w:top w:val="nil"/>
              <w:left w:val="single" w:color="auto" w:sz="4" w:space="0"/>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投入</w:t>
            </w:r>
          </w:p>
        </w:tc>
        <w:tc>
          <w:tcPr>
            <w:tcW w:w="416" w:type="dxa"/>
            <w:vMerge w:val="restart"/>
            <w:tcBorders>
              <w:top w:val="nil"/>
              <w:left w:val="nil"/>
              <w:bottom w:val="single" w:color="000000"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10</w:t>
            </w:r>
          </w:p>
        </w:tc>
        <w:tc>
          <w:tcPr>
            <w:tcW w:w="677" w:type="dxa"/>
            <w:gridSpan w:val="2"/>
            <w:vMerge w:val="restart"/>
            <w:tcBorders>
              <w:top w:val="nil"/>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预算配置</w:t>
            </w:r>
          </w:p>
        </w:tc>
        <w:tc>
          <w:tcPr>
            <w:tcW w:w="416" w:type="dxa"/>
            <w:vMerge w:val="restart"/>
            <w:tcBorders>
              <w:top w:val="nil"/>
              <w:left w:val="nil"/>
              <w:bottom w:val="single" w:color="000000"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10</w:t>
            </w:r>
          </w:p>
        </w:tc>
        <w:tc>
          <w:tcPr>
            <w:tcW w:w="1194"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在职人员控制率</w:t>
            </w:r>
          </w:p>
        </w:tc>
        <w:tc>
          <w:tcPr>
            <w:tcW w:w="478" w:type="dxa"/>
            <w:tcBorders>
              <w:top w:val="nil"/>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nil"/>
              <w:right w:val="nil"/>
            </w:tcBorders>
            <w:noWrap/>
            <w:vAlign w:val="center"/>
          </w:tcPr>
          <w:p>
            <w:pPr>
              <w:widowControl/>
              <w:jc w:val="left"/>
              <w:rPr>
                <w:rFonts w:eastAsia="仿宋_GB2312"/>
                <w:kern w:val="0"/>
                <w:sz w:val="20"/>
                <w:szCs w:val="20"/>
              </w:rPr>
            </w:pPr>
            <w:r>
              <w:rPr>
                <w:rFonts w:eastAsia="仿宋_GB2312"/>
                <w:kern w:val="0"/>
                <w:sz w:val="20"/>
                <w:szCs w:val="20"/>
              </w:rPr>
              <w:t>以100%</w:t>
            </w:r>
            <w:r>
              <w:rPr>
                <w:rFonts w:ascii="仿宋_GB2312" w:hAnsi="仿宋_GB2312" w:eastAsia="仿宋_GB2312"/>
                <w:kern w:val="0"/>
                <w:sz w:val="20"/>
                <w:szCs w:val="20"/>
              </w:rPr>
              <w:t>为标准。在职人员控制率</w:t>
            </w:r>
            <w:r>
              <w:rPr>
                <w:rFonts w:hint="eastAsia" w:ascii="宋体" w:hAnsi="宋体"/>
                <w:kern w:val="0"/>
                <w:sz w:val="20"/>
                <w:szCs w:val="20"/>
              </w:rPr>
              <w:t>≦</w:t>
            </w:r>
            <w:r>
              <w:rPr>
                <w:rFonts w:eastAsia="仿宋_GB2312"/>
                <w:kern w:val="0"/>
                <w:sz w:val="20"/>
                <w:szCs w:val="20"/>
              </w:rPr>
              <w:t>100%</w:t>
            </w:r>
            <w:r>
              <w:rPr>
                <w:rFonts w:ascii="仿宋_GB2312" w:hAnsi="仿宋_GB2312" w:eastAsia="仿宋_GB2312"/>
                <w:kern w:val="0"/>
                <w:sz w:val="20"/>
                <w:szCs w:val="20"/>
              </w:rPr>
              <w:t>，计</w:t>
            </w:r>
            <w:r>
              <w:rPr>
                <w:rFonts w:eastAsia="仿宋_GB2312"/>
                <w:kern w:val="0"/>
                <w:sz w:val="20"/>
                <w:szCs w:val="20"/>
              </w:rPr>
              <w:t>5</w:t>
            </w:r>
            <w:r>
              <w:rPr>
                <w:rFonts w:ascii="仿宋_GB2312" w:hAnsi="仿宋_GB2312" w:eastAsia="仿宋_GB2312"/>
                <w:kern w:val="0"/>
                <w:sz w:val="20"/>
                <w:szCs w:val="20"/>
              </w:rPr>
              <w:t>分；每超过一个百分点扣</w:t>
            </w:r>
            <w:r>
              <w:rPr>
                <w:rFonts w:eastAsia="仿宋_GB2312"/>
                <w:kern w:val="0"/>
                <w:sz w:val="20"/>
                <w:szCs w:val="20"/>
              </w:rPr>
              <w:t>0.5</w:t>
            </w:r>
            <w:r>
              <w:rPr>
                <w:rFonts w:ascii="仿宋_GB2312" w:hAnsi="仿宋_GB2312" w:eastAsia="仿宋_GB2312"/>
                <w:kern w:val="0"/>
                <w:sz w:val="20"/>
                <w:szCs w:val="20"/>
              </w:rPr>
              <w:t>分，扣完为止。</w:t>
            </w:r>
          </w:p>
        </w:tc>
        <w:tc>
          <w:tcPr>
            <w:tcW w:w="3402" w:type="dxa"/>
            <w:tcBorders>
              <w:top w:val="nil"/>
              <w:left w:val="single" w:color="auto" w:sz="4" w:space="0"/>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在职人员控制率=</w:t>
            </w:r>
            <w:r>
              <w:rPr>
                <w:rFonts w:ascii="仿宋_GB2312" w:hAnsi="仿宋_GB2312" w:eastAsia="仿宋_GB2312"/>
                <w:kern w:val="0"/>
                <w:sz w:val="20"/>
                <w:szCs w:val="20"/>
              </w:rPr>
              <w:t>（在职人员数</w:t>
            </w:r>
            <w:r>
              <w:rPr>
                <w:rFonts w:eastAsia="仿宋_GB2312"/>
                <w:kern w:val="0"/>
                <w:sz w:val="20"/>
                <w:szCs w:val="20"/>
              </w:rPr>
              <w:t>/</w:t>
            </w:r>
            <w:r>
              <w:rPr>
                <w:rFonts w:ascii="仿宋_GB2312" w:hAnsi="仿宋_GB2312" w:eastAsia="仿宋_GB2312"/>
                <w:kern w:val="0"/>
                <w:sz w:val="20"/>
                <w:szCs w:val="20"/>
              </w:rPr>
              <w:t>编制数）</w:t>
            </w:r>
            <w:r>
              <w:rPr>
                <w:rFonts w:eastAsia="仿宋_GB2312"/>
                <w:kern w:val="0"/>
                <w:sz w:val="20"/>
                <w:szCs w:val="20"/>
              </w:rPr>
              <w:t>×100%</w:t>
            </w:r>
            <w:r>
              <w:rPr>
                <w:rFonts w:ascii="仿宋_GB2312" w:hAnsi="仿宋_GB2312" w:eastAsia="仿宋_GB2312"/>
                <w:kern w:val="0"/>
                <w:sz w:val="20"/>
                <w:szCs w:val="20"/>
              </w:rPr>
              <w:t>，在职人员数：部门（单位）实际在职人数，以</w:t>
            </w:r>
            <w:r>
              <w:rPr>
                <w:kern w:val="0"/>
                <w:sz w:val="20"/>
                <w:szCs w:val="20"/>
              </w:rPr>
              <w:t>市</w:t>
            </w:r>
            <w:r>
              <w:rPr>
                <w:rFonts w:eastAsia="仿宋_GB2312"/>
                <w:kern w:val="0"/>
                <w:sz w:val="20"/>
                <w:szCs w:val="20"/>
              </w:rPr>
              <w:t>财政</w:t>
            </w:r>
            <w:r>
              <w:rPr>
                <w:kern w:val="0"/>
                <w:sz w:val="20"/>
                <w:szCs w:val="20"/>
              </w:rPr>
              <w:t>局</w:t>
            </w:r>
            <w:r>
              <w:rPr>
                <w:rFonts w:eastAsia="仿宋_GB2312"/>
                <w:kern w:val="0"/>
                <w:sz w:val="20"/>
                <w:szCs w:val="20"/>
              </w:rPr>
              <w:t>确定的部门决算编制口径为准。</w:t>
            </w:r>
            <w:r>
              <w:rPr>
                <w:rFonts w:eastAsia="仿宋_GB2312"/>
                <w:kern w:val="0"/>
                <w:sz w:val="20"/>
                <w:szCs w:val="20"/>
              </w:rPr>
              <w:br w:type="textWrapping"/>
            </w:r>
            <w:r>
              <w:rPr>
                <w:rFonts w:eastAsia="仿宋_GB2312"/>
                <w:kern w:val="0"/>
                <w:sz w:val="20"/>
                <w:szCs w:val="20"/>
              </w:rPr>
              <w:t>编制数：机构编制部门核定批复的部门（单位）的人员编制数。</w:t>
            </w:r>
          </w:p>
        </w:tc>
        <w:tc>
          <w:tcPr>
            <w:tcW w:w="522" w:type="dxa"/>
            <w:tcBorders>
              <w:top w:val="nil"/>
              <w:left w:val="nil"/>
              <w:bottom w:val="single" w:color="auto" w:sz="4" w:space="0"/>
              <w:right w:val="single" w:color="auto" w:sz="4" w:space="0"/>
            </w:tcBorders>
            <w:noWrap/>
            <w:vAlign w:val="center"/>
          </w:tcPr>
          <w:p>
            <w:pPr>
              <w:widowControl/>
              <w:jc w:val="left"/>
              <w:rPr>
                <w:kern w:val="0"/>
                <w:sz w:val="24"/>
              </w:rPr>
            </w:pPr>
            <w:r>
              <w:rPr>
                <w:rFonts w:hint="eastAsia"/>
                <w:kern w:val="0"/>
                <w:sz w:val="24"/>
              </w:rPr>
              <w:t>5</w:t>
            </w:r>
            <w:r>
              <w:rPr>
                <w:kern w:val="0"/>
                <w:sz w:val="24"/>
              </w:rPr>
              <w:t>　</w:t>
            </w:r>
          </w:p>
        </w:tc>
      </w:tr>
      <w:tr>
        <w:tblPrEx>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auto" w:sz="4" w:space="0"/>
              <w:right w:val="single" w:color="auto" w:sz="4" w:space="0"/>
            </w:tcBorders>
            <w:noWrap/>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变动率</w:t>
            </w:r>
          </w:p>
        </w:tc>
        <w:tc>
          <w:tcPr>
            <w:tcW w:w="478" w:type="dxa"/>
            <w:tcBorders>
              <w:top w:val="nil"/>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single" w:color="auto" w:sz="4" w:space="0"/>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变动率</w:t>
            </w:r>
            <w:r>
              <w:rPr>
                <w:rFonts w:hint="eastAsia" w:ascii="宋体" w:hAnsi="宋体"/>
                <w:kern w:val="0"/>
                <w:sz w:val="20"/>
                <w:szCs w:val="20"/>
              </w:rPr>
              <w:t>≦</w:t>
            </w:r>
            <w:r>
              <w:rPr>
                <w:rFonts w:eastAsia="仿宋_GB2312"/>
                <w:kern w:val="0"/>
                <w:sz w:val="20"/>
                <w:szCs w:val="20"/>
              </w:rPr>
              <w:t>0,</w:t>
            </w:r>
            <w:r>
              <w:rPr>
                <w:rFonts w:ascii="仿宋_GB2312" w:hAnsi="仿宋_GB2312" w:eastAsia="仿宋_GB2312"/>
                <w:kern w:val="0"/>
                <w:sz w:val="20"/>
                <w:szCs w:val="20"/>
              </w:rPr>
              <w:t>计</w:t>
            </w:r>
            <w:r>
              <w:rPr>
                <w:kern w:val="0"/>
                <w:sz w:val="20"/>
                <w:szCs w:val="20"/>
              </w:rPr>
              <w:t>5</w:t>
            </w:r>
            <w:r>
              <w:rPr>
                <w:rFonts w:eastAsia="仿宋_GB2312"/>
                <w:kern w:val="0"/>
                <w:sz w:val="20"/>
                <w:szCs w:val="20"/>
              </w:rPr>
              <w:t>分；“</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w:t>
            </w:r>
            <w:r>
              <w:rPr>
                <w:rFonts w:eastAsia="仿宋_GB2312"/>
                <w:kern w:val="0"/>
                <w:sz w:val="20"/>
                <w:szCs w:val="20"/>
              </w:rPr>
              <w:t>0</w:t>
            </w:r>
            <w:r>
              <w:rPr>
                <w:rFonts w:ascii="仿宋_GB2312" w:hAnsi="仿宋_GB2312" w:eastAsia="仿宋_GB2312"/>
                <w:kern w:val="0"/>
                <w:sz w:val="20"/>
                <w:szCs w:val="20"/>
              </w:rPr>
              <w:t>，每超过一个百分点扣</w:t>
            </w:r>
            <w:r>
              <w:rPr>
                <w:rFonts w:eastAsia="仿宋_GB2312"/>
                <w:kern w:val="0"/>
                <w:sz w:val="20"/>
                <w:szCs w:val="20"/>
              </w:rPr>
              <w:t>0.8</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变动率</w:t>
            </w:r>
            <w:r>
              <w:rPr>
                <w:rFonts w:eastAsia="仿宋_GB2312"/>
                <w:kern w:val="0"/>
                <w:sz w:val="20"/>
                <w:szCs w:val="20"/>
              </w:rPr>
              <w:t>=[</w:t>
            </w:r>
            <w:r>
              <w:rPr>
                <w:rFonts w:ascii="仿宋_GB2312" w:hAnsi="仿宋_GB2312" w:eastAsia="仿宋_GB2312"/>
                <w:kern w:val="0"/>
                <w:sz w:val="20"/>
                <w:szCs w:val="20"/>
              </w:rPr>
              <w:t>（本年度</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预算数</w:t>
            </w:r>
            <w:r>
              <w:rPr>
                <w:rFonts w:eastAsia="仿宋_GB2312"/>
                <w:kern w:val="0"/>
                <w:sz w:val="20"/>
                <w:szCs w:val="20"/>
              </w:rPr>
              <w:t>-</w:t>
            </w:r>
            <w:r>
              <w:rPr>
                <w:rFonts w:ascii="仿宋_GB2312" w:hAnsi="仿宋_GB2312" w:eastAsia="仿宋_GB2312"/>
                <w:kern w:val="0"/>
                <w:sz w:val="20"/>
                <w:szCs w:val="20"/>
              </w:rPr>
              <w:t>上年度</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预算数）</w:t>
            </w:r>
            <w:r>
              <w:rPr>
                <w:rFonts w:eastAsia="仿宋_GB2312"/>
                <w:kern w:val="0"/>
                <w:sz w:val="20"/>
                <w:szCs w:val="20"/>
              </w:rPr>
              <w:t>/</w:t>
            </w:r>
            <w:r>
              <w:rPr>
                <w:rFonts w:ascii="仿宋_GB2312" w:hAnsi="仿宋_GB2312" w:eastAsia="仿宋_GB2312"/>
                <w:kern w:val="0"/>
                <w:sz w:val="20"/>
                <w:szCs w:val="20"/>
              </w:rPr>
              <w:t>上年度</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预算数</w:t>
            </w:r>
            <w:r>
              <w:rPr>
                <w:rFonts w:eastAsia="仿宋_GB2312"/>
                <w:kern w:val="0"/>
                <w:sz w:val="20"/>
                <w:szCs w:val="20"/>
              </w:rPr>
              <w:t>]×100%</w:t>
            </w:r>
          </w:p>
        </w:tc>
        <w:tc>
          <w:tcPr>
            <w:tcW w:w="522" w:type="dxa"/>
            <w:tcBorders>
              <w:top w:val="nil"/>
              <w:left w:val="nil"/>
              <w:bottom w:val="single" w:color="auto" w:sz="4" w:space="0"/>
              <w:right w:val="single" w:color="auto" w:sz="4" w:space="0"/>
            </w:tcBorders>
            <w:noWrap/>
            <w:vAlign w:val="center"/>
          </w:tcPr>
          <w:p>
            <w:pPr>
              <w:widowControl/>
              <w:jc w:val="left"/>
              <w:rPr>
                <w:kern w:val="0"/>
                <w:sz w:val="24"/>
              </w:rPr>
            </w:pPr>
            <w:r>
              <w:rPr>
                <w:rFonts w:hint="eastAsia"/>
                <w:kern w:val="0"/>
                <w:sz w:val="24"/>
              </w:rPr>
              <w:t>5</w:t>
            </w:r>
            <w:r>
              <w:rPr>
                <w:kern w:val="0"/>
                <w:sz w:val="24"/>
              </w:rPr>
              <w:t>　</w:t>
            </w:r>
          </w:p>
        </w:tc>
      </w:tr>
      <w:tr>
        <w:tblPrEx>
          <w:tblCellMar>
            <w:top w:w="0" w:type="dxa"/>
            <w:left w:w="108" w:type="dxa"/>
            <w:bottom w:w="0" w:type="dxa"/>
            <w:right w:w="108" w:type="dxa"/>
          </w:tblCellMar>
        </w:tblPrEx>
        <w:trPr>
          <w:gridAfter w:val="1"/>
          <w:wAfter w:w="8" w:type="dxa"/>
          <w:jc w:val="center"/>
        </w:trPr>
        <w:tc>
          <w:tcPr>
            <w:tcW w:w="518" w:type="dxa"/>
            <w:vMerge w:val="restart"/>
            <w:tcBorders>
              <w:top w:val="nil"/>
              <w:left w:val="single" w:color="auto" w:sz="4" w:space="0"/>
              <w:bottom w:val="single" w:color="000000"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过                                                                                                                                       程</w:t>
            </w:r>
          </w:p>
        </w:tc>
        <w:tc>
          <w:tcPr>
            <w:tcW w:w="416" w:type="dxa"/>
            <w:vMerge w:val="restart"/>
            <w:tcBorders>
              <w:top w:val="nil"/>
              <w:left w:val="nil"/>
              <w:bottom w:val="single" w:color="000000"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60</w:t>
            </w:r>
          </w:p>
        </w:tc>
        <w:tc>
          <w:tcPr>
            <w:tcW w:w="677" w:type="dxa"/>
            <w:gridSpan w:val="2"/>
            <w:vMerge w:val="restart"/>
            <w:tcBorders>
              <w:top w:val="nil"/>
              <w:left w:val="nil"/>
              <w:bottom w:val="single" w:color="000000"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预算执行</w:t>
            </w:r>
          </w:p>
        </w:tc>
        <w:tc>
          <w:tcPr>
            <w:tcW w:w="416" w:type="dxa"/>
            <w:vMerge w:val="restart"/>
            <w:tcBorders>
              <w:top w:val="nil"/>
              <w:left w:val="nil"/>
              <w:bottom w:val="single" w:color="000000"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20</w:t>
            </w:r>
          </w:p>
        </w:tc>
        <w:tc>
          <w:tcPr>
            <w:tcW w:w="1194"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预算完成率</w:t>
            </w:r>
          </w:p>
        </w:tc>
        <w:tc>
          <w:tcPr>
            <w:tcW w:w="478" w:type="dxa"/>
            <w:tcBorders>
              <w:top w:val="nil"/>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计满分，每低于</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预算完成率=</w:t>
            </w:r>
            <w:r>
              <w:rPr>
                <w:rFonts w:ascii="仿宋_GB2312" w:hAnsi="仿宋_GB2312" w:eastAsia="仿宋_GB2312"/>
                <w:kern w:val="0"/>
                <w:sz w:val="20"/>
                <w:szCs w:val="20"/>
              </w:rPr>
              <w:t>（上年结转</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w:t>
            </w:r>
            <w:r>
              <w:rPr>
                <w:rFonts w:ascii="仿宋_GB2312" w:hAnsi="仿宋_GB2312" w:eastAsia="仿宋_GB2312"/>
                <w:kern w:val="0"/>
                <w:sz w:val="20"/>
                <w:szCs w:val="20"/>
              </w:rPr>
              <w:t>本年追加预算</w:t>
            </w:r>
            <w:r>
              <w:rPr>
                <w:rFonts w:eastAsia="仿宋_GB2312"/>
                <w:kern w:val="0"/>
                <w:sz w:val="20"/>
                <w:szCs w:val="20"/>
              </w:rPr>
              <w:t>-</w:t>
            </w:r>
            <w:r>
              <w:rPr>
                <w:rFonts w:ascii="仿宋_GB2312" w:hAnsi="仿宋_GB2312" w:eastAsia="仿宋_GB2312"/>
                <w:kern w:val="0"/>
                <w:sz w:val="20"/>
                <w:szCs w:val="20"/>
              </w:rPr>
              <w:t>年末结余）</w:t>
            </w:r>
            <w:r>
              <w:rPr>
                <w:rFonts w:eastAsia="仿宋_GB2312"/>
                <w:kern w:val="0"/>
                <w:sz w:val="20"/>
                <w:szCs w:val="20"/>
              </w:rPr>
              <w:t>/</w:t>
            </w:r>
            <w:r>
              <w:rPr>
                <w:rFonts w:ascii="仿宋_GB2312" w:hAnsi="仿宋_GB2312" w:eastAsia="仿宋_GB2312"/>
                <w:kern w:val="0"/>
                <w:sz w:val="20"/>
                <w:szCs w:val="20"/>
              </w:rPr>
              <w:t>（上年结转</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w:t>
            </w:r>
            <w:r>
              <w:rPr>
                <w:rFonts w:ascii="仿宋_GB2312" w:hAnsi="仿宋_GB2312" w:eastAsia="仿宋_GB2312"/>
                <w:kern w:val="0"/>
                <w:sz w:val="20"/>
                <w:szCs w:val="20"/>
              </w:rPr>
              <w:t>本年追加预算）</w:t>
            </w:r>
            <w:r>
              <w:rPr>
                <w:rFonts w:eastAsia="仿宋_GB2312"/>
                <w:kern w:val="0"/>
                <w:sz w:val="20"/>
                <w:szCs w:val="20"/>
              </w:rPr>
              <w:t>×100%</w:t>
            </w:r>
            <w:r>
              <w:rPr>
                <w:rFonts w:ascii="仿宋_GB2312" w:hAnsi="仿宋_GB2312" w:eastAsia="仿宋_GB2312"/>
                <w:kern w:val="0"/>
                <w:sz w:val="20"/>
                <w:szCs w:val="20"/>
              </w:rPr>
              <w:t>。</w:t>
            </w:r>
          </w:p>
        </w:tc>
        <w:tc>
          <w:tcPr>
            <w:tcW w:w="522" w:type="dxa"/>
            <w:tcBorders>
              <w:top w:val="nil"/>
              <w:left w:val="nil"/>
              <w:bottom w:val="single" w:color="auto" w:sz="4" w:space="0"/>
              <w:right w:val="single" w:color="auto" w:sz="4" w:space="0"/>
            </w:tcBorders>
            <w:noWrap/>
            <w:vAlign w:val="center"/>
          </w:tcPr>
          <w:p>
            <w:pPr>
              <w:widowControl/>
              <w:jc w:val="left"/>
              <w:rPr>
                <w:kern w:val="0"/>
                <w:sz w:val="24"/>
              </w:rPr>
            </w:pPr>
            <w:r>
              <w:rPr>
                <w:kern w:val="0"/>
                <w:sz w:val="24"/>
              </w:rPr>
              <w:t>　</w:t>
            </w:r>
            <w:r>
              <w:rPr>
                <w:rFonts w:hint="eastAsia"/>
                <w:kern w:val="0"/>
                <w:sz w:val="24"/>
              </w:rPr>
              <w:t>5</w:t>
            </w:r>
          </w:p>
        </w:tc>
      </w:tr>
      <w:tr>
        <w:tblPrEx>
          <w:tblCellMar>
            <w:top w:w="0" w:type="dxa"/>
            <w:left w:w="108" w:type="dxa"/>
            <w:bottom w:w="0" w:type="dxa"/>
            <w:right w:w="108" w:type="dxa"/>
          </w:tblCellMar>
        </w:tblPrEx>
        <w:trPr>
          <w:gridAfter w:val="1"/>
          <w:wAfter w:w="8" w:type="dxa"/>
          <w:trHeight w:val="1273" w:hRule="atLeast"/>
          <w:jc w:val="center"/>
        </w:trPr>
        <w:tc>
          <w:tcPr>
            <w:tcW w:w="518" w:type="dxa"/>
            <w:vMerge w:val="continue"/>
            <w:tcBorders>
              <w:top w:val="nil"/>
              <w:left w:val="single" w:color="auto" w:sz="4" w:space="0"/>
              <w:bottom w:val="single" w:color="000000" w:sz="4" w:space="0"/>
              <w:right w:val="single" w:color="auto" w:sz="4" w:space="0"/>
            </w:tcBorders>
            <w:noWrap/>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预算控制率</w:t>
            </w:r>
          </w:p>
        </w:tc>
        <w:tc>
          <w:tcPr>
            <w:tcW w:w="478" w:type="dxa"/>
            <w:tcBorders>
              <w:top w:val="nil"/>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预算控制率=0</w:t>
            </w:r>
            <w:r>
              <w:rPr>
                <w:rFonts w:ascii="仿宋_GB2312" w:hAnsi="仿宋_GB2312" w:eastAsia="仿宋_GB2312"/>
                <w:kern w:val="0"/>
                <w:sz w:val="20"/>
                <w:szCs w:val="20"/>
              </w:rPr>
              <w:t>，计</w:t>
            </w:r>
            <w:r>
              <w:rPr>
                <w:rFonts w:eastAsia="仿宋_GB2312"/>
                <w:kern w:val="0"/>
                <w:sz w:val="20"/>
                <w:szCs w:val="20"/>
              </w:rPr>
              <w:t>5</w:t>
            </w:r>
            <w:r>
              <w:rPr>
                <w:rFonts w:ascii="仿宋_GB2312" w:hAnsi="仿宋_GB2312" w:eastAsia="仿宋_GB2312"/>
                <w:kern w:val="0"/>
                <w:sz w:val="20"/>
                <w:szCs w:val="20"/>
              </w:rPr>
              <w:t>分；</w:t>
            </w:r>
            <w:r>
              <w:rPr>
                <w:rFonts w:eastAsia="仿宋_GB2312"/>
                <w:kern w:val="0"/>
                <w:sz w:val="20"/>
                <w:szCs w:val="20"/>
              </w:rPr>
              <w:t>0-10%</w:t>
            </w:r>
            <w:r>
              <w:rPr>
                <w:rFonts w:ascii="仿宋_GB2312" w:hAnsi="仿宋_GB2312" w:eastAsia="仿宋_GB2312"/>
                <w:kern w:val="0"/>
                <w:sz w:val="20"/>
                <w:szCs w:val="20"/>
              </w:rPr>
              <w:t>（含），计</w:t>
            </w:r>
            <w:r>
              <w:rPr>
                <w:rFonts w:eastAsia="仿宋_GB2312"/>
                <w:kern w:val="0"/>
                <w:sz w:val="20"/>
                <w:szCs w:val="20"/>
              </w:rPr>
              <w:t>4</w:t>
            </w:r>
            <w:r>
              <w:rPr>
                <w:rFonts w:ascii="仿宋_GB2312" w:hAnsi="仿宋_GB2312" w:eastAsia="仿宋_GB2312"/>
                <w:kern w:val="0"/>
                <w:sz w:val="20"/>
                <w:szCs w:val="20"/>
              </w:rPr>
              <w:t>分；</w:t>
            </w:r>
            <w:r>
              <w:rPr>
                <w:rFonts w:eastAsia="仿宋_GB2312"/>
                <w:kern w:val="0"/>
                <w:sz w:val="20"/>
                <w:szCs w:val="20"/>
              </w:rPr>
              <w:t>10-20%</w:t>
            </w:r>
            <w:r>
              <w:rPr>
                <w:rFonts w:ascii="仿宋_GB2312" w:hAnsi="仿宋_GB2312" w:eastAsia="仿宋_GB2312"/>
                <w:kern w:val="0"/>
                <w:sz w:val="20"/>
                <w:szCs w:val="20"/>
              </w:rPr>
              <w:t>（含），计</w:t>
            </w:r>
            <w:r>
              <w:rPr>
                <w:rFonts w:eastAsia="仿宋_GB2312"/>
                <w:kern w:val="0"/>
                <w:sz w:val="20"/>
                <w:szCs w:val="20"/>
              </w:rPr>
              <w:t>3</w:t>
            </w:r>
            <w:r>
              <w:rPr>
                <w:rFonts w:ascii="仿宋_GB2312" w:hAnsi="仿宋_GB2312" w:eastAsia="仿宋_GB2312"/>
                <w:kern w:val="0"/>
                <w:sz w:val="20"/>
                <w:szCs w:val="20"/>
              </w:rPr>
              <w:t>分；</w:t>
            </w:r>
            <w:r>
              <w:rPr>
                <w:rFonts w:eastAsia="仿宋_GB2312"/>
                <w:kern w:val="0"/>
                <w:sz w:val="20"/>
                <w:szCs w:val="20"/>
              </w:rPr>
              <w:t>20-30%</w:t>
            </w:r>
            <w:r>
              <w:rPr>
                <w:rFonts w:ascii="仿宋_GB2312" w:hAnsi="仿宋_GB2312" w:eastAsia="仿宋_GB2312"/>
                <w:kern w:val="0"/>
                <w:sz w:val="20"/>
                <w:szCs w:val="20"/>
              </w:rPr>
              <w:t>（含），计</w:t>
            </w:r>
            <w:r>
              <w:rPr>
                <w:rFonts w:eastAsia="仿宋_GB2312"/>
                <w:kern w:val="0"/>
                <w:sz w:val="20"/>
                <w:szCs w:val="20"/>
              </w:rPr>
              <w:t>2</w:t>
            </w:r>
            <w:r>
              <w:rPr>
                <w:rFonts w:ascii="仿宋_GB2312" w:hAnsi="仿宋_GB2312" w:eastAsia="仿宋_GB2312"/>
                <w:kern w:val="0"/>
                <w:sz w:val="20"/>
                <w:szCs w:val="20"/>
              </w:rPr>
              <w:t>分；大于</w:t>
            </w:r>
            <w:r>
              <w:rPr>
                <w:rFonts w:eastAsia="仿宋_GB2312"/>
                <w:kern w:val="0"/>
                <w:sz w:val="20"/>
                <w:szCs w:val="20"/>
              </w:rPr>
              <w:t>30%</w:t>
            </w:r>
            <w:r>
              <w:rPr>
                <w:rFonts w:ascii="仿宋_GB2312" w:hAnsi="仿宋_GB2312" w:eastAsia="仿宋_GB2312"/>
                <w:kern w:val="0"/>
                <w:sz w:val="20"/>
                <w:szCs w:val="20"/>
              </w:rPr>
              <w:t>不得分。</w:t>
            </w:r>
          </w:p>
        </w:tc>
        <w:tc>
          <w:tcPr>
            <w:tcW w:w="3402"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预算控制率=</w:t>
            </w:r>
            <w:r>
              <w:rPr>
                <w:rFonts w:ascii="仿宋_GB2312" w:hAnsi="仿宋_GB2312" w:eastAsia="仿宋_GB2312"/>
                <w:kern w:val="0"/>
                <w:sz w:val="20"/>
                <w:szCs w:val="20"/>
              </w:rPr>
              <w:t>（本年追加预算</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×100%</w:t>
            </w:r>
            <w:r>
              <w:rPr>
                <w:rFonts w:ascii="仿宋_GB2312" w:hAnsi="仿宋_GB2312" w:eastAsia="仿宋_GB2312"/>
                <w:kern w:val="0"/>
                <w:sz w:val="20"/>
                <w:szCs w:val="20"/>
              </w:rPr>
              <w:t>。</w:t>
            </w:r>
          </w:p>
        </w:tc>
        <w:tc>
          <w:tcPr>
            <w:tcW w:w="522" w:type="dxa"/>
            <w:tcBorders>
              <w:top w:val="nil"/>
              <w:left w:val="nil"/>
              <w:bottom w:val="single" w:color="auto" w:sz="4" w:space="0"/>
              <w:right w:val="single" w:color="auto" w:sz="4" w:space="0"/>
            </w:tcBorders>
            <w:noWrap/>
            <w:vAlign w:val="center"/>
          </w:tcPr>
          <w:p>
            <w:pPr>
              <w:widowControl/>
              <w:jc w:val="left"/>
              <w:rPr>
                <w:kern w:val="0"/>
                <w:sz w:val="24"/>
              </w:rPr>
            </w:pPr>
            <w:r>
              <w:rPr>
                <w:kern w:val="0"/>
                <w:sz w:val="24"/>
              </w:rPr>
              <w:t>　</w:t>
            </w:r>
            <w:r>
              <w:rPr>
                <w:rFonts w:hint="eastAsia"/>
                <w:kern w:val="0"/>
                <w:sz w:val="24"/>
              </w:rPr>
              <w:t>5</w:t>
            </w:r>
          </w:p>
        </w:tc>
      </w:tr>
      <w:tr>
        <w:tblPrEx>
          <w:tblCellMar>
            <w:top w:w="0" w:type="dxa"/>
            <w:left w:w="108" w:type="dxa"/>
            <w:bottom w:w="0" w:type="dxa"/>
            <w:right w:w="108" w:type="dxa"/>
          </w:tblCellMar>
        </w:tblPrEx>
        <w:trPr>
          <w:gridAfter w:val="1"/>
          <w:wAfter w:w="8" w:type="dxa"/>
          <w:trHeight w:val="1325" w:hRule="atLeast"/>
          <w:jc w:val="center"/>
        </w:trPr>
        <w:tc>
          <w:tcPr>
            <w:tcW w:w="518" w:type="dxa"/>
            <w:vMerge w:val="continue"/>
            <w:tcBorders>
              <w:top w:val="nil"/>
              <w:left w:val="single" w:color="auto" w:sz="4" w:space="0"/>
              <w:bottom w:val="single" w:color="000000" w:sz="4" w:space="0"/>
              <w:right w:val="single" w:color="auto" w:sz="4" w:space="0"/>
            </w:tcBorders>
            <w:noWrap/>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新建楼堂馆所面积控制率</w:t>
            </w:r>
          </w:p>
        </w:tc>
        <w:tc>
          <w:tcPr>
            <w:tcW w:w="478" w:type="dxa"/>
            <w:tcBorders>
              <w:top w:val="nil"/>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分，扣完为止。没有楼堂馆所项目的部门按满分计算。</w:t>
            </w:r>
          </w:p>
        </w:tc>
        <w:tc>
          <w:tcPr>
            <w:tcW w:w="3402"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楼堂馆所面积控制率=</w:t>
            </w:r>
            <w:r>
              <w:rPr>
                <w:rFonts w:ascii="仿宋_GB2312" w:hAnsi="仿宋_GB2312" w:eastAsia="仿宋_GB2312"/>
                <w:kern w:val="0"/>
                <w:sz w:val="20"/>
                <w:szCs w:val="20"/>
              </w:rPr>
              <w:t>实际建设面积</w:t>
            </w:r>
            <w:r>
              <w:rPr>
                <w:rFonts w:eastAsia="仿宋_GB2312"/>
                <w:kern w:val="0"/>
                <w:sz w:val="20"/>
                <w:szCs w:val="20"/>
              </w:rPr>
              <w:t>/</w:t>
            </w:r>
            <w:r>
              <w:rPr>
                <w:rFonts w:ascii="仿宋_GB2312" w:hAnsi="仿宋_GB2312" w:eastAsia="仿宋_GB2312"/>
                <w:kern w:val="0"/>
                <w:sz w:val="20"/>
                <w:szCs w:val="20"/>
              </w:rPr>
              <w:t>批准建设面积</w:t>
            </w:r>
            <w:r>
              <w:rPr>
                <w:rFonts w:eastAsia="仿宋_GB2312"/>
                <w:kern w:val="0"/>
                <w:sz w:val="20"/>
                <w:szCs w:val="20"/>
              </w:rPr>
              <w:t xml:space="preserve">×100% </w:t>
            </w:r>
            <w:r>
              <w:rPr>
                <w:rFonts w:ascii="仿宋_GB2312" w:hAnsi="仿宋_GB2312" w:eastAsia="仿宋_GB2312"/>
                <w:kern w:val="0"/>
                <w:sz w:val="20"/>
                <w:szCs w:val="20"/>
              </w:rPr>
              <w:t>。</w:t>
            </w:r>
            <w:r>
              <w:rPr>
                <w:rFonts w:eastAsia="仿宋_GB2312"/>
                <w:kern w:val="0"/>
                <w:sz w:val="20"/>
                <w:szCs w:val="20"/>
              </w:rPr>
              <w:br w:type="textWrapping"/>
            </w:r>
          </w:p>
        </w:tc>
        <w:tc>
          <w:tcPr>
            <w:tcW w:w="522" w:type="dxa"/>
            <w:tcBorders>
              <w:top w:val="nil"/>
              <w:left w:val="nil"/>
              <w:bottom w:val="single" w:color="auto" w:sz="4" w:space="0"/>
              <w:right w:val="single" w:color="auto" w:sz="4" w:space="0"/>
            </w:tcBorders>
            <w:noWrap/>
            <w:vAlign w:val="center"/>
          </w:tcPr>
          <w:p>
            <w:pPr>
              <w:widowControl/>
              <w:jc w:val="left"/>
              <w:rPr>
                <w:color w:val="000000"/>
                <w:kern w:val="0"/>
                <w:sz w:val="24"/>
              </w:rPr>
            </w:pPr>
            <w:r>
              <w:rPr>
                <w:color w:val="FF0000"/>
                <w:kern w:val="0"/>
                <w:sz w:val="24"/>
              </w:rPr>
              <w:t>　</w:t>
            </w:r>
            <w:r>
              <w:rPr>
                <w:rFonts w:hint="eastAsia"/>
                <w:color w:val="000000"/>
                <w:kern w:val="0"/>
                <w:sz w:val="24"/>
              </w:rPr>
              <w:t>5</w:t>
            </w:r>
          </w:p>
        </w:tc>
      </w:tr>
      <w:tr>
        <w:tblPrEx>
          <w:tblCellMar>
            <w:top w:w="0" w:type="dxa"/>
            <w:left w:w="108" w:type="dxa"/>
            <w:bottom w:w="0" w:type="dxa"/>
            <w:right w:w="108" w:type="dxa"/>
          </w:tblCellMar>
        </w:tblPrEx>
        <w:trPr>
          <w:gridAfter w:val="1"/>
          <w:wAfter w:w="8" w:type="dxa"/>
          <w:trHeight w:val="1543" w:hRule="atLeast"/>
          <w:jc w:val="center"/>
        </w:trPr>
        <w:tc>
          <w:tcPr>
            <w:tcW w:w="518" w:type="dxa"/>
            <w:vMerge w:val="continue"/>
            <w:tcBorders>
              <w:top w:val="nil"/>
              <w:left w:val="single" w:color="auto" w:sz="4" w:space="0"/>
              <w:bottom w:val="single" w:color="000000" w:sz="4" w:space="0"/>
              <w:right w:val="single" w:color="auto" w:sz="4" w:space="0"/>
            </w:tcBorders>
            <w:noWrap/>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新建楼堂馆所投资概算控制率</w:t>
            </w:r>
          </w:p>
        </w:tc>
        <w:tc>
          <w:tcPr>
            <w:tcW w:w="478" w:type="dxa"/>
            <w:tcBorders>
              <w:top w:val="nil"/>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楼堂馆所投资预算控制率=</w:t>
            </w:r>
            <w:r>
              <w:rPr>
                <w:rFonts w:ascii="仿宋_GB2312" w:hAnsi="仿宋_GB2312" w:eastAsia="仿宋_GB2312"/>
                <w:kern w:val="0"/>
                <w:sz w:val="20"/>
                <w:szCs w:val="20"/>
              </w:rPr>
              <w:t>实际投资金额</w:t>
            </w:r>
            <w:r>
              <w:rPr>
                <w:rFonts w:eastAsia="仿宋_GB2312"/>
                <w:kern w:val="0"/>
                <w:sz w:val="20"/>
                <w:szCs w:val="20"/>
              </w:rPr>
              <w:t>/</w:t>
            </w:r>
            <w:r>
              <w:rPr>
                <w:rFonts w:ascii="仿宋_GB2312" w:hAnsi="仿宋_GB2312" w:eastAsia="仿宋_GB2312"/>
                <w:kern w:val="0"/>
                <w:sz w:val="20"/>
                <w:szCs w:val="20"/>
              </w:rPr>
              <w:t>批准投资金额</w:t>
            </w:r>
            <w:r>
              <w:rPr>
                <w:rFonts w:eastAsia="仿宋_GB2312"/>
                <w:kern w:val="0"/>
                <w:sz w:val="20"/>
                <w:szCs w:val="20"/>
              </w:rPr>
              <w:t xml:space="preserve">×100% </w:t>
            </w:r>
            <w:r>
              <w:rPr>
                <w:rFonts w:ascii="仿宋_GB2312" w:hAnsi="仿宋_GB2312" w:eastAsia="仿宋_GB2312"/>
                <w:kern w:val="0"/>
                <w:sz w:val="20"/>
                <w:szCs w:val="20"/>
              </w:rPr>
              <w:t>。</w:t>
            </w:r>
            <w:r>
              <w:rPr>
                <w:rFonts w:eastAsia="仿宋_GB2312"/>
                <w:kern w:val="0"/>
                <w:sz w:val="20"/>
                <w:szCs w:val="20"/>
              </w:rPr>
              <w:br w:type="textWrapping"/>
            </w:r>
          </w:p>
        </w:tc>
        <w:tc>
          <w:tcPr>
            <w:tcW w:w="522" w:type="dxa"/>
            <w:tcBorders>
              <w:top w:val="nil"/>
              <w:left w:val="nil"/>
              <w:bottom w:val="single" w:color="auto" w:sz="4" w:space="0"/>
              <w:right w:val="single" w:color="auto" w:sz="4" w:space="0"/>
            </w:tcBorders>
            <w:noWrap/>
            <w:vAlign w:val="center"/>
          </w:tcPr>
          <w:p>
            <w:pPr>
              <w:widowControl/>
              <w:jc w:val="left"/>
              <w:rPr>
                <w:kern w:val="0"/>
                <w:sz w:val="24"/>
              </w:rPr>
            </w:pPr>
            <w:r>
              <w:rPr>
                <w:kern w:val="0"/>
                <w:sz w:val="24"/>
              </w:rPr>
              <w:t>　</w:t>
            </w:r>
            <w:r>
              <w:rPr>
                <w:rFonts w:hint="eastAsia"/>
                <w:kern w:val="0"/>
                <w:sz w:val="24"/>
              </w:rPr>
              <w:t>5</w:t>
            </w:r>
          </w:p>
        </w:tc>
      </w:tr>
      <w:tr>
        <w:tblPrEx>
          <w:tblCellMar>
            <w:top w:w="0" w:type="dxa"/>
            <w:left w:w="108" w:type="dxa"/>
            <w:bottom w:w="0" w:type="dxa"/>
            <w:right w:w="108" w:type="dxa"/>
          </w:tblCellMar>
        </w:tblPrEx>
        <w:trPr>
          <w:gridAfter w:val="1"/>
          <w:wAfter w:w="8" w:type="dxa"/>
          <w:trHeight w:val="1562" w:hRule="atLeast"/>
          <w:jc w:val="center"/>
        </w:trPr>
        <w:tc>
          <w:tcPr>
            <w:tcW w:w="518" w:type="dxa"/>
            <w:vMerge w:val="continue"/>
            <w:tcBorders>
              <w:top w:val="nil"/>
              <w:left w:val="single" w:color="auto" w:sz="4" w:space="0"/>
              <w:bottom w:val="single" w:color="000000" w:sz="4" w:space="0"/>
              <w:right w:val="single" w:color="auto" w:sz="4" w:space="0"/>
            </w:tcBorders>
            <w:noWrap/>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677" w:type="dxa"/>
            <w:gridSpan w:val="2"/>
            <w:vMerge w:val="restart"/>
            <w:tcBorders>
              <w:top w:val="nil"/>
              <w:left w:val="nil"/>
              <w:bottom w:val="single" w:color="000000"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预算管理</w:t>
            </w:r>
          </w:p>
        </w:tc>
        <w:tc>
          <w:tcPr>
            <w:tcW w:w="416" w:type="dxa"/>
            <w:vMerge w:val="restart"/>
            <w:tcBorders>
              <w:top w:val="nil"/>
              <w:left w:val="nil"/>
              <w:bottom w:val="single" w:color="000000"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40</w:t>
            </w:r>
          </w:p>
        </w:tc>
        <w:tc>
          <w:tcPr>
            <w:tcW w:w="1194"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公用经费控制率</w:t>
            </w:r>
          </w:p>
        </w:tc>
        <w:tc>
          <w:tcPr>
            <w:tcW w:w="478" w:type="dxa"/>
            <w:tcBorders>
              <w:top w:val="nil"/>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8</w:t>
            </w:r>
          </w:p>
        </w:tc>
        <w:tc>
          <w:tcPr>
            <w:tcW w:w="2977"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1%</w:t>
            </w:r>
            <w:r>
              <w:rPr>
                <w:rFonts w:ascii="仿宋_GB2312" w:hAnsi="仿宋_GB2312" w:eastAsia="仿宋_GB2312"/>
                <w:kern w:val="0"/>
                <w:sz w:val="20"/>
                <w:szCs w:val="20"/>
              </w:rPr>
              <w:t>扣</w:t>
            </w:r>
            <w:r>
              <w:rPr>
                <w:rFonts w:eastAsia="仿宋_GB2312"/>
                <w:kern w:val="0"/>
                <w:sz w:val="20"/>
                <w:szCs w:val="20"/>
              </w:rPr>
              <w:t>1</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公用经费控制率=</w:t>
            </w:r>
            <w:r>
              <w:rPr>
                <w:rFonts w:ascii="仿宋_GB2312" w:hAnsi="仿宋_GB2312" w:eastAsia="仿宋_GB2312"/>
                <w:kern w:val="0"/>
                <w:sz w:val="20"/>
                <w:szCs w:val="20"/>
              </w:rPr>
              <w:t>（实际支出公用经费总额</w:t>
            </w:r>
            <w:r>
              <w:rPr>
                <w:rFonts w:eastAsia="仿宋_GB2312"/>
                <w:kern w:val="0"/>
                <w:sz w:val="20"/>
                <w:szCs w:val="20"/>
              </w:rPr>
              <w:t>/</w:t>
            </w:r>
            <w:r>
              <w:rPr>
                <w:rFonts w:ascii="仿宋_GB2312" w:hAnsi="仿宋_GB2312" w:eastAsia="仿宋_GB2312"/>
                <w:kern w:val="0"/>
                <w:sz w:val="20"/>
                <w:szCs w:val="20"/>
              </w:rPr>
              <w:t>预算安排公用经费总额）</w:t>
            </w:r>
            <w:r>
              <w:rPr>
                <w:rFonts w:eastAsia="仿宋_GB2312"/>
                <w:kern w:val="0"/>
                <w:sz w:val="20"/>
                <w:szCs w:val="20"/>
              </w:rPr>
              <w:t>×100%</w:t>
            </w:r>
            <w:r>
              <w:rPr>
                <w:rFonts w:ascii="仿宋_GB2312" w:hAnsi="仿宋_GB2312" w:eastAsia="仿宋_GB2312"/>
                <w:kern w:val="0"/>
                <w:sz w:val="20"/>
                <w:szCs w:val="20"/>
              </w:rPr>
              <w:t>。</w:t>
            </w:r>
            <w:r>
              <w:rPr>
                <w:rFonts w:eastAsia="仿宋_GB2312"/>
                <w:kern w:val="0"/>
                <w:sz w:val="20"/>
                <w:szCs w:val="20"/>
              </w:rPr>
              <w:br w:type="textWrapping"/>
            </w:r>
            <w:r>
              <w:rPr>
                <w:rFonts w:eastAsia="仿宋_GB2312"/>
                <w:kern w:val="0"/>
                <w:sz w:val="20"/>
                <w:szCs w:val="20"/>
              </w:rPr>
              <w:t>公用经费支出是指部门基本支出中的一般商品和服务支出。</w:t>
            </w:r>
          </w:p>
        </w:tc>
        <w:tc>
          <w:tcPr>
            <w:tcW w:w="522" w:type="dxa"/>
            <w:tcBorders>
              <w:top w:val="nil"/>
              <w:left w:val="nil"/>
              <w:bottom w:val="single" w:color="auto" w:sz="4" w:space="0"/>
              <w:right w:val="single" w:color="auto" w:sz="4" w:space="0"/>
            </w:tcBorders>
            <w:noWrap/>
            <w:vAlign w:val="center"/>
          </w:tcPr>
          <w:p>
            <w:pPr>
              <w:widowControl/>
              <w:jc w:val="left"/>
              <w:rPr>
                <w:color w:val="000000"/>
                <w:kern w:val="0"/>
                <w:sz w:val="24"/>
              </w:rPr>
            </w:pPr>
            <w:r>
              <w:rPr>
                <w:rFonts w:hint="eastAsia"/>
                <w:color w:val="000000"/>
                <w:kern w:val="0"/>
                <w:sz w:val="24"/>
              </w:rPr>
              <w:t>8</w:t>
            </w:r>
          </w:p>
        </w:tc>
      </w:tr>
      <w:tr>
        <w:tblPrEx>
          <w:tblCellMar>
            <w:top w:w="0" w:type="dxa"/>
            <w:left w:w="108" w:type="dxa"/>
            <w:bottom w:w="0" w:type="dxa"/>
            <w:right w:w="108" w:type="dxa"/>
          </w:tblCellMar>
        </w:tblPrEx>
        <w:trPr>
          <w:gridAfter w:val="1"/>
          <w:wAfter w:w="8" w:type="dxa"/>
          <w:trHeight w:val="1073" w:hRule="atLeast"/>
          <w:jc w:val="center"/>
        </w:trPr>
        <w:tc>
          <w:tcPr>
            <w:tcW w:w="518" w:type="dxa"/>
            <w:vMerge w:val="continue"/>
            <w:tcBorders>
              <w:top w:val="nil"/>
              <w:left w:val="single" w:color="auto" w:sz="4" w:space="0"/>
              <w:bottom w:val="single" w:color="000000" w:sz="4" w:space="0"/>
              <w:right w:val="single" w:color="auto" w:sz="4" w:space="0"/>
            </w:tcBorders>
            <w:noWrap/>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控制率</w:t>
            </w:r>
          </w:p>
        </w:tc>
        <w:tc>
          <w:tcPr>
            <w:tcW w:w="478" w:type="dxa"/>
            <w:tcBorders>
              <w:top w:val="nil"/>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7</w:t>
            </w:r>
          </w:p>
        </w:tc>
        <w:tc>
          <w:tcPr>
            <w:tcW w:w="2977"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1%</w:t>
            </w:r>
            <w:r>
              <w:rPr>
                <w:rFonts w:ascii="仿宋_GB2312" w:hAnsi="仿宋_GB2312" w:eastAsia="仿宋_GB2312"/>
                <w:kern w:val="0"/>
                <w:sz w:val="20"/>
                <w:szCs w:val="20"/>
              </w:rPr>
              <w:t>扣</w:t>
            </w:r>
            <w:r>
              <w:rPr>
                <w:rFonts w:eastAsia="仿宋_GB2312"/>
                <w:kern w:val="0"/>
                <w:sz w:val="20"/>
                <w:szCs w:val="20"/>
              </w:rPr>
              <w:t>1</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控制率</w:t>
            </w:r>
            <w:r>
              <w:rPr>
                <w:rFonts w:eastAsia="仿宋_GB2312"/>
                <w:kern w:val="0"/>
                <w:sz w:val="20"/>
                <w:szCs w:val="20"/>
              </w:rPr>
              <w:t>-</w:t>
            </w:r>
            <w:r>
              <w:rPr>
                <w:rFonts w:ascii="仿宋_GB2312" w:hAnsi="仿宋_GB2312" w:eastAsia="仿宋_GB2312"/>
                <w:kern w:val="0"/>
                <w:sz w:val="20"/>
                <w:szCs w:val="20"/>
              </w:rPr>
              <w:t>（</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实际支出数</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预算安排数）</w:t>
            </w:r>
            <w:r>
              <w:rPr>
                <w:rFonts w:eastAsia="仿宋_GB2312"/>
                <w:kern w:val="0"/>
                <w:sz w:val="20"/>
                <w:szCs w:val="20"/>
              </w:rPr>
              <w:t>×100%</w:t>
            </w:r>
            <w:r>
              <w:rPr>
                <w:rFonts w:ascii="仿宋_GB2312" w:hAnsi="仿宋_GB2312" w:eastAsia="仿宋_GB2312"/>
                <w:kern w:val="0"/>
                <w:sz w:val="20"/>
                <w:szCs w:val="20"/>
              </w:rPr>
              <w:t>。</w:t>
            </w:r>
          </w:p>
        </w:tc>
        <w:tc>
          <w:tcPr>
            <w:tcW w:w="522" w:type="dxa"/>
            <w:tcBorders>
              <w:top w:val="nil"/>
              <w:left w:val="nil"/>
              <w:bottom w:val="single" w:color="auto" w:sz="4" w:space="0"/>
              <w:right w:val="single" w:color="auto" w:sz="4" w:space="0"/>
            </w:tcBorders>
            <w:noWrap/>
            <w:vAlign w:val="center"/>
          </w:tcPr>
          <w:p>
            <w:pPr>
              <w:widowControl/>
              <w:jc w:val="left"/>
              <w:rPr>
                <w:kern w:val="0"/>
                <w:sz w:val="24"/>
              </w:rPr>
            </w:pPr>
            <w:r>
              <w:rPr>
                <w:rFonts w:hint="eastAsia"/>
                <w:kern w:val="0"/>
                <w:sz w:val="24"/>
              </w:rPr>
              <w:t>7</w:t>
            </w:r>
          </w:p>
        </w:tc>
      </w:tr>
      <w:tr>
        <w:tblPrEx>
          <w:tblCellMar>
            <w:top w:w="0" w:type="dxa"/>
            <w:left w:w="108" w:type="dxa"/>
            <w:bottom w:w="0" w:type="dxa"/>
            <w:right w:w="108" w:type="dxa"/>
          </w:tblCellMar>
        </w:tblPrEx>
        <w:trPr>
          <w:gridAfter w:val="1"/>
          <w:wAfter w:w="8" w:type="dxa"/>
          <w:trHeight w:val="918" w:hRule="atLeast"/>
          <w:jc w:val="center"/>
        </w:trPr>
        <w:tc>
          <w:tcPr>
            <w:tcW w:w="518" w:type="dxa"/>
            <w:vMerge w:val="continue"/>
            <w:tcBorders>
              <w:top w:val="nil"/>
              <w:left w:val="single" w:color="auto" w:sz="4" w:space="0"/>
              <w:bottom w:val="single" w:color="000000" w:sz="4" w:space="0"/>
              <w:right w:val="single" w:color="auto" w:sz="4" w:space="0"/>
            </w:tcBorders>
            <w:noWrap/>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政府采购执行率</w:t>
            </w:r>
          </w:p>
        </w:tc>
        <w:tc>
          <w:tcPr>
            <w:tcW w:w="478" w:type="dxa"/>
            <w:tcBorders>
              <w:top w:val="nil"/>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6</w:t>
            </w:r>
          </w:p>
        </w:tc>
        <w:tc>
          <w:tcPr>
            <w:tcW w:w="2977"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计满分，每超过（降低）</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政府采购执行率=</w:t>
            </w:r>
            <w:r>
              <w:rPr>
                <w:rFonts w:ascii="仿宋_GB2312" w:hAnsi="仿宋_GB2312" w:eastAsia="仿宋_GB2312"/>
                <w:kern w:val="0"/>
                <w:sz w:val="20"/>
                <w:szCs w:val="20"/>
              </w:rPr>
              <w:t>（实际政府采购金额</w:t>
            </w:r>
            <w:r>
              <w:rPr>
                <w:rFonts w:eastAsia="仿宋_GB2312"/>
                <w:kern w:val="0"/>
                <w:sz w:val="20"/>
                <w:szCs w:val="20"/>
              </w:rPr>
              <w:t>/</w:t>
            </w:r>
            <w:r>
              <w:rPr>
                <w:rFonts w:ascii="仿宋_GB2312" w:hAnsi="仿宋_GB2312" w:eastAsia="仿宋_GB2312"/>
                <w:kern w:val="0"/>
                <w:sz w:val="20"/>
                <w:szCs w:val="20"/>
              </w:rPr>
              <w:t>政府采购预算数）</w:t>
            </w:r>
            <w:r>
              <w:rPr>
                <w:rFonts w:eastAsia="仿宋_GB2312"/>
                <w:kern w:val="0"/>
                <w:sz w:val="20"/>
                <w:szCs w:val="20"/>
              </w:rPr>
              <w:t>×100%</w:t>
            </w:r>
          </w:p>
        </w:tc>
        <w:tc>
          <w:tcPr>
            <w:tcW w:w="522" w:type="dxa"/>
            <w:tcBorders>
              <w:top w:val="nil"/>
              <w:left w:val="nil"/>
              <w:bottom w:val="single" w:color="auto" w:sz="4" w:space="0"/>
              <w:right w:val="single" w:color="auto" w:sz="4" w:space="0"/>
            </w:tcBorders>
            <w:noWrap/>
            <w:vAlign w:val="center"/>
          </w:tcPr>
          <w:p>
            <w:pPr>
              <w:widowControl/>
              <w:jc w:val="left"/>
              <w:rPr>
                <w:kern w:val="0"/>
                <w:sz w:val="24"/>
              </w:rPr>
            </w:pPr>
            <w:r>
              <w:rPr>
                <w:rFonts w:hint="eastAsia"/>
                <w:kern w:val="0"/>
                <w:sz w:val="24"/>
              </w:rPr>
              <w:t>6</w:t>
            </w:r>
            <w:r>
              <w:rPr>
                <w:kern w:val="0"/>
                <w:sz w:val="24"/>
              </w:rPr>
              <w:t>　</w:t>
            </w:r>
          </w:p>
        </w:tc>
      </w:tr>
      <w:tr>
        <w:tblPrEx>
          <w:tblCellMar>
            <w:top w:w="0" w:type="dxa"/>
            <w:left w:w="108" w:type="dxa"/>
            <w:bottom w:w="0" w:type="dxa"/>
            <w:right w:w="108" w:type="dxa"/>
          </w:tblCellMar>
        </w:tblPrEx>
        <w:trPr>
          <w:gridAfter w:val="1"/>
          <w:wAfter w:w="8" w:type="dxa"/>
          <w:jc w:val="center"/>
        </w:trPr>
        <w:tc>
          <w:tcPr>
            <w:tcW w:w="518" w:type="dxa"/>
            <w:vMerge w:val="restart"/>
            <w:tcBorders>
              <w:top w:val="nil"/>
              <w:left w:val="single" w:color="auto" w:sz="4" w:space="0"/>
              <w:bottom w:val="single" w:color="000000" w:sz="4" w:space="0"/>
              <w:right w:val="single" w:color="auto" w:sz="4" w:space="0"/>
            </w:tcBorders>
            <w:noWrap/>
            <w:vAlign w:val="center"/>
          </w:tcPr>
          <w:p>
            <w:pPr>
              <w:jc w:val="left"/>
              <w:rPr>
                <w:rFonts w:eastAsia="仿宋_GB2312"/>
                <w:kern w:val="0"/>
                <w:sz w:val="20"/>
                <w:szCs w:val="20"/>
              </w:rPr>
            </w:pPr>
            <w:r>
              <w:rPr>
                <w:rFonts w:eastAsia="仿宋_GB2312"/>
                <w:kern w:val="0"/>
                <w:sz w:val="20"/>
                <w:szCs w:val="20"/>
              </w:rPr>
              <w:t>过                                                                                                                                       程</w:t>
            </w:r>
          </w:p>
        </w:tc>
        <w:tc>
          <w:tcPr>
            <w:tcW w:w="416" w:type="dxa"/>
            <w:vMerge w:val="restart"/>
            <w:tcBorders>
              <w:top w:val="nil"/>
              <w:left w:val="nil"/>
              <w:bottom w:val="single" w:color="000000" w:sz="4" w:space="0"/>
              <w:right w:val="single" w:color="auto" w:sz="4" w:space="0"/>
            </w:tcBorders>
            <w:noWrap/>
            <w:vAlign w:val="center"/>
          </w:tcPr>
          <w:p>
            <w:pPr>
              <w:jc w:val="left"/>
              <w:rPr>
                <w:rFonts w:eastAsia="仿宋_GB2312"/>
                <w:kern w:val="0"/>
                <w:sz w:val="20"/>
                <w:szCs w:val="20"/>
              </w:rPr>
            </w:pPr>
          </w:p>
        </w:tc>
        <w:tc>
          <w:tcPr>
            <w:tcW w:w="677" w:type="dxa"/>
            <w:gridSpan w:val="2"/>
            <w:vMerge w:val="restart"/>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预算管理</w:t>
            </w:r>
          </w:p>
        </w:tc>
        <w:tc>
          <w:tcPr>
            <w:tcW w:w="416"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管理制度健全性</w:t>
            </w:r>
          </w:p>
        </w:tc>
        <w:tc>
          <w:tcPr>
            <w:tcW w:w="478" w:type="dxa"/>
            <w:tcBorders>
              <w:top w:val="nil"/>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8</w:t>
            </w:r>
          </w:p>
        </w:tc>
        <w:tc>
          <w:tcPr>
            <w:tcW w:w="6379" w:type="dxa"/>
            <w:gridSpan w:val="2"/>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有内部财务管理制度、会计核算制度等管理制度，</w:t>
            </w:r>
            <w:r>
              <w:rPr>
                <w:rFonts w:eastAsia="仿宋_GB2312"/>
                <w:kern w:val="0"/>
                <w:sz w:val="20"/>
                <w:szCs w:val="20"/>
              </w:rPr>
              <w:t>2</w:t>
            </w:r>
            <w:r>
              <w:rPr>
                <w:rFonts w:ascii="仿宋_GB2312" w:hAnsi="仿宋_GB2312" w:eastAsia="仿宋_GB2312"/>
                <w:kern w:val="0"/>
                <w:sz w:val="20"/>
                <w:szCs w:val="20"/>
              </w:rPr>
              <w:t>分；</w:t>
            </w:r>
            <w:r>
              <w:rPr>
                <w:rFonts w:eastAsia="仿宋_GB2312"/>
                <w:kern w:val="0"/>
                <w:sz w:val="20"/>
                <w:szCs w:val="20"/>
              </w:rPr>
              <w:br w:type="textWrapping"/>
            </w:r>
            <w:r>
              <w:rPr>
                <w:rFonts w:hint="eastAsia" w:ascii="宋体" w:hAnsi="宋体"/>
                <w:kern w:val="0"/>
                <w:sz w:val="20"/>
                <w:szCs w:val="20"/>
              </w:rPr>
              <w:t>②</w:t>
            </w:r>
            <w:r>
              <w:rPr>
                <w:rFonts w:ascii="仿宋_GB2312" w:hAnsi="仿宋_GB2312" w:eastAsia="仿宋_GB2312"/>
                <w:kern w:val="0"/>
                <w:sz w:val="20"/>
                <w:szCs w:val="20"/>
              </w:rPr>
              <w:t>有本部门厉行节约制度</w:t>
            </w:r>
            <w:r>
              <w:rPr>
                <w:rFonts w:eastAsia="仿宋_GB2312"/>
                <w:kern w:val="0"/>
                <w:sz w:val="20"/>
                <w:szCs w:val="20"/>
              </w:rPr>
              <w:t>,2</w:t>
            </w:r>
            <w:r>
              <w:rPr>
                <w:rFonts w:ascii="仿宋_GB2312" w:hAnsi="仿宋_GB2312" w:eastAsia="仿宋_GB2312"/>
                <w:kern w:val="0"/>
                <w:sz w:val="20"/>
                <w:szCs w:val="20"/>
              </w:rPr>
              <w:t>分；</w:t>
            </w:r>
            <w:r>
              <w:rPr>
                <w:rFonts w:eastAsia="仿宋_GB2312"/>
                <w:kern w:val="0"/>
                <w:sz w:val="20"/>
                <w:szCs w:val="20"/>
              </w:rPr>
              <w:br w:type="textWrapping"/>
            </w:r>
            <w:r>
              <w:rPr>
                <w:rFonts w:hint="eastAsia" w:ascii="宋体" w:hAnsi="宋体"/>
                <w:kern w:val="0"/>
                <w:sz w:val="20"/>
                <w:szCs w:val="20"/>
              </w:rPr>
              <w:t>③</w:t>
            </w:r>
            <w:r>
              <w:rPr>
                <w:rFonts w:ascii="仿宋_GB2312" w:hAnsi="仿宋_GB2312" w:eastAsia="仿宋_GB2312"/>
                <w:kern w:val="0"/>
                <w:sz w:val="20"/>
                <w:szCs w:val="20"/>
              </w:rPr>
              <w:t>相关管理制度合法、合规、完整，</w:t>
            </w:r>
            <w:r>
              <w:rPr>
                <w:rFonts w:eastAsia="仿宋_GB2312"/>
                <w:kern w:val="0"/>
                <w:sz w:val="20"/>
                <w:szCs w:val="20"/>
              </w:rPr>
              <w:t>2</w:t>
            </w:r>
            <w:r>
              <w:rPr>
                <w:rFonts w:ascii="仿宋_GB2312" w:hAnsi="仿宋_GB2312" w:eastAsia="仿宋_GB2312"/>
                <w:kern w:val="0"/>
                <w:sz w:val="20"/>
                <w:szCs w:val="20"/>
              </w:rPr>
              <w:t>分；</w:t>
            </w:r>
            <w:r>
              <w:rPr>
                <w:rFonts w:hint="eastAsia" w:ascii="宋体" w:hAnsi="宋体"/>
                <w:kern w:val="0"/>
                <w:sz w:val="20"/>
                <w:szCs w:val="20"/>
              </w:rPr>
              <w:t>④</w:t>
            </w:r>
            <w:r>
              <w:rPr>
                <w:rFonts w:ascii="仿宋_GB2312" w:hAnsi="仿宋_GB2312" w:eastAsia="仿宋_GB2312"/>
                <w:kern w:val="0"/>
                <w:sz w:val="20"/>
                <w:szCs w:val="20"/>
              </w:rPr>
              <w:t>相关管理制度得到有效执行，</w:t>
            </w:r>
            <w:r>
              <w:rPr>
                <w:rFonts w:eastAsia="仿宋_GB2312"/>
                <w:kern w:val="0"/>
                <w:sz w:val="20"/>
                <w:szCs w:val="20"/>
              </w:rPr>
              <w:t>2</w:t>
            </w:r>
            <w:r>
              <w:rPr>
                <w:rFonts w:ascii="仿宋_GB2312" w:hAnsi="仿宋_GB2312" w:eastAsia="仿宋_GB2312"/>
                <w:kern w:val="0"/>
                <w:sz w:val="20"/>
                <w:szCs w:val="20"/>
              </w:rPr>
              <w:t>分。</w:t>
            </w:r>
          </w:p>
          <w:p>
            <w:pPr>
              <w:widowControl/>
              <w:jc w:val="left"/>
              <w:rPr>
                <w:rFonts w:eastAsia="仿宋_GB2312"/>
                <w:kern w:val="0"/>
                <w:sz w:val="20"/>
                <w:szCs w:val="20"/>
              </w:rPr>
            </w:pPr>
            <w:r>
              <w:rPr>
                <w:rFonts w:eastAsia="仿宋_GB2312"/>
                <w:kern w:val="0"/>
                <w:sz w:val="20"/>
                <w:szCs w:val="20"/>
              </w:rPr>
              <w:t>　</w:t>
            </w:r>
          </w:p>
        </w:tc>
        <w:tc>
          <w:tcPr>
            <w:tcW w:w="522" w:type="dxa"/>
            <w:tcBorders>
              <w:top w:val="nil"/>
              <w:left w:val="nil"/>
              <w:bottom w:val="single" w:color="auto" w:sz="4" w:space="0"/>
              <w:right w:val="single" w:color="auto" w:sz="4" w:space="0"/>
            </w:tcBorders>
            <w:noWrap/>
            <w:vAlign w:val="center"/>
          </w:tcPr>
          <w:p>
            <w:pPr>
              <w:widowControl/>
              <w:jc w:val="left"/>
              <w:rPr>
                <w:kern w:val="0"/>
                <w:sz w:val="24"/>
              </w:rPr>
            </w:pPr>
            <w:r>
              <w:rPr>
                <w:kern w:val="0"/>
                <w:sz w:val="24"/>
              </w:rPr>
              <w:t>　</w:t>
            </w:r>
            <w:r>
              <w:rPr>
                <w:rFonts w:hint="eastAsia"/>
                <w:kern w:val="0"/>
                <w:sz w:val="24"/>
              </w:rPr>
              <w:t>8</w:t>
            </w:r>
          </w:p>
        </w:tc>
      </w:tr>
      <w:tr>
        <w:tblPrEx>
          <w:tblCellMar>
            <w:top w:w="0" w:type="dxa"/>
            <w:left w:w="108" w:type="dxa"/>
            <w:bottom w:w="0" w:type="dxa"/>
            <w:right w:w="108" w:type="dxa"/>
          </w:tblCellMar>
        </w:tblPrEx>
        <w:trPr>
          <w:gridAfter w:val="1"/>
          <w:wAfter w:w="8" w:type="dxa"/>
          <w:trHeight w:val="3251" w:hRule="atLeast"/>
          <w:jc w:val="center"/>
        </w:trPr>
        <w:tc>
          <w:tcPr>
            <w:tcW w:w="518" w:type="dxa"/>
            <w:vMerge w:val="continue"/>
            <w:tcBorders>
              <w:top w:val="nil"/>
              <w:left w:val="single" w:color="auto" w:sz="4" w:space="0"/>
              <w:bottom w:val="single" w:color="000000" w:sz="4" w:space="0"/>
              <w:right w:val="single" w:color="auto" w:sz="4" w:space="0"/>
            </w:tcBorders>
            <w:noWrap/>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资金使用合规性</w:t>
            </w:r>
          </w:p>
        </w:tc>
        <w:tc>
          <w:tcPr>
            <w:tcW w:w="478" w:type="dxa"/>
            <w:tcBorders>
              <w:top w:val="nil"/>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6</w:t>
            </w:r>
          </w:p>
        </w:tc>
        <w:tc>
          <w:tcPr>
            <w:tcW w:w="6379" w:type="dxa"/>
            <w:gridSpan w:val="2"/>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支出符合国家财经法规和财务管理制度规定以及有关专项资金管理办法的规定；</w:t>
            </w:r>
            <w:r>
              <w:rPr>
                <w:rFonts w:hint="eastAsia" w:ascii="宋体" w:hAnsi="宋体"/>
                <w:kern w:val="0"/>
                <w:sz w:val="20"/>
                <w:szCs w:val="20"/>
              </w:rPr>
              <w:t>②</w:t>
            </w:r>
            <w:r>
              <w:rPr>
                <w:rFonts w:ascii="仿宋_GB2312" w:hAnsi="仿宋_GB2312" w:eastAsia="仿宋_GB2312"/>
                <w:kern w:val="0"/>
                <w:sz w:val="20"/>
                <w:szCs w:val="20"/>
              </w:rPr>
              <w:t>资金拨付有完整的审批程序和手续；</w:t>
            </w:r>
            <w:r>
              <w:rPr>
                <w:rFonts w:hint="eastAsia" w:ascii="宋体" w:hAnsi="宋体"/>
                <w:kern w:val="0"/>
                <w:sz w:val="20"/>
                <w:szCs w:val="20"/>
              </w:rPr>
              <w:t>③</w:t>
            </w:r>
            <w:r>
              <w:rPr>
                <w:rFonts w:ascii="仿宋_GB2312" w:hAnsi="仿宋_GB2312" w:eastAsia="仿宋_GB2312"/>
                <w:kern w:val="0"/>
                <w:sz w:val="20"/>
                <w:szCs w:val="20"/>
              </w:rPr>
              <w:t>项目支出按规定经过评估论证；</w:t>
            </w:r>
            <w:r>
              <w:rPr>
                <w:rFonts w:hint="eastAsia" w:ascii="宋体" w:hAnsi="宋体"/>
                <w:kern w:val="0"/>
                <w:sz w:val="20"/>
                <w:szCs w:val="20"/>
              </w:rPr>
              <w:t>④</w:t>
            </w:r>
            <w:r>
              <w:rPr>
                <w:rFonts w:ascii="仿宋_GB2312" w:hAnsi="仿宋_GB2312" w:eastAsia="仿宋_GB2312"/>
                <w:kern w:val="0"/>
                <w:sz w:val="20"/>
                <w:szCs w:val="20"/>
              </w:rPr>
              <w:t>支出符合部门预算批复的用途；</w:t>
            </w:r>
            <w:r>
              <w:rPr>
                <w:rFonts w:hint="eastAsia" w:ascii="宋体" w:hAnsi="宋体"/>
                <w:kern w:val="0"/>
                <w:sz w:val="20"/>
                <w:szCs w:val="20"/>
              </w:rPr>
              <w:t>⑤</w:t>
            </w:r>
            <w:r>
              <w:rPr>
                <w:rFonts w:ascii="仿宋_GB2312" w:hAnsi="仿宋_GB2312" w:eastAsia="仿宋_GB2312"/>
                <w:kern w:val="0"/>
                <w:sz w:val="20"/>
                <w:szCs w:val="20"/>
              </w:rPr>
              <w:t>资金使用无截留、挤占、挪用、虚列支出等情况。</w:t>
            </w:r>
            <w:r>
              <w:rPr>
                <w:rFonts w:eastAsia="仿宋_GB2312"/>
                <w:kern w:val="0"/>
                <w:sz w:val="20"/>
                <w:szCs w:val="20"/>
              </w:rPr>
              <w:br w:type="textWrapping"/>
            </w:r>
            <w:r>
              <w:rPr>
                <w:rFonts w:eastAsia="仿宋_GB2312"/>
                <w:kern w:val="0"/>
                <w:sz w:val="20"/>
                <w:szCs w:val="20"/>
              </w:rPr>
              <w:t>以上情况每出现一例不符合要求的扣1</w:t>
            </w:r>
            <w:r>
              <w:rPr>
                <w:rFonts w:ascii="仿宋_GB2312" w:hAnsi="仿宋_GB2312" w:eastAsia="仿宋_GB2312"/>
                <w:kern w:val="0"/>
                <w:sz w:val="20"/>
                <w:szCs w:val="20"/>
              </w:rPr>
              <w:t>分，扣完为止。</w:t>
            </w:r>
          </w:p>
          <w:p>
            <w:pPr>
              <w:widowControl/>
              <w:jc w:val="left"/>
              <w:rPr>
                <w:rFonts w:eastAsia="仿宋_GB2312"/>
                <w:kern w:val="0"/>
                <w:sz w:val="20"/>
                <w:szCs w:val="20"/>
              </w:rPr>
            </w:pPr>
            <w:r>
              <w:rPr>
                <w:rFonts w:eastAsia="仿宋_GB2312"/>
                <w:kern w:val="0"/>
                <w:sz w:val="20"/>
                <w:szCs w:val="20"/>
              </w:rPr>
              <w:t>　</w:t>
            </w:r>
          </w:p>
        </w:tc>
        <w:tc>
          <w:tcPr>
            <w:tcW w:w="522" w:type="dxa"/>
            <w:tcBorders>
              <w:top w:val="nil"/>
              <w:left w:val="nil"/>
              <w:bottom w:val="single" w:color="auto" w:sz="4" w:space="0"/>
              <w:right w:val="single" w:color="auto" w:sz="4" w:space="0"/>
            </w:tcBorders>
            <w:noWrap/>
            <w:vAlign w:val="center"/>
          </w:tcPr>
          <w:p>
            <w:pPr>
              <w:widowControl/>
              <w:jc w:val="left"/>
              <w:rPr>
                <w:kern w:val="0"/>
                <w:sz w:val="24"/>
              </w:rPr>
            </w:pPr>
            <w:r>
              <w:rPr>
                <w:kern w:val="0"/>
                <w:sz w:val="24"/>
              </w:rPr>
              <w:t>　</w:t>
            </w:r>
            <w:r>
              <w:rPr>
                <w:rFonts w:hint="eastAsia"/>
                <w:kern w:val="0"/>
                <w:sz w:val="24"/>
              </w:rPr>
              <w:t>6</w:t>
            </w:r>
          </w:p>
        </w:tc>
      </w:tr>
      <w:tr>
        <w:tblPrEx>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000000" w:sz="4" w:space="0"/>
              <w:right w:val="single" w:color="auto" w:sz="4" w:space="0"/>
            </w:tcBorders>
            <w:noWrap/>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预决算信息公开性</w:t>
            </w:r>
          </w:p>
        </w:tc>
        <w:tc>
          <w:tcPr>
            <w:tcW w:w="478" w:type="dxa"/>
            <w:tcBorders>
              <w:top w:val="nil"/>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按规定内容公开预决算信息，</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②</w:t>
            </w:r>
            <w:r>
              <w:rPr>
                <w:rFonts w:ascii="仿宋_GB2312" w:hAnsi="仿宋_GB2312" w:eastAsia="仿宋_GB2312"/>
                <w:kern w:val="0"/>
                <w:sz w:val="20"/>
                <w:szCs w:val="20"/>
              </w:rPr>
              <w:t>按规定时限公开预决算信息，</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③</w:t>
            </w:r>
            <w:r>
              <w:rPr>
                <w:rFonts w:ascii="仿宋_GB2312" w:hAnsi="仿宋_GB2312" w:eastAsia="仿宋_GB2312"/>
                <w:kern w:val="0"/>
                <w:sz w:val="20"/>
                <w:szCs w:val="20"/>
              </w:rPr>
              <w:t>基础数据信息和会计信息资料真实，</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④</w:t>
            </w:r>
            <w:r>
              <w:rPr>
                <w:rFonts w:ascii="仿宋_GB2312" w:hAnsi="仿宋_GB2312" w:eastAsia="仿宋_GB2312"/>
                <w:kern w:val="0"/>
                <w:sz w:val="20"/>
                <w:szCs w:val="20"/>
              </w:rPr>
              <w:t>基础数据信息和会计信息资料完整，</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⑤</w:t>
            </w:r>
            <w:r>
              <w:rPr>
                <w:rFonts w:ascii="仿宋_GB2312" w:hAnsi="仿宋_GB2312" w:eastAsia="仿宋_GB2312"/>
                <w:kern w:val="0"/>
                <w:sz w:val="20"/>
                <w:szCs w:val="20"/>
              </w:rPr>
              <w:t>基础数据信息和汇集信息资料准确，</w:t>
            </w:r>
            <w:r>
              <w:rPr>
                <w:rFonts w:eastAsia="仿宋_GB2312"/>
                <w:kern w:val="0"/>
                <w:sz w:val="20"/>
                <w:szCs w:val="20"/>
              </w:rPr>
              <w:t>1</w:t>
            </w:r>
            <w:r>
              <w:rPr>
                <w:rFonts w:ascii="仿宋_GB2312" w:hAnsi="仿宋_GB2312" w:eastAsia="仿宋_GB2312"/>
                <w:kern w:val="0"/>
                <w:sz w:val="20"/>
                <w:szCs w:val="20"/>
              </w:rPr>
              <w:t xml:space="preserve">分。  </w:t>
            </w:r>
          </w:p>
        </w:tc>
        <w:tc>
          <w:tcPr>
            <w:tcW w:w="3402"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预决算信息是指与部门预算、执行、决算、监督、绩效等管理相关的信息。</w:t>
            </w:r>
          </w:p>
        </w:tc>
        <w:tc>
          <w:tcPr>
            <w:tcW w:w="522" w:type="dxa"/>
            <w:tcBorders>
              <w:top w:val="nil"/>
              <w:left w:val="nil"/>
              <w:bottom w:val="single" w:color="auto" w:sz="4" w:space="0"/>
              <w:right w:val="single" w:color="auto" w:sz="4" w:space="0"/>
            </w:tcBorders>
            <w:noWrap/>
            <w:vAlign w:val="center"/>
          </w:tcPr>
          <w:p>
            <w:pPr>
              <w:widowControl/>
              <w:jc w:val="left"/>
              <w:rPr>
                <w:kern w:val="0"/>
                <w:sz w:val="24"/>
              </w:rPr>
            </w:pPr>
            <w:r>
              <w:rPr>
                <w:kern w:val="0"/>
                <w:sz w:val="24"/>
              </w:rPr>
              <w:t>　</w:t>
            </w:r>
            <w:r>
              <w:rPr>
                <w:rFonts w:hint="eastAsia"/>
                <w:kern w:val="0"/>
                <w:sz w:val="24"/>
              </w:rPr>
              <w:t>5</w:t>
            </w:r>
          </w:p>
        </w:tc>
      </w:tr>
      <w:tr>
        <w:tblPrEx>
          <w:tblCellMar>
            <w:top w:w="0" w:type="dxa"/>
            <w:left w:w="108" w:type="dxa"/>
            <w:bottom w:w="0" w:type="dxa"/>
            <w:right w:w="108" w:type="dxa"/>
          </w:tblCellMar>
        </w:tblPrEx>
        <w:trPr>
          <w:gridAfter w:val="1"/>
          <w:wAfter w:w="8" w:type="dxa"/>
          <w:jc w:val="center"/>
        </w:trPr>
        <w:tc>
          <w:tcPr>
            <w:tcW w:w="518" w:type="dxa"/>
            <w:vMerge w:val="restart"/>
            <w:tcBorders>
              <w:top w:val="nil"/>
              <w:left w:val="single" w:color="auto" w:sz="4" w:space="0"/>
              <w:bottom w:val="single" w:color="000000"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产出及效率</w:t>
            </w:r>
          </w:p>
        </w:tc>
        <w:tc>
          <w:tcPr>
            <w:tcW w:w="416" w:type="dxa"/>
            <w:vMerge w:val="restart"/>
            <w:tcBorders>
              <w:top w:val="nil"/>
              <w:left w:val="nil"/>
              <w:bottom w:val="single" w:color="000000"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30</w:t>
            </w:r>
          </w:p>
        </w:tc>
        <w:tc>
          <w:tcPr>
            <w:tcW w:w="677" w:type="dxa"/>
            <w:gridSpan w:val="2"/>
            <w:tcBorders>
              <w:top w:val="nil"/>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职责履行</w:t>
            </w:r>
          </w:p>
        </w:tc>
        <w:tc>
          <w:tcPr>
            <w:tcW w:w="416" w:type="dxa"/>
            <w:tcBorders>
              <w:top w:val="nil"/>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8</w:t>
            </w:r>
          </w:p>
        </w:tc>
        <w:tc>
          <w:tcPr>
            <w:tcW w:w="1194" w:type="dxa"/>
            <w:tcBorders>
              <w:top w:val="nil"/>
              <w:left w:val="nil"/>
              <w:bottom w:val="nil"/>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重点工作实际完成率</w:t>
            </w:r>
          </w:p>
        </w:tc>
        <w:tc>
          <w:tcPr>
            <w:tcW w:w="478" w:type="dxa"/>
            <w:tcBorders>
              <w:top w:val="nil"/>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8</w:t>
            </w:r>
          </w:p>
        </w:tc>
        <w:tc>
          <w:tcPr>
            <w:tcW w:w="2977"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根据绩效办20</w:t>
            </w:r>
            <w:r>
              <w:rPr>
                <w:rFonts w:hint="eastAsia" w:eastAsia="仿宋_GB2312"/>
                <w:kern w:val="0"/>
                <w:sz w:val="20"/>
                <w:szCs w:val="20"/>
              </w:rPr>
              <w:t>21</w:t>
            </w:r>
            <w:r>
              <w:rPr>
                <w:rFonts w:eastAsia="仿宋_GB2312"/>
                <w:kern w:val="0"/>
                <w:sz w:val="20"/>
                <w:szCs w:val="20"/>
              </w:rPr>
              <w:t>年对各部门为民办实事和部门重点工程与重点工作考核分数折算。</w:t>
            </w:r>
            <w:r>
              <w:rPr>
                <w:rFonts w:eastAsia="仿宋_GB2312"/>
                <w:kern w:val="0"/>
                <w:sz w:val="20"/>
                <w:szCs w:val="20"/>
              </w:rPr>
              <w:br w:type="textWrapping"/>
            </w:r>
            <w:r>
              <w:rPr>
                <w:rFonts w:eastAsia="仿宋_GB2312"/>
                <w:kern w:val="0"/>
                <w:sz w:val="20"/>
                <w:szCs w:val="20"/>
              </w:rPr>
              <w:t>该项得分=</w:t>
            </w:r>
            <w:r>
              <w:rPr>
                <w:rFonts w:ascii="仿宋_GB2312" w:hAnsi="仿宋_GB2312" w:eastAsia="仿宋_GB2312"/>
                <w:kern w:val="0"/>
                <w:sz w:val="20"/>
                <w:szCs w:val="20"/>
              </w:rPr>
              <w:t>（绩效办对应部分考核得分</w:t>
            </w:r>
            <w:r>
              <w:rPr>
                <w:rFonts w:eastAsia="仿宋_GB2312"/>
                <w:kern w:val="0"/>
                <w:sz w:val="20"/>
                <w:szCs w:val="20"/>
              </w:rPr>
              <w:t>/350</w:t>
            </w:r>
            <w:r>
              <w:rPr>
                <w:rFonts w:ascii="仿宋_GB2312" w:hAnsi="仿宋_GB2312" w:eastAsia="仿宋_GB2312"/>
                <w:kern w:val="0"/>
                <w:sz w:val="20"/>
                <w:szCs w:val="20"/>
              </w:rPr>
              <w:t>）</w:t>
            </w:r>
            <w:r>
              <w:rPr>
                <w:rFonts w:eastAsia="仿宋_GB2312"/>
                <w:kern w:val="0"/>
                <w:sz w:val="20"/>
                <w:szCs w:val="20"/>
              </w:rPr>
              <w:t>*8</w:t>
            </w:r>
          </w:p>
        </w:tc>
        <w:tc>
          <w:tcPr>
            <w:tcW w:w="3402"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　</w:t>
            </w:r>
          </w:p>
        </w:tc>
        <w:tc>
          <w:tcPr>
            <w:tcW w:w="522" w:type="dxa"/>
            <w:tcBorders>
              <w:top w:val="nil"/>
              <w:left w:val="nil"/>
              <w:bottom w:val="single" w:color="auto" w:sz="4" w:space="0"/>
              <w:right w:val="single" w:color="auto" w:sz="4" w:space="0"/>
            </w:tcBorders>
            <w:noWrap/>
            <w:vAlign w:val="center"/>
          </w:tcPr>
          <w:p>
            <w:pPr>
              <w:widowControl/>
              <w:jc w:val="left"/>
              <w:rPr>
                <w:kern w:val="0"/>
                <w:sz w:val="24"/>
              </w:rPr>
            </w:pPr>
            <w:r>
              <w:rPr>
                <w:kern w:val="0"/>
                <w:sz w:val="24"/>
              </w:rPr>
              <w:t>　</w:t>
            </w:r>
            <w:r>
              <w:rPr>
                <w:rFonts w:hint="eastAsia"/>
                <w:kern w:val="0"/>
                <w:sz w:val="24"/>
              </w:rPr>
              <w:t>8</w:t>
            </w:r>
          </w:p>
        </w:tc>
      </w:tr>
      <w:tr>
        <w:tblPrEx>
          <w:tblCellMar>
            <w:top w:w="0" w:type="dxa"/>
            <w:left w:w="108" w:type="dxa"/>
            <w:bottom w:w="0" w:type="dxa"/>
            <w:right w:w="108" w:type="dxa"/>
          </w:tblCellMar>
        </w:tblPrEx>
        <w:trPr>
          <w:gridAfter w:val="1"/>
          <w:wAfter w:w="8" w:type="dxa"/>
          <w:trHeight w:val="445" w:hRule="atLeast"/>
          <w:jc w:val="center"/>
        </w:trPr>
        <w:tc>
          <w:tcPr>
            <w:tcW w:w="518" w:type="dxa"/>
            <w:vMerge w:val="continue"/>
            <w:tcBorders>
              <w:top w:val="nil"/>
              <w:left w:val="single" w:color="auto" w:sz="4" w:space="0"/>
              <w:bottom w:val="single" w:color="000000" w:sz="4" w:space="0"/>
              <w:right w:val="single" w:color="auto" w:sz="4" w:space="0"/>
            </w:tcBorders>
            <w:noWrap/>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677" w:type="dxa"/>
            <w:gridSpan w:val="2"/>
            <w:vMerge w:val="restart"/>
            <w:tcBorders>
              <w:top w:val="nil"/>
              <w:left w:val="nil"/>
              <w:bottom w:val="single" w:color="000000"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履职 效益</w:t>
            </w:r>
          </w:p>
        </w:tc>
        <w:tc>
          <w:tcPr>
            <w:tcW w:w="416" w:type="dxa"/>
            <w:vMerge w:val="restart"/>
            <w:tcBorders>
              <w:top w:val="nil"/>
              <w:left w:val="nil"/>
              <w:bottom w:val="single" w:color="000000"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10</w:t>
            </w:r>
          </w:p>
        </w:tc>
        <w:tc>
          <w:tcPr>
            <w:tcW w:w="1194" w:type="dxa"/>
            <w:tcBorders>
              <w:top w:val="single" w:color="auto" w:sz="4" w:space="0"/>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经济效益</w:t>
            </w:r>
          </w:p>
        </w:tc>
        <w:tc>
          <w:tcPr>
            <w:tcW w:w="478" w:type="dxa"/>
            <w:vMerge w:val="restart"/>
            <w:tcBorders>
              <w:top w:val="nil"/>
              <w:left w:val="nil"/>
              <w:bottom w:val="nil"/>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10</w:t>
            </w:r>
          </w:p>
        </w:tc>
        <w:tc>
          <w:tcPr>
            <w:tcW w:w="6379" w:type="dxa"/>
            <w:gridSpan w:val="2"/>
            <w:vMerge w:val="restart"/>
            <w:tcBorders>
              <w:top w:val="nil"/>
              <w:left w:val="nil"/>
              <w:bottom w:val="nil"/>
              <w:right w:val="single" w:color="000000" w:sz="4" w:space="0"/>
            </w:tcBorders>
            <w:noWrap/>
            <w:vAlign w:val="center"/>
          </w:tcPr>
          <w:p>
            <w:pPr>
              <w:widowControl/>
              <w:jc w:val="left"/>
              <w:rPr>
                <w:rFonts w:eastAsia="仿宋_GB2312"/>
                <w:kern w:val="0"/>
                <w:sz w:val="20"/>
                <w:szCs w:val="20"/>
              </w:rPr>
            </w:pPr>
            <w:r>
              <w:rPr>
                <w:rFonts w:eastAsia="仿宋_GB2312"/>
                <w:kern w:val="0"/>
                <w:sz w:val="20"/>
                <w:szCs w:val="20"/>
              </w:rPr>
              <w:t>此两项指标为设置部门整体支出绩效评价指标时必须考虑的共性要素，可根据部门实际情况有选择的进行设置，并将其细化为相应的个性化指标。</w:t>
            </w:r>
          </w:p>
        </w:tc>
        <w:tc>
          <w:tcPr>
            <w:tcW w:w="522" w:type="dxa"/>
            <w:tcBorders>
              <w:top w:val="nil"/>
              <w:left w:val="nil"/>
              <w:bottom w:val="nil"/>
              <w:right w:val="single" w:color="auto" w:sz="4" w:space="0"/>
            </w:tcBorders>
            <w:noWrap/>
            <w:vAlign w:val="center"/>
          </w:tcPr>
          <w:p>
            <w:pPr>
              <w:widowControl/>
              <w:jc w:val="left"/>
              <w:rPr>
                <w:kern w:val="0"/>
                <w:sz w:val="24"/>
              </w:rPr>
            </w:pPr>
            <w:r>
              <w:rPr>
                <w:kern w:val="0"/>
                <w:sz w:val="24"/>
              </w:rPr>
              <w:t>　</w:t>
            </w:r>
          </w:p>
        </w:tc>
      </w:tr>
      <w:tr>
        <w:tblPrEx>
          <w:tblCellMar>
            <w:top w:w="0" w:type="dxa"/>
            <w:left w:w="108" w:type="dxa"/>
            <w:bottom w:w="0" w:type="dxa"/>
            <w:right w:w="108" w:type="dxa"/>
          </w:tblCellMar>
        </w:tblPrEx>
        <w:trPr>
          <w:gridAfter w:val="1"/>
          <w:wAfter w:w="8" w:type="dxa"/>
          <w:trHeight w:val="383" w:hRule="atLeast"/>
          <w:jc w:val="center"/>
        </w:trPr>
        <w:tc>
          <w:tcPr>
            <w:tcW w:w="518" w:type="dxa"/>
            <w:vMerge w:val="continue"/>
            <w:tcBorders>
              <w:top w:val="nil"/>
              <w:left w:val="single" w:color="auto" w:sz="4" w:space="0"/>
              <w:bottom w:val="single" w:color="000000" w:sz="4" w:space="0"/>
              <w:right w:val="single" w:color="auto" w:sz="4" w:space="0"/>
            </w:tcBorders>
            <w:noWrap/>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社会效益</w:t>
            </w:r>
          </w:p>
        </w:tc>
        <w:tc>
          <w:tcPr>
            <w:tcW w:w="478" w:type="dxa"/>
            <w:vMerge w:val="continue"/>
            <w:tcBorders>
              <w:top w:val="nil"/>
              <w:left w:val="nil"/>
              <w:bottom w:val="nil"/>
              <w:right w:val="single" w:color="auto" w:sz="4" w:space="0"/>
            </w:tcBorders>
            <w:noWrap/>
            <w:vAlign w:val="center"/>
          </w:tcPr>
          <w:p>
            <w:pPr>
              <w:widowControl/>
              <w:jc w:val="left"/>
              <w:rPr>
                <w:rFonts w:eastAsia="仿宋_GB2312"/>
                <w:kern w:val="0"/>
                <w:sz w:val="20"/>
                <w:szCs w:val="20"/>
              </w:rPr>
            </w:pPr>
          </w:p>
        </w:tc>
        <w:tc>
          <w:tcPr>
            <w:tcW w:w="6379" w:type="dxa"/>
            <w:gridSpan w:val="2"/>
            <w:vMerge w:val="continue"/>
            <w:tcBorders>
              <w:top w:val="nil"/>
              <w:left w:val="nil"/>
              <w:bottom w:val="nil"/>
              <w:right w:val="single" w:color="000000" w:sz="4" w:space="0"/>
            </w:tcBorders>
            <w:noWrap/>
            <w:vAlign w:val="center"/>
          </w:tcPr>
          <w:p>
            <w:pPr>
              <w:widowControl/>
              <w:jc w:val="left"/>
              <w:rPr>
                <w:rFonts w:eastAsia="仿宋_GB2312"/>
                <w:kern w:val="0"/>
                <w:sz w:val="20"/>
                <w:szCs w:val="20"/>
              </w:rPr>
            </w:pPr>
          </w:p>
        </w:tc>
        <w:tc>
          <w:tcPr>
            <w:tcW w:w="522" w:type="dxa"/>
            <w:tcBorders>
              <w:top w:val="nil"/>
              <w:left w:val="nil"/>
              <w:bottom w:val="nil"/>
              <w:right w:val="single" w:color="auto" w:sz="4" w:space="0"/>
            </w:tcBorders>
            <w:noWrap/>
            <w:vAlign w:val="center"/>
          </w:tcPr>
          <w:p>
            <w:pPr>
              <w:widowControl/>
              <w:jc w:val="left"/>
              <w:rPr>
                <w:kern w:val="0"/>
                <w:sz w:val="24"/>
              </w:rPr>
            </w:pPr>
            <w:r>
              <w:rPr>
                <w:kern w:val="0"/>
                <w:sz w:val="24"/>
              </w:rPr>
              <w:t>　</w:t>
            </w:r>
            <w:r>
              <w:rPr>
                <w:rFonts w:hint="eastAsia"/>
                <w:kern w:val="0"/>
                <w:sz w:val="24"/>
              </w:rPr>
              <w:t>10</w:t>
            </w:r>
          </w:p>
        </w:tc>
      </w:tr>
      <w:tr>
        <w:tblPrEx>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000000" w:sz="4" w:space="0"/>
              <w:right w:val="single" w:color="auto" w:sz="4" w:space="0"/>
            </w:tcBorders>
            <w:noWrap/>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416" w:type="dxa"/>
            <w:vMerge w:val="restart"/>
            <w:tcBorders>
              <w:top w:val="nil"/>
              <w:left w:val="nil"/>
              <w:bottom w:val="single" w:color="000000"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12</w:t>
            </w:r>
          </w:p>
        </w:tc>
        <w:tc>
          <w:tcPr>
            <w:tcW w:w="1194"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行政效能</w:t>
            </w:r>
          </w:p>
        </w:tc>
        <w:tc>
          <w:tcPr>
            <w:tcW w:w="478" w:type="dxa"/>
            <w:tcBorders>
              <w:top w:val="single" w:color="auto" w:sz="4" w:space="0"/>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6</w:t>
            </w:r>
          </w:p>
        </w:tc>
        <w:tc>
          <w:tcPr>
            <w:tcW w:w="2977" w:type="dxa"/>
            <w:tcBorders>
              <w:top w:val="single" w:color="auto" w:sz="4" w:space="0"/>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促进部门改进文风会风，加强经费及资产管理，推动网上办事，提高行政效率，降低行政成本效果较好的计6</w:t>
            </w:r>
            <w:r>
              <w:rPr>
                <w:rFonts w:ascii="仿宋_GB2312" w:hAnsi="仿宋_GB2312" w:eastAsia="仿宋_GB2312"/>
                <w:kern w:val="0"/>
                <w:sz w:val="20"/>
                <w:szCs w:val="20"/>
              </w:rPr>
              <w:t>分；一般</w:t>
            </w:r>
            <w:r>
              <w:rPr>
                <w:rFonts w:eastAsia="仿宋_GB2312"/>
                <w:kern w:val="0"/>
                <w:sz w:val="20"/>
                <w:szCs w:val="20"/>
              </w:rPr>
              <w:t>3</w:t>
            </w:r>
            <w:r>
              <w:rPr>
                <w:rFonts w:ascii="仿宋_GB2312" w:hAnsi="仿宋_GB2312" w:eastAsia="仿宋_GB2312"/>
                <w:kern w:val="0"/>
                <w:sz w:val="20"/>
                <w:szCs w:val="20"/>
              </w:rPr>
              <w:t>分；无效果或者效果不明显</w:t>
            </w:r>
            <w:r>
              <w:rPr>
                <w:rFonts w:eastAsia="仿宋_GB2312"/>
                <w:kern w:val="0"/>
                <w:sz w:val="20"/>
                <w:szCs w:val="20"/>
              </w:rPr>
              <w:t>0</w:t>
            </w:r>
            <w:r>
              <w:rPr>
                <w:rFonts w:ascii="仿宋_GB2312" w:hAnsi="仿宋_GB2312" w:eastAsia="仿宋_GB2312"/>
                <w:kern w:val="0"/>
                <w:sz w:val="20"/>
                <w:szCs w:val="20"/>
              </w:rPr>
              <w:t>分。</w:t>
            </w:r>
          </w:p>
        </w:tc>
        <w:tc>
          <w:tcPr>
            <w:tcW w:w="3402" w:type="dxa"/>
            <w:tcBorders>
              <w:top w:val="single" w:color="auto" w:sz="4" w:space="0"/>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根据部门自评材料评定。</w:t>
            </w:r>
          </w:p>
        </w:tc>
        <w:tc>
          <w:tcPr>
            <w:tcW w:w="522" w:type="dxa"/>
            <w:tcBorders>
              <w:top w:val="single" w:color="auto" w:sz="4" w:space="0"/>
              <w:left w:val="nil"/>
              <w:bottom w:val="single" w:color="auto" w:sz="4" w:space="0"/>
              <w:right w:val="single" w:color="auto" w:sz="4" w:space="0"/>
            </w:tcBorders>
            <w:noWrap/>
            <w:vAlign w:val="center"/>
          </w:tcPr>
          <w:p>
            <w:pPr>
              <w:widowControl/>
              <w:jc w:val="left"/>
              <w:rPr>
                <w:kern w:val="0"/>
                <w:sz w:val="24"/>
              </w:rPr>
            </w:pPr>
            <w:r>
              <w:rPr>
                <w:kern w:val="0"/>
                <w:sz w:val="24"/>
              </w:rPr>
              <w:t>　</w:t>
            </w:r>
            <w:r>
              <w:rPr>
                <w:rFonts w:hint="eastAsia"/>
                <w:kern w:val="0"/>
                <w:sz w:val="24"/>
              </w:rPr>
              <w:t>6</w:t>
            </w:r>
          </w:p>
        </w:tc>
      </w:tr>
      <w:tr>
        <w:tblPrEx>
          <w:tblCellMar>
            <w:top w:w="0" w:type="dxa"/>
            <w:left w:w="108" w:type="dxa"/>
            <w:bottom w:w="0" w:type="dxa"/>
            <w:right w:w="108" w:type="dxa"/>
          </w:tblCellMar>
        </w:tblPrEx>
        <w:trPr>
          <w:gridAfter w:val="1"/>
          <w:wAfter w:w="8" w:type="dxa"/>
          <w:trHeight w:val="1241" w:hRule="atLeast"/>
          <w:jc w:val="center"/>
        </w:trPr>
        <w:tc>
          <w:tcPr>
            <w:tcW w:w="518" w:type="dxa"/>
            <w:vMerge w:val="continue"/>
            <w:tcBorders>
              <w:top w:val="nil"/>
              <w:left w:val="single" w:color="auto" w:sz="4" w:space="0"/>
              <w:bottom w:val="nil"/>
              <w:right w:val="single" w:color="auto" w:sz="4" w:space="0"/>
            </w:tcBorders>
            <w:noWrap/>
            <w:vAlign w:val="center"/>
          </w:tcPr>
          <w:p>
            <w:pPr>
              <w:widowControl/>
              <w:jc w:val="left"/>
              <w:rPr>
                <w:rFonts w:eastAsia="仿宋_GB2312"/>
                <w:kern w:val="0"/>
                <w:sz w:val="20"/>
                <w:szCs w:val="20"/>
              </w:rPr>
            </w:pPr>
          </w:p>
        </w:tc>
        <w:tc>
          <w:tcPr>
            <w:tcW w:w="416" w:type="dxa"/>
            <w:vMerge w:val="continue"/>
            <w:tcBorders>
              <w:top w:val="nil"/>
              <w:left w:val="nil"/>
              <w:bottom w:val="nil"/>
              <w:right w:val="single" w:color="auto" w:sz="4" w:space="0"/>
            </w:tcBorders>
            <w:noWrap/>
            <w:vAlign w:val="center"/>
          </w:tcPr>
          <w:p>
            <w:pPr>
              <w:widowControl/>
              <w:jc w:val="left"/>
              <w:rPr>
                <w:rFonts w:eastAsia="仿宋_GB2312"/>
                <w:kern w:val="0"/>
                <w:sz w:val="20"/>
                <w:szCs w:val="20"/>
              </w:rPr>
            </w:pPr>
          </w:p>
        </w:tc>
        <w:tc>
          <w:tcPr>
            <w:tcW w:w="677" w:type="dxa"/>
            <w:gridSpan w:val="2"/>
            <w:vMerge w:val="continue"/>
            <w:tcBorders>
              <w:top w:val="nil"/>
              <w:left w:val="nil"/>
              <w:bottom w:val="nil"/>
              <w:right w:val="single" w:color="auto" w:sz="4" w:space="0"/>
            </w:tcBorders>
            <w:noWrap/>
            <w:vAlign w:val="center"/>
          </w:tcPr>
          <w:p>
            <w:pPr>
              <w:widowControl/>
              <w:jc w:val="left"/>
              <w:rPr>
                <w:rFonts w:eastAsia="仿宋_GB2312"/>
                <w:kern w:val="0"/>
                <w:sz w:val="20"/>
                <w:szCs w:val="20"/>
              </w:rPr>
            </w:pPr>
          </w:p>
        </w:tc>
        <w:tc>
          <w:tcPr>
            <w:tcW w:w="416" w:type="dxa"/>
            <w:vMerge w:val="continue"/>
            <w:tcBorders>
              <w:top w:val="nil"/>
              <w:left w:val="nil"/>
              <w:bottom w:val="nil"/>
              <w:right w:val="single" w:color="auto" w:sz="4" w:space="0"/>
            </w:tcBorders>
            <w:noWrap/>
            <w:vAlign w:val="center"/>
          </w:tcPr>
          <w:p>
            <w:pPr>
              <w:widowControl/>
              <w:jc w:val="left"/>
              <w:rPr>
                <w:rFonts w:eastAsia="仿宋_GB2312"/>
                <w:kern w:val="0"/>
                <w:sz w:val="20"/>
                <w:szCs w:val="20"/>
              </w:rPr>
            </w:pPr>
          </w:p>
        </w:tc>
        <w:tc>
          <w:tcPr>
            <w:tcW w:w="1194" w:type="dxa"/>
            <w:tcBorders>
              <w:top w:val="nil"/>
              <w:left w:val="nil"/>
              <w:bottom w:val="nil"/>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社会公众或服务对象满意度</w:t>
            </w:r>
          </w:p>
        </w:tc>
        <w:tc>
          <w:tcPr>
            <w:tcW w:w="478" w:type="dxa"/>
            <w:tcBorders>
              <w:top w:val="nil"/>
              <w:left w:val="nil"/>
              <w:bottom w:val="nil"/>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6</w:t>
            </w:r>
          </w:p>
        </w:tc>
        <w:tc>
          <w:tcPr>
            <w:tcW w:w="2977" w:type="dxa"/>
            <w:tcBorders>
              <w:top w:val="nil"/>
              <w:left w:val="nil"/>
              <w:bottom w:val="nil"/>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90%</w:t>
            </w:r>
            <w:r>
              <w:rPr>
                <w:rFonts w:ascii="仿宋_GB2312" w:hAnsi="仿宋_GB2312" w:eastAsia="仿宋_GB2312"/>
                <w:kern w:val="0"/>
                <w:sz w:val="20"/>
                <w:szCs w:val="20"/>
              </w:rPr>
              <w:t>（含）以上计</w:t>
            </w:r>
            <w:r>
              <w:rPr>
                <w:rFonts w:eastAsia="仿宋_GB2312"/>
                <w:kern w:val="0"/>
                <w:sz w:val="20"/>
                <w:szCs w:val="20"/>
              </w:rPr>
              <w:t>6</w:t>
            </w:r>
            <w:r>
              <w:rPr>
                <w:rFonts w:ascii="仿宋_GB2312" w:hAnsi="仿宋_GB2312" w:eastAsia="仿宋_GB2312"/>
                <w:kern w:val="0"/>
                <w:sz w:val="20"/>
                <w:szCs w:val="20"/>
              </w:rPr>
              <w:t>分；</w:t>
            </w:r>
            <w:r>
              <w:rPr>
                <w:rFonts w:eastAsia="仿宋_GB2312"/>
                <w:kern w:val="0"/>
                <w:sz w:val="20"/>
                <w:szCs w:val="20"/>
              </w:rPr>
              <w:br w:type="textWrapping"/>
            </w:r>
            <w:r>
              <w:rPr>
                <w:rFonts w:eastAsia="仿宋_GB2312"/>
                <w:kern w:val="0"/>
                <w:sz w:val="20"/>
                <w:szCs w:val="20"/>
              </w:rPr>
              <w:t>80%</w:t>
            </w:r>
            <w:r>
              <w:rPr>
                <w:rFonts w:ascii="仿宋_GB2312" w:hAnsi="仿宋_GB2312" w:eastAsia="仿宋_GB2312"/>
                <w:kern w:val="0"/>
                <w:sz w:val="20"/>
                <w:szCs w:val="20"/>
              </w:rPr>
              <w:t>（含）</w:t>
            </w:r>
            <w:r>
              <w:rPr>
                <w:rFonts w:eastAsia="仿宋_GB2312"/>
                <w:kern w:val="0"/>
                <w:sz w:val="20"/>
                <w:szCs w:val="20"/>
              </w:rPr>
              <w:t>-90%</w:t>
            </w:r>
            <w:r>
              <w:rPr>
                <w:rFonts w:ascii="仿宋_GB2312" w:hAnsi="仿宋_GB2312" w:eastAsia="仿宋_GB2312"/>
                <w:kern w:val="0"/>
                <w:sz w:val="20"/>
                <w:szCs w:val="20"/>
              </w:rPr>
              <w:t>，计</w:t>
            </w:r>
            <w:r>
              <w:rPr>
                <w:rFonts w:eastAsia="仿宋_GB2312"/>
                <w:kern w:val="0"/>
                <w:sz w:val="20"/>
                <w:szCs w:val="20"/>
              </w:rPr>
              <w:t>4</w:t>
            </w:r>
            <w:r>
              <w:rPr>
                <w:rFonts w:ascii="仿宋_GB2312" w:hAnsi="仿宋_GB2312" w:eastAsia="仿宋_GB2312"/>
                <w:kern w:val="0"/>
                <w:sz w:val="20"/>
                <w:szCs w:val="20"/>
              </w:rPr>
              <w:t>分；</w:t>
            </w:r>
            <w:r>
              <w:rPr>
                <w:rFonts w:eastAsia="仿宋_GB2312"/>
                <w:kern w:val="0"/>
                <w:sz w:val="20"/>
                <w:szCs w:val="20"/>
              </w:rPr>
              <w:br w:type="textWrapping"/>
            </w:r>
            <w:r>
              <w:rPr>
                <w:rFonts w:eastAsia="仿宋_GB2312"/>
                <w:kern w:val="0"/>
                <w:sz w:val="20"/>
                <w:szCs w:val="20"/>
              </w:rPr>
              <w:t>70%</w:t>
            </w:r>
            <w:r>
              <w:rPr>
                <w:rFonts w:ascii="仿宋_GB2312" w:hAnsi="仿宋_GB2312" w:eastAsia="仿宋_GB2312"/>
                <w:kern w:val="0"/>
                <w:sz w:val="20"/>
                <w:szCs w:val="20"/>
              </w:rPr>
              <w:t>（含）</w:t>
            </w:r>
            <w:r>
              <w:rPr>
                <w:rFonts w:eastAsia="仿宋_GB2312"/>
                <w:kern w:val="0"/>
                <w:sz w:val="20"/>
                <w:szCs w:val="20"/>
              </w:rPr>
              <w:t>-80%</w:t>
            </w:r>
            <w:r>
              <w:rPr>
                <w:rFonts w:ascii="仿宋_GB2312" w:hAnsi="仿宋_GB2312" w:eastAsia="仿宋_GB2312"/>
                <w:kern w:val="0"/>
                <w:sz w:val="20"/>
                <w:szCs w:val="20"/>
              </w:rPr>
              <w:t>，计</w:t>
            </w:r>
            <w:r>
              <w:rPr>
                <w:rFonts w:eastAsia="仿宋_GB2312"/>
                <w:kern w:val="0"/>
                <w:sz w:val="20"/>
                <w:szCs w:val="20"/>
              </w:rPr>
              <w:t>2</w:t>
            </w:r>
            <w:r>
              <w:rPr>
                <w:rFonts w:ascii="仿宋_GB2312" w:hAnsi="仿宋_GB2312" w:eastAsia="仿宋_GB2312"/>
                <w:kern w:val="0"/>
                <w:sz w:val="20"/>
                <w:szCs w:val="20"/>
              </w:rPr>
              <w:t>分；</w:t>
            </w:r>
            <w:r>
              <w:rPr>
                <w:rFonts w:eastAsia="仿宋_GB2312"/>
                <w:kern w:val="0"/>
                <w:sz w:val="20"/>
                <w:szCs w:val="20"/>
              </w:rPr>
              <w:br w:type="textWrapping"/>
            </w:r>
            <w:r>
              <w:rPr>
                <w:rFonts w:eastAsia="仿宋_GB2312"/>
                <w:kern w:val="0"/>
                <w:sz w:val="20"/>
                <w:szCs w:val="20"/>
              </w:rPr>
              <w:t>低于70%</w:t>
            </w:r>
            <w:r>
              <w:rPr>
                <w:rFonts w:ascii="仿宋_GB2312" w:hAnsi="仿宋_GB2312" w:eastAsia="仿宋_GB2312"/>
                <w:kern w:val="0"/>
                <w:sz w:val="20"/>
                <w:szCs w:val="20"/>
              </w:rPr>
              <w:t>计</w:t>
            </w:r>
            <w:r>
              <w:rPr>
                <w:rFonts w:eastAsia="仿宋_GB2312"/>
                <w:kern w:val="0"/>
                <w:sz w:val="20"/>
                <w:szCs w:val="20"/>
              </w:rPr>
              <w:t>0</w:t>
            </w:r>
            <w:r>
              <w:rPr>
                <w:rFonts w:ascii="仿宋_GB2312" w:hAnsi="仿宋_GB2312" w:eastAsia="仿宋_GB2312"/>
                <w:kern w:val="0"/>
                <w:sz w:val="20"/>
                <w:szCs w:val="20"/>
              </w:rPr>
              <w:t>分。</w:t>
            </w:r>
          </w:p>
        </w:tc>
        <w:tc>
          <w:tcPr>
            <w:tcW w:w="3402" w:type="dxa"/>
            <w:tcBorders>
              <w:top w:val="nil"/>
              <w:left w:val="nil"/>
              <w:bottom w:val="nil"/>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社会公众或服务对象是指部门（单位）履行职责而影响到的部门、群体或个人，一般采取社会调查的方式。</w:t>
            </w:r>
          </w:p>
        </w:tc>
        <w:tc>
          <w:tcPr>
            <w:tcW w:w="522" w:type="dxa"/>
            <w:tcBorders>
              <w:top w:val="nil"/>
              <w:left w:val="nil"/>
              <w:bottom w:val="nil"/>
              <w:right w:val="single" w:color="auto" w:sz="4" w:space="0"/>
            </w:tcBorders>
            <w:noWrap/>
            <w:vAlign w:val="center"/>
          </w:tcPr>
          <w:p>
            <w:pPr>
              <w:widowControl/>
              <w:jc w:val="left"/>
              <w:rPr>
                <w:kern w:val="0"/>
                <w:sz w:val="24"/>
              </w:rPr>
            </w:pPr>
            <w:r>
              <w:rPr>
                <w:rFonts w:hint="eastAsia"/>
                <w:kern w:val="0"/>
                <w:sz w:val="24"/>
              </w:rPr>
              <w:t>6</w:t>
            </w:r>
            <w:r>
              <w:rPr>
                <w:kern w:val="0"/>
                <w:sz w:val="24"/>
              </w:rPr>
              <w:t>　</w:t>
            </w:r>
          </w:p>
        </w:tc>
      </w:tr>
      <w:tr>
        <w:tblPrEx>
          <w:tblCellMar>
            <w:top w:w="0" w:type="dxa"/>
            <w:left w:w="108" w:type="dxa"/>
            <w:bottom w:w="0" w:type="dxa"/>
            <w:right w:w="108" w:type="dxa"/>
          </w:tblCellMar>
        </w:tblPrEx>
        <w:trPr>
          <w:trHeight w:val="90" w:hRule="atLeast"/>
          <w:jc w:val="center"/>
        </w:trPr>
        <w:tc>
          <w:tcPr>
            <w:tcW w:w="1366" w:type="dxa"/>
            <w:gridSpan w:val="3"/>
            <w:tcBorders>
              <w:top w:val="single" w:color="auto" w:sz="4" w:space="0"/>
              <w:left w:val="single" w:color="auto" w:sz="4" w:space="0"/>
              <w:bottom w:val="single" w:color="auto" w:sz="4" w:space="0"/>
              <w:right w:val="single" w:color="auto" w:sz="4" w:space="0"/>
            </w:tcBorders>
            <w:noWrap/>
          </w:tcPr>
          <w:p>
            <w:pPr>
              <w:widowControl/>
              <w:jc w:val="left"/>
              <w:rPr>
                <w:rFonts w:ascii="仿宋_GB2312" w:hAnsi="宋体"/>
                <w:color w:val="000000"/>
                <w:kern w:val="0"/>
                <w:sz w:val="20"/>
                <w:szCs w:val="20"/>
              </w:rPr>
            </w:pPr>
            <w:r>
              <w:rPr>
                <w:rFonts w:hint="eastAsia" w:ascii="仿宋_GB2312" w:hAnsi="宋体"/>
                <w:color w:val="000000"/>
                <w:kern w:val="0"/>
                <w:sz w:val="20"/>
                <w:szCs w:val="20"/>
              </w:rPr>
              <w:t>合计（分）</w:t>
            </w:r>
          </w:p>
        </w:tc>
        <w:tc>
          <w:tcPr>
            <w:tcW w:w="9242" w:type="dxa"/>
            <w:gridSpan w:val="8"/>
            <w:tcBorders>
              <w:top w:val="single" w:color="auto" w:sz="4" w:space="0"/>
              <w:left w:val="nil"/>
              <w:bottom w:val="single" w:color="auto" w:sz="4" w:space="0"/>
              <w:right w:val="single" w:color="auto" w:sz="4" w:space="0"/>
            </w:tcBorders>
            <w:noWrap/>
            <w:vAlign w:val="center"/>
          </w:tcPr>
          <w:p>
            <w:pPr>
              <w:widowControl/>
              <w:rPr>
                <w:rFonts w:ascii="宋体" w:hAnsi="宋体"/>
                <w:color w:val="000000"/>
                <w:kern w:val="0"/>
                <w:sz w:val="24"/>
              </w:rPr>
            </w:pPr>
            <w:r>
              <w:rPr>
                <w:rFonts w:hint="eastAsia" w:ascii="宋体" w:hAnsi="宋体"/>
                <w:color w:val="000000"/>
                <w:kern w:val="0"/>
                <w:sz w:val="24"/>
              </w:rPr>
              <w:t>100</w:t>
            </w:r>
          </w:p>
        </w:tc>
      </w:tr>
    </w:tbl>
    <w:p>
      <w:pPr>
        <w:rPr>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CESI楷体-GB2312">
    <w:altName w:val="宋体"/>
    <w:panose1 w:val="00000000000000000000"/>
    <w:charset w:val="86"/>
    <w:family w:val="auto"/>
    <w:pitch w:val="default"/>
    <w:sig w:usb0="00000000" w:usb1="00000000" w:usb2="00000012" w:usb3="00000000" w:csb0="0004000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Microsoft YaHei UI">
    <w:altName w:val="宋体"/>
    <w:panose1 w:val="020B0503020204020204"/>
    <w:charset w:val="86"/>
    <w:family w:val="auto"/>
    <w:pitch w:val="default"/>
    <w:sig w:usb0="00000000" w:usb1="00000000" w:usb2="00000016" w:usb3="00000000" w:csb0="0004001F"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06CDC0"/>
    <w:multiLevelType w:val="singleLevel"/>
    <w:tmpl w:val="D706CDC0"/>
    <w:lvl w:ilvl="0" w:tentative="0">
      <w:start w:val="1"/>
      <w:numFmt w:val="chineseCounting"/>
      <w:suff w:val="nothing"/>
      <w:lvlText w:val="%1、"/>
      <w:lvlJc w:val="left"/>
      <w:rPr>
        <w:rFonts w:hint="eastAsia"/>
      </w:rPr>
    </w:lvl>
  </w:abstractNum>
  <w:abstractNum w:abstractNumId="1">
    <w:nsid w:val="40A70866"/>
    <w:multiLevelType w:val="singleLevel"/>
    <w:tmpl w:val="40A70866"/>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A4NzIyN2MxYTlmMzQ1NGE2MjU5NWRkMjhlOGMxYTAifQ=="/>
  </w:docVars>
  <w:rsids>
    <w:rsidRoot w:val="18203BB1"/>
    <w:rsid w:val="002A7269"/>
    <w:rsid w:val="002C5F4A"/>
    <w:rsid w:val="002E4E79"/>
    <w:rsid w:val="008A582C"/>
    <w:rsid w:val="00C11D79"/>
    <w:rsid w:val="00FE1A08"/>
    <w:rsid w:val="028C44E4"/>
    <w:rsid w:val="10215CE8"/>
    <w:rsid w:val="18203BB1"/>
    <w:rsid w:val="24A23F3D"/>
    <w:rsid w:val="27136193"/>
    <w:rsid w:val="436E21DE"/>
    <w:rsid w:val="455C5EB3"/>
    <w:rsid w:val="5854400C"/>
    <w:rsid w:val="5FEA4FD9"/>
    <w:rsid w:val="63A8106F"/>
    <w:rsid w:val="662F60C7"/>
    <w:rsid w:val="670F0ED0"/>
    <w:rsid w:val="739C6176"/>
    <w:rsid w:val="74ED6E3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spacing w:before="100" w:beforeAutospacing="1" w:after="100" w:afterAutospacing="1"/>
      <w:jc w:val="left"/>
      <w:outlineLvl w:val="0"/>
    </w:pPr>
    <w:rPr>
      <w:rFonts w:ascii="宋体"/>
      <w:b/>
      <w:kern w:val="44"/>
      <w:sz w:val="48"/>
      <w:szCs w:val="48"/>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9"/>
    <w:uiPriority w:val="0"/>
    <w:pPr>
      <w:pBdr>
        <w:bottom w:val="single" w:color="auto" w:sz="6" w:space="1"/>
      </w:pBdr>
      <w:tabs>
        <w:tab w:val="center" w:pos="4153"/>
        <w:tab w:val="right" w:pos="8306"/>
      </w:tabs>
      <w:snapToGrid w:val="0"/>
      <w:jc w:val="center"/>
    </w:pPr>
    <w:rPr>
      <w:sz w:val="18"/>
      <w:szCs w:val="18"/>
    </w:rPr>
  </w:style>
  <w:style w:type="paragraph" w:customStyle="1" w:styleId="7">
    <w:name w:val="BodyText1I"/>
    <w:basedOn w:val="1"/>
    <w:qFormat/>
    <w:uiPriority w:val="99"/>
    <w:pPr>
      <w:snapToGrid w:val="0"/>
      <w:spacing w:line="360" w:lineRule="auto"/>
      <w:ind w:firstLine="420" w:firstLineChars="100"/>
    </w:pPr>
    <w:rPr>
      <w:sz w:val="28"/>
      <w:szCs w:val="20"/>
    </w:rPr>
  </w:style>
  <w:style w:type="paragraph" w:styleId="8">
    <w:name w:val="List Paragraph"/>
    <w:basedOn w:val="1"/>
    <w:qFormat/>
    <w:uiPriority w:val="99"/>
    <w:pPr>
      <w:ind w:firstLine="420" w:firstLineChars="200"/>
    </w:pPr>
    <w:rPr>
      <w:rFonts w:ascii="Calibri" w:hAnsi="Calibri"/>
      <w:szCs w:val="22"/>
    </w:rPr>
  </w:style>
  <w:style w:type="character" w:customStyle="1" w:styleId="9">
    <w:name w:val="页眉 Char"/>
    <w:basedOn w:val="6"/>
    <w:link w:val="4"/>
    <w:uiPriority w:val="0"/>
    <w:rPr>
      <w:rFonts w:ascii="Times New Roman" w:hAnsi="Times New Roman" w:eastAsia="宋体" w:cs="Times New Roman"/>
      <w:kern w:val="2"/>
      <w:sz w:val="18"/>
      <w:szCs w:val="18"/>
    </w:rPr>
  </w:style>
  <w:style w:type="character" w:customStyle="1" w:styleId="10">
    <w:name w:val="页脚 Char"/>
    <w:basedOn w:val="6"/>
    <w:link w:val="3"/>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1545</Words>
  <Characters>1741</Characters>
  <Lines>33</Lines>
  <Paragraphs>9</Paragraphs>
  <TotalTime>18</TotalTime>
  <ScaleCrop>false</ScaleCrop>
  <LinksUpToDate>false</LinksUpToDate>
  <CharactersWithSpaces>1745</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2024-03-15T03:32:00Z</dcterms:created>
  <dc:creator>CY</dc:creator>
  <cp:lastModifiedBy>Administrator</cp:lastModifiedBy>
  <cp:lastPrinted>2025-04-07T04:53:00Z</cp:lastPrinted>
  <dcterms:modified xsi:type="dcterms:W3CDTF">2025-05-30T03:55:57Z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0B8BC2F0B29646C29DC23944CF79C8F2_13</vt:lpwstr>
  </property>
  <property fmtid="{D5CDD505-2E9C-101B-9397-08002B2CF9AE}" pid="4" name="KSOTemplateDocerSaveRecord">
    <vt:lpwstr>eyJoZGlkIjoiZTA4NzIyN2MxYTlmMzQ1NGE2MjU5NWRkMjhlOGMxYTAiLCJ1c2VySWQiOiI0NTMzNTc2OTgifQ==</vt:lpwstr>
  </property>
</Properties>
</file>