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84998">
      <w:pPr>
        <w:jc w:val="center"/>
        <w:rPr>
          <w:rFonts w:eastAsia="方正小标宋_GBK"/>
          <w:sz w:val="48"/>
          <w:szCs w:val="48"/>
        </w:rPr>
      </w:pPr>
    </w:p>
    <w:p w14:paraId="721965EF">
      <w:pPr>
        <w:jc w:val="center"/>
        <w:rPr>
          <w:rFonts w:eastAsia="方正小标宋_GBK"/>
          <w:sz w:val="48"/>
          <w:szCs w:val="48"/>
        </w:rPr>
      </w:pPr>
      <w:r>
        <w:rPr>
          <w:rFonts w:hint="eastAsia" w:eastAsia="方正小标宋_GBK"/>
          <w:sz w:val="48"/>
          <w:szCs w:val="48"/>
        </w:rPr>
        <w:t>202</w:t>
      </w:r>
      <w:r>
        <w:rPr>
          <w:rFonts w:hint="eastAsia" w:eastAsia="方正小标宋_GBK"/>
          <w:sz w:val="48"/>
          <w:szCs w:val="48"/>
          <w:lang w:val="en-US" w:eastAsia="zh-CN"/>
        </w:rPr>
        <w:t>4</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千家峒瑶族乡学校</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14:paraId="62DF1D60">
      <w:pPr>
        <w:jc w:val="center"/>
        <w:rPr>
          <w:rFonts w:eastAsia="楷体_GB2312"/>
          <w:b/>
          <w:sz w:val="32"/>
          <w:szCs w:val="32"/>
        </w:rPr>
      </w:pPr>
    </w:p>
    <w:p w14:paraId="2DBA909E">
      <w:pPr>
        <w:jc w:val="center"/>
        <w:rPr>
          <w:rFonts w:eastAsia="黑体"/>
          <w:sz w:val="32"/>
          <w:szCs w:val="32"/>
        </w:rPr>
      </w:pPr>
    </w:p>
    <w:p w14:paraId="69286CBD">
      <w:pPr>
        <w:jc w:val="center"/>
        <w:rPr>
          <w:rFonts w:eastAsia="黑体"/>
          <w:sz w:val="32"/>
          <w:szCs w:val="32"/>
        </w:rPr>
      </w:pPr>
    </w:p>
    <w:p w14:paraId="02BB01C1">
      <w:pPr>
        <w:jc w:val="center"/>
        <w:rPr>
          <w:rFonts w:eastAsia="黑体"/>
          <w:sz w:val="32"/>
          <w:szCs w:val="32"/>
        </w:rPr>
      </w:pPr>
    </w:p>
    <w:p w14:paraId="1E6FC202">
      <w:pPr>
        <w:jc w:val="center"/>
        <w:rPr>
          <w:rFonts w:eastAsia="黑体"/>
          <w:sz w:val="32"/>
          <w:szCs w:val="32"/>
        </w:rPr>
      </w:pPr>
    </w:p>
    <w:p w14:paraId="4A67A774">
      <w:pPr>
        <w:jc w:val="center"/>
        <w:rPr>
          <w:rFonts w:eastAsia="黑体"/>
          <w:sz w:val="32"/>
          <w:szCs w:val="32"/>
        </w:rPr>
      </w:pPr>
    </w:p>
    <w:p w14:paraId="71373599">
      <w:pPr>
        <w:jc w:val="center"/>
        <w:rPr>
          <w:rFonts w:eastAsia="黑体"/>
          <w:sz w:val="32"/>
          <w:szCs w:val="32"/>
        </w:rPr>
      </w:pPr>
    </w:p>
    <w:p w14:paraId="4071DCB7">
      <w:pPr>
        <w:jc w:val="center"/>
        <w:rPr>
          <w:rFonts w:eastAsia="黑体"/>
          <w:sz w:val="32"/>
          <w:szCs w:val="32"/>
        </w:rPr>
      </w:pPr>
    </w:p>
    <w:p w14:paraId="3C88E6C5">
      <w:pPr>
        <w:ind w:firstLine="880" w:firstLineChars="200"/>
        <w:jc w:val="center"/>
        <w:rPr>
          <w:rFonts w:eastAsia="黑体"/>
          <w:sz w:val="44"/>
          <w:szCs w:val="44"/>
        </w:rPr>
      </w:pPr>
    </w:p>
    <w:p w14:paraId="333AADE9">
      <w:pPr>
        <w:ind w:firstLine="880" w:firstLineChars="200"/>
        <w:jc w:val="center"/>
        <w:rPr>
          <w:rFonts w:eastAsia="黑体"/>
          <w:sz w:val="44"/>
          <w:szCs w:val="44"/>
        </w:rPr>
      </w:pPr>
    </w:p>
    <w:p w14:paraId="40106BC9">
      <w:pPr>
        <w:ind w:firstLine="880" w:firstLineChars="200"/>
        <w:jc w:val="center"/>
        <w:rPr>
          <w:rFonts w:eastAsia="黑体"/>
          <w:sz w:val="44"/>
          <w:szCs w:val="44"/>
        </w:rPr>
      </w:pPr>
    </w:p>
    <w:p w14:paraId="354DDE4A">
      <w:pPr>
        <w:ind w:firstLine="720" w:firstLineChars="200"/>
        <w:rPr>
          <w:rFonts w:hint="eastAsia" w:eastAsia="黑体"/>
          <w:sz w:val="36"/>
          <w:szCs w:val="36"/>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千家峒瑶族乡学校</w:t>
      </w:r>
    </w:p>
    <w:p w14:paraId="3B8A934E">
      <w:pPr>
        <w:jc w:val="center"/>
        <w:rPr>
          <w:rFonts w:ascii="宋体" w:hAnsi="宋体" w:eastAsia="宋体" w:cs="宋体"/>
          <w:sz w:val="44"/>
          <w:szCs w:val="44"/>
        </w:rPr>
      </w:pPr>
    </w:p>
    <w:p w14:paraId="5D670260">
      <w:pPr>
        <w:jc w:val="center"/>
        <w:rPr>
          <w:rFonts w:ascii="宋体" w:hAnsi="宋体" w:eastAsia="宋体" w:cs="宋体"/>
          <w:sz w:val="44"/>
          <w:szCs w:val="44"/>
        </w:rPr>
      </w:pPr>
    </w:p>
    <w:p w14:paraId="602BB31D">
      <w:pPr>
        <w:jc w:val="center"/>
        <w:rPr>
          <w:rFonts w:ascii="宋体" w:hAnsi="宋体" w:eastAsia="宋体" w:cs="宋体"/>
          <w:sz w:val="44"/>
          <w:szCs w:val="44"/>
        </w:rPr>
      </w:pPr>
    </w:p>
    <w:p w14:paraId="2ADFD331">
      <w:pPr>
        <w:jc w:val="center"/>
        <w:rPr>
          <w:rFonts w:ascii="宋体" w:hAnsi="宋体" w:eastAsia="宋体" w:cs="宋体"/>
          <w:sz w:val="44"/>
          <w:szCs w:val="44"/>
        </w:rPr>
      </w:pPr>
    </w:p>
    <w:p w14:paraId="668C7906">
      <w:pPr>
        <w:jc w:val="center"/>
        <w:rPr>
          <w:rFonts w:ascii="宋体" w:hAnsi="宋体" w:eastAsia="宋体" w:cs="宋体"/>
          <w:sz w:val="44"/>
          <w:szCs w:val="44"/>
        </w:rPr>
      </w:pPr>
    </w:p>
    <w:p w14:paraId="6929FD3C">
      <w:pPr>
        <w:jc w:val="center"/>
        <w:rPr>
          <w:rFonts w:ascii="宋体" w:hAnsi="宋体" w:eastAsia="宋体" w:cs="宋体"/>
          <w:sz w:val="44"/>
          <w:szCs w:val="44"/>
        </w:rPr>
      </w:pPr>
    </w:p>
    <w:p w14:paraId="47CA0559">
      <w:pPr>
        <w:jc w:val="center"/>
        <w:rPr>
          <w:rFonts w:hint="eastAsia" w:eastAsiaTheme="minorEastAsia"/>
          <w:sz w:val="36"/>
          <w:szCs w:val="36"/>
          <w:lang w:eastAsia="zh-CN"/>
        </w:rPr>
      </w:pPr>
      <w:r>
        <w:rPr>
          <w:rFonts w:hint="eastAsia"/>
          <w:sz w:val="36"/>
          <w:szCs w:val="36"/>
        </w:rPr>
        <w:t>202</w:t>
      </w:r>
      <w:r>
        <w:rPr>
          <w:rFonts w:hint="eastAsia"/>
          <w:sz w:val="36"/>
          <w:szCs w:val="36"/>
          <w:lang w:val="en-US" w:eastAsia="zh-CN"/>
        </w:rPr>
        <w:t>4</w:t>
      </w:r>
      <w:r>
        <w:rPr>
          <w:rFonts w:hint="eastAsia"/>
          <w:sz w:val="36"/>
          <w:szCs w:val="36"/>
        </w:rPr>
        <w:t>年度江永县</w:t>
      </w:r>
      <w:r>
        <w:rPr>
          <w:rFonts w:hint="eastAsia"/>
          <w:sz w:val="36"/>
          <w:szCs w:val="36"/>
          <w:lang w:eastAsia="zh-CN"/>
        </w:rPr>
        <w:t>千家峒瑶族乡学校</w:t>
      </w:r>
    </w:p>
    <w:p w14:paraId="219E678E">
      <w:pPr>
        <w:jc w:val="center"/>
        <w:rPr>
          <w:rFonts w:hint="eastAsia"/>
          <w:sz w:val="36"/>
          <w:szCs w:val="36"/>
        </w:rPr>
      </w:pPr>
      <w:r>
        <w:rPr>
          <w:rFonts w:hint="eastAsia"/>
          <w:sz w:val="36"/>
          <w:szCs w:val="36"/>
        </w:rPr>
        <w:t>部门整体支出绩效自评报告</w:t>
      </w:r>
    </w:p>
    <w:p w14:paraId="4178070A">
      <w:pPr>
        <w:ind w:left="0" w:leftChars="0" w:firstLine="638" w:firstLineChars="228"/>
        <w:rPr>
          <w:rFonts w:hint="eastAsia"/>
          <w:sz w:val="28"/>
          <w:szCs w:val="28"/>
        </w:rPr>
      </w:pPr>
      <w:r>
        <w:rPr>
          <w:rFonts w:hint="eastAsia"/>
          <w:sz w:val="28"/>
          <w:szCs w:val="28"/>
        </w:rPr>
        <w:t>一、基本情况</w:t>
      </w:r>
    </w:p>
    <w:p w14:paraId="4EF126D8">
      <w:pPr>
        <w:ind w:left="0" w:leftChars="0" w:firstLine="638" w:firstLineChars="228"/>
        <w:rPr>
          <w:rFonts w:hint="eastAsia"/>
          <w:sz w:val="28"/>
          <w:szCs w:val="28"/>
        </w:rPr>
      </w:pPr>
      <w:r>
        <w:rPr>
          <w:rFonts w:hint="eastAsia"/>
          <w:sz w:val="28"/>
          <w:szCs w:val="28"/>
        </w:rPr>
        <w:t>1</w:t>
      </w:r>
      <w:r>
        <w:rPr>
          <w:rFonts w:hint="eastAsia"/>
          <w:sz w:val="28"/>
          <w:szCs w:val="28"/>
          <w:lang w:eastAsia="zh-CN"/>
        </w:rPr>
        <w:t>、</w:t>
      </w:r>
      <w:r>
        <w:rPr>
          <w:rFonts w:hint="eastAsia"/>
          <w:sz w:val="28"/>
          <w:szCs w:val="28"/>
        </w:rPr>
        <w:t>江永县</w:t>
      </w:r>
      <w:r>
        <w:rPr>
          <w:rFonts w:hint="eastAsia"/>
          <w:sz w:val="28"/>
          <w:szCs w:val="28"/>
          <w:lang w:eastAsia="zh-CN"/>
        </w:rPr>
        <w:t>千家峒瑶族乡学校</w:t>
      </w:r>
      <w:r>
        <w:rPr>
          <w:rFonts w:hint="eastAsia"/>
          <w:sz w:val="28"/>
          <w:szCs w:val="28"/>
        </w:rPr>
        <w:t>现有在编教职工</w:t>
      </w:r>
      <w:r>
        <w:rPr>
          <w:rFonts w:hint="eastAsia"/>
          <w:sz w:val="28"/>
          <w:szCs w:val="28"/>
          <w:lang w:val="en-US" w:eastAsia="zh-CN"/>
        </w:rPr>
        <w:t>42</w:t>
      </w:r>
      <w:r>
        <w:rPr>
          <w:rFonts w:hint="eastAsia"/>
          <w:sz w:val="28"/>
          <w:szCs w:val="28"/>
        </w:rPr>
        <w:t>人，其中遗属补助人员</w:t>
      </w:r>
      <w:r>
        <w:rPr>
          <w:rFonts w:hint="eastAsia"/>
          <w:sz w:val="28"/>
          <w:szCs w:val="28"/>
          <w:lang w:val="en-US" w:eastAsia="zh-CN"/>
        </w:rPr>
        <w:t>7</w:t>
      </w:r>
      <w:r>
        <w:rPr>
          <w:rFonts w:hint="eastAsia"/>
          <w:sz w:val="28"/>
          <w:szCs w:val="28"/>
        </w:rPr>
        <w:t>人，退休人员</w:t>
      </w:r>
      <w:r>
        <w:rPr>
          <w:rFonts w:hint="eastAsia"/>
          <w:sz w:val="28"/>
          <w:szCs w:val="28"/>
          <w:lang w:val="en-US" w:eastAsia="zh-CN"/>
        </w:rPr>
        <w:t>29</w:t>
      </w:r>
      <w:r>
        <w:rPr>
          <w:rFonts w:hint="eastAsia"/>
          <w:sz w:val="28"/>
          <w:szCs w:val="28"/>
        </w:rPr>
        <w:t>人。</w:t>
      </w:r>
    </w:p>
    <w:p w14:paraId="7917830C">
      <w:pPr>
        <w:ind w:left="0" w:leftChars="0" w:firstLine="638" w:firstLineChars="228"/>
        <w:rPr>
          <w:rFonts w:hint="eastAsia"/>
          <w:sz w:val="28"/>
          <w:szCs w:val="28"/>
        </w:rPr>
      </w:pPr>
      <w:r>
        <w:rPr>
          <w:rFonts w:hint="eastAsia"/>
          <w:sz w:val="28"/>
          <w:szCs w:val="28"/>
        </w:rPr>
        <w:t>2、本校共有</w:t>
      </w:r>
      <w:r>
        <w:rPr>
          <w:rFonts w:hint="eastAsia"/>
          <w:sz w:val="28"/>
          <w:szCs w:val="28"/>
          <w:lang w:val="en-US" w:eastAsia="zh-CN"/>
        </w:rPr>
        <w:t>11</w:t>
      </w:r>
      <w:r>
        <w:rPr>
          <w:rFonts w:hint="eastAsia"/>
          <w:sz w:val="28"/>
          <w:szCs w:val="28"/>
        </w:rPr>
        <w:t>个教学班，学生人数</w:t>
      </w:r>
      <w:r>
        <w:rPr>
          <w:rFonts w:hint="eastAsia"/>
          <w:sz w:val="28"/>
          <w:szCs w:val="28"/>
          <w:lang w:val="en-US" w:eastAsia="zh-CN"/>
        </w:rPr>
        <w:t>277</w:t>
      </w:r>
      <w:r>
        <w:rPr>
          <w:rFonts w:hint="eastAsia"/>
          <w:sz w:val="28"/>
          <w:szCs w:val="28"/>
        </w:rPr>
        <w:t>人(其中随班就读残疾</w:t>
      </w:r>
    </w:p>
    <w:p w14:paraId="3D5923CD">
      <w:pPr>
        <w:rPr>
          <w:rFonts w:hint="eastAsia"/>
          <w:sz w:val="28"/>
          <w:szCs w:val="28"/>
        </w:rPr>
      </w:pPr>
      <w:r>
        <w:rPr>
          <w:rFonts w:hint="eastAsia"/>
          <w:sz w:val="28"/>
          <w:szCs w:val="28"/>
        </w:rPr>
        <w:t>学生</w:t>
      </w:r>
      <w:r>
        <w:rPr>
          <w:rFonts w:hint="eastAsia"/>
          <w:sz w:val="28"/>
          <w:szCs w:val="28"/>
          <w:lang w:val="en-US" w:eastAsia="zh-CN"/>
        </w:rPr>
        <w:t>4</w:t>
      </w:r>
      <w:r>
        <w:rPr>
          <w:rFonts w:hint="eastAsia"/>
          <w:sz w:val="28"/>
          <w:szCs w:val="28"/>
        </w:rPr>
        <w:t>人)。</w:t>
      </w:r>
    </w:p>
    <w:p w14:paraId="710CE7D5">
      <w:pPr>
        <w:ind w:left="0" w:leftChars="0" w:firstLine="638" w:firstLineChars="228"/>
        <w:rPr>
          <w:rFonts w:hint="eastAsia"/>
          <w:sz w:val="28"/>
          <w:szCs w:val="28"/>
        </w:rPr>
      </w:pPr>
      <w:r>
        <w:rPr>
          <w:rFonts w:hint="eastAsia"/>
          <w:sz w:val="28"/>
          <w:szCs w:val="28"/>
        </w:rPr>
        <w:t>二、一般公共预算支出情况</w:t>
      </w:r>
    </w:p>
    <w:p w14:paraId="7CEC31C3">
      <w:pPr>
        <w:ind w:left="0" w:leftChars="0" w:firstLine="638" w:firstLineChars="228"/>
        <w:rPr>
          <w:rFonts w:hint="eastAsia"/>
          <w:sz w:val="28"/>
          <w:szCs w:val="28"/>
        </w:rPr>
      </w:pPr>
      <w:r>
        <w:rPr>
          <w:rFonts w:hint="eastAsia"/>
          <w:sz w:val="28"/>
          <w:szCs w:val="28"/>
        </w:rPr>
        <w:t>202</w:t>
      </w:r>
      <w:r>
        <w:rPr>
          <w:rFonts w:hint="eastAsia"/>
          <w:sz w:val="28"/>
          <w:szCs w:val="28"/>
          <w:lang w:val="en-US" w:eastAsia="zh-CN"/>
        </w:rPr>
        <w:t>4</w:t>
      </w:r>
      <w:r>
        <w:rPr>
          <w:rFonts w:hint="eastAsia"/>
          <w:sz w:val="28"/>
          <w:szCs w:val="28"/>
        </w:rPr>
        <w:t>年度基本支出</w:t>
      </w:r>
      <w:r>
        <w:rPr>
          <w:rFonts w:hint="eastAsia"/>
          <w:sz w:val="28"/>
          <w:szCs w:val="28"/>
          <w:lang w:val="en-US" w:eastAsia="zh-CN"/>
        </w:rPr>
        <w:t>730.75</w:t>
      </w:r>
      <w:r>
        <w:rPr>
          <w:rFonts w:hint="eastAsia"/>
          <w:sz w:val="28"/>
          <w:szCs w:val="28"/>
        </w:rPr>
        <w:t>万元。主要用于教职工的工资、各项社保费、办公费、水电费、遗属生活补助、邮电费、差旅费、培训费、</w:t>
      </w:r>
    </w:p>
    <w:p w14:paraId="0CA8FA36">
      <w:pPr>
        <w:rPr>
          <w:rFonts w:hint="eastAsia"/>
          <w:sz w:val="28"/>
          <w:szCs w:val="28"/>
        </w:rPr>
      </w:pPr>
      <w:r>
        <w:rPr>
          <w:rFonts w:hint="eastAsia"/>
          <w:sz w:val="28"/>
          <w:szCs w:val="28"/>
        </w:rPr>
        <w:t>公务接待费、工会经费等。</w:t>
      </w:r>
    </w:p>
    <w:p w14:paraId="5196A207">
      <w:pPr>
        <w:ind w:left="0" w:leftChars="0" w:firstLine="638" w:firstLineChars="228"/>
        <w:rPr>
          <w:rFonts w:hint="eastAsia"/>
          <w:sz w:val="28"/>
          <w:szCs w:val="28"/>
        </w:rPr>
      </w:pPr>
      <w:r>
        <w:rPr>
          <w:rFonts w:hint="eastAsia"/>
          <w:sz w:val="28"/>
          <w:szCs w:val="28"/>
        </w:rPr>
        <w:t>三、纳入专户管理的非税收入支出情况</w:t>
      </w:r>
    </w:p>
    <w:p w14:paraId="56E6A078">
      <w:pPr>
        <w:ind w:left="0" w:leftChars="0" w:firstLine="638" w:firstLineChars="228"/>
        <w:rPr>
          <w:rFonts w:hint="eastAsia"/>
          <w:sz w:val="28"/>
          <w:szCs w:val="28"/>
        </w:rPr>
      </w:pPr>
      <w:r>
        <w:rPr>
          <w:rFonts w:hint="eastAsia"/>
          <w:sz w:val="28"/>
          <w:szCs w:val="28"/>
        </w:rPr>
        <w:t>202</w:t>
      </w:r>
      <w:r>
        <w:rPr>
          <w:rFonts w:hint="eastAsia"/>
          <w:sz w:val="28"/>
          <w:szCs w:val="28"/>
          <w:lang w:val="en-US" w:eastAsia="zh-CN"/>
        </w:rPr>
        <w:t>4</w:t>
      </w:r>
      <w:r>
        <w:rPr>
          <w:rFonts w:hint="eastAsia"/>
          <w:sz w:val="28"/>
          <w:szCs w:val="28"/>
        </w:rPr>
        <w:t>年度基本支出</w:t>
      </w:r>
      <w:r>
        <w:rPr>
          <w:rFonts w:hint="eastAsia"/>
          <w:sz w:val="28"/>
          <w:szCs w:val="28"/>
          <w:lang w:val="en-US" w:eastAsia="zh-CN"/>
        </w:rPr>
        <w:t>26.2449</w:t>
      </w:r>
      <w:r>
        <w:rPr>
          <w:rFonts w:hint="eastAsia"/>
          <w:sz w:val="28"/>
          <w:szCs w:val="28"/>
        </w:rPr>
        <w:t>万元。主要用于教职工课后服务劳务费.弥补学校经费不足的日常支付。</w:t>
      </w:r>
    </w:p>
    <w:p w14:paraId="7F205816">
      <w:pPr>
        <w:ind w:left="0" w:leftChars="0" w:firstLine="638" w:firstLineChars="228"/>
        <w:rPr>
          <w:rFonts w:hint="eastAsia"/>
          <w:sz w:val="28"/>
          <w:szCs w:val="28"/>
        </w:rPr>
      </w:pPr>
      <w:r>
        <w:rPr>
          <w:rFonts w:hint="eastAsia"/>
          <w:sz w:val="28"/>
          <w:szCs w:val="28"/>
        </w:rPr>
        <w:t>四、部门整体支出绩效情况</w:t>
      </w:r>
    </w:p>
    <w:p w14:paraId="4DE814B8">
      <w:pPr>
        <w:ind w:left="0" w:leftChars="0" w:firstLine="638" w:firstLineChars="228"/>
        <w:rPr>
          <w:rFonts w:hint="eastAsia"/>
          <w:sz w:val="28"/>
          <w:szCs w:val="28"/>
        </w:rPr>
      </w:pPr>
      <w:r>
        <w:rPr>
          <w:rFonts w:hint="eastAsia"/>
          <w:sz w:val="28"/>
          <w:szCs w:val="28"/>
        </w:rPr>
        <w:t>通过绩效评价工作组对全部资金的实施情况进行了整体跟踪，从资金的拨付及使用进行了综合评价，认为目前资金已全部实施完成，学生、人民群众很满意，本次的绩效综合评价得分100分。</w:t>
      </w:r>
    </w:p>
    <w:p w14:paraId="5F8EAC21">
      <w:pPr>
        <w:ind w:left="0" w:leftChars="0" w:firstLine="638" w:firstLineChars="228"/>
        <w:rPr>
          <w:rFonts w:hint="eastAsia"/>
          <w:sz w:val="28"/>
          <w:szCs w:val="28"/>
        </w:rPr>
      </w:pPr>
      <w:r>
        <w:rPr>
          <w:rFonts w:hint="eastAsia"/>
          <w:sz w:val="28"/>
          <w:szCs w:val="28"/>
        </w:rPr>
        <w:t>五、存在的问题及原因分析</w:t>
      </w:r>
    </w:p>
    <w:p w14:paraId="7C5CF3ED">
      <w:pPr>
        <w:ind w:left="0" w:leftChars="0" w:firstLine="638" w:firstLineChars="228"/>
        <w:rPr>
          <w:rFonts w:hint="eastAsia"/>
          <w:sz w:val="28"/>
          <w:szCs w:val="28"/>
        </w:rPr>
      </w:pPr>
      <w:r>
        <w:rPr>
          <w:rFonts w:hint="eastAsia"/>
          <w:sz w:val="28"/>
          <w:szCs w:val="28"/>
        </w:rPr>
        <w:t>单位在录单后，审核支付时间跨度大，造成日常工作的不便。</w:t>
      </w:r>
    </w:p>
    <w:p w14:paraId="3EC94AC7">
      <w:pPr>
        <w:ind w:left="0" w:leftChars="0" w:firstLine="638" w:firstLineChars="228"/>
        <w:rPr>
          <w:rFonts w:hint="eastAsia"/>
          <w:sz w:val="28"/>
          <w:szCs w:val="28"/>
        </w:rPr>
      </w:pPr>
      <w:r>
        <w:rPr>
          <w:rFonts w:hint="eastAsia"/>
          <w:sz w:val="28"/>
          <w:szCs w:val="28"/>
        </w:rPr>
        <w:t>六、下一步改进措施</w:t>
      </w:r>
    </w:p>
    <w:p w14:paraId="5F409A52">
      <w:pPr>
        <w:ind w:left="0" w:leftChars="0" w:firstLine="638" w:firstLineChars="228"/>
        <w:rPr>
          <w:rFonts w:hint="eastAsia"/>
          <w:sz w:val="28"/>
          <w:szCs w:val="28"/>
        </w:rPr>
      </w:pPr>
      <w:r>
        <w:rPr>
          <w:rFonts w:hint="eastAsia"/>
          <w:sz w:val="28"/>
          <w:szCs w:val="28"/>
        </w:rPr>
        <w:t>一是建议加大项目经费的投入力度，提高教学环境和质量，促进教育事业的健康快速高质量发展。</w:t>
      </w:r>
    </w:p>
    <w:p w14:paraId="02B1CB97">
      <w:pPr>
        <w:ind w:left="0" w:leftChars="0" w:firstLine="638" w:firstLineChars="228"/>
        <w:rPr>
          <w:rFonts w:hint="eastAsia"/>
          <w:sz w:val="28"/>
          <w:szCs w:val="28"/>
        </w:rPr>
      </w:pPr>
      <w:r>
        <w:rPr>
          <w:rFonts w:hint="eastAsia"/>
          <w:sz w:val="28"/>
          <w:szCs w:val="28"/>
        </w:rPr>
        <w:t>二是进</w:t>
      </w:r>
      <w:r>
        <w:rPr>
          <w:rFonts w:hint="eastAsia"/>
          <w:sz w:val="28"/>
          <w:szCs w:val="28"/>
          <w:lang w:eastAsia="zh-CN"/>
        </w:rPr>
        <w:t>一</w:t>
      </w:r>
      <w:r>
        <w:rPr>
          <w:rFonts w:hint="eastAsia"/>
          <w:sz w:val="28"/>
          <w:szCs w:val="28"/>
        </w:rPr>
        <w:t>步健全和完善财务管理制度及内部控制制度,创新管理手段，用新思路、新方法，改进完善财务管理方法。按照财政支出绩效管理的要求，建立科学的财政资金效益考评制度体系，不断提高财</w:t>
      </w:r>
    </w:p>
    <w:p w14:paraId="07E75D39">
      <w:pPr>
        <w:rPr>
          <w:rFonts w:hint="eastAsia"/>
          <w:sz w:val="28"/>
          <w:szCs w:val="28"/>
        </w:rPr>
      </w:pPr>
      <w:r>
        <w:rPr>
          <w:rFonts w:hint="eastAsia"/>
          <w:sz w:val="28"/>
          <w:szCs w:val="28"/>
        </w:rPr>
        <w:t>政资金使用管理的水平和效率。</w:t>
      </w:r>
    </w:p>
    <w:p w14:paraId="4EA329B1">
      <w:pPr>
        <w:rPr>
          <w:rFonts w:hint="eastAsia"/>
          <w:sz w:val="28"/>
          <w:szCs w:val="28"/>
        </w:rPr>
      </w:pPr>
    </w:p>
    <w:p w14:paraId="4053C373">
      <w:pPr>
        <w:rPr>
          <w:rFonts w:hint="eastAsia"/>
          <w:sz w:val="28"/>
          <w:szCs w:val="28"/>
        </w:rPr>
      </w:pPr>
    </w:p>
    <w:p w14:paraId="567A8E31">
      <w:pPr>
        <w:rPr>
          <w:rFonts w:hint="eastAsia"/>
          <w:sz w:val="28"/>
          <w:szCs w:val="28"/>
        </w:rPr>
      </w:pPr>
    </w:p>
    <w:p w14:paraId="593EB70A">
      <w:pPr>
        <w:jc w:val="right"/>
        <w:rPr>
          <w:rFonts w:hint="eastAsia"/>
          <w:sz w:val="28"/>
          <w:szCs w:val="28"/>
          <w:lang w:eastAsia="zh-CN"/>
        </w:rPr>
      </w:pPr>
      <w:r>
        <w:rPr>
          <w:rFonts w:hint="eastAsia"/>
          <w:sz w:val="28"/>
          <w:szCs w:val="28"/>
          <w:lang w:eastAsia="zh-CN"/>
        </w:rPr>
        <w:t>江永县千家峒瑶族乡学校</w:t>
      </w:r>
    </w:p>
    <w:p w14:paraId="2BD7A6A8">
      <w:pPr>
        <w:jc w:val="center"/>
        <w:rPr>
          <w:rFonts w:hint="default"/>
          <w:sz w:val="28"/>
          <w:szCs w:val="28"/>
          <w:lang w:val="en-US" w:eastAsia="zh-CN"/>
        </w:rPr>
      </w:pPr>
      <w:r>
        <w:rPr>
          <w:rFonts w:hint="eastAsia"/>
          <w:sz w:val="28"/>
          <w:szCs w:val="28"/>
          <w:lang w:val="en-US" w:eastAsia="zh-CN"/>
        </w:rPr>
        <w:t xml:space="preserve">                                      2025年4月2日</w:t>
      </w:r>
    </w:p>
    <w:p w14:paraId="540973FD">
      <w:pPr>
        <w:widowControl/>
        <w:jc w:val="center"/>
        <w:rPr>
          <w:rFonts w:ascii="黑体" w:hAnsi="黑体" w:eastAsia="黑体"/>
          <w:kern w:val="0"/>
          <w:sz w:val="44"/>
          <w:szCs w:val="44"/>
        </w:rPr>
      </w:pPr>
    </w:p>
    <w:p w14:paraId="01CE29F5">
      <w:pPr>
        <w:widowControl/>
        <w:jc w:val="center"/>
        <w:rPr>
          <w:rFonts w:ascii="黑体" w:hAnsi="黑体" w:eastAsia="黑体"/>
          <w:kern w:val="0"/>
          <w:sz w:val="44"/>
          <w:szCs w:val="44"/>
        </w:rPr>
      </w:pPr>
    </w:p>
    <w:p w14:paraId="3B24E272">
      <w:pPr>
        <w:widowControl/>
        <w:jc w:val="center"/>
        <w:rPr>
          <w:rFonts w:ascii="黑体" w:hAnsi="黑体" w:eastAsia="黑体"/>
          <w:kern w:val="0"/>
          <w:sz w:val="44"/>
          <w:szCs w:val="44"/>
        </w:rPr>
      </w:pPr>
    </w:p>
    <w:p w14:paraId="30F3A697">
      <w:pPr>
        <w:widowControl/>
        <w:jc w:val="center"/>
        <w:rPr>
          <w:rFonts w:ascii="黑体" w:hAnsi="黑体" w:eastAsia="黑体"/>
          <w:kern w:val="0"/>
          <w:sz w:val="44"/>
          <w:szCs w:val="44"/>
        </w:rPr>
      </w:pPr>
    </w:p>
    <w:p w14:paraId="225962F8">
      <w:pPr>
        <w:widowControl/>
        <w:jc w:val="center"/>
        <w:rPr>
          <w:rFonts w:ascii="黑体" w:hAnsi="黑体" w:eastAsia="黑体"/>
          <w:kern w:val="0"/>
          <w:sz w:val="44"/>
          <w:szCs w:val="44"/>
        </w:rPr>
      </w:pPr>
    </w:p>
    <w:p w14:paraId="7500E0FB">
      <w:pPr>
        <w:widowControl/>
        <w:jc w:val="center"/>
        <w:rPr>
          <w:rFonts w:ascii="黑体" w:hAnsi="黑体" w:eastAsia="黑体"/>
          <w:kern w:val="0"/>
          <w:sz w:val="44"/>
          <w:szCs w:val="44"/>
        </w:rPr>
      </w:pPr>
    </w:p>
    <w:p w14:paraId="589A3DA7">
      <w:pPr>
        <w:widowControl/>
        <w:jc w:val="center"/>
        <w:rPr>
          <w:rFonts w:ascii="黑体" w:hAnsi="黑体" w:eastAsia="黑体"/>
          <w:kern w:val="0"/>
          <w:sz w:val="44"/>
          <w:szCs w:val="44"/>
        </w:rPr>
      </w:pPr>
    </w:p>
    <w:p w14:paraId="50213D42">
      <w:pPr>
        <w:widowControl/>
        <w:jc w:val="center"/>
        <w:rPr>
          <w:rFonts w:ascii="黑体" w:hAnsi="黑体" w:eastAsia="黑体"/>
          <w:kern w:val="0"/>
          <w:sz w:val="44"/>
          <w:szCs w:val="44"/>
        </w:rPr>
      </w:pPr>
    </w:p>
    <w:p w14:paraId="06382ABE">
      <w:pPr>
        <w:widowControl/>
        <w:jc w:val="center"/>
        <w:rPr>
          <w:rFonts w:ascii="黑体" w:hAnsi="黑体" w:eastAsia="黑体"/>
          <w:kern w:val="0"/>
          <w:sz w:val="44"/>
          <w:szCs w:val="44"/>
        </w:rPr>
      </w:pPr>
    </w:p>
    <w:p w14:paraId="6CF0AE2E">
      <w:pPr>
        <w:widowControl/>
        <w:jc w:val="center"/>
        <w:rPr>
          <w:rFonts w:ascii="黑体" w:hAnsi="黑体" w:eastAsia="黑体"/>
          <w:kern w:val="0"/>
          <w:sz w:val="44"/>
          <w:szCs w:val="44"/>
        </w:rPr>
      </w:pPr>
    </w:p>
    <w:p w14:paraId="0BF68EAE">
      <w:pPr>
        <w:widowControl/>
        <w:jc w:val="center"/>
        <w:rPr>
          <w:rFonts w:ascii="黑体" w:hAnsi="黑体" w:eastAsia="黑体"/>
          <w:kern w:val="0"/>
          <w:sz w:val="44"/>
          <w:szCs w:val="44"/>
        </w:rPr>
      </w:pPr>
    </w:p>
    <w:p w14:paraId="0EB14F2D">
      <w:pPr>
        <w:widowControl/>
        <w:jc w:val="center"/>
        <w:rPr>
          <w:rFonts w:ascii="黑体" w:hAnsi="黑体" w:eastAsia="黑体"/>
          <w:kern w:val="0"/>
          <w:sz w:val="44"/>
          <w:szCs w:val="44"/>
        </w:rPr>
      </w:pPr>
    </w:p>
    <w:tbl>
      <w:tblPr>
        <w:tblW w:w="911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211"/>
        <w:gridCol w:w="1251"/>
        <w:gridCol w:w="1080"/>
        <w:gridCol w:w="874"/>
        <w:gridCol w:w="1029"/>
        <w:gridCol w:w="1627"/>
        <w:gridCol w:w="1047"/>
      </w:tblGrid>
      <w:tr w14:paraId="6CEA8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0" w:hRule="atLeast"/>
        </w:trPr>
        <w:tc>
          <w:tcPr>
            <w:tcW w:w="9119"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39F4C60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基础数据表</w:t>
            </w:r>
          </w:p>
        </w:tc>
      </w:tr>
      <w:tr w14:paraId="7A282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211"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4E1881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财政供养人员情况</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50F79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编制数</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54C0B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2024年实际在职人数</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96A8C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控制率</w:t>
            </w:r>
          </w:p>
        </w:tc>
      </w:tr>
      <w:tr w14:paraId="0D5F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211"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1EE6E60">
            <w:pPr>
              <w:jc w:val="center"/>
              <w:rPr>
                <w:rFonts w:hint="eastAsia" w:ascii="宋体" w:hAnsi="宋体" w:eastAsia="宋体" w:cs="宋体"/>
                <w:b/>
                <w:bCs/>
                <w:i w:val="0"/>
                <w:iCs w:val="0"/>
                <w:color w:val="000000"/>
                <w:sz w:val="18"/>
                <w:szCs w:val="18"/>
                <w:u w:val="none"/>
              </w:rPr>
            </w:pP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3640E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FEF7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130BA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83.33%</w:t>
            </w:r>
          </w:p>
        </w:tc>
      </w:tr>
      <w:tr w14:paraId="4CBD2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14E7D7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经费控制情况(万元)</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840D4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2023年决算数</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0B27A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2024年预算数</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80B12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2024年决算数</w:t>
            </w:r>
          </w:p>
        </w:tc>
      </w:tr>
      <w:tr w14:paraId="3382E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5C15D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三公经费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C2B4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C7CE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7B3B2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r>
      <w:tr w14:paraId="0CF8E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09579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1、公务用车购置和维护经费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E83D0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2A8F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0684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14:paraId="6D4FC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7BD476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其中：公车购置</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38B956A">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65FC95C">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28A07C6">
            <w:pPr>
              <w:jc w:val="center"/>
              <w:rPr>
                <w:rFonts w:hint="eastAsia" w:ascii="宋体" w:hAnsi="宋体" w:eastAsia="宋体" w:cs="宋体"/>
                <w:i w:val="0"/>
                <w:iCs w:val="0"/>
                <w:color w:val="000000"/>
                <w:sz w:val="18"/>
                <w:szCs w:val="18"/>
                <w:u w:val="none"/>
              </w:rPr>
            </w:pPr>
          </w:p>
        </w:tc>
      </w:tr>
      <w:tr w14:paraId="09BE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087DE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公车运行维护</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C230229">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36A598B">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E001AF1">
            <w:pPr>
              <w:jc w:val="center"/>
              <w:rPr>
                <w:rFonts w:hint="eastAsia" w:ascii="宋体" w:hAnsi="宋体" w:eastAsia="宋体" w:cs="宋体"/>
                <w:i w:val="0"/>
                <w:iCs w:val="0"/>
                <w:color w:val="000000"/>
                <w:sz w:val="18"/>
                <w:szCs w:val="18"/>
                <w:u w:val="none"/>
              </w:rPr>
            </w:pPr>
          </w:p>
        </w:tc>
      </w:tr>
      <w:tr w14:paraId="6350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03A81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2、出国经费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B21E6BB">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669ABB5">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AF9B12E">
            <w:pPr>
              <w:jc w:val="center"/>
              <w:rPr>
                <w:rFonts w:hint="eastAsia" w:ascii="宋体" w:hAnsi="宋体" w:eastAsia="宋体" w:cs="宋体"/>
                <w:i w:val="0"/>
                <w:iCs w:val="0"/>
                <w:color w:val="000000"/>
                <w:sz w:val="18"/>
                <w:szCs w:val="18"/>
                <w:u w:val="none"/>
              </w:rPr>
            </w:pPr>
          </w:p>
        </w:tc>
      </w:tr>
      <w:tr w14:paraId="05E92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5618E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3、公务接待</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F943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697CA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268C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r>
      <w:tr w14:paraId="40FA0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601E4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项目支出：</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6729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3AFE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AE8E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14:paraId="55EAD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69BDD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1、业务工作经费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FB39080">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745A097">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3AFF8C1">
            <w:pPr>
              <w:jc w:val="center"/>
              <w:rPr>
                <w:rFonts w:hint="eastAsia" w:ascii="宋体" w:hAnsi="宋体" w:eastAsia="宋体" w:cs="宋体"/>
                <w:i w:val="0"/>
                <w:iCs w:val="0"/>
                <w:color w:val="000000"/>
                <w:sz w:val="18"/>
                <w:szCs w:val="18"/>
                <w:u w:val="none"/>
              </w:rPr>
            </w:pPr>
          </w:p>
        </w:tc>
      </w:tr>
      <w:tr w14:paraId="7DD08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298AD2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2、运行维护经费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C49C20D">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990C3FC">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AF2D76A">
            <w:pPr>
              <w:jc w:val="center"/>
              <w:rPr>
                <w:rFonts w:hint="eastAsia" w:ascii="宋体" w:hAnsi="宋体" w:eastAsia="宋体" w:cs="宋体"/>
                <w:i w:val="0"/>
                <w:iCs w:val="0"/>
                <w:color w:val="000000"/>
                <w:sz w:val="18"/>
                <w:szCs w:val="18"/>
                <w:u w:val="none"/>
              </w:rPr>
            </w:pPr>
          </w:p>
        </w:tc>
      </w:tr>
      <w:tr w14:paraId="7F0AB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24281F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3、本级专项资金（一个专项一行）</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4FEE8AA">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0317203">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224C0F3">
            <w:pPr>
              <w:jc w:val="center"/>
              <w:rPr>
                <w:rFonts w:hint="eastAsia" w:ascii="宋体" w:hAnsi="宋体" w:eastAsia="宋体" w:cs="宋体"/>
                <w:i w:val="0"/>
                <w:iCs w:val="0"/>
                <w:color w:val="000000"/>
                <w:sz w:val="18"/>
                <w:szCs w:val="18"/>
                <w:u w:val="none"/>
              </w:rPr>
            </w:pPr>
          </w:p>
        </w:tc>
      </w:tr>
      <w:tr w14:paraId="5F927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28C047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公用经费：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FF4E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64.759</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7EDC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86.95</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EB91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69.6977</w:t>
            </w:r>
          </w:p>
        </w:tc>
      </w:tr>
      <w:tr w14:paraId="05F2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4003E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其中：办公经费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5241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35.2381</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DB2A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18.5277</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2487B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18.5277</w:t>
            </w:r>
          </w:p>
        </w:tc>
      </w:tr>
      <w:tr w14:paraId="39D7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05E742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水费、电费、差旅费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32098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1.1987</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C914D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6.1366</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FE42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6.1366</w:t>
            </w:r>
          </w:p>
        </w:tc>
      </w:tr>
      <w:tr w14:paraId="0940D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600BC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会议费、培训费</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77FE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w:t>
            </w: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061FA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3.1003</w:t>
            </w: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7D3D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3.1003</w:t>
            </w:r>
          </w:p>
        </w:tc>
      </w:tr>
      <w:tr w14:paraId="0204F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77AF4C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政府采购金额</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906236A">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F07A7F3">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F73A047">
            <w:pPr>
              <w:jc w:val="center"/>
              <w:rPr>
                <w:rFonts w:hint="eastAsia" w:ascii="宋体" w:hAnsi="宋体" w:eastAsia="宋体" w:cs="宋体"/>
                <w:i w:val="0"/>
                <w:iCs w:val="0"/>
                <w:color w:val="000000"/>
                <w:sz w:val="18"/>
                <w:szCs w:val="18"/>
                <w:u w:val="none"/>
              </w:rPr>
            </w:pPr>
          </w:p>
        </w:tc>
      </w:tr>
      <w:tr w14:paraId="5C51B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0552F4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部门基本支出预算调整 </w:t>
            </w:r>
          </w:p>
        </w:tc>
        <w:tc>
          <w:tcPr>
            <w:tcW w:w="233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59BA5AD">
            <w:pPr>
              <w:jc w:val="center"/>
              <w:rPr>
                <w:rFonts w:hint="eastAsia" w:ascii="宋体" w:hAnsi="宋体" w:eastAsia="宋体" w:cs="宋体"/>
                <w:i w:val="0"/>
                <w:iCs w:val="0"/>
                <w:color w:val="000000"/>
                <w:sz w:val="18"/>
                <w:szCs w:val="18"/>
                <w:u w:val="none"/>
              </w:rPr>
            </w:pPr>
          </w:p>
        </w:tc>
        <w:tc>
          <w:tcPr>
            <w:tcW w:w="1903"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B736F65">
            <w:pPr>
              <w:jc w:val="center"/>
              <w:rPr>
                <w:rFonts w:hint="eastAsia" w:ascii="宋体" w:hAnsi="宋体" w:eastAsia="宋体" w:cs="宋体"/>
                <w:i w:val="0"/>
                <w:iCs w:val="0"/>
                <w:color w:val="000000"/>
                <w:sz w:val="18"/>
                <w:szCs w:val="18"/>
                <w:u w:val="none"/>
              </w:rPr>
            </w:pPr>
          </w:p>
        </w:tc>
        <w:tc>
          <w:tcPr>
            <w:tcW w:w="2674"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60496A9">
            <w:pPr>
              <w:jc w:val="center"/>
              <w:rPr>
                <w:rFonts w:hint="eastAsia" w:ascii="宋体" w:hAnsi="宋体" w:eastAsia="宋体" w:cs="宋体"/>
                <w:i w:val="0"/>
                <w:iCs w:val="0"/>
                <w:color w:val="000000"/>
                <w:sz w:val="18"/>
                <w:szCs w:val="18"/>
                <w:u w:val="none"/>
              </w:rPr>
            </w:pPr>
          </w:p>
        </w:tc>
      </w:tr>
      <w:tr w14:paraId="197DE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2211" w:type="dxa"/>
            <w:vMerge w:val="restart"/>
            <w:tcBorders>
              <w:top w:val="single" w:color="000000" w:sz="4" w:space="0"/>
              <w:left w:val="single" w:color="000000" w:sz="4" w:space="0"/>
              <w:bottom w:val="single" w:color="000000" w:sz="4" w:space="0"/>
              <w:right w:val="single" w:color="000000" w:sz="4" w:space="0"/>
            </w:tcBorders>
            <w:shd w:val="clear"/>
            <w:vAlign w:val="center"/>
          </w:tcPr>
          <w:p w14:paraId="1D4236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楼堂馆所控制情况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（2024年完工项目）</w:t>
            </w:r>
          </w:p>
        </w:tc>
        <w:tc>
          <w:tcPr>
            <w:tcW w:w="1251" w:type="dxa"/>
            <w:tcBorders>
              <w:top w:val="single" w:color="000000" w:sz="4" w:space="0"/>
              <w:left w:val="single" w:color="000000" w:sz="4" w:space="0"/>
              <w:bottom w:val="single" w:color="000000" w:sz="4" w:space="0"/>
              <w:right w:val="single" w:color="000000" w:sz="4" w:space="0"/>
            </w:tcBorders>
            <w:shd w:val="clear"/>
            <w:vAlign w:val="center"/>
          </w:tcPr>
          <w:p w14:paraId="1C37C0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批复规模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018CAC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实际规模</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874" w:type="dxa"/>
            <w:tcBorders>
              <w:top w:val="single" w:color="000000" w:sz="4" w:space="0"/>
              <w:left w:val="single" w:color="000000" w:sz="4" w:space="0"/>
              <w:bottom w:val="single" w:color="000000" w:sz="4" w:space="0"/>
              <w:right w:val="single" w:color="000000" w:sz="4" w:space="0"/>
            </w:tcBorders>
            <w:shd w:val="clear"/>
            <w:noWrap/>
            <w:vAlign w:val="center"/>
          </w:tcPr>
          <w:p w14:paraId="3ED88D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规模控制率</w:t>
            </w:r>
          </w:p>
        </w:tc>
        <w:tc>
          <w:tcPr>
            <w:tcW w:w="1029" w:type="dxa"/>
            <w:tcBorders>
              <w:top w:val="single" w:color="000000" w:sz="4" w:space="0"/>
              <w:left w:val="single" w:color="000000" w:sz="4" w:space="0"/>
              <w:bottom w:val="single" w:color="000000" w:sz="4" w:space="0"/>
              <w:right w:val="single" w:color="000000" w:sz="4" w:space="0"/>
            </w:tcBorders>
            <w:shd w:val="clear"/>
            <w:vAlign w:val="center"/>
          </w:tcPr>
          <w:p w14:paraId="040D55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627" w:type="dxa"/>
            <w:tcBorders>
              <w:top w:val="single" w:color="000000" w:sz="4" w:space="0"/>
              <w:left w:val="single" w:color="000000" w:sz="4" w:space="0"/>
              <w:bottom w:val="single" w:color="000000" w:sz="4" w:space="0"/>
              <w:right w:val="single" w:color="000000" w:sz="4" w:space="0"/>
            </w:tcBorders>
            <w:shd w:val="clear"/>
            <w:vAlign w:val="center"/>
          </w:tcPr>
          <w:p w14:paraId="689C5D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047" w:type="dxa"/>
            <w:tcBorders>
              <w:top w:val="single" w:color="000000" w:sz="4" w:space="0"/>
              <w:left w:val="single" w:color="000000" w:sz="4" w:space="0"/>
              <w:bottom w:val="single" w:color="000000" w:sz="4" w:space="0"/>
              <w:right w:val="single" w:color="000000" w:sz="4" w:space="0"/>
            </w:tcBorders>
            <w:shd w:val="clear"/>
            <w:noWrap/>
            <w:vAlign w:val="center"/>
          </w:tcPr>
          <w:p w14:paraId="6F8838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投资概算控制率</w:t>
            </w:r>
          </w:p>
        </w:tc>
      </w:tr>
      <w:tr w14:paraId="31AB5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22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04733C">
            <w:pPr>
              <w:jc w:val="center"/>
              <w:rPr>
                <w:rFonts w:hint="eastAsia" w:ascii="宋体" w:hAnsi="宋体" w:eastAsia="宋体" w:cs="宋体"/>
                <w:b/>
                <w:bCs/>
                <w:i w:val="0"/>
                <w:iCs w:val="0"/>
                <w:color w:val="000000"/>
                <w:sz w:val="18"/>
                <w:szCs w:val="18"/>
                <w:u w:val="none"/>
              </w:rPr>
            </w:pPr>
          </w:p>
        </w:tc>
        <w:tc>
          <w:tcPr>
            <w:tcW w:w="1251" w:type="dxa"/>
            <w:tcBorders>
              <w:top w:val="single" w:color="000000" w:sz="4" w:space="0"/>
              <w:left w:val="single" w:color="000000" w:sz="4" w:space="0"/>
              <w:bottom w:val="single" w:color="000000" w:sz="4" w:space="0"/>
              <w:right w:val="single" w:color="000000" w:sz="4" w:space="0"/>
            </w:tcBorders>
            <w:shd w:val="clear"/>
            <w:noWrap/>
            <w:vAlign w:val="center"/>
          </w:tcPr>
          <w:p w14:paraId="21E6CA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C3FE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874" w:type="dxa"/>
            <w:tcBorders>
              <w:top w:val="single" w:color="000000" w:sz="4" w:space="0"/>
              <w:left w:val="single" w:color="000000" w:sz="4" w:space="0"/>
              <w:bottom w:val="single" w:color="000000" w:sz="4" w:space="0"/>
              <w:right w:val="single" w:color="000000" w:sz="4" w:space="0"/>
            </w:tcBorders>
            <w:shd w:val="clear"/>
            <w:noWrap/>
            <w:vAlign w:val="center"/>
          </w:tcPr>
          <w:p w14:paraId="189765BB">
            <w:pPr>
              <w:jc w:val="center"/>
              <w:rPr>
                <w:rFonts w:hint="eastAsia" w:ascii="宋体" w:hAnsi="宋体" w:eastAsia="宋体" w:cs="宋体"/>
                <w:i w:val="0"/>
                <w:iCs w:val="0"/>
                <w:color w:val="000000"/>
                <w:sz w:val="18"/>
                <w:szCs w:val="18"/>
                <w:u w:val="none"/>
              </w:rPr>
            </w:pPr>
          </w:p>
        </w:tc>
        <w:tc>
          <w:tcPr>
            <w:tcW w:w="1029" w:type="dxa"/>
            <w:tcBorders>
              <w:top w:val="single" w:color="000000" w:sz="4" w:space="0"/>
              <w:left w:val="single" w:color="000000" w:sz="4" w:space="0"/>
              <w:bottom w:val="single" w:color="000000" w:sz="4" w:space="0"/>
              <w:right w:val="single" w:color="000000" w:sz="4" w:space="0"/>
            </w:tcBorders>
            <w:shd w:val="clear"/>
            <w:noWrap/>
            <w:vAlign w:val="center"/>
          </w:tcPr>
          <w:p w14:paraId="4A499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627" w:type="dxa"/>
            <w:tcBorders>
              <w:top w:val="single" w:color="000000" w:sz="4" w:space="0"/>
              <w:left w:val="single" w:color="000000" w:sz="4" w:space="0"/>
              <w:bottom w:val="single" w:color="000000" w:sz="4" w:space="0"/>
              <w:right w:val="single" w:color="000000" w:sz="4" w:space="0"/>
            </w:tcBorders>
            <w:shd w:val="clear"/>
            <w:noWrap/>
            <w:vAlign w:val="center"/>
          </w:tcPr>
          <w:p w14:paraId="4A7E4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047" w:type="dxa"/>
            <w:tcBorders>
              <w:top w:val="single" w:color="000000" w:sz="4" w:space="0"/>
              <w:left w:val="single" w:color="000000" w:sz="4" w:space="0"/>
              <w:bottom w:val="single" w:color="000000" w:sz="4" w:space="0"/>
              <w:right w:val="single" w:color="000000" w:sz="4" w:space="0"/>
            </w:tcBorders>
            <w:shd w:val="clear"/>
            <w:noWrap/>
            <w:vAlign w:val="center"/>
          </w:tcPr>
          <w:p w14:paraId="11C13018">
            <w:pPr>
              <w:jc w:val="center"/>
              <w:rPr>
                <w:rFonts w:hint="eastAsia" w:ascii="宋体" w:hAnsi="宋体" w:eastAsia="宋体" w:cs="宋体"/>
                <w:i w:val="0"/>
                <w:iCs w:val="0"/>
                <w:color w:val="000000"/>
                <w:sz w:val="18"/>
                <w:szCs w:val="18"/>
                <w:u w:val="none"/>
              </w:rPr>
            </w:pPr>
          </w:p>
        </w:tc>
      </w:tr>
      <w:tr w14:paraId="1AFD7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211" w:type="dxa"/>
            <w:tcBorders>
              <w:top w:val="single" w:color="000000" w:sz="4" w:space="0"/>
              <w:left w:val="single" w:color="000000" w:sz="4" w:space="0"/>
              <w:bottom w:val="single" w:color="000000" w:sz="4" w:space="0"/>
              <w:right w:val="single" w:color="000000" w:sz="4" w:space="0"/>
            </w:tcBorders>
            <w:shd w:val="clear"/>
            <w:noWrap/>
            <w:vAlign w:val="center"/>
          </w:tcPr>
          <w:p w14:paraId="2CB1D8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厉行节约保障措施</w:t>
            </w:r>
          </w:p>
        </w:tc>
        <w:tc>
          <w:tcPr>
            <w:tcW w:w="6908" w:type="dxa"/>
            <w:gridSpan w:val="6"/>
            <w:tcBorders>
              <w:top w:val="single" w:color="000000" w:sz="4" w:space="0"/>
              <w:left w:val="single" w:color="000000" w:sz="4" w:space="0"/>
              <w:bottom w:val="single" w:color="000000" w:sz="4" w:space="0"/>
              <w:right w:val="single" w:color="000000" w:sz="4" w:space="0"/>
            </w:tcBorders>
            <w:shd w:val="clear"/>
            <w:noWrap/>
            <w:vAlign w:val="center"/>
          </w:tcPr>
          <w:p w14:paraId="7D87CE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完善规章制度，加强内部控制。</w:t>
            </w:r>
          </w:p>
        </w:tc>
      </w:tr>
    </w:tbl>
    <w:p w14:paraId="728E4C32">
      <w:pPr>
        <w:widowControl/>
        <w:jc w:val="center"/>
        <w:rPr>
          <w:rFonts w:hint="eastAsia" w:ascii="黑体" w:hAnsi="黑体" w:eastAsia="黑体"/>
          <w:kern w:val="0"/>
          <w:sz w:val="32"/>
          <w:szCs w:val="32"/>
        </w:rPr>
      </w:pPr>
    </w:p>
    <w:tbl>
      <w:tblPr>
        <w:tblW w:w="95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72"/>
        <w:gridCol w:w="940"/>
        <w:gridCol w:w="1010"/>
        <w:gridCol w:w="1031"/>
        <w:gridCol w:w="1041"/>
        <w:gridCol w:w="814"/>
        <w:gridCol w:w="834"/>
        <w:gridCol w:w="1040"/>
        <w:gridCol w:w="943"/>
        <w:gridCol w:w="1040"/>
      </w:tblGrid>
      <w:tr w14:paraId="2D505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7434" w:type="dxa"/>
            <w:gridSpan w:val="10"/>
            <w:tcBorders>
              <w:top w:val="single" w:color="000000" w:sz="4" w:space="0"/>
              <w:left w:val="single" w:color="000000" w:sz="4" w:space="0"/>
              <w:bottom w:val="single" w:color="000000" w:sz="4" w:space="0"/>
              <w:right w:val="single" w:color="000000" w:sz="4" w:space="0"/>
            </w:tcBorders>
            <w:shd w:val="clear"/>
            <w:noWrap/>
            <w:vAlign w:val="center"/>
          </w:tcPr>
          <w:p w14:paraId="7EDF037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自评表</w:t>
            </w:r>
          </w:p>
        </w:tc>
      </w:tr>
      <w:tr w14:paraId="6AAA4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14:paraId="15A26B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预算部门名称</w:t>
            </w:r>
          </w:p>
        </w:tc>
        <w:tc>
          <w:tcPr>
            <w:tcW w:w="0" w:type="auto"/>
            <w:gridSpan w:val="8"/>
            <w:tcBorders>
              <w:top w:val="single" w:color="000000" w:sz="4" w:space="0"/>
              <w:left w:val="single" w:color="000000" w:sz="4" w:space="0"/>
              <w:bottom w:val="single" w:color="000000" w:sz="4" w:space="0"/>
              <w:right w:val="single" w:color="000000" w:sz="4" w:space="0"/>
            </w:tcBorders>
            <w:shd w:val="clear"/>
            <w:noWrap/>
            <w:vAlign w:val="center"/>
          </w:tcPr>
          <w:p w14:paraId="3E4EB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江永县千家峒瑶族乡学校</w:t>
            </w:r>
          </w:p>
        </w:tc>
      </w:tr>
      <w:tr w14:paraId="52772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817"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581E9713">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t>(万元)</w:t>
            </w: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4EEC3C49">
            <w:pPr>
              <w:jc w:val="center"/>
              <w:rPr>
                <w:rFonts w:hint="eastAsia" w:ascii="宋体" w:hAnsi="宋体" w:eastAsia="宋体" w:cs="宋体"/>
                <w:i w:val="0"/>
                <w:iCs w:val="0"/>
                <w:color w:val="000000"/>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07DFA1F4">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年初预算数</w:t>
            </w: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br w:type="textWrapping"/>
            </w: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(万元)</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36D2EF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14:paraId="314EE1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246768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943" w:type="dxa"/>
            <w:tcBorders>
              <w:top w:val="single" w:color="000000" w:sz="4" w:space="0"/>
              <w:left w:val="single" w:color="000000" w:sz="4" w:space="0"/>
              <w:bottom w:val="single" w:color="000000" w:sz="4" w:space="0"/>
              <w:right w:val="single" w:color="000000" w:sz="4" w:space="0"/>
            </w:tcBorders>
            <w:shd w:val="clear"/>
            <w:vAlign w:val="center"/>
          </w:tcPr>
          <w:p w14:paraId="7486F4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1E8970E2">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得分</w:t>
            </w:r>
          </w:p>
        </w:tc>
      </w:tr>
      <w:tr w14:paraId="05F01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D910D06">
            <w:pPr>
              <w:jc w:val="center"/>
              <w:rPr>
                <w:rFonts w:hint="eastAsia" w:ascii="Microsoft YaHei UI" w:hAnsi="Microsoft YaHei UI" w:eastAsia="Microsoft YaHei UI" w:cs="Microsoft YaHei UI"/>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A52F2CD">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年度资金总额：</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763D0E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571.81</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51EDC1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730.75</w:t>
            </w:r>
          </w:p>
        </w:tc>
        <w:tc>
          <w:tcPr>
            <w:tcW w:w="1650" w:type="dxa"/>
            <w:gridSpan w:val="2"/>
            <w:tcBorders>
              <w:top w:val="single" w:color="000000" w:sz="4" w:space="0"/>
              <w:left w:val="single" w:color="000000" w:sz="4" w:space="0"/>
              <w:bottom w:val="single" w:color="000000" w:sz="4" w:space="0"/>
              <w:right w:val="single" w:color="000000" w:sz="4" w:space="0"/>
            </w:tcBorders>
            <w:shd w:val="clear"/>
            <w:vAlign w:val="center"/>
          </w:tcPr>
          <w:p w14:paraId="325F16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730.75</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3E6598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vAlign w:val="center"/>
          </w:tcPr>
          <w:p w14:paraId="6B30D4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100.00%</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479C88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10.00</w:t>
            </w:r>
          </w:p>
        </w:tc>
      </w:tr>
      <w:tr w14:paraId="23738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7600E99">
            <w:pPr>
              <w:jc w:val="center"/>
              <w:rPr>
                <w:rFonts w:hint="eastAsia" w:ascii="Microsoft YaHei UI" w:hAnsi="Microsoft YaHei UI" w:eastAsia="Microsoft YaHei UI" w:cs="Microsoft YaHei UI"/>
                <w:i w:val="0"/>
                <w:iCs w:val="0"/>
                <w:color w:val="000000"/>
                <w:sz w:val="18"/>
                <w:szCs w:val="18"/>
                <w:u w:val="none"/>
              </w:rPr>
            </w:pPr>
          </w:p>
        </w:tc>
        <w:tc>
          <w:tcPr>
            <w:tcW w:w="3083" w:type="dxa"/>
            <w:gridSpan w:val="5"/>
            <w:tcBorders>
              <w:top w:val="single" w:color="000000" w:sz="4" w:space="0"/>
              <w:left w:val="single" w:color="000000" w:sz="4" w:space="0"/>
              <w:bottom w:val="single" w:color="000000" w:sz="4" w:space="0"/>
              <w:right w:val="single" w:color="000000" w:sz="4" w:space="0"/>
            </w:tcBorders>
            <w:shd w:val="clear"/>
            <w:vAlign w:val="center"/>
          </w:tcPr>
          <w:p w14:paraId="62E4C07C">
            <w:pPr>
              <w:keepNext w:val="0"/>
              <w:keepLines w:val="0"/>
              <w:widowControl/>
              <w:suppressLineNumbers w:val="0"/>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按收入性质分：</w:t>
            </w:r>
          </w:p>
        </w:tc>
        <w:tc>
          <w:tcPr>
            <w:tcW w:w="2946" w:type="dxa"/>
            <w:gridSpan w:val="3"/>
            <w:tcBorders>
              <w:top w:val="single" w:color="000000" w:sz="4" w:space="0"/>
              <w:left w:val="single" w:color="000000" w:sz="4" w:space="0"/>
              <w:bottom w:val="single" w:color="000000" w:sz="4" w:space="0"/>
              <w:right w:val="single" w:color="000000" w:sz="4" w:space="0"/>
            </w:tcBorders>
            <w:shd w:val="clear"/>
            <w:vAlign w:val="center"/>
          </w:tcPr>
          <w:p w14:paraId="109A7A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按支出性质分：</w:t>
            </w:r>
          </w:p>
        </w:tc>
      </w:tr>
      <w:tr w14:paraId="3C91E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93E89C2">
            <w:pPr>
              <w:jc w:val="center"/>
              <w:rPr>
                <w:rFonts w:hint="eastAsia" w:ascii="Microsoft YaHei UI" w:hAnsi="Microsoft YaHei UI" w:eastAsia="Microsoft YaHei UI" w:cs="Microsoft YaHei UI"/>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7D7011C7">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一般公共预算：</w:t>
            </w:r>
          </w:p>
        </w:tc>
        <w:tc>
          <w:tcPr>
            <w:tcW w:w="2072" w:type="dxa"/>
            <w:gridSpan w:val="4"/>
            <w:tcBorders>
              <w:top w:val="single" w:color="000000" w:sz="4" w:space="0"/>
              <w:left w:val="single" w:color="000000" w:sz="4" w:space="0"/>
              <w:bottom w:val="single" w:color="000000" w:sz="4" w:space="0"/>
              <w:right w:val="single" w:color="000000" w:sz="4" w:space="0"/>
            </w:tcBorders>
            <w:shd w:val="clear"/>
            <w:vAlign w:val="center"/>
          </w:tcPr>
          <w:p w14:paraId="42FFF8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713.80</w:t>
            </w:r>
          </w:p>
        </w:tc>
        <w:tc>
          <w:tcPr>
            <w:tcW w:w="1041" w:type="dxa"/>
            <w:vMerge w:val="restart"/>
            <w:tcBorders>
              <w:top w:val="single" w:color="000000" w:sz="4" w:space="0"/>
              <w:left w:val="single" w:color="000000" w:sz="4" w:space="0"/>
              <w:bottom w:val="single" w:color="000000" w:sz="4" w:space="0"/>
              <w:right w:val="single" w:color="000000" w:sz="4" w:space="0"/>
            </w:tcBorders>
            <w:shd w:val="clear"/>
            <w:vAlign w:val="center"/>
          </w:tcPr>
          <w:p w14:paraId="0591E9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其中:基本支出：</w:t>
            </w:r>
          </w:p>
        </w:tc>
        <w:tc>
          <w:tcPr>
            <w:tcW w:w="1905"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1AAAE4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730.75</w:t>
            </w:r>
          </w:p>
        </w:tc>
      </w:tr>
      <w:tr w14:paraId="7C45D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D9F3D23">
            <w:pPr>
              <w:jc w:val="center"/>
              <w:rPr>
                <w:rFonts w:hint="eastAsia" w:ascii="Microsoft YaHei UI" w:hAnsi="Microsoft YaHei UI" w:eastAsia="Microsoft YaHei UI" w:cs="Microsoft YaHei UI"/>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386C4BCA">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政府性基金拨款：</w:t>
            </w:r>
          </w:p>
        </w:tc>
        <w:tc>
          <w:tcPr>
            <w:tcW w:w="2072" w:type="dxa"/>
            <w:gridSpan w:val="4"/>
            <w:tcBorders>
              <w:top w:val="single" w:color="000000" w:sz="4" w:space="0"/>
              <w:left w:val="single" w:color="000000" w:sz="4" w:space="0"/>
              <w:bottom w:val="single" w:color="000000" w:sz="4" w:space="0"/>
              <w:right w:val="single" w:color="000000" w:sz="4" w:space="0"/>
            </w:tcBorders>
            <w:shd w:val="clear"/>
            <w:vAlign w:val="center"/>
          </w:tcPr>
          <w:p w14:paraId="0F392D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16.95</w:t>
            </w:r>
          </w:p>
        </w:tc>
        <w:tc>
          <w:tcPr>
            <w:tcW w:w="104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5760B2">
            <w:pPr>
              <w:jc w:val="center"/>
              <w:rPr>
                <w:rFonts w:hint="eastAsia" w:ascii="宋体" w:hAnsi="宋体" w:eastAsia="宋体" w:cs="宋体"/>
                <w:b/>
                <w:bCs/>
                <w:i w:val="0"/>
                <w:iCs w:val="0"/>
                <w:color w:val="000000"/>
                <w:sz w:val="18"/>
                <w:szCs w:val="18"/>
                <w:u w:val="none"/>
              </w:rPr>
            </w:pPr>
          </w:p>
        </w:tc>
        <w:tc>
          <w:tcPr>
            <w:tcW w:w="190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C4B052A">
            <w:pPr>
              <w:jc w:val="center"/>
              <w:rPr>
                <w:rFonts w:hint="default" w:ascii="Times New Roman" w:hAnsi="Times New Roman" w:eastAsia="宋体" w:cs="Times New Roman"/>
                <w:i w:val="0"/>
                <w:iCs w:val="0"/>
                <w:color w:val="000000"/>
                <w:sz w:val="18"/>
                <w:szCs w:val="18"/>
                <w:u w:val="none"/>
              </w:rPr>
            </w:pPr>
          </w:p>
        </w:tc>
      </w:tr>
      <w:tr w14:paraId="42FCA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6EDCFD3">
            <w:pPr>
              <w:jc w:val="center"/>
              <w:rPr>
                <w:rFonts w:hint="eastAsia" w:ascii="Microsoft YaHei UI" w:hAnsi="Microsoft YaHei UI" w:eastAsia="Microsoft YaHei UI" w:cs="Microsoft YaHei UI"/>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A3D1509">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纳入专户管理的非税收入拨款：</w:t>
            </w:r>
          </w:p>
        </w:tc>
        <w:tc>
          <w:tcPr>
            <w:tcW w:w="2072" w:type="dxa"/>
            <w:gridSpan w:val="4"/>
            <w:tcBorders>
              <w:top w:val="single" w:color="000000" w:sz="4" w:space="0"/>
              <w:left w:val="single" w:color="000000" w:sz="4" w:space="0"/>
              <w:bottom w:val="single" w:color="000000" w:sz="4" w:space="0"/>
              <w:right w:val="single" w:color="000000" w:sz="4" w:space="0"/>
            </w:tcBorders>
            <w:shd w:val="clear"/>
            <w:vAlign w:val="center"/>
          </w:tcPr>
          <w:p w14:paraId="5D545B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26.24</w:t>
            </w:r>
          </w:p>
        </w:tc>
        <w:tc>
          <w:tcPr>
            <w:tcW w:w="1041" w:type="dxa"/>
            <w:vMerge w:val="restart"/>
            <w:tcBorders>
              <w:top w:val="single" w:color="000000" w:sz="4" w:space="0"/>
              <w:left w:val="single" w:color="000000" w:sz="4" w:space="0"/>
              <w:bottom w:val="single" w:color="000000" w:sz="4" w:space="0"/>
              <w:right w:val="single" w:color="000000" w:sz="4" w:space="0"/>
            </w:tcBorders>
            <w:shd w:val="clear"/>
            <w:vAlign w:val="center"/>
          </w:tcPr>
          <w:p w14:paraId="2B5324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项目支出：</w:t>
            </w:r>
          </w:p>
        </w:tc>
        <w:tc>
          <w:tcPr>
            <w:tcW w:w="1905"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3D4E6F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0.00</w:t>
            </w:r>
          </w:p>
        </w:tc>
      </w:tr>
      <w:tr w14:paraId="29540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2CF6728">
            <w:pPr>
              <w:jc w:val="center"/>
              <w:rPr>
                <w:rFonts w:hint="eastAsia" w:ascii="Microsoft YaHei UI" w:hAnsi="Microsoft YaHei UI" w:eastAsia="Microsoft YaHei UI" w:cs="Microsoft YaHei UI"/>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6C93D5C">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其他资金</w:t>
            </w:r>
          </w:p>
        </w:tc>
        <w:tc>
          <w:tcPr>
            <w:tcW w:w="2072" w:type="dxa"/>
            <w:gridSpan w:val="4"/>
            <w:tcBorders>
              <w:top w:val="single" w:color="000000" w:sz="4" w:space="0"/>
              <w:left w:val="single" w:color="000000" w:sz="4" w:space="0"/>
              <w:bottom w:val="single" w:color="000000" w:sz="4" w:space="0"/>
              <w:right w:val="single" w:color="000000" w:sz="4" w:space="0"/>
            </w:tcBorders>
            <w:shd w:val="clear"/>
            <w:vAlign w:val="center"/>
          </w:tcPr>
          <w:p w14:paraId="25A4C0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w:t>
            </w:r>
          </w:p>
        </w:tc>
        <w:tc>
          <w:tcPr>
            <w:tcW w:w="104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43E34EC">
            <w:pPr>
              <w:jc w:val="center"/>
              <w:rPr>
                <w:rFonts w:hint="eastAsia" w:ascii="宋体" w:hAnsi="宋体" w:eastAsia="宋体" w:cs="宋体"/>
                <w:b/>
                <w:bCs/>
                <w:i w:val="0"/>
                <w:iCs w:val="0"/>
                <w:color w:val="000000"/>
                <w:sz w:val="18"/>
                <w:szCs w:val="18"/>
                <w:u w:val="none"/>
              </w:rPr>
            </w:pPr>
          </w:p>
        </w:tc>
        <w:tc>
          <w:tcPr>
            <w:tcW w:w="190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E5C326A">
            <w:pPr>
              <w:jc w:val="center"/>
              <w:rPr>
                <w:rFonts w:hint="default" w:ascii="Times New Roman" w:hAnsi="Times New Roman" w:eastAsia="宋体" w:cs="Times New Roman"/>
                <w:i w:val="0"/>
                <w:iCs w:val="0"/>
                <w:color w:val="000000"/>
                <w:sz w:val="18"/>
                <w:szCs w:val="18"/>
                <w:u w:val="none"/>
              </w:rPr>
            </w:pPr>
          </w:p>
        </w:tc>
      </w:tr>
      <w:tr w14:paraId="58874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817"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1CE30D8D">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年度总体目标</w:t>
            </w:r>
          </w:p>
        </w:tc>
        <w:tc>
          <w:tcPr>
            <w:tcW w:w="3083" w:type="dxa"/>
            <w:gridSpan w:val="5"/>
            <w:tcBorders>
              <w:top w:val="single" w:color="000000" w:sz="4" w:space="0"/>
              <w:left w:val="single" w:color="000000" w:sz="4" w:space="0"/>
              <w:bottom w:val="single" w:color="000000" w:sz="4" w:space="0"/>
              <w:right w:val="single" w:color="000000" w:sz="4" w:space="0"/>
            </w:tcBorders>
            <w:shd w:val="clear"/>
            <w:vAlign w:val="center"/>
          </w:tcPr>
          <w:p w14:paraId="7344B113">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预期目标</w:t>
            </w:r>
          </w:p>
        </w:tc>
        <w:tc>
          <w:tcPr>
            <w:tcW w:w="2946" w:type="dxa"/>
            <w:gridSpan w:val="3"/>
            <w:tcBorders>
              <w:top w:val="single" w:color="000000" w:sz="4" w:space="0"/>
              <w:left w:val="single" w:color="000000" w:sz="4" w:space="0"/>
              <w:bottom w:val="single" w:color="000000" w:sz="4" w:space="0"/>
              <w:right w:val="single" w:color="000000" w:sz="4" w:space="0"/>
            </w:tcBorders>
            <w:shd w:val="clear"/>
            <w:vAlign w:val="center"/>
          </w:tcPr>
          <w:p w14:paraId="651176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45A97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81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19A6620">
            <w:pPr>
              <w:jc w:val="center"/>
              <w:rPr>
                <w:rFonts w:hint="eastAsia" w:ascii="仿宋_GB2312" w:hAnsi="宋体" w:eastAsia="仿宋_GB2312" w:cs="仿宋_GB2312"/>
                <w:b/>
                <w:bCs/>
                <w:i w:val="0"/>
                <w:iCs w:val="0"/>
                <w:color w:val="000000"/>
                <w:sz w:val="18"/>
                <w:szCs w:val="18"/>
                <w:u w:val="none"/>
              </w:rPr>
            </w:pPr>
          </w:p>
        </w:tc>
        <w:tc>
          <w:tcPr>
            <w:tcW w:w="3083" w:type="dxa"/>
            <w:gridSpan w:val="5"/>
            <w:tcBorders>
              <w:top w:val="single" w:color="000000" w:sz="4" w:space="0"/>
              <w:left w:val="single" w:color="000000" w:sz="4" w:space="0"/>
              <w:bottom w:val="single" w:color="000000" w:sz="4" w:space="0"/>
              <w:right w:val="single" w:color="000000" w:sz="4" w:space="0"/>
            </w:tcBorders>
            <w:shd w:val="clear"/>
            <w:vAlign w:val="center"/>
          </w:tcPr>
          <w:p w14:paraId="033C2C0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坚持教育方针政策，深化教育改革，发展素质教育，稳步提高教育质量，巩固艺术教育特色成果，促进学校教育事业的发展，保障人员经费，提高教师队伍幸福感，管好用好预算内资金，改善和优化学校的办学条件，促进学生全面发展。</w:t>
            </w:r>
          </w:p>
        </w:tc>
        <w:tc>
          <w:tcPr>
            <w:tcW w:w="2946" w:type="dxa"/>
            <w:gridSpan w:val="3"/>
            <w:tcBorders>
              <w:top w:val="single" w:color="000000" w:sz="4" w:space="0"/>
              <w:left w:val="single" w:color="000000" w:sz="4" w:space="0"/>
              <w:bottom w:val="single" w:color="000000" w:sz="4" w:space="0"/>
              <w:right w:val="single" w:color="000000" w:sz="4" w:space="0"/>
            </w:tcBorders>
            <w:shd w:val="clear"/>
            <w:vAlign w:val="center"/>
          </w:tcPr>
          <w:p w14:paraId="58B0DC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全面完成</w:t>
            </w:r>
          </w:p>
        </w:tc>
      </w:tr>
      <w:tr w14:paraId="4E032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74" w:type="dxa"/>
            <w:vMerge w:val="restart"/>
            <w:tcBorders>
              <w:top w:val="single" w:color="000000" w:sz="4" w:space="0"/>
              <w:left w:val="single" w:color="000000" w:sz="4" w:space="0"/>
              <w:bottom w:val="single" w:color="000000" w:sz="4" w:space="0"/>
              <w:right w:val="single" w:color="000000" w:sz="4" w:space="0"/>
            </w:tcBorders>
            <w:shd w:val="clear"/>
            <w:vAlign w:val="center"/>
          </w:tcPr>
          <w:p w14:paraId="07C2DAF9">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绩效指标</w:t>
            </w:r>
          </w:p>
        </w:tc>
        <w:tc>
          <w:tcPr>
            <w:tcW w:w="9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64A7D40E">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一级指标</w:t>
            </w:r>
          </w:p>
        </w:tc>
        <w:tc>
          <w:tcPr>
            <w:tcW w:w="1011" w:type="dxa"/>
            <w:vMerge w:val="restart"/>
            <w:tcBorders>
              <w:top w:val="single" w:color="000000" w:sz="4" w:space="0"/>
              <w:left w:val="single" w:color="000000" w:sz="4" w:space="0"/>
              <w:bottom w:val="single" w:color="000000" w:sz="4" w:space="0"/>
              <w:right w:val="single" w:color="000000" w:sz="4" w:space="0"/>
            </w:tcBorders>
            <w:shd w:val="clear"/>
            <w:vAlign w:val="center"/>
          </w:tcPr>
          <w:p w14:paraId="5DD18C88">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三级指标</w:t>
            </w:r>
          </w:p>
        </w:tc>
        <w:tc>
          <w:tcPr>
            <w:tcW w:w="1031"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87598D">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年度指标值</w:t>
            </w:r>
          </w:p>
        </w:tc>
        <w:tc>
          <w:tcPr>
            <w:tcW w:w="1041" w:type="dxa"/>
            <w:vMerge w:val="restart"/>
            <w:tcBorders>
              <w:top w:val="single" w:color="000000" w:sz="4" w:space="0"/>
              <w:left w:val="single" w:color="000000" w:sz="4" w:space="0"/>
              <w:bottom w:val="single" w:color="000000" w:sz="4" w:space="0"/>
              <w:right w:val="single" w:color="000000" w:sz="4" w:space="0"/>
            </w:tcBorders>
            <w:shd w:val="clear"/>
            <w:vAlign w:val="center"/>
          </w:tcPr>
          <w:p w14:paraId="7CEDFB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实际完成值</w:t>
            </w:r>
          </w:p>
        </w:tc>
        <w:tc>
          <w:tcPr>
            <w:tcW w:w="81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97F92B5">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分值</w:t>
            </w:r>
          </w:p>
        </w:tc>
        <w:tc>
          <w:tcPr>
            <w:tcW w:w="83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C46AFD1">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得分</w:t>
            </w: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noWrap/>
            <w:vAlign w:val="center"/>
          </w:tcPr>
          <w:p w14:paraId="61C959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1CFA2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259A9C">
            <w:pPr>
              <w:jc w:val="center"/>
              <w:rPr>
                <w:rFonts w:hint="eastAsia" w:ascii="仿宋_GB2312" w:hAnsi="宋体" w:eastAsia="仿宋_GB2312" w:cs="仿宋_GB2312"/>
                <w:b/>
                <w:bCs/>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F9E24D8">
            <w:pPr>
              <w:jc w:val="center"/>
              <w:rPr>
                <w:rFonts w:hint="eastAsia" w:ascii="仿宋_GB2312" w:hAnsi="宋体" w:eastAsia="仿宋_GB2312" w:cs="仿宋_GB2312"/>
                <w:b/>
                <w:bCs/>
                <w:i w:val="0"/>
                <w:iCs w:val="0"/>
                <w:color w:val="000000"/>
                <w:sz w:val="18"/>
                <w:szCs w:val="18"/>
                <w:u w:val="none"/>
              </w:rPr>
            </w:pPr>
          </w:p>
        </w:tc>
        <w:tc>
          <w:tcPr>
            <w:tcW w:w="101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7FC2599">
            <w:pPr>
              <w:jc w:val="center"/>
              <w:rPr>
                <w:rFonts w:hint="eastAsia" w:ascii="仿宋_GB2312" w:hAnsi="宋体" w:eastAsia="仿宋_GB2312" w:cs="仿宋_GB2312"/>
                <w:b/>
                <w:bCs/>
                <w:i w:val="0"/>
                <w:iCs w:val="0"/>
                <w:color w:val="000000"/>
                <w:sz w:val="18"/>
                <w:szCs w:val="18"/>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DF264F">
            <w:pPr>
              <w:jc w:val="center"/>
              <w:rPr>
                <w:rFonts w:hint="eastAsia" w:ascii="仿宋_GB2312" w:hAnsi="宋体" w:eastAsia="仿宋_GB2312" w:cs="仿宋_GB2312"/>
                <w:b/>
                <w:bCs/>
                <w:i w:val="0"/>
                <w:iCs w:val="0"/>
                <w:color w:val="000000"/>
                <w:sz w:val="18"/>
                <w:szCs w:val="18"/>
                <w:u w:val="none"/>
              </w:rPr>
            </w:pPr>
          </w:p>
        </w:tc>
        <w:tc>
          <w:tcPr>
            <w:tcW w:w="104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39D2C0">
            <w:pPr>
              <w:jc w:val="center"/>
              <w:rPr>
                <w:rFonts w:hint="eastAsia" w:ascii="宋体" w:hAnsi="宋体" w:eastAsia="宋体" w:cs="宋体"/>
                <w:b/>
                <w:bCs/>
                <w:i w:val="0"/>
                <w:iCs w:val="0"/>
                <w:color w:val="000000"/>
                <w:sz w:val="18"/>
                <w:szCs w:val="18"/>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A3C9C08">
            <w:pPr>
              <w:jc w:val="center"/>
              <w:rPr>
                <w:rFonts w:hint="eastAsia" w:ascii="仿宋_GB2312" w:hAnsi="宋体" w:eastAsia="仿宋_GB2312" w:cs="仿宋_GB2312"/>
                <w:b/>
                <w:bCs/>
                <w:i w:val="0"/>
                <w:iCs w:val="0"/>
                <w:color w:val="000000"/>
                <w:sz w:val="18"/>
                <w:szCs w:val="18"/>
                <w:u w:val="none"/>
              </w:rPr>
            </w:pPr>
          </w:p>
        </w:tc>
        <w:tc>
          <w:tcPr>
            <w:tcW w:w="83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774D4C">
            <w:pPr>
              <w:jc w:val="center"/>
              <w:rPr>
                <w:rFonts w:hint="eastAsia" w:ascii="仿宋_GB2312" w:hAnsi="宋体" w:eastAsia="仿宋_GB2312" w:cs="仿宋_GB2312"/>
                <w:b/>
                <w:bCs/>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noWrap/>
            <w:vAlign w:val="center"/>
          </w:tcPr>
          <w:p w14:paraId="66A6054A">
            <w:pPr>
              <w:jc w:val="center"/>
              <w:rPr>
                <w:rFonts w:hint="eastAsia" w:ascii="宋体" w:hAnsi="宋体" w:eastAsia="宋体" w:cs="宋体"/>
                <w:b/>
                <w:bCs/>
                <w:i w:val="0"/>
                <w:iCs w:val="0"/>
                <w:color w:val="000000"/>
                <w:sz w:val="18"/>
                <w:szCs w:val="18"/>
                <w:u w:val="none"/>
              </w:rPr>
            </w:pPr>
          </w:p>
        </w:tc>
      </w:tr>
      <w:tr w14:paraId="11AEA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restart"/>
            <w:tcBorders>
              <w:top w:val="single" w:color="000000" w:sz="4" w:space="0"/>
              <w:left w:val="single" w:color="000000" w:sz="4" w:space="0"/>
              <w:bottom w:val="single" w:color="000000" w:sz="4" w:space="0"/>
              <w:right w:val="single" w:color="000000" w:sz="4" w:space="0"/>
            </w:tcBorders>
            <w:shd w:val="clear"/>
            <w:vAlign w:val="center"/>
          </w:tcPr>
          <w:p w14:paraId="6605A3F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绩效指标</w:t>
            </w:r>
          </w:p>
        </w:tc>
        <w:tc>
          <w:tcPr>
            <w:tcW w:w="9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12B91D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产出指标</w:t>
            </w: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52C72024">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教师考核人数</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09175EC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35人</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72F9378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35人</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46B9333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2AB3FF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4569EE3F">
            <w:pPr>
              <w:jc w:val="center"/>
              <w:rPr>
                <w:rFonts w:hint="eastAsia" w:ascii="宋体" w:hAnsi="宋体" w:eastAsia="宋体" w:cs="宋体"/>
                <w:i w:val="0"/>
                <w:iCs w:val="0"/>
                <w:color w:val="000000"/>
                <w:sz w:val="18"/>
                <w:szCs w:val="18"/>
                <w:u w:val="none"/>
              </w:rPr>
            </w:pPr>
          </w:p>
        </w:tc>
      </w:tr>
      <w:tr w14:paraId="7B11A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3132622">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3907E0">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53453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学生招生数量</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6A2527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277人</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37BD8E9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277人</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2A23C27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0174E91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83D824E">
            <w:pPr>
              <w:jc w:val="center"/>
              <w:rPr>
                <w:rFonts w:hint="eastAsia" w:ascii="宋体" w:hAnsi="宋体" w:eastAsia="宋体" w:cs="宋体"/>
                <w:i w:val="0"/>
                <w:iCs w:val="0"/>
                <w:color w:val="000000"/>
                <w:sz w:val="18"/>
                <w:szCs w:val="18"/>
                <w:u w:val="none"/>
              </w:rPr>
            </w:pPr>
          </w:p>
        </w:tc>
      </w:tr>
      <w:tr w14:paraId="6EE9F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98FCA8">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3D8019">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3143AA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贫困生资助数量</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0A2852B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94人</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401D026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94人</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7BF6B61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5E9F3FD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0CDD666B">
            <w:pPr>
              <w:jc w:val="center"/>
              <w:rPr>
                <w:rFonts w:hint="eastAsia" w:ascii="宋体" w:hAnsi="宋体" w:eastAsia="宋体" w:cs="宋体"/>
                <w:i w:val="0"/>
                <w:iCs w:val="0"/>
                <w:color w:val="000000"/>
                <w:sz w:val="18"/>
                <w:szCs w:val="18"/>
                <w:u w:val="none"/>
              </w:rPr>
            </w:pPr>
          </w:p>
        </w:tc>
      </w:tr>
      <w:tr w14:paraId="75AE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E4C7DE">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19C61AE">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5211EC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教师培训次数</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562DC2D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5次</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1982E47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5次</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74FACB3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56F4B5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2BB8022">
            <w:pPr>
              <w:jc w:val="center"/>
              <w:rPr>
                <w:rFonts w:hint="eastAsia" w:ascii="宋体" w:hAnsi="宋体" w:eastAsia="宋体" w:cs="宋体"/>
                <w:i w:val="0"/>
                <w:iCs w:val="0"/>
                <w:color w:val="000000"/>
                <w:sz w:val="18"/>
                <w:szCs w:val="18"/>
                <w:u w:val="none"/>
              </w:rPr>
            </w:pPr>
          </w:p>
        </w:tc>
      </w:tr>
      <w:tr w14:paraId="4C546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20C0B86">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C61213">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FB628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贫困生资助准确</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7403ABE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4A8FBF6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7E209B7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437E77F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89E888C">
            <w:pPr>
              <w:jc w:val="center"/>
              <w:rPr>
                <w:rFonts w:hint="eastAsia" w:ascii="宋体" w:hAnsi="宋体" w:eastAsia="宋体" w:cs="宋体"/>
                <w:i w:val="0"/>
                <w:iCs w:val="0"/>
                <w:color w:val="000000"/>
                <w:sz w:val="18"/>
                <w:szCs w:val="18"/>
                <w:u w:val="none"/>
              </w:rPr>
            </w:pPr>
          </w:p>
        </w:tc>
      </w:tr>
      <w:tr w14:paraId="69D45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3176CC6">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4E9F180">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6CE839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教师培训完成率</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11BC3ED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67AF391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5FDF86A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551F442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CAA1D80">
            <w:pPr>
              <w:jc w:val="center"/>
              <w:rPr>
                <w:rFonts w:hint="eastAsia" w:ascii="宋体" w:hAnsi="宋体" w:eastAsia="宋体" w:cs="宋体"/>
                <w:i w:val="0"/>
                <w:iCs w:val="0"/>
                <w:color w:val="000000"/>
                <w:sz w:val="18"/>
                <w:szCs w:val="18"/>
                <w:u w:val="none"/>
              </w:rPr>
            </w:pPr>
          </w:p>
        </w:tc>
      </w:tr>
      <w:tr w14:paraId="08BB9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732CC17">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54A3C5">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4F9106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食品安全达标率</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11C07F7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42E60D7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48467C9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7A4310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0E46A551">
            <w:pPr>
              <w:jc w:val="center"/>
              <w:rPr>
                <w:rFonts w:hint="eastAsia" w:ascii="宋体" w:hAnsi="宋体" w:eastAsia="宋体" w:cs="宋体"/>
                <w:i w:val="0"/>
                <w:iCs w:val="0"/>
                <w:color w:val="000000"/>
                <w:sz w:val="18"/>
                <w:szCs w:val="18"/>
                <w:u w:val="none"/>
              </w:rPr>
            </w:pPr>
          </w:p>
        </w:tc>
      </w:tr>
      <w:tr w14:paraId="698E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F08A953">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084451">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5F6A9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完成时间</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35E08F0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2024年内完成</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24FBE74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2024年内完成</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7E84F5E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327E78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6953A014">
            <w:pPr>
              <w:jc w:val="center"/>
              <w:rPr>
                <w:rFonts w:hint="eastAsia" w:ascii="宋体" w:hAnsi="宋体" w:eastAsia="宋体" w:cs="宋体"/>
                <w:i w:val="0"/>
                <w:iCs w:val="0"/>
                <w:color w:val="000000"/>
                <w:sz w:val="18"/>
                <w:szCs w:val="18"/>
                <w:u w:val="none"/>
              </w:rPr>
            </w:pPr>
          </w:p>
        </w:tc>
      </w:tr>
      <w:tr w14:paraId="6B277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9A821B">
            <w:pPr>
              <w:rPr>
                <w:rFonts w:hint="eastAsia" w:ascii="仿宋_GB2312" w:hAnsi="宋体" w:eastAsia="仿宋_GB2312" w:cs="仿宋_GB2312"/>
                <w:i w:val="0"/>
                <w:iCs w:val="0"/>
                <w:color w:val="000000"/>
                <w:sz w:val="18"/>
                <w:szCs w:val="18"/>
                <w:u w:val="none"/>
              </w:rPr>
            </w:pPr>
          </w:p>
        </w:tc>
        <w:tc>
          <w:tcPr>
            <w:tcW w:w="9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156DB2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效益指标</w:t>
            </w: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24BACC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提高教师生活水平</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3B0DE08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提高教师生活水平</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1A738B7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提高教师生活水平</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111BC0D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3120C15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188F5809">
            <w:pPr>
              <w:jc w:val="center"/>
              <w:rPr>
                <w:rFonts w:hint="eastAsia" w:ascii="宋体" w:hAnsi="宋体" w:eastAsia="宋体" w:cs="宋体"/>
                <w:i w:val="0"/>
                <w:iCs w:val="0"/>
                <w:color w:val="000000"/>
                <w:sz w:val="18"/>
                <w:szCs w:val="18"/>
                <w:u w:val="none"/>
              </w:rPr>
            </w:pPr>
          </w:p>
        </w:tc>
      </w:tr>
      <w:tr w14:paraId="53958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20960B4">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3991C2C">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787909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使学生与学生拥有良好的好学习环境</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34E9BC7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使学生与学生拥有良好的好学习环境</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7BD4FDA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使学生与学生拥有良好的好学习环境</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025CB93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3A6A44E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E067502">
            <w:pPr>
              <w:jc w:val="center"/>
              <w:rPr>
                <w:rFonts w:hint="eastAsia" w:ascii="宋体" w:hAnsi="宋体" w:eastAsia="宋体" w:cs="宋体"/>
                <w:i w:val="0"/>
                <w:iCs w:val="0"/>
                <w:color w:val="000000"/>
                <w:sz w:val="18"/>
                <w:szCs w:val="18"/>
                <w:u w:val="none"/>
              </w:rPr>
            </w:pPr>
          </w:p>
        </w:tc>
      </w:tr>
      <w:tr w14:paraId="574F8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19C31B">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09DCCD">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1C22C0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改善校园环境</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535C663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改善校园环境</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613452A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有效改善</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28C3274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27B08B5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48BB7F01">
            <w:pPr>
              <w:jc w:val="center"/>
              <w:rPr>
                <w:rFonts w:hint="eastAsia" w:ascii="宋体" w:hAnsi="宋体" w:eastAsia="宋体" w:cs="宋体"/>
                <w:i w:val="0"/>
                <w:iCs w:val="0"/>
                <w:color w:val="000000"/>
                <w:sz w:val="18"/>
                <w:szCs w:val="18"/>
                <w:u w:val="none"/>
              </w:rPr>
            </w:pPr>
          </w:p>
        </w:tc>
      </w:tr>
      <w:tr w14:paraId="5F25C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FDC5F8C">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13D929">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7B5A97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可持续发展</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41F763B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可持续发展</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44CAA1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可持续发展</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42ADA7F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0FE52E8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75CCE143">
            <w:pPr>
              <w:jc w:val="center"/>
              <w:rPr>
                <w:rFonts w:hint="eastAsia" w:ascii="宋体" w:hAnsi="宋体" w:eastAsia="宋体" w:cs="宋体"/>
                <w:i w:val="0"/>
                <w:iCs w:val="0"/>
                <w:color w:val="000000"/>
                <w:sz w:val="18"/>
                <w:szCs w:val="18"/>
                <w:u w:val="none"/>
              </w:rPr>
            </w:pPr>
          </w:p>
        </w:tc>
      </w:tr>
      <w:tr w14:paraId="04039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1B81B7">
            <w:pPr>
              <w:rPr>
                <w:rFonts w:hint="eastAsia" w:ascii="仿宋_GB2312" w:hAnsi="宋体" w:eastAsia="仿宋_GB2312" w:cs="仿宋_GB2312"/>
                <w:i w:val="0"/>
                <w:iCs w:val="0"/>
                <w:color w:val="000000"/>
                <w:sz w:val="18"/>
                <w:szCs w:val="18"/>
                <w:u w:val="none"/>
              </w:rPr>
            </w:pPr>
          </w:p>
        </w:tc>
        <w:tc>
          <w:tcPr>
            <w:tcW w:w="943" w:type="dxa"/>
            <w:tcBorders>
              <w:top w:val="single" w:color="000000" w:sz="4" w:space="0"/>
              <w:left w:val="single" w:color="000000" w:sz="4" w:space="0"/>
              <w:bottom w:val="single" w:color="000000" w:sz="4" w:space="0"/>
              <w:right w:val="single" w:color="000000" w:sz="4" w:space="0"/>
            </w:tcBorders>
            <w:shd w:val="clear"/>
            <w:vAlign w:val="center"/>
          </w:tcPr>
          <w:p w14:paraId="42E5D91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满意度指标</w:t>
            </w: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62A29C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教师与家长满意率</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2493772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3E920BC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70961C1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59A366F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1E39BFF9">
            <w:pPr>
              <w:jc w:val="center"/>
              <w:rPr>
                <w:rFonts w:hint="eastAsia" w:ascii="宋体" w:hAnsi="宋体" w:eastAsia="宋体" w:cs="宋体"/>
                <w:i w:val="0"/>
                <w:iCs w:val="0"/>
                <w:color w:val="000000"/>
                <w:sz w:val="18"/>
                <w:szCs w:val="18"/>
                <w:u w:val="none"/>
              </w:rPr>
            </w:pPr>
          </w:p>
        </w:tc>
      </w:tr>
      <w:tr w14:paraId="682F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6F738F">
            <w:pPr>
              <w:rPr>
                <w:rFonts w:hint="eastAsia" w:ascii="仿宋_GB2312" w:hAnsi="宋体" w:eastAsia="仿宋_GB2312" w:cs="仿宋_GB2312"/>
                <w:i w:val="0"/>
                <w:iCs w:val="0"/>
                <w:color w:val="000000"/>
                <w:sz w:val="18"/>
                <w:szCs w:val="18"/>
                <w:u w:val="none"/>
              </w:rPr>
            </w:pPr>
          </w:p>
        </w:tc>
        <w:tc>
          <w:tcPr>
            <w:tcW w:w="943" w:type="dxa"/>
            <w:vMerge w:val="restart"/>
            <w:tcBorders>
              <w:top w:val="single" w:color="000000" w:sz="4" w:space="0"/>
              <w:left w:val="single" w:color="000000" w:sz="4" w:space="0"/>
              <w:bottom w:val="single" w:color="000000" w:sz="4" w:space="0"/>
              <w:right w:val="single" w:color="000000" w:sz="4" w:space="0"/>
            </w:tcBorders>
            <w:shd w:val="clear"/>
            <w:vAlign w:val="center"/>
          </w:tcPr>
          <w:p w14:paraId="5D1E682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成本指标</w:t>
            </w: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4027E7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部门整体控制数</w:t>
            </w: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0745F3C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525.25万元</w:t>
            </w: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2DC3E7F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525.25万元</w:t>
            </w: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167AD05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2407CF1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4407A408">
            <w:pPr>
              <w:jc w:val="center"/>
              <w:rPr>
                <w:rFonts w:hint="eastAsia" w:ascii="宋体" w:hAnsi="宋体" w:eastAsia="宋体" w:cs="宋体"/>
                <w:i w:val="0"/>
                <w:iCs w:val="0"/>
                <w:color w:val="000000"/>
                <w:sz w:val="18"/>
                <w:szCs w:val="18"/>
                <w:u w:val="none"/>
              </w:rPr>
            </w:pPr>
          </w:p>
        </w:tc>
      </w:tr>
      <w:tr w14:paraId="2F39D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114159">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81E063">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2FB440BF">
            <w:pPr>
              <w:jc w:val="center"/>
              <w:rPr>
                <w:rFonts w:hint="eastAsia" w:ascii="仿宋" w:hAnsi="仿宋" w:eastAsia="仿宋" w:cs="仿宋"/>
                <w:i w:val="0"/>
                <w:iCs w:val="0"/>
                <w:color w:val="000000"/>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01CE81B1">
            <w:pPr>
              <w:jc w:val="center"/>
              <w:rPr>
                <w:rFonts w:hint="eastAsia" w:ascii="仿宋_GB2312" w:hAnsi="宋体" w:eastAsia="仿宋_GB2312" w:cs="仿宋_GB2312"/>
                <w:i w:val="0"/>
                <w:iCs w:val="0"/>
                <w:color w:val="000000"/>
                <w:sz w:val="18"/>
                <w:szCs w:val="18"/>
                <w:u w:val="none"/>
              </w:rPr>
            </w:pP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23E8A15C">
            <w:pPr>
              <w:jc w:val="center"/>
              <w:rPr>
                <w:rFonts w:hint="eastAsia" w:ascii="仿宋_GB2312" w:hAnsi="宋体" w:eastAsia="仿宋_GB2312" w:cs="仿宋_GB2312"/>
                <w:i w:val="0"/>
                <w:iCs w:val="0"/>
                <w:color w:val="000000"/>
                <w:sz w:val="18"/>
                <w:szCs w:val="18"/>
                <w:u w:val="none"/>
              </w:rPr>
            </w:pP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010D1771">
            <w:pPr>
              <w:jc w:val="center"/>
              <w:rPr>
                <w:rFonts w:hint="eastAsia" w:ascii="仿宋_GB2312" w:hAnsi="宋体" w:eastAsia="仿宋_GB2312" w:cs="仿宋_GB2312"/>
                <w:i w:val="0"/>
                <w:iCs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38F5E98B">
            <w:pPr>
              <w:jc w:val="center"/>
              <w:rPr>
                <w:rFonts w:hint="eastAsia" w:ascii="仿宋_GB2312" w:hAnsi="宋体" w:eastAsia="仿宋_GB2312" w:cs="仿宋_GB2312"/>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3E054A2A">
            <w:pPr>
              <w:jc w:val="center"/>
              <w:rPr>
                <w:rFonts w:hint="eastAsia" w:ascii="宋体" w:hAnsi="宋体" w:eastAsia="宋体" w:cs="宋体"/>
                <w:i w:val="0"/>
                <w:iCs w:val="0"/>
                <w:color w:val="000000"/>
                <w:sz w:val="18"/>
                <w:szCs w:val="18"/>
                <w:u w:val="none"/>
              </w:rPr>
            </w:pPr>
          </w:p>
        </w:tc>
      </w:tr>
      <w:tr w14:paraId="6F2D1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0C902A">
            <w:pPr>
              <w:rPr>
                <w:rFonts w:hint="eastAsia" w:ascii="仿宋_GB2312" w:hAnsi="宋体" w:eastAsia="仿宋_GB2312" w:cs="仿宋_GB2312"/>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9773FD">
            <w:pPr>
              <w:rPr>
                <w:rFonts w:hint="eastAsia" w:ascii="仿宋_GB2312" w:hAnsi="宋体" w:eastAsia="仿宋_GB2312" w:cs="仿宋_GB2312"/>
                <w:i w:val="0"/>
                <w:iCs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shd w:val="clear"/>
            <w:vAlign w:val="center"/>
          </w:tcPr>
          <w:p w14:paraId="2E802542">
            <w:pPr>
              <w:jc w:val="center"/>
              <w:rPr>
                <w:rFonts w:hint="eastAsia" w:ascii="仿宋" w:hAnsi="仿宋" w:eastAsia="仿宋" w:cs="仿宋"/>
                <w:i w:val="0"/>
                <w:iCs w:val="0"/>
                <w:color w:val="000000"/>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vAlign w:val="center"/>
          </w:tcPr>
          <w:p w14:paraId="56028F5C">
            <w:pPr>
              <w:jc w:val="center"/>
              <w:rPr>
                <w:rFonts w:hint="eastAsia" w:ascii="仿宋_GB2312" w:hAnsi="宋体" w:eastAsia="仿宋_GB2312" w:cs="仿宋_GB2312"/>
                <w:i w:val="0"/>
                <w:iCs w:val="0"/>
                <w:color w:val="000000"/>
                <w:sz w:val="18"/>
                <w:szCs w:val="18"/>
                <w:u w:val="none"/>
              </w:rPr>
            </w:pPr>
          </w:p>
        </w:tc>
        <w:tc>
          <w:tcPr>
            <w:tcW w:w="1041" w:type="dxa"/>
            <w:tcBorders>
              <w:top w:val="single" w:color="000000" w:sz="4" w:space="0"/>
              <w:left w:val="single" w:color="000000" w:sz="4" w:space="0"/>
              <w:bottom w:val="single" w:color="000000" w:sz="4" w:space="0"/>
              <w:right w:val="single" w:color="000000" w:sz="4" w:space="0"/>
            </w:tcBorders>
            <w:shd w:val="clear"/>
            <w:vAlign w:val="center"/>
          </w:tcPr>
          <w:p w14:paraId="61C7B2A3">
            <w:pPr>
              <w:jc w:val="center"/>
              <w:rPr>
                <w:rFonts w:hint="eastAsia" w:ascii="仿宋_GB2312" w:hAnsi="宋体" w:eastAsia="仿宋_GB2312" w:cs="仿宋_GB2312"/>
                <w:i w:val="0"/>
                <w:iCs w:val="0"/>
                <w:color w:val="000000"/>
                <w:sz w:val="18"/>
                <w:szCs w:val="18"/>
                <w:u w:val="none"/>
              </w:rPr>
            </w:pPr>
          </w:p>
        </w:tc>
        <w:tc>
          <w:tcPr>
            <w:tcW w:w="815" w:type="dxa"/>
            <w:tcBorders>
              <w:top w:val="single" w:color="000000" w:sz="4" w:space="0"/>
              <w:left w:val="single" w:color="000000" w:sz="4" w:space="0"/>
              <w:bottom w:val="single" w:color="000000" w:sz="4" w:space="0"/>
              <w:right w:val="single" w:color="000000" w:sz="4" w:space="0"/>
            </w:tcBorders>
            <w:shd w:val="clear"/>
            <w:vAlign w:val="center"/>
          </w:tcPr>
          <w:p w14:paraId="39E416C1">
            <w:pPr>
              <w:jc w:val="center"/>
              <w:rPr>
                <w:rFonts w:hint="eastAsia" w:ascii="仿宋_GB2312" w:hAnsi="宋体" w:eastAsia="仿宋_GB2312" w:cs="仿宋_GB2312"/>
                <w:i w:val="0"/>
                <w:iCs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vAlign w:val="center"/>
          </w:tcPr>
          <w:p w14:paraId="6A5C5E23">
            <w:pPr>
              <w:jc w:val="center"/>
              <w:rPr>
                <w:rFonts w:hint="eastAsia" w:ascii="仿宋_GB2312" w:hAnsi="宋体" w:eastAsia="仿宋_GB2312" w:cs="仿宋_GB2312"/>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486DCD67">
            <w:pPr>
              <w:jc w:val="center"/>
              <w:rPr>
                <w:rFonts w:hint="eastAsia" w:ascii="宋体" w:hAnsi="宋体" w:eastAsia="宋体" w:cs="宋体"/>
                <w:i w:val="0"/>
                <w:iCs w:val="0"/>
                <w:color w:val="000000"/>
                <w:sz w:val="18"/>
                <w:szCs w:val="18"/>
                <w:u w:val="none"/>
              </w:rPr>
            </w:pPr>
          </w:p>
        </w:tc>
      </w:tr>
      <w:tr w14:paraId="61278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14:paraId="5B8D50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0" w:type="auto"/>
            <w:gridSpan w:val="8"/>
            <w:tcBorders>
              <w:top w:val="single" w:color="000000" w:sz="4" w:space="0"/>
              <w:left w:val="single" w:color="000000" w:sz="4" w:space="0"/>
              <w:bottom w:val="single" w:color="000000" w:sz="4" w:space="0"/>
              <w:right w:val="single" w:color="000000" w:sz="4" w:space="0"/>
            </w:tcBorders>
            <w:shd w:val="clear"/>
            <w:noWrap/>
            <w:vAlign w:val="center"/>
          </w:tcPr>
          <w:p w14:paraId="45EB7B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r>
    </w:tbl>
    <w:p w14:paraId="1B0AF1A8">
      <w:pPr>
        <w:widowControl/>
        <w:jc w:val="center"/>
        <w:rPr>
          <w:rFonts w:hint="eastAsia" w:ascii="黑体" w:hAnsi="黑体" w:eastAsia="黑体"/>
          <w:kern w:val="0"/>
          <w:sz w:val="32"/>
          <w:szCs w:val="32"/>
        </w:rPr>
      </w:pPr>
    </w:p>
    <w:p w14:paraId="42CCC750">
      <w:pPr>
        <w:widowControl/>
        <w:jc w:val="center"/>
        <w:rPr>
          <w:rFonts w:hint="eastAsia" w:ascii="黑体" w:hAnsi="黑体" w:eastAsia="黑体"/>
          <w:kern w:val="0"/>
          <w:sz w:val="32"/>
          <w:szCs w:val="32"/>
        </w:rPr>
      </w:pPr>
    </w:p>
    <w:p w14:paraId="4487A324">
      <w:pPr>
        <w:widowControl/>
        <w:jc w:val="center"/>
        <w:rPr>
          <w:rFonts w:hint="eastAsia" w:ascii="黑体" w:hAnsi="黑体" w:eastAsia="黑体"/>
          <w:kern w:val="0"/>
          <w:sz w:val="32"/>
          <w:szCs w:val="32"/>
        </w:rPr>
      </w:pPr>
    </w:p>
    <w:p w14:paraId="3D9C3265">
      <w:pPr>
        <w:widowControl/>
        <w:jc w:val="center"/>
        <w:rPr>
          <w:rFonts w:hint="eastAsia" w:ascii="黑体" w:hAnsi="黑体" w:eastAsia="黑体"/>
          <w:kern w:val="0"/>
          <w:sz w:val="32"/>
          <w:szCs w:val="32"/>
        </w:rPr>
      </w:pPr>
    </w:p>
    <w:p w14:paraId="27D912C7">
      <w:pPr>
        <w:widowControl/>
        <w:jc w:val="center"/>
        <w:rPr>
          <w:rFonts w:hint="eastAsia" w:ascii="黑体" w:hAnsi="黑体" w:eastAsia="黑体"/>
          <w:kern w:val="0"/>
          <w:sz w:val="32"/>
          <w:szCs w:val="32"/>
        </w:rPr>
      </w:pPr>
    </w:p>
    <w:p w14:paraId="5E26AC94">
      <w:pPr>
        <w:widowControl/>
        <w:jc w:val="center"/>
        <w:rPr>
          <w:rFonts w:hint="eastAsia" w:ascii="黑体" w:hAnsi="黑体" w:eastAsia="黑体"/>
          <w:kern w:val="0"/>
          <w:sz w:val="32"/>
          <w:szCs w:val="32"/>
        </w:rPr>
      </w:pPr>
    </w:p>
    <w:p w14:paraId="18BED558">
      <w:pPr>
        <w:widowControl/>
        <w:jc w:val="center"/>
        <w:rPr>
          <w:rFonts w:hint="eastAsia" w:ascii="黑体" w:hAnsi="黑体" w:eastAsia="黑体"/>
          <w:kern w:val="0"/>
          <w:sz w:val="32"/>
          <w:szCs w:val="32"/>
        </w:rPr>
      </w:pPr>
    </w:p>
    <w:p w14:paraId="60A6FFC0">
      <w:pPr>
        <w:widowControl/>
        <w:jc w:val="center"/>
        <w:rPr>
          <w:rFonts w:hint="eastAsia" w:ascii="黑体" w:hAnsi="黑体" w:eastAsia="黑体"/>
          <w:kern w:val="0"/>
          <w:sz w:val="32"/>
          <w:szCs w:val="32"/>
        </w:rPr>
      </w:pPr>
    </w:p>
    <w:p w14:paraId="3A91DD64">
      <w:pPr>
        <w:widowControl/>
        <w:jc w:val="center"/>
        <w:rPr>
          <w:rFonts w:hint="eastAsia" w:ascii="黑体" w:hAnsi="黑体" w:eastAsia="黑体"/>
          <w:kern w:val="0"/>
          <w:sz w:val="32"/>
          <w:szCs w:val="32"/>
        </w:rPr>
      </w:pPr>
    </w:p>
    <w:p w14:paraId="28FE70C2">
      <w:pPr>
        <w:widowControl/>
        <w:jc w:val="center"/>
        <w:rPr>
          <w:rFonts w:hint="eastAsia" w:ascii="黑体" w:hAnsi="黑体" w:eastAsia="黑体"/>
          <w:kern w:val="0"/>
          <w:sz w:val="32"/>
          <w:szCs w:val="32"/>
        </w:rPr>
      </w:pPr>
    </w:p>
    <w:p w14:paraId="2DBA5031">
      <w:pPr>
        <w:widowControl/>
        <w:jc w:val="center"/>
        <w:rPr>
          <w:rFonts w:hint="eastAsia" w:ascii="黑体" w:hAnsi="黑体" w:eastAsia="黑体"/>
          <w:kern w:val="0"/>
          <w:sz w:val="32"/>
          <w:szCs w:val="32"/>
        </w:rPr>
      </w:pPr>
    </w:p>
    <w:p w14:paraId="7AA6E022">
      <w:pPr>
        <w:widowControl/>
        <w:jc w:val="center"/>
        <w:rPr>
          <w:rFonts w:ascii="黑体" w:hAnsi="黑体" w:eastAsia="黑体"/>
          <w:kern w:val="0"/>
          <w:sz w:val="32"/>
          <w:szCs w:val="32"/>
        </w:rPr>
      </w:pPr>
      <w:bookmarkStart w:id="0" w:name="_GoBack"/>
      <w:bookmarkEnd w:id="0"/>
      <w:r>
        <w:rPr>
          <w:rFonts w:hint="eastAsia" w:ascii="黑体" w:hAnsi="黑体" w:eastAsia="黑体"/>
          <w:kern w:val="0"/>
          <w:sz w:val="32"/>
          <w:szCs w:val="32"/>
        </w:rPr>
        <w:t>江永县</w:t>
      </w:r>
      <w:r>
        <w:rPr>
          <w:rFonts w:hint="eastAsia" w:ascii="黑体" w:hAnsi="黑体" w:eastAsia="黑体"/>
          <w:kern w:val="0"/>
          <w:sz w:val="32"/>
          <w:szCs w:val="32"/>
          <w:lang w:eastAsia="zh-CN"/>
        </w:rPr>
        <w:t>千家峒瑶族乡学校</w:t>
      </w:r>
      <w:r>
        <w:rPr>
          <w:rFonts w:ascii="黑体" w:hAnsi="黑体" w:eastAsia="黑体"/>
          <w:kern w:val="0"/>
          <w:sz w:val="32"/>
          <w:szCs w:val="32"/>
        </w:rPr>
        <w:t>部门整体支出绩效评价表</w:t>
      </w:r>
    </w:p>
    <w:tbl>
      <w:tblPr>
        <w:tblStyle w:val="4"/>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2BF17539">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ign w:val="center"/>
          </w:tcPr>
          <w:p w14:paraId="2B0330B3">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14:paraId="6838124D">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14:paraId="66871308">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14:paraId="2E3388AA">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14:paraId="49CCE67A">
            <w:pPr>
              <w:widowControl/>
              <w:jc w:val="center"/>
              <w:rPr>
                <w:rFonts w:eastAsia="仿宋_GB2312"/>
                <w:kern w:val="0"/>
                <w:sz w:val="20"/>
                <w:szCs w:val="20"/>
              </w:rPr>
            </w:pPr>
            <w:r>
              <w:rPr>
                <w:rFonts w:eastAsia="仿宋_GB2312"/>
                <w:kern w:val="0"/>
                <w:sz w:val="20"/>
                <w:szCs w:val="20"/>
              </w:rPr>
              <w:t>三级</w:t>
            </w:r>
          </w:p>
          <w:p w14:paraId="1E1D204A">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14:paraId="75B28677">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14:paraId="6CDAEC20">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14:paraId="56FC46FD">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14:paraId="37A2E1F8">
            <w:pPr>
              <w:widowControl/>
              <w:jc w:val="center"/>
              <w:rPr>
                <w:rFonts w:eastAsia="仿宋_GB2312"/>
                <w:kern w:val="0"/>
                <w:sz w:val="20"/>
                <w:szCs w:val="20"/>
              </w:rPr>
            </w:pPr>
            <w:r>
              <w:rPr>
                <w:rFonts w:eastAsia="仿宋_GB2312"/>
                <w:kern w:val="0"/>
                <w:sz w:val="20"/>
                <w:szCs w:val="20"/>
              </w:rPr>
              <w:t>得分</w:t>
            </w:r>
          </w:p>
        </w:tc>
      </w:tr>
      <w:tr w14:paraId="60B34C0C">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14:paraId="4C4CB3F2">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14:paraId="617A88F2">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14:paraId="640148CE">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14:paraId="4CF5FE15">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14:paraId="448A80B9">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14:paraId="4BD9EF8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14:paraId="0466AC3B">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14:paraId="36CCFDD0">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739E0639">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14:paraId="67498EE7">
            <w:pPr>
              <w:widowControl/>
              <w:jc w:val="left"/>
              <w:rPr>
                <w:kern w:val="0"/>
                <w:sz w:val="24"/>
              </w:rPr>
            </w:pPr>
            <w:r>
              <w:rPr>
                <w:rFonts w:hint="eastAsia"/>
                <w:kern w:val="0"/>
                <w:sz w:val="24"/>
              </w:rPr>
              <w:t>5</w:t>
            </w:r>
            <w:r>
              <w:rPr>
                <w:kern w:val="0"/>
                <w:sz w:val="24"/>
              </w:rPr>
              <w:t>　</w:t>
            </w:r>
          </w:p>
        </w:tc>
      </w:tr>
      <w:tr w14:paraId="0ECEE0A8">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14:paraId="55B18B1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0A8DC3F">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1F09E5F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E879E1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FA1F73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14:paraId="1466B0E6">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14:paraId="33C2A408">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48946485">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3872D102">
            <w:pPr>
              <w:widowControl/>
              <w:jc w:val="left"/>
              <w:rPr>
                <w:kern w:val="0"/>
                <w:sz w:val="24"/>
              </w:rPr>
            </w:pPr>
            <w:r>
              <w:rPr>
                <w:rFonts w:hint="eastAsia"/>
                <w:kern w:val="0"/>
                <w:sz w:val="24"/>
              </w:rPr>
              <w:t>5</w:t>
            </w:r>
            <w:r>
              <w:rPr>
                <w:kern w:val="0"/>
                <w:sz w:val="24"/>
              </w:rPr>
              <w:t>　</w:t>
            </w:r>
          </w:p>
        </w:tc>
      </w:tr>
      <w:tr w14:paraId="71A19CF0">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702C85C6">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0C62510E">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14:paraId="32B09F1B">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14:paraId="7EE8630E">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14:paraId="1E6614FA">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14:paraId="31A9100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721EC809">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78030601">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648FC952">
            <w:pPr>
              <w:widowControl/>
              <w:jc w:val="left"/>
              <w:rPr>
                <w:kern w:val="0"/>
                <w:sz w:val="24"/>
              </w:rPr>
            </w:pPr>
            <w:r>
              <w:rPr>
                <w:kern w:val="0"/>
                <w:sz w:val="24"/>
              </w:rPr>
              <w:t>　</w:t>
            </w:r>
            <w:r>
              <w:rPr>
                <w:rFonts w:hint="eastAsia"/>
                <w:kern w:val="0"/>
                <w:sz w:val="24"/>
              </w:rPr>
              <w:t>5</w:t>
            </w:r>
          </w:p>
        </w:tc>
      </w:tr>
      <w:tr w14:paraId="0845045B">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6BE7B66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B5F0320">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5976B5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CB6C729">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1646F5A0">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14:paraId="324170B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51A26E22">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14:paraId="2C013FD8">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71D69D84">
            <w:pPr>
              <w:widowControl/>
              <w:jc w:val="left"/>
              <w:rPr>
                <w:kern w:val="0"/>
                <w:sz w:val="24"/>
              </w:rPr>
            </w:pPr>
            <w:r>
              <w:rPr>
                <w:kern w:val="0"/>
                <w:sz w:val="24"/>
              </w:rPr>
              <w:t>　</w:t>
            </w:r>
            <w:r>
              <w:rPr>
                <w:rFonts w:hint="eastAsia"/>
                <w:kern w:val="0"/>
                <w:sz w:val="24"/>
              </w:rPr>
              <w:t>5</w:t>
            </w:r>
          </w:p>
        </w:tc>
      </w:tr>
      <w:tr w14:paraId="7AAD7692">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B85FAE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ECD21F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4AE68BD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DD3A7F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37BCCAE">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14:paraId="13D03C3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6A289A59">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14:paraId="0E98723E">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2C46FA9D">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noWrap/>
            <w:vAlign w:val="center"/>
          </w:tcPr>
          <w:p w14:paraId="1BDA9B26">
            <w:pPr>
              <w:widowControl/>
              <w:jc w:val="left"/>
              <w:rPr>
                <w:color w:val="000000"/>
                <w:kern w:val="0"/>
                <w:sz w:val="24"/>
              </w:rPr>
            </w:pPr>
            <w:r>
              <w:rPr>
                <w:color w:val="FF0000"/>
                <w:kern w:val="0"/>
                <w:sz w:val="24"/>
              </w:rPr>
              <w:t>　</w:t>
            </w:r>
            <w:r>
              <w:rPr>
                <w:rFonts w:hint="eastAsia"/>
                <w:color w:val="000000"/>
                <w:kern w:val="0"/>
                <w:sz w:val="24"/>
              </w:rPr>
              <w:t>5</w:t>
            </w:r>
          </w:p>
        </w:tc>
      </w:tr>
      <w:tr w14:paraId="28CA62B8">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7902BD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4EE436C">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475D044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39F5DB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17865C7">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14:paraId="7EC7E59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23D45A98">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11CAB55">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3F6BCB97">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noWrap/>
            <w:vAlign w:val="center"/>
          </w:tcPr>
          <w:p w14:paraId="4A58E2E3">
            <w:pPr>
              <w:widowControl/>
              <w:jc w:val="left"/>
              <w:rPr>
                <w:kern w:val="0"/>
                <w:sz w:val="24"/>
              </w:rPr>
            </w:pPr>
            <w:r>
              <w:rPr>
                <w:kern w:val="0"/>
                <w:sz w:val="24"/>
              </w:rPr>
              <w:t>　</w:t>
            </w:r>
            <w:r>
              <w:rPr>
                <w:rFonts w:hint="eastAsia"/>
                <w:kern w:val="0"/>
                <w:sz w:val="24"/>
              </w:rPr>
              <w:t>5</w:t>
            </w:r>
          </w:p>
        </w:tc>
      </w:tr>
      <w:tr w14:paraId="31BCCE39">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EF137F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AAA754D">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3483DCA8">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14:paraId="1EBB6A64">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14:paraId="1F4508E6">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14:paraId="48EE3AB2">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0306A954">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64609E98">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342DA9D7">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14:paraId="365321B2">
            <w:pPr>
              <w:widowControl/>
              <w:jc w:val="left"/>
              <w:rPr>
                <w:color w:val="000000"/>
                <w:kern w:val="0"/>
                <w:sz w:val="24"/>
              </w:rPr>
            </w:pPr>
            <w:r>
              <w:rPr>
                <w:rFonts w:hint="eastAsia"/>
                <w:color w:val="000000"/>
                <w:kern w:val="0"/>
                <w:sz w:val="24"/>
              </w:rPr>
              <w:t>8</w:t>
            </w:r>
          </w:p>
        </w:tc>
      </w:tr>
      <w:tr w14:paraId="03F28E18">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CBE45E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01C7B0E">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0852FEF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D57125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12C001AE">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14:paraId="31E20251">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14:paraId="05011A45">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EB459DC">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62501C94">
            <w:pPr>
              <w:widowControl/>
              <w:jc w:val="left"/>
              <w:rPr>
                <w:kern w:val="0"/>
                <w:sz w:val="24"/>
              </w:rPr>
            </w:pPr>
            <w:r>
              <w:rPr>
                <w:rFonts w:hint="eastAsia"/>
                <w:kern w:val="0"/>
                <w:sz w:val="24"/>
              </w:rPr>
              <w:t>5</w:t>
            </w:r>
          </w:p>
        </w:tc>
      </w:tr>
      <w:tr w14:paraId="61617F64">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4F21AAA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CED4A13">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3DE98A5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F0B7AB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2AB54017">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14:paraId="69125367">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14:paraId="45C71EEA">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F82EB33">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2FD67227">
            <w:pPr>
              <w:widowControl/>
              <w:jc w:val="left"/>
              <w:rPr>
                <w:kern w:val="0"/>
                <w:sz w:val="24"/>
              </w:rPr>
            </w:pPr>
            <w:r>
              <w:rPr>
                <w:rFonts w:hint="eastAsia"/>
                <w:kern w:val="0"/>
                <w:sz w:val="24"/>
              </w:rPr>
              <w:t>6</w:t>
            </w:r>
            <w:r>
              <w:rPr>
                <w:kern w:val="0"/>
                <w:sz w:val="24"/>
              </w:rPr>
              <w:t>　</w:t>
            </w:r>
          </w:p>
        </w:tc>
      </w:tr>
      <w:tr w14:paraId="39F1632E">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4B15F5D7">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6E0A6973">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14:paraId="4DD1E8AB">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14:paraId="40E2CC1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510AC6EB">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14:paraId="7F8467E0">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14:paraId="7FD35523">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4B9DD50A">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25D8220B">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3CBF30A7">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2CFBE82A">
            <w:pPr>
              <w:widowControl/>
              <w:jc w:val="left"/>
              <w:rPr>
                <w:kern w:val="0"/>
                <w:sz w:val="24"/>
              </w:rPr>
            </w:pPr>
            <w:r>
              <w:rPr>
                <w:kern w:val="0"/>
                <w:sz w:val="24"/>
              </w:rPr>
              <w:t>　</w:t>
            </w:r>
            <w:r>
              <w:rPr>
                <w:rFonts w:hint="eastAsia"/>
                <w:kern w:val="0"/>
                <w:sz w:val="24"/>
              </w:rPr>
              <w:t>8</w:t>
            </w:r>
          </w:p>
        </w:tc>
      </w:tr>
      <w:tr w14:paraId="1400B95F">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71D0060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DA4B004">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749FD99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200189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13E48E2">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14:paraId="65CAF7AB">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14:paraId="0D8CC099">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6B58F568">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28932B3D">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3D553D4E">
            <w:pPr>
              <w:widowControl/>
              <w:jc w:val="left"/>
              <w:rPr>
                <w:kern w:val="0"/>
                <w:sz w:val="24"/>
              </w:rPr>
            </w:pPr>
            <w:r>
              <w:rPr>
                <w:kern w:val="0"/>
                <w:sz w:val="24"/>
              </w:rPr>
              <w:t>　</w:t>
            </w:r>
            <w:r>
              <w:rPr>
                <w:rFonts w:hint="eastAsia"/>
                <w:kern w:val="0"/>
                <w:sz w:val="24"/>
              </w:rPr>
              <w:t>6</w:t>
            </w:r>
          </w:p>
        </w:tc>
      </w:tr>
      <w:tr w14:paraId="430FF67B">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29A2CC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256D1DA">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7B7FF85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5ABC9F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A63001B">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14:paraId="30BE9DE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0AAF0D6A">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14:paraId="0130CE17">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14:paraId="0ED0E2E3">
            <w:pPr>
              <w:widowControl/>
              <w:jc w:val="left"/>
              <w:rPr>
                <w:kern w:val="0"/>
                <w:sz w:val="24"/>
              </w:rPr>
            </w:pPr>
            <w:r>
              <w:rPr>
                <w:kern w:val="0"/>
                <w:sz w:val="24"/>
              </w:rPr>
              <w:t>　</w:t>
            </w:r>
            <w:r>
              <w:rPr>
                <w:rFonts w:hint="eastAsia"/>
                <w:kern w:val="0"/>
                <w:sz w:val="24"/>
              </w:rPr>
              <w:t>5</w:t>
            </w:r>
          </w:p>
        </w:tc>
      </w:tr>
      <w:tr w14:paraId="1730B410">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61AF0841">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14:paraId="3038C373">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14:paraId="5242104E">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14:paraId="0E23E6C7">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14:paraId="4F36C45F">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14:paraId="69508FA9">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01BF8FEF">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14:paraId="2E484BED">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14:paraId="4C5ACD71">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61B379D8">
            <w:pPr>
              <w:widowControl/>
              <w:jc w:val="left"/>
              <w:rPr>
                <w:kern w:val="0"/>
                <w:sz w:val="24"/>
              </w:rPr>
            </w:pPr>
            <w:r>
              <w:rPr>
                <w:kern w:val="0"/>
                <w:sz w:val="24"/>
              </w:rPr>
              <w:t>　</w:t>
            </w:r>
            <w:r>
              <w:rPr>
                <w:rFonts w:hint="eastAsia"/>
                <w:kern w:val="0"/>
                <w:sz w:val="24"/>
              </w:rPr>
              <w:t>8</w:t>
            </w:r>
          </w:p>
        </w:tc>
      </w:tr>
      <w:tr w14:paraId="6EB47CE9">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FF70ED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C7A8CBC">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44DBDA4C">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14:paraId="23205A18">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14:paraId="60168558">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14:paraId="06D207CF">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14:paraId="35EF4E09">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14:paraId="37FECDD8">
            <w:pPr>
              <w:widowControl/>
              <w:jc w:val="left"/>
              <w:rPr>
                <w:kern w:val="0"/>
                <w:sz w:val="24"/>
              </w:rPr>
            </w:pPr>
            <w:r>
              <w:rPr>
                <w:kern w:val="0"/>
                <w:sz w:val="24"/>
              </w:rPr>
              <w:t>　</w:t>
            </w:r>
          </w:p>
        </w:tc>
      </w:tr>
      <w:tr w14:paraId="0564E8BC">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790BBCA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B6C11C2">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BDBFC7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011023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240C9AAC">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14:paraId="03FD885B">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14:paraId="05495B66">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14:paraId="374CD07A">
            <w:pPr>
              <w:widowControl/>
              <w:jc w:val="left"/>
              <w:rPr>
                <w:kern w:val="0"/>
                <w:sz w:val="24"/>
              </w:rPr>
            </w:pPr>
            <w:r>
              <w:rPr>
                <w:kern w:val="0"/>
                <w:sz w:val="24"/>
              </w:rPr>
              <w:t>　</w:t>
            </w:r>
            <w:r>
              <w:rPr>
                <w:rFonts w:hint="eastAsia"/>
                <w:kern w:val="0"/>
                <w:sz w:val="24"/>
              </w:rPr>
              <w:t>10</w:t>
            </w:r>
          </w:p>
        </w:tc>
      </w:tr>
      <w:tr w14:paraId="5F50A8D4">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C51773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6452B5C">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69ACECD4">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14:paraId="62F2E333">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14:paraId="0F6ACC11">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14:paraId="3E5BE726">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14:paraId="22848420">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14:paraId="32DEA19A">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14:paraId="519D7A70">
            <w:pPr>
              <w:widowControl/>
              <w:jc w:val="left"/>
              <w:rPr>
                <w:kern w:val="0"/>
                <w:sz w:val="24"/>
              </w:rPr>
            </w:pPr>
            <w:r>
              <w:rPr>
                <w:kern w:val="0"/>
                <w:sz w:val="24"/>
              </w:rPr>
              <w:t>　</w:t>
            </w:r>
            <w:r>
              <w:rPr>
                <w:rFonts w:hint="eastAsia"/>
                <w:kern w:val="0"/>
                <w:sz w:val="24"/>
              </w:rPr>
              <w:t>6</w:t>
            </w:r>
          </w:p>
        </w:tc>
      </w:tr>
      <w:tr w14:paraId="04F9AF5F">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14:paraId="726A33F8">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690B3FA1">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14:paraId="036BCB45">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0186AB34">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14:paraId="746583E0">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14:paraId="19C06260">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14:paraId="150640FC">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31EFFE49">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3D21F1A7">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2BBC9336">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14:paraId="1209B695">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14:paraId="2C182EC9">
            <w:pPr>
              <w:widowControl/>
              <w:jc w:val="left"/>
              <w:rPr>
                <w:kern w:val="0"/>
                <w:sz w:val="24"/>
              </w:rPr>
            </w:pPr>
            <w:r>
              <w:rPr>
                <w:rFonts w:hint="eastAsia"/>
                <w:kern w:val="0"/>
                <w:sz w:val="24"/>
              </w:rPr>
              <w:t>6</w:t>
            </w:r>
            <w:r>
              <w:rPr>
                <w:kern w:val="0"/>
                <w:sz w:val="24"/>
              </w:rPr>
              <w:t>　</w:t>
            </w:r>
          </w:p>
        </w:tc>
      </w:tr>
      <w:tr w14:paraId="654510FA">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14:paraId="7A9700AC">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14:paraId="67A84E19">
            <w:pPr>
              <w:widowControl/>
              <w:rPr>
                <w:rFonts w:ascii="宋体" w:hAnsi="宋体"/>
                <w:color w:val="000000"/>
                <w:kern w:val="0"/>
                <w:sz w:val="24"/>
              </w:rPr>
            </w:pPr>
            <w:r>
              <w:rPr>
                <w:rFonts w:hint="eastAsia" w:ascii="宋体" w:hAnsi="宋体"/>
                <w:color w:val="000000"/>
                <w:kern w:val="0"/>
                <w:sz w:val="24"/>
              </w:rPr>
              <w:t>100</w:t>
            </w:r>
          </w:p>
        </w:tc>
      </w:tr>
    </w:tbl>
    <w:p w14:paraId="0EB2E0BF">
      <w:pPr>
        <w:rPr>
          <w:rFonts w:hint="default"/>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EA96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4EE10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4EE10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kYmI5NGZmYzhmZDRkNDFhMWNkZWY4NzM0OGViN2YifQ=="/>
  </w:docVars>
  <w:rsids>
    <w:rsidRoot w:val="007A6621"/>
    <w:rsid w:val="002E0D15"/>
    <w:rsid w:val="005448D6"/>
    <w:rsid w:val="007A6621"/>
    <w:rsid w:val="00820F4C"/>
    <w:rsid w:val="009260EA"/>
    <w:rsid w:val="00F93292"/>
    <w:rsid w:val="011C626C"/>
    <w:rsid w:val="01532FBE"/>
    <w:rsid w:val="03BB70E6"/>
    <w:rsid w:val="0A0A3406"/>
    <w:rsid w:val="1253399A"/>
    <w:rsid w:val="13523092"/>
    <w:rsid w:val="178363BE"/>
    <w:rsid w:val="1BBD513D"/>
    <w:rsid w:val="20062A54"/>
    <w:rsid w:val="28332094"/>
    <w:rsid w:val="2F8059D2"/>
    <w:rsid w:val="32732851"/>
    <w:rsid w:val="33157886"/>
    <w:rsid w:val="34851D0A"/>
    <w:rsid w:val="35AB06D2"/>
    <w:rsid w:val="35BC3084"/>
    <w:rsid w:val="383A703A"/>
    <w:rsid w:val="396B47C6"/>
    <w:rsid w:val="3D2026FC"/>
    <w:rsid w:val="3DB866D6"/>
    <w:rsid w:val="3EE64D47"/>
    <w:rsid w:val="3F605D17"/>
    <w:rsid w:val="41EA3897"/>
    <w:rsid w:val="454439CF"/>
    <w:rsid w:val="524D75F1"/>
    <w:rsid w:val="53720145"/>
    <w:rsid w:val="53E23F1B"/>
    <w:rsid w:val="59E54591"/>
    <w:rsid w:val="5F8D3E32"/>
    <w:rsid w:val="600225BA"/>
    <w:rsid w:val="657038D9"/>
    <w:rsid w:val="66F34AE4"/>
    <w:rsid w:val="75AE261D"/>
    <w:rsid w:val="79FD69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heme="minorHAnsi" w:hAnsiTheme="minorHAnsi" w:eastAsiaTheme="minorEastAsia" w:cstheme="minorBidi"/>
      <w:kern w:val="2"/>
      <w:sz w:val="18"/>
      <w:szCs w:val="18"/>
    </w:rPr>
  </w:style>
  <w:style w:type="character" w:customStyle="1" w:styleId="7">
    <w:name w:val="页脚 Char"/>
    <w:basedOn w:val="5"/>
    <w:link w:val="2"/>
    <w:autoRedefine/>
    <w:semiHidden/>
    <w:qFormat/>
    <w:uiPriority w:val="99"/>
    <w:rPr>
      <w:rFonts w:asciiTheme="minorHAnsi" w:hAnsiTheme="minorHAnsi" w:eastAsiaTheme="minorEastAsia" w:cstheme="minorBidi"/>
      <w:kern w:val="2"/>
      <w:sz w:val="18"/>
      <w:szCs w:val="18"/>
    </w:rPr>
  </w:style>
  <w:style w:type="character" w:customStyle="1" w:styleId="8">
    <w:name w:val="font21"/>
    <w:basedOn w:val="5"/>
    <w:autoRedefine/>
    <w:qFormat/>
    <w:uiPriority w:val="0"/>
    <w:rPr>
      <w:rFonts w:hint="eastAsia" w:ascii="宋体" w:hAnsi="宋体" w:eastAsia="宋体" w:cs="宋体"/>
      <w:color w:val="000000"/>
      <w:sz w:val="22"/>
      <w:szCs w:val="22"/>
      <w:u w:val="none"/>
    </w:rPr>
  </w:style>
  <w:style w:type="character" w:customStyle="1" w:styleId="9">
    <w:name w:val="font41"/>
    <w:basedOn w:val="5"/>
    <w:autoRedefine/>
    <w:qFormat/>
    <w:uiPriority w:val="0"/>
    <w:rPr>
      <w:rFonts w:ascii="Calibri" w:hAnsi="Calibri" w:cs="Calibri"/>
      <w:color w:val="000000"/>
      <w:sz w:val="21"/>
      <w:szCs w:val="21"/>
      <w:u w:val="none"/>
    </w:rPr>
  </w:style>
  <w:style w:type="character" w:customStyle="1" w:styleId="10">
    <w:name w:val="font81"/>
    <w:basedOn w:val="5"/>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2538</Words>
  <Characters>2805</Characters>
  <Lines>38</Lines>
  <Paragraphs>10</Paragraphs>
  <TotalTime>1371</TotalTime>
  <ScaleCrop>false</ScaleCrop>
  <LinksUpToDate>false</LinksUpToDate>
  <CharactersWithSpaces>3218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神枪手</cp:lastModifiedBy>
  <cp:lastPrinted>2025-04-02T02:24:00Z</cp:lastPrinted>
  <dcterms:modified xsi:type="dcterms:W3CDTF">2025-04-08T05:47:30Z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61481C3CF1DF497DBCA59AF4E0928781_13</vt:lpwstr>
  </property>
  <property fmtid="{D5CDD505-2E9C-101B-9397-08002B2CF9AE}" pid="4" name="KSOTemplateDocerSaveRecord">
    <vt:lpwstr>eyJoZGlkIjoiOTdkYmI5NGZmYzhmZDRkNDFhMWNkZWY4NzM0OGViN2YiLCJ1c2VySWQiOiIxNDEyMTExMjA5In0=</vt:lpwstr>
  </property>
</Properties>
</file>