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978F5">
      <w:pPr>
        <w:spacing w:line="600" w:lineRule="exact"/>
        <w:rPr>
          <w:rFonts w:hint="eastAsia" w:eastAsia="黑体"/>
          <w:kern w:val="0"/>
          <w:sz w:val="32"/>
          <w:szCs w:val="32"/>
          <w:lang w:val="en-US" w:eastAsia="zh-CN"/>
        </w:rPr>
      </w:pPr>
    </w:p>
    <w:p w14:paraId="1BD73A6C">
      <w:pPr>
        <w:spacing w:line="600" w:lineRule="exact"/>
        <w:rPr>
          <w:rFonts w:eastAsia="黑体"/>
          <w:kern w:val="0"/>
          <w:sz w:val="32"/>
          <w:szCs w:val="32"/>
        </w:rPr>
      </w:pPr>
    </w:p>
    <w:p w14:paraId="53CF65D8">
      <w:pPr>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eastAsia="zh-CN"/>
        </w:rPr>
        <w:t>上江圩镇中心小学</w:t>
      </w:r>
      <w:r>
        <w:rPr>
          <w:rFonts w:eastAsia="方正小标宋_GBK"/>
          <w:sz w:val="48"/>
          <w:szCs w:val="48"/>
        </w:rPr>
        <w:t>整体支出</w:t>
      </w:r>
    </w:p>
    <w:p w14:paraId="26E63167">
      <w:pPr>
        <w:jc w:val="center"/>
        <w:rPr>
          <w:rFonts w:eastAsia="方正小标宋_GBK"/>
          <w:sz w:val="48"/>
          <w:szCs w:val="48"/>
        </w:rPr>
      </w:pPr>
      <w:r>
        <w:rPr>
          <w:rFonts w:eastAsia="方正小标宋_GBK"/>
          <w:sz w:val="48"/>
          <w:szCs w:val="48"/>
        </w:rPr>
        <w:t>绩效自评报告</w:t>
      </w:r>
    </w:p>
    <w:p w14:paraId="6FFDF7CD">
      <w:pPr>
        <w:jc w:val="center"/>
        <w:rPr>
          <w:rFonts w:eastAsia="黑体"/>
          <w:sz w:val="32"/>
          <w:szCs w:val="32"/>
        </w:rPr>
      </w:pPr>
    </w:p>
    <w:p w14:paraId="2CB2415C">
      <w:pPr>
        <w:jc w:val="center"/>
        <w:rPr>
          <w:rFonts w:eastAsia="黑体"/>
          <w:sz w:val="32"/>
          <w:szCs w:val="32"/>
        </w:rPr>
      </w:pPr>
    </w:p>
    <w:p w14:paraId="171547EB">
      <w:pPr>
        <w:jc w:val="center"/>
        <w:rPr>
          <w:rFonts w:eastAsia="黑体"/>
          <w:sz w:val="32"/>
          <w:szCs w:val="32"/>
        </w:rPr>
      </w:pPr>
    </w:p>
    <w:p w14:paraId="59672D1D">
      <w:pPr>
        <w:jc w:val="center"/>
        <w:rPr>
          <w:rFonts w:eastAsia="黑体"/>
          <w:sz w:val="32"/>
          <w:szCs w:val="32"/>
        </w:rPr>
      </w:pPr>
    </w:p>
    <w:p w14:paraId="3D4E75F5">
      <w:pPr>
        <w:jc w:val="center"/>
        <w:rPr>
          <w:rFonts w:eastAsia="黑体"/>
          <w:sz w:val="32"/>
          <w:szCs w:val="32"/>
        </w:rPr>
      </w:pPr>
    </w:p>
    <w:p w14:paraId="56BDCD5C">
      <w:pPr>
        <w:jc w:val="center"/>
        <w:rPr>
          <w:rFonts w:eastAsia="黑体"/>
          <w:sz w:val="32"/>
          <w:szCs w:val="32"/>
        </w:rPr>
      </w:pPr>
    </w:p>
    <w:p w14:paraId="7EAA7AC3">
      <w:pPr>
        <w:ind w:firstLine="880" w:firstLineChars="200"/>
        <w:jc w:val="center"/>
        <w:rPr>
          <w:rFonts w:eastAsia="黑体"/>
          <w:sz w:val="44"/>
          <w:szCs w:val="44"/>
        </w:rPr>
      </w:pPr>
    </w:p>
    <w:p w14:paraId="4907E53B">
      <w:pPr>
        <w:ind w:firstLine="880" w:firstLineChars="200"/>
        <w:jc w:val="center"/>
        <w:rPr>
          <w:rFonts w:eastAsia="黑体"/>
          <w:sz w:val="44"/>
          <w:szCs w:val="44"/>
        </w:rPr>
      </w:pPr>
    </w:p>
    <w:p w14:paraId="1A736DB0">
      <w:pPr>
        <w:ind w:firstLine="880" w:firstLineChars="200"/>
        <w:jc w:val="center"/>
        <w:rPr>
          <w:rFonts w:eastAsia="黑体"/>
          <w:sz w:val="44"/>
          <w:szCs w:val="44"/>
        </w:rPr>
      </w:pPr>
    </w:p>
    <w:p w14:paraId="00F7340C">
      <w:pPr>
        <w:ind w:firstLine="720" w:firstLineChars="200"/>
        <w:jc w:val="center"/>
        <w:rPr>
          <w:rFonts w:eastAsia="黑体"/>
          <w:sz w:val="36"/>
          <w:szCs w:val="36"/>
        </w:rPr>
      </w:pPr>
      <w:r>
        <w:rPr>
          <w:rFonts w:eastAsia="黑体"/>
          <w:sz w:val="36"/>
          <w:szCs w:val="36"/>
        </w:rPr>
        <w:t>单位名称（盖章）：</w:t>
      </w:r>
    </w:p>
    <w:p w14:paraId="58684D24">
      <w:pPr>
        <w:jc w:val="center"/>
        <w:rPr>
          <w:rFonts w:eastAsia="黑体"/>
          <w:sz w:val="36"/>
          <w:szCs w:val="36"/>
        </w:rPr>
      </w:pPr>
    </w:p>
    <w:p w14:paraId="6B773132">
      <w:pPr>
        <w:jc w:val="center"/>
        <w:rPr>
          <w:rFonts w:eastAsia="黑体"/>
          <w:sz w:val="32"/>
          <w:szCs w:val="32"/>
        </w:rPr>
      </w:pPr>
    </w:p>
    <w:p w14:paraId="2A7F22C3">
      <w:pPr>
        <w:jc w:val="center"/>
        <w:rPr>
          <w:rFonts w:eastAsia="黑体"/>
          <w:sz w:val="32"/>
          <w:szCs w:val="32"/>
        </w:rPr>
      </w:pPr>
    </w:p>
    <w:p w14:paraId="0473ABB0">
      <w:pPr>
        <w:jc w:val="center"/>
        <w:rPr>
          <w:rFonts w:eastAsia="黑体"/>
          <w:sz w:val="32"/>
          <w:szCs w:val="32"/>
        </w:rPr>
      </w:pPr>
    </w:p>
    <w:p w14:paraId="1B57FEAC">
      <w:pPr>
        <w:jc w:val="center"/>
        <w:rPr>
          <w:rFonts w:eastAsia="黑体"/>
          <w:sz w:val="32"/>
          <w:szCs w:val="32"/>
        </w:rPr>
      </w:pPr>
    </w:p>
    <w:p w14:paraId="3034E7F4">
      <w:pPr>
        <w:jc w:val="center"/>
        <w:rPr>
          <w:rFonts w:eastAsia="仿宋_GB2312"/>
          <w:sz w:val="32"/>
          <w:szCs w:val="32"/>
        </w:rPr>
      </w:pPr>
    </w:p>
    <w:p w14:paraId="41353691">
      <w:pPr>
        <w:spacing w:line="600" w:lineRule="exact"/>
        <w:ind w:firstLine="640" w:firstLineChars="200"/>
        <w:rPr>
          <w:rFonts w:eastAsia="黑体"/>
          <w:sz w:val="30"/>
          <w:szCs w:val="30"/>
        </w:rPr>
      </w:pPr>
      <w:r>
        <w:rPr>
          <w:rFonts w:eastAsia="仿宋_GB2312"/>
          <w:sz w:val="32"/>
          <w:szCs w:val="32"/>
        </w:rPr>
        <w:br w:type="page"/>
      </w:r>
      <w:r>
        <w:rPr>
          <w:rFonts w:eastAsia="黑体"/>
          <w:sz w:val="30"/>
          <w:szCs w:val="30"/>
        </w:rPr>
        <w:t>一、基本情况</w:t>
      </w:r>
    </w:p>
    <w:p w14:paraId="7D1398D0">
      <w:pPr>
        <w:spacing w:line="600" w:lineRule="exact"/>
        <w:ind w:firstLine="602" w:firstLineChars="200"/>
        <w:rPr>
          <w:rFonts w:eastAsia="楷体_GB2312"/>
          <w:b/>
          <w:sz w:val="30"/>
          <w:szCs w:val="30"/>
        </w:rPr>
      </w:pPr>
      <w:r>
        <w:rPr>
          <w:rFonts w:eastAsia="楷体_GB2312"/>
          <w:b/>
          <w:sz w:val="30"/>
          <w:szCs w:val="30"/>
        </w:rPr>
        <w:t>（一）部门（单位）基本情况</w:t>
      </w:r>
    </w:p>
    <w:p w14:paraId="0D289E1F">
      <w:pPr>
        <w:spacing w:line="60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主要职能：本单位为</w:t>
      </w:r>
      <w:r>
        <w:rPr>
          <w:rFonts w:hint="eastAsia" w:ascii="仿宋" w:hAnsi="仿宋" w:eastAsia="仿宋" w:cs="仿宋"/>
          <w:b w:val="0"/>
          <w:bCs/>
          <w:sz w:val="30"/>
          <w:szCs w:val="30"/>
          <w:lang w:eastAsia="zh-CN"/>
        </w:rPr>
        <w:t>江永县</w:t>
      </w:r>
      <w:r>
        <w:rPr>
          <w:rFonts w:hint="eastAsia" w:ascii="仿宋" w:hAnsi="仿宋" w:eastAsia="仿宋" w:cs="仿宋"/>
          <w:b w:val="0"/>
          <w:bCs/>
          <w:sz w:val="30"/>
          <w:szCs w:val="30"/>
        </w:rPr>
        <w:t>教育局所属二级预算单位，单位性质为</w:t>
      </w:r>
      <w:r>
        <w:rPr>
          <w:rFonts w:hint="eastAsia" w:ascii="仿宋" w:hAnsi="仿宋" w:eastAsia="仿宋" w:cs="仿宋"/>
          <w:b w:val="0"/>
          <w:bCs/>
          <w:sz w:val="30"/>
          <w:szCs w:val="30"/>
          <w:lang w:eastAsia="zh-CN"/>
        </w:rPr>
        <w:t>全额</w:t>
      </w:r>
      <w:r>
        <w:rPr>
          <w:rFonts w:hint="eastAsia" w:ascii="仿宋" w:hAnsi="仿宋" w:eastAsia="仿宋" w:cs="仿宋"/>
          <w:b w:val="0"/>
          <w:bCs/>
          <w:sz w:val="30"/>
          <w:szCs w:val="30"/>
        </w:rPr>
        <w:t>财政补助事业单位，主要职能为实施九年义务教育、促进基础教育发展，小学学历教育。</w:t>
      </w:r>
    </w:p>
    <w:p w14:paraId="6F5A11ED">
      <w:pPr>
        <w:spacing w:line="60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机构情况：我校设有校长室、党支部、办公室、教导处、</w:t>
      </w:r>
      <w:r>
        <w:rPr>
          <w:rFonts w:hint="eastAsia" w:ascii="仿宋" w:hAnsi="仿宋" w:eastAsia="仿宋" w:cs="仿宋"/>
          <w:b w:val="0"/>
          <w:bCs/>
          <w:sz w:val="30"/>
          <w:szCs w:val="30"/>
          <w:lang w:eastAsia="zh-CN"/>
        </w:rPr>
        <w:t>政教</w:t>
      </w:r>
      <w:r>
        <w:rPr>
          <w:rFonts w:hint="eastAsia" w:ascii="仿宋" w:hAnsi="仿宋" w:eastAsia="仿宋" w:cs="仿宋"/>
          <w:b w:val="0"/>
          <w:bCs/>
          <w:sz w:val="30"/>
          <w:szCs w:val="30"/>
        </w:rPr>
        <w:t>处、工会、总务处等部门。</w:t>
      </w:r>
    </w:p>
    <w:p w14:paraId="63FC9672">
      <w:pPr>
        <w:spacing w:line="60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人员情况：202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年本单位年末实有人数</w:t>
      </w:r>
      <w:r>
        <w:rPr>
          <w:rFonts w:hint="eastAsia" w:ascii="仿宋" w:hAnsi="仿宋" w:eastAsia="仿宋" w:cs="仿宋"/>
          <w:b w:val="0"/>
          <w:bCs/>
          <w:sz w:val="30"/>
          <w:szCs w:val="30"/>
          <w:lang w:val="en-US" w:eastAsia="zh-CN"/>
        </w:rPr>
        <w:t>140</w:t>
      </w:r>
      <w:r>
        <w:rPr>
          <w:rFonts w:hint="eastAsia" w:ascii="仿宋" w:hAnsi="仿宋" w:eastAsia="仿宋" w:cs="仿宋"/>
          <w:b w:val="0"/>
          <w:bCs/>
          <w:sz w:val="30"/>
          <w:szCs w:val="30"/>
        </w:rPr>
        <w:t>人，</w:t>
      </w:r>
      <w:r>
        <w:rPr>
          <w:rFonts w:hint="eastAsia" w:ascii="仿宋" w:hAnsi="仿宋" w:eastAsia="仿宋" w:cs="仿宋"/>
          <w:b w:val="0"/>
          <w:bCs/>
          <w:sz w:val="30"/>
          <w:szCs w:val="30"/>
          <w:lang w:eastAsia="zh-CN"/>
        </w:rPr>
        <w:t>其中</w:t>
      </w:r>
      <w:r>
        <w:rPr>
          <w:rFonts w:hint="eastAsia" w:ascii="仿宋" w:hAnsi="仿宋" w:eastAsia="仿宋" w:cs="仿宋"/>
          <w:b w:val="0"/>
          <w:bCs/>
          <w:sz w:val="30"/>
          <w:szCs w:val="30"/>
        </w:rPr>
        <w:t>在编</w:t>
      </w:r>
      <w:r>
        <w:rPr>
          <w:rFonts w:hint="eastAsia" w:ascii="仿宋" w:hAnsi="仿宋" w:eastAsia="仿宋" w:cs="仿宋"/>
          <w:b w:val="0"/>
          <w:bCs/>
          <w:sz w:val="30"/>
          <w:szCs w:val="30"/>
          <w:lang w:eastAsia="zh-CN"/>
        </w:rPr>
        <w:t>在岗教师</w:t>
      </w:r>
      <w:r>
        <w:rPr>
          <w:rFonts w:hint="eastAsia" w:ascii="仿宋" w:hAnsi="仿宋" w:eastAsia="仿宋" w:cs="仿宋"/>
          <w:b w:val="0"/>
          <w:bCs/>
          <w:sz w:val="30"/>
          <w:szCs w:val="30"/>
          <w:lang w:val="en-US" w:eastAsia="zh-CN"/>
        </w:rPr>
        <w:t>88</w:t>
      </w:r>
      <w:r>
        <w:rPr>
          <w:rFonts w:hint="eastAsia" w:ascii="仿宋" w:hAnsi="仿宋" w:eastAsia="仿宋" w:cs="仿宋"/>
          <w:b w:val="0"/>
          <w:bCs/>
          <w:sz w:val="30"/>
          <w:szCs w:val="30"/>
        </w:rPr>
        <w:t>人，退休</w:t>
      </w:r>
      <w:r>
        <w:rPr>
          <w:rFonts w:hint="eastAsia" w:ascii="仿宋" w:hAnsi="仿宋" w:eastAsia="仿宋" w:cs="仿宋"/>
          <w:b w:val="0"/>
          <w:bCs/>
          <w:sz w:val="30"/>
          <w:szCs w:val="30"/>
          <w:lang w:eastAsia="zh-CN"/>
        </w:rPr>
        <w:t>教师</w:t>
      </w:r>
      <w:r>
        <w:rPr>
          <w:rFonts w:hint="eastAsia" w:ascii="仿宋" w:hAnsi="仿宋" w:eastAsia="仿宋" w:cs="仿宋"/>
          <w:b w:val="0"/>
          <w:bCs/>
          <w:sz w:val="30"/>
          <w:szCs w:val="30"/>
          <w:lang w:val="en-US" w:eastAsia="zh-CN"/>
        </w:rPr>
        <w:t>52</w:t>
      </w:r>
      <w:r>
        <w:rPr>
          <w:rFonts w:hint="eastAsia" w:ascii="仿宋" w:hAnsi="仿宋" w:eastAsia="仿宋" w:cs="仿宋"/>
          <w:b w:val="0"/>
          <w:bCs/>
          <w:sz w:val="30"/>
          <w:szCs w:val="30"/>
        </w:rPr>
        <w:t>人。</w:t>
      </w:r>
    </w:p>
    <w:p w14:paraId="711E4B11">
      <w:pPr>
        <w:spacing w:line="600" w:lineRule="exact"/>
        <w:ind w:firstLine="602" w:firstLineChars="200"/>
        <w:rPr>
          <w:rFonts w:eastAsia="楷体_GB2312"/>
          <w:b/>
          <w:sz w:val="30"/>
          <w:szCs w:val="30"/>
        </w:rPr>
      </w:pPr>
      <w:r>
        <w:rPr>
          <w:rFonts w:eastAsia="楷体_GB2312"/>
          <w:b/>
          <w:sz w:val="30"/>
          <w:szCs w:val="30"/>
        </w:rPr>
        <w:t>（二）部门（单位）年度整体支出绩效目标，省级专项资金绩效目标、其他项目支出（除省级专项资金以外）绩效目标</w:t>
      </w:r>
    </w:p>
    <w:p w14:paraId="5B1785EB">
      <w:pPr>
        <w:pStyle w:val="8"/>
        <w:spacing w:line="600" w:lineRule="exact"/>
        <w:ind w:firstLine="640"/>
        <w:rPr>
          <w:rFonts w:ascii="Times New Roman" w:hAnsi="Times New Roman" w:eastAsia="黑体"/>
          <w:sz w:val="30"/>
          <w:szCs w:val="30"/>
        </w:rPr>
      </w:pPr>
      <w:r>
        <w:rPr>
          <w:rFonts w:ascii="Times New Roman" w:hAnsi="Times New Roman" w:eastAsia="黑体"/>
          <w:sz w:val="30"/>
          <w:szCs w:val="30"/>
        </w:rPr>
        <w:t>二、一般公共预算支出情况</w:t>
      </w:r>
    </w:p>
    <w:p w14:paraId="5CC95E4D">
      <w:pPr>
        <w:pStyle w:val="8"/>
        <w:spacing w:line="600" w:lineRule="exact"/>
        <w:ind w:firstLine="643"/>
        <w:rPr>
          <w:rFonts w:ascii="Times New Roman" w:hAnsi="Times New Roman" w:eastAsia="楷体_GB2312"/>
          <w:b/>
          <w:sz w:val="30"/>
          <w:szCs w:val="30"/>
        </w:rPr>
      </w:pPr>
      <w:r>
        <w:rPr>
          <w:rFonts w:ascii="Times New Roman" w:hAnsi="Times New Roman" w:eastAsia="楷体_GB2312"/>
          <w:b/>
          <w:sz w:val="30"/>
          <w:szCs w:val="30"/>
        </w:rPr>
        <w:t>（一）基本支出情况</w:t>
      </w:r>
    </w:p>
    <w:p w14:paraId="386FD448">
      <w:pPr>
        <w:pStyle w:val="8"/>
        <w:spacing w:line="600" w:lineRule="exact"/>
        <w:ind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预算情况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年初预算情况：年初预算收入</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万元，其中预算内拨款</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万元，非税收入0万元，其他拨款0万元。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年中追加和调减预算情况：202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年年中追加金额</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万元，财政收回金额0万元。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全年总预算情况：①202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年实际收入</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万元（其中财政收入</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万元，其他收入</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年度部门实际财政支出</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万元。②预算调整率为0%。③202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年结余资金0万元，低于上年结转资金0万元。④三公经费控制率为0%。“三公”经费实际支出</w:t>
      </w:r>
      <w:r>
        <w:rPr>
          <w:rFonts w:hint="eastAsia" w:ascii="仿宋" w:hAnsi="仿宋" w:eastAsia="仿宋" w:cs="仿宋"/>
          <w:b w:val="0"/>
          <w:bCs/>
          <w:sz w:val="30"/>
          <w:szCs w:val="30"/>
          <w:lang w:val="en-US" w:eastAsia="zh-CN"/>
        </w:rPr>
        <w:t>1.54</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比上年度预算下降</w:t>
      </w:r>
      <w:r>
        <w:rPr>
          <w:rFonts w:hint="eastAsia" w:ascii="仿宋" w:hAnsi="仿宋" w:eastAsia="仿宋" w:cs="仿宋"/>
          <w:b w:val="0"/>
          <w:bCs/>
          <w:sz w:val="30"/>
          <w:szCs w:val="30"/>
          <w:lang w:val="en-US" w:eastAsia="zh-CN"/>
        </w:rPr>
        <w:t>1.38</w:t>
      </w:r>
      <w:r>
        <w:rPr>
          <w:rFonts w:hint="eastAsia" w:ascii="仿宋" w:hAnsi="仿宋" w:eastAsia="仿宋" w:cs="仿宋"/>
          <w:b w:val="0"/>
          <w:bCs/>
          <w:sz w:val="30"/>
          <w:szCs w:val="30"/>
        </w:rPr>
        <w:t xml:space="preserve">万元。  </w:t>
      </w:r>
    </w:p>
    <w:p w14:paraId="2E0F7AA8">
      <w:pPr>
        <w:pStyle w:val="8"/>
        <w:spacing w:line="600" w:lineRule="exact"/>
        <w:ind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预算执行情况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基本支出执行情况：202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年度基本支出</w:t>
      </w:r>
      <w:r>
        <w:rPr>
          <w:rFonts w:hint="eastAsia" w:ascii="仿宋" w:hAnsi="仿宋" w:eastAsia="仿宋" w:cs="仿宋"/>
          <w:b w:val="0"/>
          <w:bCs/>
          <w:sz w:val="30"/>
          <w:szCs w:val="30"/>
          <w:lang w:val="en-US" w:eastAsia="zh-CN"/>
        </w:rPr>
        <w:t>1706.82</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业务性专项执行情况：202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年度无业务性专项。</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项目性专项执行情况：202</w:t>
      </w: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年度项目支出</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w:t>
      </w:r>
    </w:p>
    <w:p w14:paraId="39923389">
      <w:pPr>
        <w:pStyle w:val="8"/>
        <w:spacing w:line="600" w:lineRule="exact"/>
        <w:ind w:firstLine="643"/>
        <w:rPr>
          <w:rFonts w:ascii="Times New Roman" w:hAnsi="Times New Roman" w:eastAsia="楷体_GB2312"/>
          <w:b/>
          <w:sz w:val="30"/>
          <w:szCs w:val="30"/>
        </w:rPr>
      </w:pPr>
      <w:r>
        <w:rPr>
          <w:rFonts w:ascii="Times New Roman" w:hAnsi="Times New Roman" w:eastAsia="楷体_GB2312"/>
          <w:b/>
          <w:sz w:val="30"/>
          <w:szCs w:val="30"/>
        </w:rPr>
        <w:t>（二）项目支出情况</w:t>
      </w:r>
    </w:p>
    <w:p w14:paraId="5947AF22">
      <w:pPr>
        <w:pStyle w:val="8"/>
        <w:spacing w:line="600" w:lineRule="exact"/>
        <w:ind w:firstLine="643"/>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两方面：一是2024年度县级专项资金分配安排和使用管理情况，有2个及以上县级专项资金的要分别总结基本情况。二是除县级专项资金以外的其他项目支出情况。</w:t>
      </w:r>
    </w:p>
    <w:p w14:paraId="4B2D8BAC">
      <w:pPr>
        <w:pStyle w:val="8"/>
        <w:numPr>
          <w:ilvl w:val="0"/>
          <w:numId w:val="1"/>
        </w:numPr>
        <w:spacing w:line="600" w:lineRule="exact"/>
        <w:ind w:firstLine="640"/>
        <w:rPr>
          <w:rFonts w:ascii="Times New Roman" w:hAnsi="Times New Roman" w:eastAsia="黑体"/>
          <w:sz w:val="30"/>
          <w:szCs w:val="30"/>
        </w:rPr>
      </w:pPr>
      <w:r>
        <w:rPr>
          <w:rFonts w:ascii="Times New Roman" w:hAnsi="Times New Roman" w:eastAsia="黑体"/>
          <w:sz w:val="30"/>
          <w:szCs w:val="30"/>
        </w:rPr>
        <w:t>政府性基金预算支出情况</w:t>
      </w:r>
    </w:p>
    <w:p w14:paraId="1E5E98DC">
      <w:pPr>
        <w:pStyle w:val="8"/>
        <w:spacing w:line="600" w:lineRule="exact"/>
        <w:ind w:firstLine="643"/>
        <w:rPr>
          <w:rFonts w:hint="default"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本年度政府性基金预算支出76.35万元。</w:t>
      </w:r>
    </w:p>
    <w:p w14:paraId="6411D1B3">
      <w:pPr>
        <w:pStyle w:val="8"/>
        <w:spacing w:line="600" w:lineRule="exact"/>
        <w:ind w:firstLine="640"/>
        <w:rPr>
          <w:rFonts w:ascii="Times New Roman" w:hAnsi="Times New Roman" w:eastAsia="黑体"/>
          <w:sz w:val="30"/>
          <w:szCs w:val="30"/>
        </w:rPr>
      </w:pPr>
      <w:r>
        <w:rPr>
          <w:rFonts w:ascii="Times New Roman" w:hAnsi="Times New Roman" w:eastAsia="黑体"/>
          <w:sz w:val="30"/>
          <w:szCs w:val="30"/>
        </w:rPr>
        <w:t>四、国有资本经营预算支出情况</w:t>
      </w:r>
    </w:p>
    <w:p w14:paraId="276230EF">
      <w:pPr>
        <w:pStyle w:val="8"/>
        <w:spacing w:line="600" w:lineRule="exact"/>
        <w:ind w:firstLine="640"/>
        <w:rPr>
          <w:rFonts w:ascii="Times New Roman" w:hAnsi="Times New Roman" w:eastAsia="黑体"/>
          <w:sz w:val="30"/>
          <w:szCs w:val="30"/>
        </w:rPr>
      </w:pPr>
      <w:r>
        <w:rPr>
          <w:rFonts w:ascii="Times New Roman" w:hAnsi="Times New Roman" w:eastAsia="黑体"/>
          <w:sz w:val="30"/>
          <w:szCs w:val="30"/>
        </w:rPr>
        <w:t>五、社会保险基金预算支出情况</w:t>
      </w:r>
    </w:p>
    <w:p w14:paraId="507889A1">
      <w:pPr>
        <w:pStyle w:val="8"/>
        <w:spacing w:line="600" w:lineRule="exact"/>
        <w:ind w:firstLine="643"/>
        <w:rPr>
          <w:rFonts w:hint="default"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预算执行情况：2024年预算基本支出181.63万元，其中机关事业单位基本养老保险费125.09万元，职工基本医疗保险费49.38万，其他社会保障费7.16万元。</w:t>
      </w:r>
    </w:p>
    <w:p w14:paraId="3EDD35D8">
      <w:pPr>
        <w:spacing w:line="600" w:lineRule="exact"/>
        <w:ind w:firstLine="600" w:firstLineChars="200"/>
        <w:rPr>
          <w:rFonts w:eastAsia="黑体"/>
          <w:sz w:val="30"/>
          <w:szCs w:val="30"/>
        </w:rPr>
      </w:pPr>
      <w:r>
        <w:rPr>
          <w:rFonts w:eastAsia="黑体"/>
          <w:sz w:val="30"/>
          <w:szCs w:val="30"/>
        </w:rPr>
        <w:t>六、部门整体支出绩效情况</w:t>
      </w:r>
    </w:p>
    <w:p w14:paraId="297A741C">
      <w:pPr>
        <w:spacing w:line="600" w:lineRule="exact"/>
        <w:ind w:firstLine="600" w:firstLineChars="200"/>
        <w:rPr>
          <w:rFonts w:eastAsia="仿宋_GB2312"/>
          <w:color w:val="000000"/>
          <w:sz w:val="30"/>
          <w:szCs w:val="30"/>
        </w:rPr>
      </w:pPr>
      <w:r>
        <w:rPr>
          <w:rFonts w:eastAsia="仿宋_GB2312"/>
          <w:color w:val="000000"/>
          <w:sz w:val="30"/>
          <w:szCs w:val="30"/>
        </w:rPr>
        <w:t>总结归纳本部门</w:t>
      </w:r>
      <w:r>
        <w:rPr>
          <w:rFonts w:hint="eastAsia" w:eastAsia="仿宋_GB2312"/>
          <w:color w:val="000000"/>
          <w:sz w:val="30"/>
          <w:szCs w:val="30"/>
          <w:lang w:eastAsia="zh-CN"/>
        </w:rPr>
        <w:t>“</w:t>
      </w:r>
      <w:r>
        <w:rPr>
          <w:rFonts w:eastAsia="仿宋_GB2312"/>
          <w:color w:val="000000"/>
          <w:sz w:val="30"/>
          <w:szCs w:val="30"/>
        </w:rPr>
        <w:t>四本预算</w:t>
      </w:r>
      <w:r>
        <w:rPr>
          <w:rFonts w:hint="eastAsia" w:eastAsia="仿宋_GB2312"/>
          <w:color w:val="000000"/>
          <w:sz w:val="30"/>
          <w:szCs w:val="30"/>
          <w:lang w:eastAsia="zh-CN"/>
        </w:rPr>
        <w:t>”</w:t>
      </w:r>
      <w:r>
        <w:rPr>
          <w:rFonts w:eastAsia="仿宋_GB2312"/>
          <w:color w:val="000000"/>
          <w:sz w:val="30"/>
          <w:szCs w:val="30"/>
        </w:rPr>
        <w:t>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14:paraId="6A0EA6BD">
      <w:pPr>
        <w:pStyle w:val="8"/>
        <w:spacing w:line="600" w:lineRule="exact"/>
        <w:ind w:firstLine="643"/>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绩效目标完成率为100%，实际完成率100%。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完善。</w:t>
      </w:r>
    </w:p>
    <w:p w14:paraId="5B216F0D">
      <w:pPr>
        <w:pStyle w:val="8"/>
        <w:spacing w:line="600" w:lineRule="exact"/>
        <w:ind w:firstLine="640"/>
        <w:rPr>
          <w:rFonts w:ascii="Times New Roman" w:hAnsi="Times New Roman" w:eastAsia="黑体"/>
          <w:sz w:val="30"/>
          <w:szCs w:val="30"/>
        </w:rPr>
      </w:pPr>
      <w:r>
        <w:rPr>
          <w:rFonts w:ascii="Times New Roman" w:hAnsi="Times New Roman" w:eastAsia="黑体"/>
          <w:sz w:val="30"/>
          <w:szCs w:val="30"/>
        </w:rPr>
        <w:t>七、存在的问题及原因分析</w:t>
      </w:r>
    </w:p>
    <w:p w14:paraId="620C0997">
      <w:pPr>
        <w:spacing w:line="600" w:lineRule="exact"/>
        <w:ind w:firstLine="600" w:firstLineChars="200"/>
        <w:rPr>
          <w:rFonts w:hint="eastAsia" w:eastAsia="仿宋_GB2312"/>
          <w:sz w:val="30"/>
          <w:szCs w:val="30"/>
        </w:rPr>
      </w:pPr>
      <w:r>
        <w:rPr>
          <w:rFonts w:eastAsia="仿宋_GB2312"/>
          <w:sz w:val="30"/>
          <w:szCs w:val="30"/>
        </w:rPr>
        <w:t>主要反映各种</w:t>
      </w:r>
      <w:r>
        <w:rPr>
          <w:rFonts w:eastAsia="仿宋_GB2312"/>
          <w:color w:val="000000"/>
          <w:sz w:val="30"/>
          <w:szCs w:val="30"/>
        </w:rPr>
        <w:t>预算支出执行偏离绩效目标的情况，</w:t>
      </w:r>
      <w:r>
        <w:rPr>
          <w:rFonts w:eastAsia="仿宋_GB2312"/>
          <w:sz w:val="30"/>
          <w:szCs w:val="30"/>
        </w:rPr>
        <w:t>并分析其原因</w:t>
      </w:r>
      <w:r>
        <w:rPr>
          <w:rFonts w:hint="eastAsia" w:eastAsia="仿宋_GB2312"/>
          <w:sz w:val="30"/>
          <w:szCs w:val="30"/>
        </w:rPr>
        <w:t>。</w:t>
      </w:r>
    </w:p>
    <w:p w14:paraId="66B7EDF2">
      <w:pPr>
        <w:spacing w:line="600" w:lineRule="exact"/>
        <w:ind w:firstLine="600" w:firstLineChars="200"/>
        <w:rPr>
          <w:rFonts w:eastAsia="仿宋_GB2312"/>
          <w:sz w:val="30"/>
          <w:szCs w:val="30"/>
        </w:rPr>
      </w:pPr>
      <w:r>
        <w:rPr>
          <w:rFonts w:hint="eastAsia" w:eastAsia="仿宋_GB2312"/>
          <w:sz w:val="30"/>
          <w:szCs w:val="30"/>
        </w:rPr>
        <w:t>年初预算绩效目标不明确，绩效指标细化和量化不精准。</w:t>
      </w:r>
    </w:p>
    <w:p w14:paraId="7EDE57B7">
      <w:pPr>
        <w:spacing w:line="600" w:lineRule="exact"/>
        <w:ind w:firstLine="600" w:firstLineChars="200"/>
        <w:rPr>
          <w:rFonts w:eastAsia="黑体"/>
          <w:sz w:val="30"/>
          <w:szCs w:val="30"/>
        </w:rPr>
      </w:pPr>
      <w:r>
        <w:rPr>
          <w:rFonts w:eastAsia="黑体"/>
          <w:sz w:val="30"/>
          <w:szCs w:val="30"/>
        </w:rPr>
        <w:t>八、下一</w:t>
      </w:r>
      <w:r>
        <w:rPr>
          <w:rFonts w:eastAsia="黑体"/>
          <w:b w:val="0"/>
          <w:bCs w:val="0"/>
          <w:sz w:val="30"/>
          <w:szCs w:val="30"/>
        </w:rPr>
        <w:t>步改进</w:t>
      </w:r>
      <w:r>
        <w:rPr>
          <w:rFonts w:eastAsia="黑体"/>
          <w:sz w:val="30"/>
          <w:szCs w:val="30"/>
        </w:rPr>
        <w:t>措施</w:t>
      </w:r>
    </w:p>
    <w:p w14:paraId="34BAE96E">
      <w:pPr>
        <w:spacing w:line="600" w:lineRule="exact"/>
        <w:ind w:firstLine="600" w:firstLineChars="200"/>
        <w:rPr>
          <w:rFonts w:eastAsia="仿宋_GB2312"/>
          <w:sz w:val="30"/>
          <w:szCs w:val="30"/>
        </w:rPr>
      </w:pPr>
      <w:r>
        <w:rPr>
          <w:rFonts w:hint="eastAsia" w:eastAsia="仿宋_GB231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14:paraId="1EC4B1EA">
      <w:pPr>
        <w:spacing w:line="600" w:lineRule="exact"/>
        <w:ind w:firstLine="600" w:firstLineChars="200"/>
        <w:rPr>
          <w:rFonts w:eastAsia="黑体"/>
          <w:sz w:val="30"/>
          <w:szCs w:val="30"/>
        </w:rPr>
      </w:pPr>
      <w:r>
        <w:rPr>
          <w:rFonts w:eastAsia="黑体"/>
          <w:sz w:val="30"/>
          <w:szCs w:val="30"/>
        </w:rPr>
        <w:t>九、绩效自评结果拟应用和公开情况</w:t>
      </w:r>
    </w:p>
    <w:p w14:paraId="39BA7F0D">
      <w:pPr>
        <w:spacing w:line="600" w:lineRule="exact"/>
        <w:ind w:firstLine="600" w:firstLineChars="200"/>
        <w:rPr>
          <w:sz w:val="30"/>
          <w:szCs w:val="30"/>
        </w:rPr>
      </w:pPr>
      <w:r>
        <w:rPr>
          <w:rFonts w:eastAsia="黑体"/>
          <w:sz w:val="30"/>
          <w:szCs w:val="30"/>
        </w:rPr>
        <w:t>其他需要说明的情况</w:t>
      </w:r>
    </w:p>
    <w:p w14:paraId="1A3B1653">
      <w:pPr>
        <w:keepNext w:val="0"/>
        <w:keepLines w:val="0"/>
        <w:pageBreakBefore w:val="0"/>
        <w:kinsoku/>
        <w:wordWrap/>
        <w:overflowPunct/>
        <w:topLinePunct w:val="0"/>
        <w:autoSpaceDE/>
        <w:autoSpaceDN/>
        <w:bidi w:val="0"/>
        <w:adjustRightInd/>
        <w:snapToGrid/>
        <w:spacing w:line="240" w:lineRule="atLeast"/>
        <w:ind w:left="0"/>
        <w:jc w:val="center"/>
        <w:rPr>
          <w:rFonts w:hint="eastAsia" w:ascii="仿宋" w:hAnsi="仿宋" w:eastAsia="仿宋" w:cs="仿宋"/>
          <w:sz w:val="28"/>
          <w:szCs w:val="28"/>
        </w:rPr>
      </w:pPr>
    </w:p>
    <w:p w14:paraId="4B1B169C">
      <w:pPr>
        <w:keepNext w:val="0"/>
        <w:keepLines w:val="0"/>
        <w:pageBreakBefore w:val="0"/>
        <w:kinsoku/>
        <w:wordWrap/>
        <w:overflowPunct/>
        <w:topLinePunct w:val="0"/>
        <w:autoSpaceDE/>
        <w:autoSpaceDN/>
        <w:bidi w:val="0"/>
        <w:adjustRightInd/>
        <w:snapToGrid/>
        <w:spacing w:line="240" w:lineRule="atLeast"/>
        <w:ind w:left="0"/>
        <w:jc w:val="center"/>
        <w:rPr>
          <w:rFonts w:hint="eastAsia" w:ascii="仿宋" w:hAnsi="仿宋" w:eastAsia="仿宋" w:cs="仿宋"/>
          <w:sz w:val="28"/>
          <w:szCs w:val="28"/>
        </w:rPr>
      </w:pPr>
    </w:p>
    <w:p w14:paraId="0660630E">
      <w:pPr>
        <w:keepNext w:val="0"/>
        <w:keepLines w:val="0"/>
        <w:pageBreakBefore w:val="0"/>
        <w:kinsoku/>
        <w:wordWrap/>
        <w:overflowPunct/>
        <w:topLinePunct w:val="0"/>
        <w:autoSpaceDE/>
        <w:autoSpaceDN/>
        <w:bidi w:val="0"/>
        <w:adjustRightInd/>
        <w:snapToGrid/>
        <w:spacing w:line="240" w:lineRule="atLeast"/>
        <w:ind w:left="0"/>
        <w:jc w:val="center"/>
        <w:rPr>
          <w:rFonts w:hint="eastAsia" w:ascii="仿宋" w:hAnsi="仿宋" w:eastAsia="仿宋" w:cs="仿宋"/>
          <w:sz w:val="28"/>
          <w:szCs w:val="28"/>
        </w:rPr>
      </w:pPr>
    </w:p>
    <w:p w14:paraId="66923B7D">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r>
        <w:rPr>
          <w:rFonts w:eastAsia="方正小标宋_GBK"/>
          <w:sz w:val="36"/>
          <w:szCs w:val="36"/>
        </w:rPr>
        <w:t>整体支出绩效自评</w:t>
      </w:r>
      <w:r>
        <w:rPr>
          <w:rFonts w:eastAsia="方正小标宋_GBK"/>
          <w:kern w:val="0"/>
          <w:sz w:val="36"/>
          <w:szCs w:val="36"/>
        </w:rPr>
        <w:t>基础数据表</w:t>
      </w:r>
    </w:p>
    <w:tbl>
      <w:tblPr>
        <w:tblStyle w:val="5"/>
        <w:tblW w:w="79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28"/>
        <w:gridCol w:w="978"/>
        <w:gridCol w:w="990"/>
        <w:gridCol w:w="897"/>
        <w:gridCol w:w="1020"/>
        <w:gridCol w:w="960"/>
        <w:gridCol w:w="996"/>
      </w:tblGrid>
      <w:tr w14:paraId="3E39B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jc w:val="center"/>
        </w:trPr>
        <w:tc>
          <w:tcPr>
            <w:tcW w:w="796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B40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基础数据表</w:t>
            </w:r>
          </w:p>
        </w:tc>
      </w:tr>
      <w:tr w14:paraId="152A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43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ECD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25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996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14:paraId="127B9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CB3B2">
            <w:pPr>
              <w:jc w:val="center"/>
              <w:rPr>
                <w:rFonts w:hint="eastAsia" w:ascii="宋体" w:hAnsi="宋体" w:eastAsia="宋体" w:cs="宋体"/>
                <w:b/>
                <w:bCs/>
                <w:i w:val="0"/>
                <w:iCs w:val="0"/>
                <w:color w:val="000000"/>
                <w:sz w:val="18"/>
                <w:szCs w:val="18"/>
                <w:u w:val="none"/>
              </w:rPr>
            </w:pP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0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0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9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14:paraId="48E6D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4D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34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57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AF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14:paraId="6F991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4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32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2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3E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r>
      <w:tr w14:paraId="71497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61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3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F4E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C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0748A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2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01DE">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80CB">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6809">
            <w:pPr>
              <w:jc w:val="center"/>
              <w:rPr>
                <w:rFonts w:hint="eastAsia" w:ascii="宋体" w:hAnsi="宋体" w:eastAsia="宋体" w:cs="宋体"/>
                <w:i w:val="0"/>
                <w:iCs w:val="0"/>
                <w:color w:val="000000"/>
                <w:sz w:val="18"/>
                <w:szCs w:val="18"/>
                <w:u w:val="none"/>
              </w:rPr>
            </w:pPr>
          </w:p>
        </w:tc>
      </w:tr>
      <w:tr w14:paraId="55382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33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F0996">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F8EC">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072F">
            <w:pPr>
              <w:jc w:val="center"/>
              <w:rPr>
                <w:rFonts w:hint="eastAsia" w:ascii="宋体" w:hAnsi="宋体" w:eastAsia="宋体" w:cs="宋体"/>
                <w:i w:val="0"/>
                <w:iCs w:val="0"/>
                <w:color w:val="000000"/>
                <w:sz w:val="18"/>
                <w:szCs w:val="18"/>
                <w:u w:val="none"/>
              </w:rPr>
            </w:pPr>
          </w:p>
        </w:tc>
      </w:tr>
      <w:tr w14:paraId="40707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0F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5731F">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A0A6">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5FBE">
            <w:pPr>
              <w:jc w:val="center"/>
              <w:rPr>
                <w:rFonts w:hint="eastAsia" w:ascii="宋体" w:hAnsi="宋体" w:eastAsia="宋体" w:cs="宋体"/>
                <w:i w:val="0"/>
                <w:iCs w:val="0"/>
                <w:color w:val="000000"/>
                <w:sz w:val="18"/>
                <w:szCs w:val="18"/>
                <w:u w:val="none"/>
              </w:rPr>
            </w:pPr>
          </w:p>
        </w:tc>
      </w:tr>
      <w:tr w14:paraId="3624C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2A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67D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3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4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r>
      <w:tr w14:paraId="30FB3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22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A1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8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5B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F2B6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EF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35D98">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24E1">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CBDF">
            <w:pPr>
              <w:jc w:val="center"/>
              <w:rPr>
                <w:rFonts w:hint="eastAsia" w:ascii="宋体" w:hAnsi="宋体" w:eastAsia="宋体" w:cs="宋体"/>
                <w:i w:val="0"/>
                <w:iCs w:val="0"/>
                <w:color w:val="000000"/>
                <w:sz w:val="18"/>
                <w:szCs w:val="18"/>
                <w:u w:val="none"/>
              </w:rPr>
            </w:pPr>
          </w:p>
        </w:tc>
      </w:tr>
      <w:tr w14:paraId="34D70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B5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F426">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65B7D">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B549">
            <w:pPr>
              <w:jc w:val="center"/>
              <w:rPr>
                <w:rFonts w:hint="eastAsia" w:ascii="宋体" w:hAnsi="宋体" w:eastAsia="宋体" w:cs="宋体"/>
                <w:i w:val="0"/>
                <w:iCs w:val="0"/>
                <w:color w:val="000000"/>
                <w:sz w:val="18"/>
                <w:szCs w:val="18"/>
                <w:u w:val="none"/>
              </w:rPr>
            </w:pPr>
          </w:p>
        </w:tc>
      </w:tr>
      <w:tr w14:paraId="58104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B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3704">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0968">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35CC">
            <w:pPr>
              <w:jc w:val="center"/>
              <w:rPr>
                <w:rFonts w:hint="eastAsia" w:ascii="宋体" w:hAnsi="宋体" w:eastAsia="宋体" w:cs="宋体"/>
                <w:i w:val="0"/>
                <w:iCs w:val="0"/>
                <w:color w:val="000000"/>
                <w:sz w:val="18"/>
                <w:szCs w:val="18"/>
                <w:u w:val="none"/>
              </w:rPr>
            </w:pPr>
          </w:p>
        </w:tc>
      </w:tr>
      <w:tr w14:paraId="2D9B7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F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4A5F6">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48F9">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09FD4">
            <w:pPr>
              <w:jc w:val="center"/>
              <w:rPr>
                <w:rFonts w:hint="eastAsia" w:ascii="宋体" w:hAnsi="宋体" w:eastAsia="宋体" w:cs="宋体"/>
                <w:i w:val="0"/>
                <w:iCs w:val="0"/>
                <w:color w:val="000000"/>
                <w:sz w:val="18"/>
                <w:szCs w:val="18"/>
                <w:u w:val="none"/>
              </w:rPr>
            </w:pPr>
          </w:p>
        </w:tc>
      </w:tr>
      <w:tr w14:paraId="2B56E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1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42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41.33</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178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A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r>
      <w:tr w14:paraId="545FF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58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3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47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12.07</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9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12.07</w:t>
            </w:r>
          </w:p>
        </w:tc>
      </w:tr>
      <w:tr w14:paraId="5F001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1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7F1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14.21</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D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12.58</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C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12.58</w:t>
            </w:r>
          </w:p>
        </w:tc>
      </w:tr>
      <w:tr w14:paraId="32BED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3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6893">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E126B">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52FFF">
            <w:pPr>
              <w:jc w:val="center"/>
              <w:rPr>
                <w:rFonts w:hint="eastAsia" w:ascii="宋体" w:hAnsi="宋体" w:eastAsia="宋体" w:cs="宋体"/>
                <w:i w:val="0"/>
                <w:iCs w:val="0"/>
                <w:color w:val="000000"/>
                <w:sz w:val="18"/>
                <w:szCs w:val="18"/>
                <w:u w:val="none"/>
              </w:rPr>
            </w:pPr>
          </w:p>
        </w:tc>
      </w:tr>
      <w:tr w14:paraId="3A63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D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19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EE03">
            <w:pPr>
              <w:jc w:val="center"/>
              <w:rPr>
                <w:rFonts w:hint="eastAsia" w:ascii="宋体" w:hAnsi="宋体" w:eastAsia="宋体" w:cs="宋体"/>
                <w:i w:val="0"/>
                <w:iCs w:val="0"/>
                <w:color w:val="000000"/>
                <w:sz w:val="18"/>
                <w:szCs w:val="18"/>
                <w:u w:val="none"/>
              </w:rPr>
            </w:pP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B0628">
            <w:pPr>
              <w:jc w:val="center"/>
              <w:rPr>
                <w:rFonts w:hint="eastAsia" w:ascii="宋体" w:hAnsi="宋体" w:eastAsia="宋体" w:cs="宋体"/>
                <w:i w:val="0"/>
                <w:iCs w:val="0"/>
                <w:color w:val="000000"/>
                <w:sz w:val="18"/>
                <w:szCs w:val="18"/>
                <w:u w:val="none"/>
              </w:rPr>
            </w:pP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B36C1">
            <w:pPr>
              <w:jc w:val="center"/>
              <w:rPr>
                <w:rFonts w:hint="eastAsia" w:ascii="宋体" w:hAnsi="宋体" w:eastAsia="宋体" w:cs="宋体"/>
                <w:i w:val="0"/>
                <w:iCs w:val="0"/>
                <w:color w:val="000000"/>
                <w:sz w:val="18"/>
                <w:szCs w:val="18"/>
                <w:u w:val="none"/>
              </w:rPr>
            </w:pPr>
          </w:p>
        </w:tc>
      </w:tr>
      <w:tr w14:paraId="643F9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1D3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11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15A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6F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18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DB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81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14:paraId="61274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7132A">
            <w:pPr>
              <w:jc w:val="center"/>
              <w:rPr>
                <w:rFonts w:hint="eastAsia" w:ascii="宋体" w:hAnsi="宋体" w:eastAsia="宋体" w:cs="宋体"/>
                <w:b/>
                <w:bCs/>
                <w:i w:val="0"/>
                <w:iCs w:val="0"/>
                <w:color w:val="000000"/>
                <w:sz w:val="18"/>
                <w:szCs w:val="18"/>
                <w:u w:val="none"/>
              </w:rPr>
            </w:pP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13CE">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B3865">
            <w:pPr>
              <w:jc w:val="center"/>
              <w:rPr>
                <w:rFonts w:hint="eastAsia" w:ascii="宋体" w:hAnsi="宋体" w:eastAsia="宋体" w:cs="宋体"/>
                <w:i w:val="0"/>
                <w:iCs w:val="0"/>
                <w:color w:val="000000"/>
                <w:sz w:val="18"/>
                <w:szCs w:val="18"/>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63214">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0670">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248C6">
            <w:pPr>
              <w:jc w:val="center"/>
              <w:rPr>
                <w:rFonts w:hint="eastAsia" w:ascii="宋体" w:hAnsi="宋体" w:eastAsia="宋体" w:cs="宋体"/>
                <w:i w:val="0"/>
                <w:iCs w:val="0"/>
                <w:color w:val="000000"/>
                <w:sz w:val="18"/>
                <w:szCs w:val="18"/>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92B89">
            <w:pPr>
              <w:jc w:val="center"/>
              <w:rPr>
                <w:rFonts w:hint="eastAsia" w:ascii="宋体" w:hAnsi="宋体" w:eastAsia="宋体" w:cs="宋体"/>
                <w:i w:val="0"/>
                <w:iCs w:val="0"/>
                <w:color w:val="000000"/>
                <w:sz w:val="18"/>
                <w:szCs w:val="18"/>
                <w:u w:val="none"/>
              </w:rPr>
            </w:pPr>
          </w:p>
        </w:tc>
      </w:tr>
      <w:tr w14:paraId="3A3CF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1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6A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584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5764">
            <w:pPr>
              <w:jc w:val="center"/>
              <w:rPr>
                <w:rFonts w:hint="eastAsia" w:ascii="宋体" w:hAnsi="宋体" w:eastAsia="宋体" w:cs="宋体"/>
                <w:i w:val="0"/>
                <w:iCs w:val="0"/>
                <w:color w:val="000000"/>
                <w:sz w:val="18"/>
                <w:szCs w:val="18"/>
                <w:u w:val="none"/>
              </w:rPr>
            </w:pPr>
          </w:p>
        </w:tc>
      </w:tr>
    </w:tbl>
    <w:p w14:paraId="46902D55">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17666EC5">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7453411A">
      <w:pPr>
        <w:keepNext w:val="0"/>
        <w:keepLines w:val="0"/>
        <w:pageBreakBefore w:val="0"/>
        <w:kinsoku/>
        <w:wordWrap/>
        <w:overflowPunct/>
        <w:topLinePunct w:val="0"/>
        <w:autoSpaceDE/>
        <w:autoSpaceDN/>
        <w:bidi w:val="0"/>
        <w:adjustRightInd/>
        <w:snapToGrid/>
        <w:spacing w:line="0" w:lineRule="atLeast"/>
        <w:ind w:left="0"/>
        <w:jc w:val="center"/>
        <w:rPr>
          <w:rFonts w:eastAsia="黑体"/>
          <w:sz w:val="30"/>
          <w:szCs w:val="30"/>
        </w:rPr>
      </w:pPr>
      <w:r>
        <w:rPr>
          <w:rFonts w:eastAsia="方正小标宋_GBK"/>
          <w:color w:val="000000"/>
          <w:kern w:val="0"/>
          <w:sz w:val="36"/>
          <w:szCs w:val="36"/>
        </w:rPr>
        <w:t>部门整体支出绩效自评表</w:t>
      </w:r>
    </w:p>
    <w:tbl>
      <w:tblPr>
        <w:tblStyle w:val="5"/>
        <w:tblpPr w:leftFromText="180" w:rightFromText="180" w:vertAnchor="text" w:horzAnchor="page" w:tblpXSpec="center" w:tblpY="599"/>
        <w:tblOverlap w:val="never"/>
        <w:tblW w:w="83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0"/>
        <w:gridCol w:w="579"/>
        <w:gridCol w:w="930"/>
        <w:gridCol w:w="861"/>
        <w:gridCol w:w="893"/>
        <w:gridCol w:w="2333"/>
        <w:gridCol w:w="405"/>
        <w:gridCol w:w="397"/>
        <w:gridCol w:w="683"/>
        <w:gridCol w:w="487"/>
        <w:gridCol w:w="430"/>
      </w:tblGrid>
      <w:tr w14:paraId="7D172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318"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613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自评表</w:t>
            </w:r>
          </w:p>
        </w:tc>
      </w:tr>
      <w:tr w14:paraId="2FF08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ED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741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6CEA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江永县上江圩镇中心小学</w:t>
            </w:r>
          </w:p>
        </w:tc>
      </w:tr>
      <w:tr w14:paraId="016A1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EFEE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Microsoft YaHei UI" w:hAnsi="Microsoft YaHei UI" w:eastAsia="Microsoft YaHei UI" w:cs="Microsoft YaHei UI"/>
                <w:i w:val="0"/>
                <w:iCs w:val="0"/>
                <w:color w:val="000000"/>
                <w:sz w:val="18"/>
                <w:szCs w:val="18"/>
                <w:u w:val="none"/>
              </w:rPr>
            </w:pPr>
            <w:r>
              <w:rPr>
                <w:rFonts w:hint="default" w:ascii="Microsoft YaHei UI" w:hAnsi="Microsoft YaHei UI" w:eastAsia="Microsoft YaHei UI" w:cs="Microsoft YaHei UI"/>
                <w:i w:val="0"/>
                <w:iCs w:val="0"/>
                <w:color w:val="000000"/>
                <w:kern w:val="0"/>
                <w:sz w:val="18"/>
                <w:szCs w:val="18"/>
                <w:u w:val="none"/>
                <w:lang w:val="en-US" w:eastAsia="zh-CN" w:bidi="ar"/>
              </w:rPr>
              <w:t>年度预算申请</w:t>
            </w:r>
            <w:r>
              <w:rPr>
                <w:rFonts w:hint="default" w:ascii="Microsoft YaHei UI" w:hAnsi="Microsoft YaHei UI" w:eastAsia="Microsoft YaHei UI" w:cs="Microsoft YaHei UI"/>
                <w:i w:val="0"/>
                <w:iCs w:val="0"/>
                <w:color w:val="000000"/>
                <w:kern w:val="0"/>
                <w:sz w:val="18"/>
                <w:szCs w:val="18"/>
                <w:u w:val="none"/>
                <w:lang w:val="en-US" w:eastAsia="zh-CN" w:bidi="ar"/>
              </w:rPr>
              <w:br w:type="textWrapping"/>
            </w:r>
            <w:r>
              <w:rPr>
                <w:rFonts w:hint="default" w:ascii="Microsoft YaHei UI" w:hAnsi="Microsoft YaHei UI" w:eastAsia="Microsoft YaHei UI" w:cs="Microsoft YaHei UI"/>
                <w:i w:val="0"/>
                <w:iCs w:val="0"/>
                <w:color w:val="000000"/>
                <w:kern w:val="0"/>
                <w:sz w:val="18"/>
                <w:szCs w:val="18"/>
                <w:u w:val="none"/>
                <w:lang w:val="en-US" w:eastAsia="zh-CN" w:bidi="ar"/>
              </w:rPr>
              <w:t>(万元)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129E">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F500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w:t>
            </w:r>
            <w:r>
              <w:rPr>
                <w:rFonts w:hint="default" w:ascii="仿宋_GB2312" w:hAnsi="宋体" w:eastAsia="仿宋_GB2312" w:cs="仿宋_GB2312"/>
                <w:b/>
                <w:bCs/>
                <w:i w:val="0"/>
                <w:iCs w:val="0"/>
                <w:color w:val="000000"/>
                <w:kern w:val="0"/>
                <w:sz w:val="18"/>
                <w:szCs w:val="18"/>
                <w:u w:val="none"/>
                <w:lang w:val="en-US" w:eastAsia="zh-CN" w:bidi="ar"/>
              </w:rPr>
              <w:br w:type="textWrapping"/>
            </w:r>
            <w:r>
              <w:rPr>
                <w:rFonts w:hint="default" w:ascii="仿宋_GB2312" w:hAnsi="宋体" w:eastAsia="仿宋_GB2312" w:cs="仿宋_GB2312"/>
                <w:b/>
                <w:bCs/>
                <w:i w:val="0"/>
                <w:iCs w:val="0"/>
                <w:color w:val="000000"/>
                <w:kern w:val="0"/>
                <w:sz w:val="18"/>
                <w:szCs w:val="18"/>
                <w:u w:val="none"/>
                <w:lang w:val="en-US" w:eastAsia="zh-CN" w:bidi="ar"/>
              </w:rPr>
              <w:t>(万元)</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0CC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9B0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8A34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DF7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64B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14:paraId="6F918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B8446">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91C0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C36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1706.82</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F01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1706.82</w:t>
            </w:r>
          </w:p>
        </w:tc>
        <w:tc>
          <w:tcPr>
            <w:tcW w:w="31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96625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1706.82</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5AF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403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AA1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r>
      <w:tr w14:paraId="1367B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5C31B">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58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ADDEF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73FD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14:paraId="25CC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60BA0">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5F5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48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352DB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1630.47</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2634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9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A3F2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1706.82</w:t>
            </w:r>
          </w:p>
        </w:tc>
      </w:tr>
      <w:tr w14:paraId="119AB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9AECB">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562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48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10438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76.35</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CDBE3">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c>
          <w:tcPr>
            <w:tcW w:w="9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C2E6E">
            <w:pPr>
              <w:keepNext w:val="0"/>
              <w:keepLines w:val="0"/>
              <w:pageBreakBefore w:val="0"/>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14:paraId="2EE35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C4359">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95F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48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383C1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5EE4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9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56BE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r>
      <w:tr w14:paraId="0A7C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BDBA1">
            <w:pPr>
              <w:keepNext w:val="0"/>
              <w:keepLines w:val="0"/>
              <w:pageBreakBefore w:val="0"/>
              <w:kinsoku/>
              <w:wordWrap/>
              <w:overflowPunct/>
              <w:topLinePunct w:val="0"/>
              <w:autoSpaceDE/>
              <w:autoSpaceDN/>
              <w:bidi w:val="0"/>
              <w:adjustRightInd/>
              <w:snapToGrid/>
              <w:spacing w:line="0" w:lineRule="atLeast"/>
              <w:jc w:val="center"/>
              <w:rPr>
                <w:rFonts w:hint="default" w:ascii="Microsoft YaHei UI" w:hAnsi="Microsoft YaHei UI" w:eastAsia="Microsoft YaHei UI" w:cs="Microsoft YaHei UI"/>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079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48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3D786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9DAB3">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c>
          <w:tcPr>
            <w:tcW w:w="9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EACC4">
            <w:pPr>
              <w:keepNext w:val="0"/>
              <w:keepLines w:val="0"/>
              <w:pageBreakBefore w:val="0"/>
              <w:kinsoku/>
              <w:wordWrap/>
              <w:overflowPunct/>
              <w:topLinePunct w:val="0"/>
              <w:autoSpaceDE/>
              <w:autoSpaceDN/>
              <w:bidi w:val="0"/>
              <w:adjustRightInd/>
              <w:snapToGrid/>
              <w:spacing w:line="0" w:lineRule="atLeast"/>
              <w:jc w:val="center"/>
              <w:rPr>
                <w:rFonts w:hint="default" w:ascii="Times New Roman" w:hAnsi="Times New Roman" w:eastAsia="宋体" w:cs="Times New Roman"/>
                <w:i w:val="0"/>
                <w:iCs w:val="0"/>
                <w:color w:val="000000"/>
                <w:sz w:val="18"/>
                <w:szCs w:val="18"/>
                <w:u w:val="none"/>
              </w:rPr>
            </w:pPr>
          </w:p>
        </w:tc>
      </w:tr>
      <w:tr w14:paraId="1BC79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9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6CC9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58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0ABDE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643AD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0764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9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C25C0">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58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EA372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w:t>
            </w:r>
            <w:r>
              <w:rPr>
                <w:rFonts w:hint="default" w:ascii="仿宋_GB2312" w:hAnsi="宋体" w:eastAsia="仿宋_GB2312" w:cs="仿宋_GB2312"/>
                <w:i w:val="0"/>
                <w:iCs w:val="0"/>
                <w:color w:val="000000"/>
                <w:kern w:val="0"/>
                <w:sz w:val="18"/>
                <w:szCs w:val="18"/>
                <w:u w:val="none"/>
                <w:lang w:val="en-US" w:eastAsia="zh-CN" w:bidi="ar"/>
              </w:rPr>
              <w:t>贯彻执行国家教育方针政策，深化教育改革，发展素质教育，稳步提高教育质量，巩固艺术教育特色成果，促进江永县上江圩镇教育事业的发展。保障人员经费，提高教师队伍幸福感；管好用好预算内资金，改善和优化学校的办学条件；促进学生全面发展，把教育教学质量放在首位，办人民满意的教育。</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EE337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Times New Roman" w:hAnsi="Times New Roman" w:eastAsia="宋体" w:cs="Times New Roman"/>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w:t>
            </w:r>
            <w:r>
              <w:rPr>
                <w:rFonts w:hint="default" w:ascii="仿宋_GB2312" w:hAnsi="宋体" w:eastAsia="仿宋_GB2312" w:cs="仿宋_GB2312"/>
                <w:i w:val="0"/>
                <w:iCs w:val="0"/>
                <w:color w:val="000000"/>
                <w:kern w:val="0"/>
                <w:sz w:val="18"/>
                <w:szCs w:val="18"/>
                <w:u w:val="none"/>
                <w:lang w:val="en-US" w:eastAsia="zh-CN" w:bidi="ar"/>
              </w:rPr>
              <w:t>保障人员经费，提高教师队伍幸福感；改善和优化学校的办学条件；促进学生全面发展，办人民满意的教育。</w:t>
            </w:r>
          </w:p>
        </w:tc>
      </w:tr>
      <w:tr w14:paraId="03C7E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10B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C80A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B9B7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1E92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9EBB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2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F62C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评扣分标准</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C79D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E382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16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7A37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094FA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4BD63">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D4B07">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9B2B1">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FD8E5">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55075">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c>
          <w:tcPr>
            <w:tcW w:w="2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9FA47">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984E0">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9E4D0">
            <w:pPr>
              <w:keepNext w:val="0"/>
              <w:keepLines w:val="0"/>
              <w:pageBreakBefore w:val="0"/>
              <w:kinsoku/>
              <w:wordWrap/>
              <w:overflowPunct/>
              <w:topLinePunct w:val="0"/>
              <w:autoSpaceDE/>
              <w:autoSpaceDN/>
              <w:bidi w:val="0"/>
              <w:adjustRightInd/>
              <w:snapToGrid/>
              <w:spacing w:line="0" w:lineRule="atLeast"/>
              <w:jc w:val="center"/>
              <w:rPr>
                <w:rFonts w:hint="default" w:ascii="仿宋_GB2312" w:hAnsi="宋体" w:eastAsia="仿宋_GB2312" w:cs="仿宋_GB2312"/>
                <w:b/>
                <w:bCs/>
                <w:i w:val="0"/>
                <w:iCs w:val="0"/>
                <w:color w:val="000000"/>
                <w:sz w:val="18"/>
                <w:szCs w:val="18"/>
                <w:u w:val="none"/>
              </w:rPr>
            </w:pPr>
          </w:p>
        </w:tc>
        <w:tc>
          <w:tcPr>
            <w:tcW w:w="16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1D5C">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b/>
                <w:bCs/>
                <w:i w:val="0"/>
                <w:iCs w:val="0"/>
                <w:color w:val="000000"/>
                <w:sz w:val="18"/>
                <w:szCs w:val="18"/>
                <w:u w:val="none"/>
              </w:rPr>
            </w:pPr>
          </w:p>
        </w:tc>
      </w:tr>
      <w:tr w14:paraId="1ADE8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D166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9881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5C7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教师考核人数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EB6B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88人</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E51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88人</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9E1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教师考核全员参与得2分，每减少1人扣0.1分，扣完为止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B09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6129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B91E">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28DD5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D62F8">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D1BE3">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392F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学生招生数量</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31F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1160人</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305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1160人</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C69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该指标达到要求得满分，共计2分，每少1人扣0.1分，扣完为止。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39F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8C04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9EF2F">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6D1EA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64405">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07CC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9E10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贫困生资助数量</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821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329人</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771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329人</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4187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贫困生资助数量达标得满分，共计2分，每少1人扣0.1分，扣完为止。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8DE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F60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C046">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29AC4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B8B0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C9907">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11FC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教师培训次数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05A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4次</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2192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4次</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4B1C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教师培训4次以上得2分，每减少1次扣0.5分，扣完为止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379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592F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C97EB">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02A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74056">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3E79C">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A4C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遗属人数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7C72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14人</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789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14人</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DD40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该指标达到要求得满分，共计2分，每少1人扣0.1分，扣完为止。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CB9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BD88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DBFD">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16180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73B2B">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619B9">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2B95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贫困生资助准确率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5AD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A13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8E0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42F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454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8DCD">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537CC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885D2">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5BC33">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190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教师培训完成率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ED0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D103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6DE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6B6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E3D9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6694">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17CF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69121">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682A6">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D207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食品安全达标率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792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DBC0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8BE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C85A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9765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F8306">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E0D6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881C6">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D606A">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EB4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事业发展资金完成率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A00A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1E46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ABB4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A827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2E8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7BF31">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662A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9C16C">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C857D">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A5A7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校舍维修合格率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319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B44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62A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该指标达到100%得满分，共计2分，每降低1%扣0.1分，扣完为止。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9A2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FDE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9E86F">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25A6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6CFFF">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F48E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22E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完成时间</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8F1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32A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2024年内完成</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106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该指标于2024年12月31日前完成得满分，共计10分，每降低一个档次扣0.1分，扣完为止。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106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4C5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7375">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6AD66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5B898">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6502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914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提高教师生活水平</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772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938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提高教师生活水平</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9688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该指标达到要求得满分，共计10分，每降低一个档次扣1分，扣完为止。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3D72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299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2379">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858E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668A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1F8C6">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3C6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使教师与学生拥有良好的教育氛围</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E62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使教师与学生拥有良好的教育氛围</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429F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使教师与学生拥有良好的教育氛围</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40D0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该指标达到要求得满分，共计10分，每降低一个档次扣1分，扣完为止。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184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51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4775">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172B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9D96E">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F35F3">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F0D0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改善校园环境</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3BE4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F5D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改善校园环境</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386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该指标达到要求得满分，共计5分，每降低一个档次扣0.5分，扣完为止。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F6C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1FD0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B003">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54DB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BEAE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D73B9">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1B9A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可持续发展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AD2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0D7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可持续发展</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7FF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该指标达到要求得满分，共计5分，每降低一个档次扣0.5分，扣完为止。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44B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B018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1770">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78A4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F14AD">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D30B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4BA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教师与家长满意率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0AC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lang w:val="en-US"/>
              </w:rPr>
            </w:pPr>
            <w:r>
              <w:rPr>
                <w:rFonts w:hint="default" w:ascii="仿宋_GB2312" w:hAnsi="宋体" w:eastAsia="仿宋_GB2312" w:cs="仿宋_GB2312"/>
                <w:i w:val="0"/>
                <w:iCs w:val="0"/>
                <w:color w:val="000000"/>
                <w:kern w:val="0"/>
                <w:sz w:val="18"/>
                <w:szCs w:val="18"/>
                <w:u w:val="none"/>
                <w:lang w:val="en-US" w:eastAsia="zh-CN" w:bidi="ar"/>
              </w:rPr>
              <w:t>100</w:t>
            </w:r>
            <w:r>
              <w:rPr>
                <w:rFonts w:hint="eastAsia" w:ascii="仿宋_GB2312" w:hAnsi="宋体" w:eastAsia="仿宋_GB2312" w:cs="仿宋_GB2312"/>
                <w:i w:val="0"/>
                <w:iCs w:val="0"/>
                <w:color w:val="000000"/>
                <w:kern w:val="0"/>
                <w:sz w:val="18"/>
                <w:szCs w:val="18"/>
                <w:u w:val="none"/>
                <w:lang w:val="en-US" w:eastAsia="zh-CN"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A66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lang w:val="en-US"/>
              </w:rPr>
            </w:pPr>
            <w:r>
              <w:rPr>
                <w:rFonts w:hint="default" w:ascii="仿宋_GB2312" w:hAnsi="宋体" w:eastAsia="仿宋_GB2312" w:cs="仿宋_GB2312"/>
                <w:i w:val="0"/>
                <w:iCs w:val="0"/>
                <w:color w:val="000000"/>
                <w:kern w:val="0"/>
                <w:sz w:val="18"/>
                <w:szCs w:val="18"/>
                <w:u w:val="none"/>
                <w:lang w:val="en-US" w:eastAsia="zh-CN" w:bidi="ar"/>
              </w:rPr>
              <w:t>95</w:t>
            </w:r>
            <w:r>
              <w:rPr>
                <w:rFonts w:hint="eastAsia" w:ascii="仿宋_GB2312" w:hAnsi="宋体" w:eastAsia="仿宋_GB2312" w:cs="仿宋_GB2312"/>
                <w:i w:val="0"/>
                <w:iCs w:val="0"/>
                <w:color w:val="000000"/>
                <w:kern w:val="0"/>
                <w:sz w:val="18"/>
                <w:szCs w:val="18"/>
                <w:u w:val="none"/>
                <w:lang w:val="en-US" w:eastAsia="zh-CN" w:bidi="ar"/>
              </w:rPr>
              <w:t>%</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27B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该指标达到90%得满分，共计5分，每减少5%扣1分。</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BA1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EBD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A92F9">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3133B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1FDD2">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C5F84">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214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学生满意率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AF5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_GB2312" w:hAnsi="宋体" w:eastAsia="仿宋_GB2312" w:cs="仿宋_GB2312"/>
                <w:i w:val="0"/>
                <w:iCs w:val="0"/>
                <w:color w:val="000000"/>
                <w:sz w:val="18"/>
                <w:szCs w:val="18"/>
                <w:u w:val="none"/>
                <w:lang w:val="en-US" w:eastAsia="zh-CN"/>
              </w:rPr>
            </w:pPr>
            <w:r>
              <w:rPr>
                <w:rFonts w:hint="default" w:ascii="仿宋_GB2312" w:hAnsi="宋体" w:eastAsia="仿宋_GB2312" w:cs="仿宋_GB2312"/>
                <w:i w:val="0"/>
                <w:iCs w:val="0"/>
                <w:color w:val="000000"/>
                <w:kern w:val="0"/>
                <w:sz w:val="18"/>
                <w:szCs w:val="18"/>
                <w:u w:val="none"/>
                <w:lang w:val="en-US" w:eastAsia="zh-CN" w:bidi="ar"/>
              </w:rPr>
              <w:t>100</w:t>
            </w:r>
            <w:r>
              <w:rPr>
                <w:rFonts w:hint="eastAsia" w:ascii="仿宋_GB2312" w:hAnsi="宋体" w:eastAsia="仿宋_GB2312" w:cs="仿宋_GB2312"/>
                <w:i w:val="0"/>
                <w:iCs w:val="0"/>
                <w:color w:val="000000"/>
                <w:kern w:val="0"/>
                <w:sz w:val="18"/>
                <w:szCs w:val="18"/>
                <w:u w:val="none"/>
                <w:lang w:val="en-US" w:eastAsia="zh-CN"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CE3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lang w:val="en-US"/>
              </w:rPr>
            </w:pPr>
            <w:r>
              <w:rPr>
                <w:rFonts w:hint="default" w:ascii="仿宋_GB2312" w:hAnsi="宋体" w:eastAsia="仿宋_GB2312" w:cs="仿宋_GB2312"/>
                <w:i w:val="0"/>
                <w:iCs w:val="0"/>
                <w:color w:val="000000"/>
                <w:kern w:val="0"/>
                <w:sz w:val="18"/>
                <w:szCs w:val="18"/>
                <w:u w:val="none"/>
                <w:lang w:val="en-US" w:eastAsia="zh-CN" w:bidi="ar"/>
              </w:rPr>
              <w:t>98</w:t>
            </w:r>
            <w:r>
              <w:rPr>
                <w:rFonts w:hint="eastAsia" w:ascii="仿宋_GB2312" w:hAnsi="宋体" w:eastAsia="仿宋_GB2312" w:cs="仿宋_GB2312"/>
                <w:i w:val="0"/>
                <w:iCs w:val="0"/>
                <w:color w:val="000000"/>
                <w:kern w:val="0"/>
                <w:sz w:val="18"/>
                <w:szCs w:val="18"/>
                <w:u w:val="none"/>
                <w:lang w:val="en-US" w:eastAsia="zh-CN" w:bidi="ar"/>
              </w:rPr>
              <w:t>%</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988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该指标达到90%得满分，共计5分，每减少5%扣1分。</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D50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F46E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CEBA">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17F8E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1D6E7">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4047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3F4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部门整体控制数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148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1706.82万元</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EA8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1706.82万元</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8DD5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该指标达到要求得满分，共计10分，每降低一个档次扣2分，扣完为止。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E43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929F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99E33">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0544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91921">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652E2">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B6AF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资金使用合规性</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3156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合规</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3534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合规</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5E2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该指标达到要求得满分，共计5分，每降低一个档次扣1分，扣完为止。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E024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D9B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93CC">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41A4A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1FEBF">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71A00">
            <w:pPr>
              <w:keepNext w:val="0"/>
              <w:keepLines w:val="0"/>
              <w:pageBreakBefore w:val="0"/>
              <w:kinsoku/>
              <w:wordWrap/>
              <w:overflowPunct/>
              <w:topLinePunct w:val="0"/>
              <w:autoSpaceDE/>
              <w:autoSpaceDN/>
              <w:bidi w:val="0"/>
              <w:adjustRightInd/>
              <w:snapToGrid/>
              <w:spacing w:line="0" w:lineRule="atLeast"/>
              <w:rPr>
                <w:rFonts w:hint="default" w:ascii="仿宋_GB2312" w:hAnsi="宋体" w:eastAsia="仿宋_GB2312" w:cs="仿宋_GB2312"/>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5F3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绩效指标合理性</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BC2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26B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合理</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2AC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该指标达到要求得满分，共计5分，每降低一个档次扣1分，扣完为止。</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E78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814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16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0124">
            <w:pPr>
              <w:keepNext w:val="0"/>
              <w:keepLines w:val="0"/>
              <w:pageBreakBefore w:val="0"/>
              <w:kinsoku/>
              <w:wordWrap/>
              <w:overflowPunct/>
              <w:topLinePunct w:val="0"/>
              <w:autoSpaceDE/>
              <w:autoSpaceDN/>
              <w:bidi w:val="0"/>
              <w:adjustRightInd/>
              <w:snapToGrid/>
              <w:spacing w:line="0" w:lineRule="atLeast"/>
              <w:jc w:val="center"/>
              <w:rPr>
                <w:rFonts w:hint="eastAsia" w:ascii="宋体" w:hAnsi="宋体" w:eastAsia="宋体" w:cs="宋体"/>
                <w:i w:val="0"/>
                <w:iCs w:val="0"/>
                <w:color w:val="000000"/>
                <w:sz w:val="18"/>
                <w:szCs w:val="18"/>
                <w:u w:val="none"/>
              </w:rPr>
            </w:pPr>
          </w:p>
        </w:tc>
      </w:tr>
      <w:tr w14:paraId="21C57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8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B8F2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741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3E4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bl>
    <w:p w14:paraId="5AB69FBA">
      <w:pPr>
        <w:keepNext w:val="0"/>
        <w:keepLines w:val="0"/>
        <w:pageBreakBefore w:val="0"/>
        <w:kinsoku/>
        <w:wordWrap/>
        <w:overflowPunct/>
        <w:topLinePunct w:val="0"/>
        <w:autoSpaceDE/>
        <w:autoSpaceDN/>
        <w:bidi w:val="0"/>
        <w:adjustRightInd/>
        <w:snapToGrid/>
        <w:spacing w:line="0" w:lineRule="atLeast"/>
        <w:ind w:left="0"/>
        <w:jc w:val="center"/>
        <w:rPr>
          <w:rFonts w:eastAsia="黑体"/>
          <w:sz w:val="30"/>
          <w:szCs w:val="30"/>
        </w:rPr>
      </w:pPr>
    </w:p>
    <w:p w14:paraId="29B0AD63">
      <w:pPr>
        <w:keepNext w:val="0"/>
        <w:keepLines w:val="0"/>
        <w:pageBreakBefore w:val="0"/>
        <w:kinsoku/>
        <w:wordWrap/>
        <w:overflowPunct/>
        <w:topLinePunct w:val="0"/>
        <w:autoSpaceDE/>
        <w:autoSpaceDN/>
        <w:bidi w:val="0"/>
        <w:adjustRightInd/>
        <w:snapToGrid/>
        <w:spacing w:line="0" w:lineRule="atLeast"/>
        <w:ind w:left="0"/>
        <w:jc w:val="center"/>
        <w:rPr>
          <w:rFonts w:eastAsia="黑体"/>
          <w:sz w:val="30"/>
          <w:szCs w:val="30"/>
        </w:rPr>
      </w:pPr>
    </w:p>
    <w:p w14:paraId="29ACDD7A">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14:paraId="425EE31F">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br w:type="page"/>
      </w:r>
    </w:p>
    <w:p w14:paraId="3279D0E3">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部门整体支出绩效评价表</w:t>
      </w:r>
    </w:p>
    <w:tbl>
      <w:tblPr>
        <w:tblStyle w:val="5"/>
        <w:tblW w:w="9459" w:type="dxa"/>
        <w:jc w:val="center"/>
        <w:tblLayout w:type="fixed"/>
        <w:tblCellMar>
          <w:top w:w="0" w:type="dxa"/>
          <w:left w:w="108" w:type="dxa"/>
          <w:bottom w:w="0" w:type="dxa"/>
          <w:right w:w="108" w:type="dxa"/>
        </w:tblCellMar>
      </w:tblPr>
      <w:tblGrid>
        <w:gridCol w:w="316"/>
        <w:gridCol w:w="475"/>
        <w:gridCol w:w="363"/>
        <w:gridCol w:w="458"/>
        <w:gridCol w:w="970"/>
        <w:gridCol w:w="460"/>
        <w:gridCol w:w="3164"/>
        <w:gridCol w:w="2808"/>
        <w:gridCol w:w="445"/>
      </w:tblGrid>
      <w:tr w14:paraId="6B749F7E">
        <w:tblPrEx>
          <w:tblCellMar>
            <w:top w:w="0" w:type="dxa"/>
            <w:left w:w="108" w:type="dxa"/>
            <w:bottom w:w="0" w:type="dxa"/>
            <w:right w:w="108" w:type="dxa"/>
          </w:tblCellMar>
        </w:tblPrEx>
        <w:trPr>
          <w:trHeight w:val="1390" w:hRule="atLeast"/>
          <w:jc w:val="center"/>
        </w:trPr>
        <w:tc>
          <w:tcPr>
            <w:tcW w:w="316" w:type="dxa"/>
            <w:tcBorders>
              <w:top w:val="single" w:color="auto" w:sz="4" w:space="0"/>
              <w:left w:val="single" w:color="auto" w:sz="4" w:space="0"/>
              <w:bottom w:val="single" w:color="auto" w:sz="4" w:space="0"/>
              <w:right w:val="single" w:color="auto" w:sz="4" w:space="0"/>
            </w:tcBorders>
            <w:noWrap w:val="0"/>
            <w:vAlign w:val="center"/>
          </w:tcPr>
          <w:p w14:paraId="680E539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475" w:type="dxa"/>
            <w:tcBorders>
              <w:top w:val="single" w:color="auto" w:sz="4" w:space="0"/>
              <w:left w:val="nil"/>
              <w:bottom w:val="single" w:color="auto" w:sz="4" w:space="0"/>
              <w:right w:val="single" w:color="auto" w:sz="4" w:space="0"/>
            </w:tcBorders>
            <w:noWrap w:val="0"/>
            <w:vAlign w:val="center"/>
          </w:tcPr>
          <w:p w14:paraId="2700296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14:paraId="5F3334C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458" w:type="dxa"/>
            <w:tcBorders>
              <w:top w:val="single" w:color="auto" w:sz="4" w:space="0"/>
              <w:left w:val="nil"/>
              <w:bottom w:val="single" w:color="auto" w:sz="4" w:space="0"/>
              <w:right w:val="single" w:color="auto" w:sz="4" w:space="0"/>
            </w:tcBorders>
            <w:noWrap w:val="0"/>
            <w:vAlign w:val="center"/>
          </w:tcPr>
          <w:p w14:paraId="6A6E3B1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970" w:type="dxa"/>
            <w:tcBorders>
              <w:top w:val="single" w:color="auto" w:sz="4" w:space="0"/>
              <w:left w:val="nil"/>
              <w:bottom w:val="single" w:color="auto" w:sz="4" w:space="0"/>
              <w:right w:val="single" w:color="auto" w:sz="4" w:space="0"/>
            </w:tcBorders>
            <w:noWrap w:val="0"/>
            <w:vAlign w:val="center"/>
          </w:tcPr>
          <w:p w14:paraId="3826EDE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14:paraId="407BAAD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460" w:type="dxa"/>
            <w:tcBorders>
              <w:top w:val="single" w:color="auto" w:sz="4" w:space="0"/>
              <w:left w:val="nil"/>
              <w:bottom w:val="single" w:color="auto" w:sz="4" w:space="0"/>
              <w:right w:val="single" w:color="auto" w:sz="4" w:space="0"/>
            </w:tcBorders>
            <w:noWrap w:val="0"/>
            <w:vAlign w:val="center"/>
          </w:tcPr>
          <w:p w14:paraId="32DE4E9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164" w:type="dxa"/>
            <w:tcBorders>
              <w:top w:val="single" w:color="auto" w:sz="4" w:space="0"/>
              <w:left w:val="nil"/>
              <w:bottom w:val="single" w:color="auto" w:sz="4" w:space="0"/>
              <w:right w:val="single" w:color="auto" w:sz="4" w:space="0"/>
            </w:tcBorders>
            <w:noWrap w:val="0"/>
            <w:vAlign w:val="center"/>
          </w:tcPr>
          <w:p w14:paraId="241CE24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14:paraId="5249E3C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445" w:type="dxa"/>
            <w:tcBorders>
              <w:top w:val="single" w:color="auto" w:sz="4" w:space="0"/>
              <w:left w:val="nil"/>
              <w:bottom w:val="single" w:color="auto" w:sz="4" w:space="0"/>
              <w:right w:val="single" w:color="auto" w:sz="4" w:space="0"/>
            </w:tcBorders>
            <w:noWrap w:val="0"/>
            <w:vAlign w:val="center"/>
          </w:tcPr>
          <w:p w14:paraId="3D0BC8C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14:paraId="0C01F9A4">
        <w:tblPrEx>
          <w:tblCellMar>
            <w:top w:w="0" w:type="dxa"/>
            <w:left w:w="108" w:type="dxa"/>
            <w:bottom w:w="0" w:type="dxa"/>
            <w:right w:w="108" w:type="dxa"/>
          </w:tblCellMar>
        </w:tblPrEx>
        <w:trPr>
          <w:trHeight w:val="1814" w:hRule="atLeast"/>
          <w:jc w:val="center"/>
        </w:trPr>
        <w:tc>
          <w:tcPr>
            <w:tcW w:w="316" w:type="dxa"/>
            <w:vMerge w:val="restart"/>
            <w:tcBorders>
              <w:top w:val="nil"/>
              <w:left w:val="single" w:color="auto" w:sz="4" w:space="0"/>
              <w:bottom w:val="single" w:color="auto" w:sz="4" w:space="0"/>
              <w:right w:val="single" w:color="auto" w:sz="4" w:space="0"/>
            </w:tcBorders>
            <w:noWrap w:val="0"/>
            <w:vAlign w:val="center"/>
          </w:tcPr>
          <w:p w14:paraId="26332CB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475" w:type="dxa"/>
            <w:vMerge w:val="restart"/>
            <w:tcBorders>
              <w:top w:val="nil"/>
              <w:left w:val="nil"/>
              <w:bottom w:val="single" w:color="000000" w:sz="4" w:space="0"/>
              <w:right w:val="single" w:color="auto" w:sz="4" w:space="0"/>
            </w:tcBorders>
            <w:noWrap w:val="0"/>
            <w:vAlign w:val="center"/>
          </w:tcPr>
          <w:p w14:paraId="6EA025C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14:paraId="5A37DC0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458" w:type="dxa"/>
            <w:vMerge w:val="restart"/>
            <w:tcBorders>
              <w:top w:val="nil"/>
              <w:left w:val="nil"/>
              <w:bottom w:val="single" w:color="000000" w:sz="4" w:space="0"/>
              <w:right w:val="single" w:color="auto" w:sz="4" w:space="0"/>
            </w:tcBorders>
            <w:noWrap w:val="0"/>
            <w:vAlign w:val="center"/>
          </w:tcPr>
          <w:p w14:paraId="7F98CE48">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970" w:type="dxa"/>
            <w:tcBorders>
              <w:top w:val="nil"/>
              <w:left w:val="nil"/>
              <w:bottom w:val="single" w:color="auto" w:sz="4" w:space="0"/>
              <w:right w:val="single" w:color="auto" w:sz="4" w:space="0"/>
            </w:tcBorders>
            <w:noWrap w:val="0"/>
            <w:vAlign w:val="center"/>
          </w:tcPr>
          <w:p w14:paraId="406DB69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460" w:type="dxa"/>
            <w:tcBorders>
              <w:top w:val="nil"/>
              <w:left w:val="nil"/>
              <w:bottom w:val="single" w:color="auto" w:sz="4" w:space="0"/>
              <w:right w:val="single" w:color="auto" w:sz="4" w:space="0"/>
            </w:tcBorders>
            <w:noWrap w:val="0"/>
            <w:vAlign w:val="center"/>
          </w:tcPr>
          <w:p w14:paraId="71F9131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nil"/>
              <w:right w:val="nil"/>
            </w:tcBorders>
            <w:noWrap w:val="0"/>
            <w:vAlign w:val="center"/>
          </w:tcPr>
          <w:p w14:paraId="4DD3A2D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14:paraId="1AFFDF9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445" w:type="dxa"/>
            <w:tcBorders>
              <w:top w:val="nil"/>
              <w:left w:val="nil"/>
              <w:bottom w:val="single" w:color="auto" w:sz="4" w:space="0"/>
              <w:right w:val="single" w:color="auto" w:sz="4" w:space="0"/>
            </w:tcBorders>
            <w:noWrap w:val="0"/>
            <w:vAlign w:val="center"/>
          </w:tcPr>
          <w:p w14:paraId="58CCA53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34C2A57C">
        <w:tblPrEx>
          <w:tblCellMar>
            <w:top w:w="0" w:type="dxa"/>
            <w:left w:w="108" w:type="dxa"/>
            <w:bottom w:w="0" w:type="dxa"/>
            <w:right w:w="108" w:type="dxa"/>
          </w:tblCellMar>
        </w:tblPrEx>
        <w:trPr>
          <w:jc w:val="center"/>
        </w:trPr>
        <w:tc>
          <w:tcPr>
            <w:tcW w:w="316" w:type="dxa"/>
            <w:vMerge w:val="continue"/>
            <w:tcBorders>
              <w:top w:val="nil"/>
              <w:left w:val="single" w:color="auto" w:sz="4" w:space="0"/>
              <w:bottom w:val="single" w:color="auto" w:sz="4" w:space="0"/>
              <w:right w:val="single" w:color="auto" w:sz="4" w:space="0"/>
            </w:tcBorders>
            <w:noWrap w:val="0"/>
            <w:vAlign w:val="center"/>
          </w:tcPr>
          <w:p w14:paraId="7AA6DFC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3FF9F06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6A7345A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0FFC1BE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4950702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w:t>
            </w:r>
          </w:p>
        </w:tc>
        <w:tc>
          <w:tcPr>
            <w:tcW w:w="460" w:type="dxa"/>
            <w:tcBorders>
              <w:top w:val="nil"/>
              <w:left w:val="nil"/>
              <w:bottom w:val="single" w:color="auto" w:sz="4" w:space="0"/>
              <w:right w:val="single" w:color="auto" w:sz="4" w:space="0"/>
            </w:tcBorders>
            <w:noWrap w:val="0"/>
            <w:vAlign w:val="center"/>
          </w:tcPr>
          <w:p w14:paraId="5CF7637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single" w:color="auto" w:sz="4" w:space="0"/>
              <w:left w:val="nil"/>
              <w:bottom w:val="single" w:color="auto" w:sz="4" w:space="0"/>
              <w:right w:val="single" w:color="auto" w:sz="4" w:space="0"/>
            </w:tcBorders>
            <w:noWrap w:val="0"/>
            <w:vAlign w:val="center"/>
          </w:tcPr>
          <w:p w14:paraId="0BEC862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“三公经费”变动率≦0,计5分；“三公经费”＞0，每超过一个百分点扣0.8分，扣完为止。</w:t>
            </w:r>
          </w:p>
        </w:tc>
        <w:tc>
          <w:tcPr>
            <w:tcW w:w="2808" w:type="dxa"/>
            <w:tcBorders>
              <w:top w:val="nil"/>
              <w:left w:val="nil"/>
              <w:bottom w:val="single" w:color="auto" w:sz="4" w:space="0"/>
              <w:right w:val="single" w:color="auto" w:sz="4" w:space="0"/>
            </w:tcBorders>
            <w:noWrap w:val="0"/>
            <w:vAlign w:val="center"/>
          </w:tcPr>
          <w:p w14:paraId="087435C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“三公经费”变动率=[（本年度“三公经费”预算数-上年度“三公经费”预算数）/上年度“三公经费”预算数]×100%</w:t>
            </w:r>
          </w:p>
        </w:tc>
        <w:tc>
          <w:tcPr>
            <w:tcW w:w="445" w:type="dxa"/>
            <w:tcBorders>
              <w:top w:val="nil"/>
              <w:left w:val="nil"/>
              <w:bottom w:val="single" w:color="auto" w:sz="4" w:space="0"/>
              <w:right w:val="single" w:color="auto" w:sz="4" w:space="0"/>
            </w:tcBorders>
            <w:noWrap w:val="0"/>
            <w:vAlign w:val="center"/>
          </w:tcPr>
          <w:p w14:paraId="537A463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14:paraId="09A44E37">
        <w:tblPrEx>
          <w:tblCellMar>
            <w:top w:w="0" w:type="dxa"/>
            <w:left w:w="108" w:type="dxa"/>
            <w:bottom w:w="0" w:type="dxa"/>
            <w:right w:w="108" w:type="dxa"/>
          </w:tblCellMar>
        </w:tblPrEx>
        <w:trPr>
          <w:jc w:val="center"/>
        </w:trPr>
        <w:tc>
          <w:tcPr>
            <w:tcW w:w="316" w:type="dxa"/>
            <w:vMerge w:val="restart"/>
            <w:tcBorders>
              <w:top w:val="nil"/>
              <w:left w:val="single" w:color="auto" w:sz="4" w:space="0"/>
              <w:bottom w:val="single" w:color="000000" w:sz="4" w:space="0"/>
              <w:right w:val="single" w:color="auto" w:sz="4" w:space="0"/>
            </w:tcBorders>
            <w:noWrap w:val="0"/>
            <w:vAlign w:val="center"/>
          </w:tcPr>
          <w:p w14:paraId="3C23CCA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475" w:type="dxa"/>
            <w:vMerge w:val="restart"/>
            <w:tcBorders>
              <w:top w:val="nil"/>
              <w:left w:val="nil"/>
              <w:bottom w:val="single" w:color="000000" w:sz="4" w:space="0"/>
              <w:right w:val="single" w:color="auto" w:sz="4" w:space="0"/>
            </w:tcBorders>
            <w:noWrap w:val="0"/>
            <w:vAlign w:val="center"/>
          </w:tcPr>
          <w:p w14:paraId="7FE5DB8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14:paraId="7C21532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458" w:type="dxa"/>
            <w:vMerge w:val="restart"/>
            <w:tcBorders>
              <w:top w:val="nil"/>
              <w:left w:val="nil"/>
              <w:bottom w:val="single" w:color="000000" w:sz="4" w:space="0"/>
              <w:right w:val="single" w:color="auto" w:sz="4" w:space="0"/>
            </w:tcBorders>
            <w:noWrap w:val="0"/>
            <w:vAlign w:val="center"/>
          </w:tcPr>
          <w:p w14:paraId="6E00EF2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970" w:type="dxa"/>
            <w:tcBorders>
              <w:top w:val="nil"/>
              <w:left w:val="nil"/>
              <w:bottom w:val="single" w:color="auto" w:sz="4" w:space="0"/>
              <w:right w:val="single" w:color="auto" w:sz="4" w:space="0"/>
            </w:tcBorders>
            <w:noWrap w:val="0"/>
            <w:vAlign w:val="center"/>
          </w:tcPr>
          <w:p w14:paraId="05C56A9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460" w:type="dxa"/>
            <w:tcBorders>
              <w:top w:val="nil"/>
              <w:left w:val="nil"/>
              <w:bottom w:val="single" w:color="auto" w:sz="4" w:space="0"/>
              <w:right w:val="single" w:color="auto" w:sz="4" w:space="0"/>
            </w:tcBorders>
            <w:noWrap w:val="0"/>
            <w:vAlign w:val="center"/>
          </w:tcPr>
          <w:p w14:paraId="5614A0B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single" w:color="auto" w:sz="4" w:space="0"/>
              <w:right w:val="single" w:color="auto" w:sz="4" w:space="0"/>
            </w:tcBorders>
            <w:noWrap w:val="0"/>
            <w:vAlign w:val="center"/>
          </w:tcPr>
          <w:p w14:paraId="6C757FA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14:paraId="22A5737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445" w:type="dxa"/>
            <w:tcBorders>
              <w:top w:val="nil"/>
              <w:left w:val="nil"/>
              <w:bottom w:val="single" w:color="auto" w:sz="4" w:space="0"/>
              <w:right w:val="single" w:color="auto" w:sz="4" w:space="0"/>
            </w:tcBorders>
            <w:noWrap w:val="0"/>
            <w:vAlign w:val="center"/>
          </w:tcPr>
          <w:p w14:paraId="2EFBE6B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07706665">
        <w:tblPrEx>
          <w:tblCellMar>
            <w:top w:w="0" w:type="dxa"/>
            <w:left w:w="108" w:type="dxa"/>
            <w:bottom w:w="0" w:type="dxa"/>
            <w:right w:w="108" w:type="dxa"/>
          </w:tblCellMar>
        </w:tblPrEx>
        <w:trPr>
          <w:trHeight w:val="1273"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0D520B3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0522600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64813E4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5FFEB40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574C497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460" w:type="dxa"/>
            <w:tcBorders>
              <w:top w:val="nil"/>
              <w:left w:val="nil"/>
              <w:bottom w:val="single" w:color="auto" w:sz="4" w:space="0"/>
              <w:right w:val="single" w:color="auto" w:sz="4" w:space="0"/>
            </w:tcBorders>
            <w:noWrap w:val="0"/>
            <w:vAlign w:val="center"/>
          </w:tcPr>
          <w:p w14:paraId="6964FC6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single" w:color="auto" w:sz="4" w:space="0"/>
              <w:right w:val="single" w:color="auto" w:sz="4" w:space="0"/>
            </w:tcBorders>
            <w:noWrap w:val="0"/>
            <w:vAlign w:val="center"/>
          </w:tcPr>
          <w:p w14:paraId="3198299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14:paraId="08E2596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445" w:type="dxa"/>
            <w:tcBorders>
              <w:top w:val="nil"/>
              <w:left w:val="nil"/>
              <w:bottom w:val="single" w:color="auto" w:sz="4" w:space="0"/>
              <w:right w:val="single" w:color="auto" w:sz="4" w:space="0"/>
            </w:tcBorders>
            <w:noWrap w:val="0"/>
            <w:vAlign w:val="center"/>
          </w:tcPr>
          <w:p w14:paraId="226E6A1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2B964AFD">
        <w:tblPrEx>
          <w:tblCellMar>
            <w:top w:w="0" w:type="dxa"/>
            <w:left w:w="108" w:type="dxa"/>
            <w:bottom w:w="0" w:type="dxa"/>
            <w:right w:w="108" w:type="dxa"/>
          </w:tblCellMar>
        </w:tblPrEx>
        <w:trPr>
          <w:trHeight w:val="1325"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4A8E9D0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1CD3308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7F0F533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2B299C3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55DC8BD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460" w:type="dxa"/>
            <w:tcBorders>
              <w:top w:val="nil"/>
              <w:left w:val="nil"/>
              <w:bottom w:val="single" w:color="auto" w:sz="4" w:space="0"/>
              <w:right w:val="single" w:color="auto" w:sz="4" w:space="0"/>
            </w:tcBorders>
            <w:noWrap w:val="0"/>
            <w:vAlign w:val="center"/>
          </w:tcPr>
          <w:p w14:paraId="51AA2D24">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single" w:color="auto" w:sz="4" w:space="0"/>
              <w:right w:val="single" w:color="auto" w:sz="4" w:space="0"/>
            </w:tcBorders>
            <w:noWrap w:val="0"/>
            <w:vAlign w:val="center"/>
          </w:tcPr>
          <w:p w14:paraId="49755E6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14:paraId="215D795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445" w:type="dxa"/>
            <w:tcBorders>
              <w:top w:val="nil"/>
              <w:left w:val="nil"/>
              <w:bottom w:val="single" w:color="auto" w:sz="4" w:space="0"/>
              <w:right w:val="single" w:color="auto" w:sz="4" w:space="0"/>
            </w:tcBorders>
            <w:noWrap w:val="0"/>
            <w:vAlign w:val="center"/>
          </w:tcPr>
          <w:p w14:paraId="469BCCF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14:paraId="317ABD03">
        <w:tblPrEx>
          <w:tblCellMar>
            <w:top w:w="0" w:type="dxa"/>
            <w:left w:w="108" w:type="dxa"/>
            <w:bottom w:w="0" w:type="dxa"/>
            <w:right w:w="108" w:type="dxa"/>
          </w:tblCellMar>
        </w:tblPrEx>
        <w:trPr>
          <w:trHeight w:val="1543"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21135A1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3EB1478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5F539D2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5F64CB2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45D15FD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460" w:type="dxa"/>
            <w:tcBorders>
              <w:top w:val="nil"/>
              <w:left w:val="nil"/>
              <w:bottom w:val="single" w:color="auto" w:sz="4" w:space="0"/>
              <w:right w:val="single" w:color="auto" w:sz="4" w:space="0"/>
            </w:tcBorders>
            <w:noWrap w:val="0"/>
            <w:vAlign w:val="center"/>
          </w:tcPr>
          <w:p w14:paraId="649CD70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single" w:color="auto" w:sz="4" w:space="0"/>
              <w:right w:val="single" w:color="auto" w:sz="4" w:space="0"/>
            </w:tcBorders>
            <w:noWrap w:val="0"/>
            <w:vAlign w:val="center"/>
          </w:tcPr>
          <w:p w14:paraId="4570F86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14:paraId="6AE5E83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445" w:type="dxa"/>
            <w:tcBorders>
              <w:top w:val="nil"/>
              <w:left w:val="nil"/>
              <w:bottom w:val="single" w:color="auto" w:sz="4" w:space="0"/>
              <w:right w:val="single" w:color="auto" w:sz="4" w:space="0"/>
            </w:tcBorders>
            <w:noWrap w:val="0"/>
            <w:vAlign w:val="center"/>
          </w:tcPr>
          <w:p w14:paraId="2713AB1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0B057CA3">
        <w:tblPrEx>
          <w:tblCellMar>
            <w:top w:w="0" w:type="dxa"/>
            <w:left w:w="108" w:type="dxa"/>
            <w:bottom w:w="0" w:type="dxa"/>
            <w:right w:w="108" w:type="dxa"/>
          </w:tblCellMar>
        </w:tblPrEx>
        <w:trPr>
          <w:trHeight w:val="1562"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6B710D8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5D5E707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3561999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458" w:type="dxa"/>
            <w:vMerge w:val="restart"/>
            <w:tcBorders>
              <w:top w:val="nil"/>
              <w:left w:val="nil"/>
              <w:bottom w:val="single" w:color="000000" w:sz="4" w:space="0"/>
              <w:right w:val="single" w:color="auto" w:sz="4" w:space="0"/>
            </w:tcBorders>
            <w:noWrap w:val="0"/>
            <w:vAlign w:val="center"/>
          </w:tcPr>
          <w:p w14:paraId="57D4B28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970" w:type="dxa"/>
            <w:tcBorders>
              <w:top w:val="nil"/>
              <w:left w:val="nil"/>
              <w:bottom w:val="single" w:color="auto" w:sz="4" w:space="0"/>
              <w:right w:val="single" w:color="auto" w:sz="4" w:space="0"/>
            </w:tcBorders>
            <w:noWrap w:val="0"/>
            <w:vAlign w:val="center"/>
          </w:tcPr>
          <w:p w14:paraId="6E0BE0B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460" w:type="dxa"/>
            <w:tcBorders>
              <w:top w:val="nil"/>
              <w:left w:val="nil"/>
              <w:bottom w:val="single" w:color="auto" w:sz="4" w:space="0"/>
              <w:right w:val="single" w:color="auto" w:sz="4" w:space="0"/>
            </w:tcBorders>
            <w:noWrap w:val="0"/>
            <w:vAlign w:val="center"/>
          </w:tcPr>
          <w:p w14:paraId="02ADAA7C">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164" w:type="dxa"/>
            <w:tcBorders>
              <w:top w:val="nil"/>
              <w:left w:val="nil"/>
              <w:bottom w:val="single" w:color="auto" w:sz="4" w:space="0"/>
              <w:right w:val="single" w:color="auto" w:sz="4" w:space="0"/>
            </w:tcBorders>
            <w:noWrap w:val="0"/>
            <w:vAlign w:val="center"/>
          </w:tcPr>
          <w:p w14:paraId="5BE41A2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7B46E09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445" w:type="dxa"/>
            <w:tcBorders>
              <w:top w:val="nil"/>
              <w:left w:val="nil"/>
              <w:bottom w:val="single" w:color="auto" w:sz="4" w:space="0"/>
              <w:right w:val="single" w:color="auto" w:sz="4" w:space="0"/>
            </w:tcBorders>
            <w:noWrap w:val="0"/>
            <w:vAlign w:val="center"/>
          </w:tcPr>
          <w:p w14:paraId="64BF521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14:paraId="77DD43F9">
        <w:tblPrEx>
          <w:tblCellMar>
            <w:top w:w="0" w:type="dxa"/>
            <w:left w:w="108" w:type="dxa"/>
            <w:bottom w:w="0" w:type="dxa"/>
            <w:right w:w="108" w:type="dxa"/>
          </w:tblCellMar>
        </w:tblPrEx>
        <w:trPr>
          <w:trHeight w:val="1073"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4D0B229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64341A4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4AB94DD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690D0D6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40138BC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w:t>
            </w:r>
          </w:p>
        </w:tc>
        <w:tc>
          <w:tcPr>
            <w:tcW w:w="460" w:type="dxa"/>
            <w:tcBorders>
              <w:top w:val="nil"/>
              <w:left w:val="nil"/>
              <w:bottom w:val="single" w:color="auto" w:sz="4" w:space="0"/>
              <w:right w:val="single" w:color="auto" w:sz="4" w:space="0"/>
            </w:tcBorders>
            <w:noWrap w:val="0"/>
            <w:vAlign w:val="center"/>
          </w:tcPr>
          <w:p w14:paraId="64A89E1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164" w:type="dxa"/>
            <w:tcBorders>
              <w:top w:val="nil"/>
              <w:left w:val="nil"/>
              <w:bottom w:val="single" w:color="auto" w:sz="4" w:space="0"/>
              <w:right w:val="single" w:color="auto" w:sz="4" w:space="0"/>
            </w:tcBorders>
            <w:noWrap w:val="0"/>
            <w:vAlign w:val="center"/>
          </w:tcPr>
          <w:p w14:paraId="720B438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14:paraId="0BA132A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“三公经费”控制率-（“三公经费”实际支出数/“三公经费”预算安排数）×100%。</w:t>
            </w:r>
          </w:p>
        </w:tc>
        <w:tc>
          <w:tcPr>
            <w:tcW w:w="445" w:type="dxa"/>
            <w:tcBorders>
              <w:top w:val="nil"/>
              <w:left w:val="nil"/>
              <w:bottom w:val="single" w:color="auto" w:sz="4" w:space="0"/>
              <w:right w:val="single" w:color="auto" w:sz="4" w:space="0"/>
            </w:tcBorders>
            <w:noWrap w:val="0"/>
            <w:vAlign w:val="center"/>
          </w:tcPr>
          <w:p w14:paraId="16C1118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14:paraId="7CDEC6C7">
        <w:tblPrEx>
          <w:tblCellMar>
            <w:top w:w="0" w:type="dxa"/>
            <w:left w:w="108" w:type="dxa"/>
            <w:bottom w:w="0" w:type="dxa"/>
            <w:right w:w="108" w:type="dxa"/>
          </w:tblCellMar>
        </w:tblPrEx>
        <w:trPr>
          <w:trHeight w:val="918"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57DF10A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45B5E94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4FDB27B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52AA5FF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3CB1821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460" w:type="dxa"/>
            <w:tcBorders>
              <w:top w:val="nil"/>
              <w:left w:val="nil"/>
              <w:bottom w:val="single" w:color="auto" w:sz="4" w:space="0"/>
              <w:right w:val="single" w:color="auto" w:sz="4" w:space="0"/>
            </w:tcBorders>
            <w:noWrap w:val="0"/>
            <w:vAlign w:val="center"/>
          </w:tcPr>
          <w:p w14:paraId="2F3CBA1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164" w:type="dxa"/>
            <w:tcBorders>
              <w:top w:val="nil"/>
              <w:left w:val="nil"/>
              <w:bottom w:val="single" w:color="auto" w:sz="4" w:space="0"/>
              <w:right w:val="single" w:color="auto" w:sz="4" w:space="0"/>
            </w:tcBorders>
            <w:noWrap w:val="0"/>
            <w:vAlign w:val="center"/>
          </w:tcPr>
          <w:p w14:paraId="4C9189B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14:paraId="74E5D56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445" w:type="dxa"/>
            <w:tcBorders>
              <w:top w:val="nil"/>
              <w:left w:val="nil"/>
              <w:bottom w:val="single" w:color="auto" w:sz="4" w:space="0"/>
              <w:right w:val="single" w:color="auto" w:sz="4" w:space="0"/>
            </w:tcBorders>
            <w:noWrap w:val="0"/>
            <w:vAlign w:val="center"/>
          </w:tcPr>
          <w:p w14:paraId="3EBDFAE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7062DDFE">
        <w:tblPrEx>
          <w:tblCellMar>
            <w:top w:w="0" w:type="dxa"/>
            <w:left w:w="108" w:type="dxa"/>
            <w:bottom w:w="0" w:type="dxa"/>
            <w:right w:w="108" w:type="dxa"/>
          </w:tblCellMar>
        </w:tblPrEx>
        <w:trPr>
          <w:jc w:val="center"/>
        </w:trPr>
        <w:tc>
          <w:tcPr>
            <w:tcW w:w="316" w:type="dxa"/>
            <w:vMerge w:val="restart"/>
            <w:tcBorders>
              <w:top w:val="nil"/>
              <w:left w:val="single" w:color="auto" w:sz="4" w:space="0"/>
              <w:bottom w:val="single" w:color="000000" w:sz="4" w:space="0"/>
              <w:right w:val="single" w:color="auto" w:sz="4" w:space="0"/>
            </w:tcBorders>
            <w:noWrap w:val="0"/>
            <w:vAlign w:val="center"/>
          </w:tcPr>
          <w:p w14:paraId="5B0E18E5">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475" w:type="dxa"/>
            <w:vMerge w:val="restart"/>
            <w:tcBorders>
              <w:top w:val="nil"/>
              <w:left w:val="nil"/>
              <w:bottom w:val="single" w:color="000000" w:sz="4" w:space="0"/>
              <w:right w:val="single" w:color="auto" w:sz="4" w:space="0"/>
            </w:tcBorders>
            <w:noWrap w:val="0"/>
            <w:vAlign w:val="center"/>
          </w:tcPr>
          <w:p w14:paraId="52E76855">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14:paraId="53F0E86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458" w:type="dxa"/>
            <w:vMerge w:val="continue"/>
            <w:tcBorders>
              <w:top w:val="nil"/>
              <w:left w:val="nil"/>
              <w:bottom w:val="single" w:color="000000" w:sz="4" w:space="0"/>
              <w:right w:val="single" w:color="auto" w:sz="4" w:space="0"/>
            </w:tcBorders>
            <w:noWrap w:val="0"/>
            <w:vAlign w:val="center"/>
          </w:tcPr>
          <w:p w14:paraId="1F78EB2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32A3960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460" w:type="dxa"/>
            <w:tcBorders>
              <w:top w:val="nil"/>
              <w:left w:val="nil"/>
              <w:bottom w:val="single" w:color="auto" w:sz="4" w:space="0"/>
              <w:right w:val="single" w:color="auto" w:sz="4" w:space="0"/>
            </w:tcBorders>
            <w:noWrap w:val="0"/>
            <w:vAlign w:val="center"/>
          </w:tcPr>
          <w:p w14:paraId="0253DFE6">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5972" w:type="dxa"/>
            <w:gridSpan w:val="2"/>
            <w:tcBorders>
              <w:top w:val="nil"/>
              <w:left w:val="nil"/>
              <w:bottom w:val="single" w:color="auto" w:sz="4" w:space="0"/>
              <w:right w:val="single" w:color="auto" w:sz="4" w:space="0"/>
            </w:tcBorders>
            <w:noWrap w:val="0"/>
            <w:vAlign w:val="center"/>
          </w:tcPr>
          <w:p w14:paraId="767F0A7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14:paraId="2209266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445" w:type="dxa"/>
            <w:tcBorders>
              <w:top w:val="nil"/>
              <w:left w:val="nil"/>
              <w:bottom w:val="single" w:color="auto" w:sz="4" w:space="0"/>
              <w:right w:val="single" w:color="auto" w:sz="4" w:space="0"/>
            </w:tcBorders>
            <w:noWrap w:val="0"/>
            <w:vAlign w:val="center"/>
          </w:tcPr>
          <w:p w14:paraId="7117B86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037C6160">
        <w:tblPrEx>
          <w:tblCellMar>
            <w:top w:w="0" w:type="dxa"/>
            <w:left w:w="108" w:type="dxa"/>
            <w:bottom w:w="0" w:type="dxa"/>
            <w:right w:w="108" w:type="dxa"/>
          </w:tblCellMar>
        </w:tblPrEx>
        <w:trPr>
          <w:trHeight w:val="1901"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5042F52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13BC8C5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1234AD08">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44A1342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4F7652A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460" w:type="dxa"/>
            <w:tcBorders>
              <w:top w:val="nil"/>
              <w:left w:val="nil"/>
              <w:bottom w:val="single" w:color="auto" w:sz="4" w:space="0"/>
              <w:right w:val="single" w:color="auto" w:sz="4" w:space="0"/>
            </w:tcBorders>
            <w:noWrap w:val="0"/>
            <w:vAlign w:val="center"/>
          </w:tcPr>
          <w:p w14:paraId="263871C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5972" w:type="dxa"/>
            <w:gridSpan w:val="2"/>
            <w:tcBorders>
              <w:top w:val="nil"/>
              <w:left w:val="nil"/>
              <w:bottom w:val="single" w:color="auto" w:sz="4" w:space="0"/>
              <w:right w:val="single" w:color="auto" w:sz="4" w:space="0"/>
            </w:tcBorders>
            <w:noWrap w:val="0"/>
            <w:vAlign w:val="center"/>
          </w:tcPr>
          <w:p w14:paraId="53EEDAC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14:paraId="5A0CED5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445" w:type="dxa"/>
            <w:tcBorders>
              <w:top w:val="nil"/>
              <w:left w:val="nil"/>
              <w:bottom w:val="single" w:color="auto" w:sz="4" w:space="0"/>
              <w:right w:val="single" w:color="auto" w:sz="4" w:space="0"/>
            </w:tcBorders>
            <w:noWrap w:val="0"/>
            <w:vAlign w:val="center"/>
          </w:tcPr>
          <w:p w14:paraId="518C05D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14:paraId="7155F392">
        <w:tblPrEx>
          <w:tblCellMar>
            <w:top w:w="0" w:type="dxa"/>
            <w:left w:w="108" w:type="dxa"/>
            <w:bottom w:w="0" w:type="dxa"/>
            <w:right w:w="108" w:type="dxa"/>
          </w:tblCellMar>
        </w:tblPrEx>
        <w:trPr>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7E4B072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758A433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14:paraId="060F0C5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2FF4F7E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43A3F0A9">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460" w:type="dxa"/>
            <w:tcBorders>
              <w:top w:val="nil"/>
              <w:left w:val="nil"/>
              <w:bottom w:val="single" w:color="auto" w:sz="4" w:space="0"/>
              <w:right w:val="single" w:color="auto" w:sz="4" w:space="0"/>
            </w:tcBorders>
            <w:noWrap w:val="0"/>
            <w:vAlign w:val="center"/>
          </w:tcPr>
          <w:p w14:paraId="5A2030E9">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164" w:type="dxa"/>
            <w:tcBorders>
              <w:top w:val="nil"/>
              <w:left w:val="nil"/>
              <w:bottom w:val="single" w:color="auto" w:sz="4" w:space="0"/>
              <w:right w:val="single" w:color="auto" w:sz="4" w:space="0"/>
            </w:tcBorders>
            <w:noWrap w:val="0"/>
            <w:vAlign w:val="center"/>
          </w:tcPr>
          <w:p w14:paraId="4BC87E7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14:paraId="6E4F7C4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445" w:type="dxa"/>
            <w:tcBorders>
              <w:top w:val="nil"/>
              <w:left w:val="nil"/>
              <w:bottom w:val="single" w:color="auto" w:sz="4" w:space="0"/>
              <w:right w:val="single" w:color="auto" w:sz="4" w:space="0"/>
            </w:tcBorders>
            <w:noWrap w:val="0"/>
            <w:vAlign w:val="center"/>
          </w:tcPr>
          <w:p w14:paraId="26DC1B9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14:paraId="7C66A7A8">
        <w:tblPrEx>
          <w:tblCellMar>
            <w:top w:w="0" w:type="dxa"/>
            <w:left w:w="108" w:type="dxa"/>
            <w:bottom w:w="0" w:type="dxa"/>
            <w:right w:w="108" w:type="dxa"/>
          </w:tblCellMar>
        </w:tblPrEx>
        <w:trPr>
          <w:jc w:val="center"/>
        </w:trPr>
        <w:tc>
          <w:tcPr>
            <w:tcW w:w="316" w:type="dxa"/>
            <w:vMerge w:val="restart"/>
            <w:tcBorders>
              <w:top w:val="nil"/>
              <w:left w:val="single" w:color="auto" w:sz="4" w:space="0"/>
              <w:bottom w:val="single" w:color="000000" w:sz="4" w:space="0"/>
              <w:right w:val="single" w:color="auto" w:sz="4" w:space="0"/>
            </w:tcBorders>
            <w:noWrap w:val="0"/>
            <w:vAlign w:val="center"/>
          </w:tcPr>
          <w:p w14:paraId="67326D6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475" w:type="dxa"/>
            <w:vMerge w:val="restart"/>
            <w:tcBorders>
              <w:top w:val="nil"/>
              <w:left w:val="nil"/>
              <w:bottom w:val="single" w:color="000000" w:sz="4" w:space="0"/>
              <w:right w:val="single" w:color="auto" w:sz="4" w:space="0"/>
            </w:tcBorders>
            <w:noWrap w:val="0"/>
            <w:vAlign w:val="center"/>
          </w:tcPr>
          <w:p w14:paraId="1A903EEB">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14:paraId="54E1EE62">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458" w:type="dxa"/>
            <w:tcBorders>
              <w:top w:val="nil"/>
              <w:left w:val="nil"/>
              <w:bottom w:val="single" w:color="auto" w:sz="4" w:space="0"/>
              <w:right w:val="single" w:color="auto" w:sz="4" w:space="0"/>
            </w:tcBorders>
            <w:noWrap w:val="0"/>
            <w:vAlign w:val="center"/>
          </w:tcPr>
          <w:p w14:paraId="40BF8AE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970" w:type="dxa"/>
            <w:tcBorders>
              <w:top w:val="nil"/>
              <w:left w:val="nil"/>
              <w:bottom w:val="nil"/>
              <w:right w:val="single" w:color="auto" w:sz="4" w:space="0"/>
            </w:tcBorders>
            <w:noWrap w:val="0"/>
            <w:vAlign w:val="center"/>
          </w:tcPr>
          <w:p w14:paraId="7785275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460" w:type="dxa"/>
            <w:tcBorders>
              <w:top w:val="nil"/>
              <w:left w:val="nil"/>
              <w:bottom w:val="single" w:color="auto" w:sz="4" w:space="0"/>
              <w:right w:val="single" w:color="auto" w:sz="4" w:space="0"/>
            </w:tcBorders>
            <w:noWrap w:val="0"/>
            <w:vAlign w:val="center"/>
          </w:tcPr>
          <w:p w14:paraId="777AE60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164" w:type="dxa"/>
            <w:tcBorders>
              <w:top w:val="nil"/>
              <w:left w:val="nil"/>
              <w:bottom w:val="single" w:color="auto" w:sz="4" w:space="0"/>
              <w:right w:val="single" w:color="auto" w:sz="4" w:space="0"/>
            </w:tcBorders>
            <w:noWrap w:val="0"/>
            <w:vAlign w:val="center"/>
          </w:tcPr>
          <w:p w14:paraId="6A015826">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14:paraId="62A740B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445" w:type="dxa"/>
            <w:tcBorders>
              <w:top w:val="nil"/>
              <w:left w:val="nil"/>
              <w:bottom w:val="single" w:color="auto" w:sz="4" w:space="0"/>
              <w:right w:val="single" w:color="auto" w:sz="4" w:space="0"/>
            </w:tcBorders>
            <w:noWrap w:val="0"/>
            <w:vAlign w:val="center"/>
          </w:tcPr>
          <w:p w14:paraId="54DC94AA">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14:paraId="1541EA09">
        <w:tblPrEx>
          <w:tblCellMar>
            <w:top w:w="0" w:type="dxa"/>
            <w:left w:w="108" w:type="dxa"/>
            <w:bottom w:w="0" w:type="dxa"/>
            <w:right w:w="108" w:type="dxa"/>
          </w:tblCellMar>
        </w:tblPrEx>
        <w:trPr>
          <w:trHeight w:val="445"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78F600E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2180CE5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14:paraId="63AD7DEA">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458" w:type="dxa"/>
            <w:vMerge w:val="restart"/>
            <w:tcBorders>
              <w:top w:val="nil"/>
              <w:left w:val="nil"/>
              <w:bottom w:val="single" w:color="000000" w:sz="4" w:space="0"/>
              <w:right w:val="single" w:color="auto" w:sz="4" w:space="0"/>
            </w:tcBorders>
            <w:noWrap w:val="0"/>
            <w:vAlign w:val="center"/>
          </w:tcPr>
          <w:p w14:paraId="7519E59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970" w:type="dxa"/>
            <w:tcBorders>
              <w:top w:val="single" w:color="auto" w:sz="4" w:space="0"/>
              <w:left w:val="nil"/>
              <w:bottom w:val="single" w:color="auto" w:sz="4" w:space="0"/>
              <w:right w:val="single" w:color="auto" w:sz="4" w:space="0"/>
            </w:tcBorders>
            <w:noWrap w:val="0"/>
            <w:vAlign w:val="center"/>
          </w:tcPr>
          <w:p w14:paraId="385EBC70">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460" w:type="dxa"/>
            <w:vMerge w:val="restart"/>
            <w:tcBorders>
              <w:top w:val="nil"/>
              <w:left w:val="nil"/>
              <w:bottom w:val="nil"/>
              <w:right w:val="single" w:color="auto" w:sz="4" w:space="0"/>
            </w:tcBorders>
            <w:noWrap w:val="0"/>
            <w:vAlign w:val="center"/>
          </w:tcPr>
          <w:p w14:paraId="745FC00E">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5972" w:type="dxa"/>
            <w:gridSpan w:val="2"/>
            <w:vMerge w:val="restart"/>
            <w:tcBorders>
              <w:top w:val="nil"/>
              <w:left w:val="nil"/>
              <w:bottom w:val="nil"/>
              <w:right w:val="single" w:color="000000" w:sz="4" w:space="0"/>
            </w:tcBorders>
            <w:noWrap w:val="0"/>
            <w:vAlign w:val="center"/>
          </w:tcPr>
          <w:p w14:paraId="0F89CD1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445" w:type="dxa"/>
            <w:vMerge w:val="restart"/>
            <w:tcBorders>
              <w:top w:val="nil"/>
              <w:left w:val="nil"/>
              <w:right w:val="single" w:color="auto" w:sz="4" w:space="0"/>
            </w:tcBorders>
            <w:noWrap w:val="0"/>
            <w:vAlign w:val="center"/>
          </w:tcPr>
          <w:p w14:paraId="46B74ED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14:paraId="74C6AFCF">
        <w:tblPrEx>
          <w:tblCellMar>
            <w:top w:w="0" w:type="dxa"/>
            <w:left w:w="108" w:type="dxa"/>
            <w:bottom w:w="0" w:type="dxa"/>
            <w:right w:w="108" w:type="dxa"/>
          </w:tblCellMar>
        </w:tblPrEx>
        <w:trPr>
          <w:trHeight w:val="808" w:hRule="atLeast"/>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5F6692A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349C9C3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3C69039B">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single" w:color="000000" w:sz="4" w:space="0"/>
              <w:right w:val="single" w:color="auto" w:sz="4" w:space="0"/>
            </w:tcBorders>
            <w:noWrap w:val="0"/>
            <w:vAlign w:val="center"/>
          </w:tcPr>
          <w:p w14:paraId="36D9C573">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single" w:color="auto" w:sz="4" w:space="0"/>
              <w:right w:val="single" w:color="auto" w:sz="4" w:space="0"/>
            </w:tcBorders>
            <w:noWrap w:val="0"/>
            <w:vAlign w:val="center"/>
          </w:tcPr>
          <w:p w14:paraId="67E93321">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460" w:type="dxa"/>
            <w:vMerge w:val="continue"/>
            <w:tcBorders>
              <w:top w:val="nil"/>
              <w:left w:val="nil"/>
              <w:bottom w:val="nil"/>
              <w:right w:val="single" w:color="auto" w:sz="4" w:space="0"/>
            </w:tcBorders>
            <w:noWrap w:val="0"/>
            <w:vAlign w:val="center"/>
          </w:tcPr>
          <w:p w14:paraId="0E351B9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5972" w:type="dxa"/>
            <w:gridSpan w:val="2"/>
            <w:vMerge w:val="continue"/>
            <w:tcBorders>
              <w:top w:val="nil"/>
              <w:left w:val="nil"/>
              <w:bottom w:val="nil"/>
              <w:right w:val="single" w:color="000000" w:sz="4" w:space="0"/>
            </w:tcBorders>
            <w:noWrap w:val="0"/>
            <w:vAlign w:val="center"/>
          </w:tcPr>
          <w:p w14:paraId="6582888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45" w:type="dxa"/>
            <w:vMerge w:val="continue"/>
            <w:tcBorders>
              <w:left w:val="nil"/>
              <w:bottom w:val="nil"/>
              <w:right w:val="single" w:color="auto" w:sz="4" w:space="0"/>
            </w:tcBorders>
            <w:noWrap w:val="0"/>
            <w:vAlign w:val="center"/>
          </w:tcPr>
          <w:p w14:paraId="68A17382">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14:paraId="11F028CA">
        <w:tblPrEx>
          <w:tblCellMar>
            <w:top w:w="0" w:type="dxa"/>
            <w:left w:w="108" w:type="dxa"/>
            <w:bottom w:w="0" w:type="dxa"/>
            <w:right w:w="108" w:type="dxa"/>
          </w:tblCellMar>
        </w:tblPrEx>
        <w:trPr>
          <w:jc w:val="center"/>
        </w:trPr>
        <w:tc>
          <w:tcPr>
            <w:tcW w:w="316" w:type="dxa"/>
            <w:vMerge w:val="continue"/>
            <w:tcBorders>
              <w:top w:val="nil"/>
              <w:left w:val="single" w:color="auto" w:sz="4" w:space="0"/>
              <w:bottom w:val="single" w:color="000000" w:sz="4" w:space="0"/>
              <w:right w:val="single" w:color="auto" w:sz="4" w:space="0"/>
            </w:tcBorders>
            <w:noWrap w:val="0"/>
            <w:vAlign w:val="center"/>
          </w:tcPr>
          <w:p w14:paraId="6A12F98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single" w:color="000000" w:sz="4" w:space="0"/>
              <w:right w:val="single" w:color="auto" w:sz="4" w:space="0"/>
            </w:tcBorders>
            <w:noWrap w:val="0"/>
            <w:vAlign w:val="center"/>
          </w:tcPr>
          <w:p w14:paraId="3F7B404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14:paraId="11B212F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restart"/>
            <w:tcBorders>
              <w:top w:val="nil"/>
              <w:left w:val="nil"/>
              <w:bottom w:val="single" w:color="000000" w:sz="4" w:space="0"/>
              <w:right w:val="single" w:color="auto" w:sz="4" w:space="0"/>
            </w:tcBorders>
            <w:noWrap w:val="0"/>
            <w:vAlign w:val="center"/>
          </w:tcPr>
          <w:p w14:paraId="0306C2A7">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970" w:type="dxa"/>
            <w:tcBorders>
              <w:top w:val="nil"/>
              <w:left w:val="nil"/>
              <w:bottom w:val="single" w:color="auto" w:sz="4" w:space="0"/>
              <w:right w:val="single" w:color="auto" w:sz="4" w:space="0"/>
            </w:tcBorders>
            <w:noWrap w:val="0"/>
            <w:vAlign w:val="center"/>
          </w:tcPr>
          <w:p w14:paraId="4CFC64E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460" w:type="dxa"/>
            <w:tcBorders>
              <w:top w:val="single" w:color="auto" w:sz="4" w:space="0"/>
              <w:left w:val="nil"/>
              <w:bottom w:val="single" w:color="auto" w:sz="4" w:space="0"/>
              <w:right w:val="single" w:color="auto" w:sz="4" w:space="0"/>
            </w:tcBorders>
            <w:noWrap w:val="0"/>
            <w:vAlign w:val="center"/>
          </w:tcPr>
          <w:p w14:paraId="1CD3CBF5">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164" w:type="dxa"/>
            <w:tcBorders>
              <w:top w:val="single" w:color="auto" w:sz="4" w:space="0"/>
              <w:left w:val="nil"/>
              <w:bottom w:val="single" w:color="auto" w:sz="4" w:space="0"/>
              <w:right w:val="single" w:color="auto" w:sz="4" w:space="0"/>
            </w:tcBorders>
            <w:noWrap w:val="0"/>
            <w:vAlign w:val="center"/>
          </w:tcPr>
          <w:p w14:paraId="1608AA9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14:paraId="29781DA5">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445" w:type="dxa"/>
            <w:tcBorders>
              <w:top w:val="single" w:color="auto" w:sz="4" w:space="0"/>
              <w:left w:val="nil"/>
              <w:bottom w:val="single" w:color="auto" w:sz="4" w:space="0"/>
              <w:right w:val="single" w:color="auto" w:sz="4" w:space="0"/>
            </w:tcBorders>
            <w:noWrap w:val="0"/>
            <w:vAlign w:val="center"/>
          </w:tcPr>
          <w:p w14:paraId="23693DB7">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14:paraId="68284517">
        <w:tblPrEx>
          <w:tblCellMar>
            <w:top w:w="0" w:type="dxa"/>
            <w:left w:w="108" w:type="dxa"/>
            <w:bottom w:w="0" w:type="dxa"/>
            <w:right w:w="108" w:type="dxa"/>
          </w:tblCellMar>
        </w:tblPrEx>
        <w:trPr>
          <w:trHeight w:val="1241" w:hRule="atLeast"/>
          <w:jc w:val="center"/>
        </w:trPr>
        <w:tc>
          <w:tcPr>
            <w:tcW w:w="316" w:type="dxa"/>
            <w:vMerge w:val="continue"/>
            <w:tcBorders>
              <w:top w:val="nil"/>
              <w:left w:val="single" w:color="auto" w:sz="4" w:space="0"/>
              <w:bottom w:val="nil"/>
              <w:right w:val="single" w:color="auto" w:sz="4" w:space="0"/>
            </w:tcBorders>
            <w:noWrap w:val="0"/>
            <w:vAlign w:val="center"/>
          </w:tcPr>
          <w:p w14:paraId="6CD18D54">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75" w:type="dxa"/>
            <w:vMerge w:val="continue"/>
            <w:tcBorders>
              <w:top w:val="nil"/>
              <w:left w:val="nil"/>
              <w:bottom w:val="nil"/>
              <w:right w:val="single" w:color="auto" w:sz="4" w:space="0"/>
            </w:tcBorders>
            <w:noWrap w:val="0"/>
            <w:vAlign w:val="center"/>
          </w:tcPr>
          <w:p w14:paraId="48D959A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14:paraId="52B3A53F">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458" w:type="dxa"/>
            <w:vMerge w:val="continue"/>
            <w:tcBorders>
              <w:top w:val="nil"/>
              <w:left w:val="nil"/>
              <w:bottom w:val="nil"/>
              <w:right w:val="single" w:color="auto" w:sz="4" w:space="0"/>
            </w:tcBorders>
            <w:noWrap w:val="0"/>
            <w:vAlign w:val="center"/>
          </w:tcPr>
          <w:p w14:paraId="35B5C1D0">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970" w:type="dxa"/>
            <w:tcBorders>
              <w:top w:val="nil"/>
              <w:left w:val="nil"/>
              <w:bottom w:val="nil"/>
              <w:right w:val="single" w:color="auto" w:sz="4" w:space="0"/>
            </w:tcBorders>
            <w:noWrap w:val="0"/>
            <w:vAlign w:val="center"/>
          </w:tcPr>
          <w:p w14:paraId="211C3DB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460" w:type="dxa"/>
            <w:tcBorders>
              <w:top w:val="nil"/>
              <w:left w:val="nil"/>
              <w:bottom w:val="nil"/>
              <w:right w:val="single" w:color="auto" w:sz="4" w:space="0"/>
            </w:tcBorders>
            <w:noWrap w:val="0"/>
            <w:vAlign w:val="center"/>
          </w:tcPr>
          <w:p w14:paraId="493EF1CD">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164" w:type="dxa"/>
            <w:tcBorders>
              <w:top w:val="nil"/>
              <w:left w:val="nil"/>
              <w:bottom w:val="nil"/>
              <w:right w:val="single" w:color="auto" w:sz="4" w:space="0"/>
            </w:tcBorders>
            <w:noWrap w:val="0"/>
            <w:vAlign w:val="center"/>
          </w:tcPr>
          <w:p w14:paraId="4182983C">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14:paraId="06F19E21">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445" w:type="dxa"/>
            <w:tcBorders>
              <w:top w:val="nil"/>
              <w:left w:val="nil"/>
              <w:bottom w:val="nil"/>
              <w:right w:val="single" w:color="auto" w:sz="4" w:space="0"/>
            </w:tcBorders>
            <w:noWrap w:val="0"/>
            <w:vAlign w:val="center"/>
          </w:tcPr>
          <w:p w14:paraId="26E157AE">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14:paraId="61896637">
        <w:tblPrEx>
          <w:tblCellMar>
            <w:top w:w="0" w:type="dxa"/>
            <w:left w:w="108" w:type="dxa"/>
            <w:bottom w:w="0" w:type="dxa"/>
            <w:right w:w="108" w:type="dxa"/>
          </w:tblCellMar>
        </w:tblPrEx>
        <w:trPr>
          <w:trHeight w:val="90" w:hRule="atLeast"/>
          <w:jc w:val="center"/>
        </w:trPr>
        <w:tc>
          <w:tcPr>
            <w:tcW w:w="791" w:type="dxa"/>
            <w:gridSpan w:val="2"/>
            <w:tcBorders>
              <w:top w:val="single" w:color="auto" w:sz="4" w:space="0"/>
              <w:left w:val="single" w:color="auto" w:sz="4" w:space="0"/>
              <w:bottom w:val="single" w:color="auto" w:sz="4" w:space="0"/>
              <w:right w:val="single" w:color="auto" w:sz="4" w:space="0"/>
            </w:tcBorders>
            <w:noWrap w:val="0"/>
            <w:vAlign w:val="top"/>
          </w:tcPr>
          <w:p w14:paraId="5C7646DD">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668" w:type="dxa"/>
            <w:gridSpan w:val="7"/>
            <w:tcBorders>
              <w:top w:val="single" w:color="auto" w:sz="4" w:space="0"/>
              <w:left w:val="nil"/>
              <w:bottom w:val="single" w:color="auto" w:sz="4" w:space="0"/>
              <w:right w:val="single" w:color="auto" w:sz="4" w:space="0"/>
            </w:tcBorders>
            <w:noWrap w:val="0"/>
            <w:vAlign w:val="center"/>
          </w:tcPr>
          <w:p w14:paraId="3472F4FF">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14:paraId="15B0349C">
      <w:pPr>
        <w:keepNext w:val="0"/>
        <w:keepLines w:val="0"/>
        <w:pageBreakBefore w:val="0"/>
        <w:kinsoku/>
        <w:wordWrap/>
        <w:overflowPunct/>
        <w:topLinePunct w:val="0"/>
        <w:autoSpaceDE/>
        <w:autoSpaceDN/>
        <w:bidi w:val="0"/>
        <w:adjustRightInd/>
        <w:snapToGrid/>
        <w:spacing w:line="240" w:lineRule="atLeast"/>
        <w:ind w:left="0"/>
        <w:rPr>
          <w:rFonts w:hint="eastAsia"/>
          <w:lang w:val="en-US" w:eastAsia="zh-CN"/>
        </w:rPr>
      </w:pPr>
    </w:p>
    <w:p w14:paraId="5BB85376">
      <w:pPr>
        <w:keepNext w:val="0"/>
        <w:keepLines w:val="0"/>
        <w:pageBreakBefore w:val="0"/>
        <w:kinsoku/>
        <w:wordWrap/>
        <w:overflowPunct/>
        <w:topLinePunct w:val="0"/>
        <w:autoSpaceDE/>
        <w:autoSpaceDN/>
        <w:bidi w:val="0"/>
        <w:adjustRightInd/>
        <w:snapToGrid/>
        <w:spacing w:line="240" w:lineRule="atLeast"/>
        <w:ind w:left="0"/>
        <w:rPr>
          <w:rFonts w:hint="eastAsia"/>
          <w:lang w:val="en-US" w:eastAsia="zh-CN"/>
        </w:rPr>
      </w:pPr>
    </w:p>
    <w:p w14:paraId="7E2DD9B8">
      <w:pPr>
        <w:keepNext w:val="0"/>
        <w:keepLines w:val="0"/>
        <w:pageBreakBefore w:val="0"/>
        <w:kinsoku/>
        <w:wordWrap/>
        <w:overflowPunct/>
        <w:topLinePunct w:val="0"/>
        <w:autoSpaceDE/>
        <w:autoSpaceDN/>
        <w:bidi w:val="0"/>
        <w:adjustRightInd/>
        <w:snapToGrid/>
        <w:spacing w:line="240" w:lineRule="atLeast"/>
        <w:ind w:left="0"/>
        <w:rPr>
          <w:rFonts w:hint="eastAsia"/>
          <w:lang w:val="en-US" w:eastAsia="zh-CN"/>
        </w:rPr>
      </w:pPr>
    </w:p>
    <w:p w14:paraId="11A57CA4">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val="en-US" w:eastAsia="zh-CN"/>
        </w:rPr>
      </w:pPr>
      <w:bookmarkStart w:id="0" w:name="_GoBack"/>
      <w:bookmarkEnd w:id="0"/>
    </w:p>
    <w:sectPr>
      <w:footerReference r:id="rId3" w:type="default"/>
      <w:pgSz w:w="11906" w:h="16838"/>
      <w:pgMar w:top="1440" w:right="1803" w:bottom="1440" w:left="1803" w:header="851" w:footer="992" w:gutter="0"/>
      <w:paperSrc/>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宋体-方正超大字符集"/>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2365">
    <w:pPr>
      <w:pStyle w:val="3"/>
    </w:pPr>
  </w:p>
  <w:p w14:paraId="4481E7F5">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2D6BF8BC">
                <w:pPr>
                  <w:pStyle w:val="3"/>
                </w:pPr>
                <w:r>
                  <w:fldChar w:fldCharType="begin"/>
                </w:r>
                <w:r>
                  <w:instrText xml:space="preserve"> PAGE  \* MERGEFORMAT </w:instrText>
                </w:r>
                <w:r>
                  <w:fldChar w:fldCharType="separate"/>
                </w:r>
                <w:r>
                  <w:t>33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599F2"/>
    <w:multiLevelType w:val="singleLevel"/>
    <w:tmpl w:val="A26599F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5Y2YzMzQ3MTkzZDE4MTdjMmNkZWU4OGIwMjE5MjIifQ=="/>
  </w:docVars>
  <w:rsids>
    <w:rsidRoot w:val="26F76658"/>
    <w:rsid w:val="000927A2"/>
    <w:rsid w:val="003B1EB4"/>
    <w:rsid w:val="00EB3CD1"/>
    <w:rsid w:val="01086C64"/>
    <w:rsid w:val="01D42B6D"/>
    <w:rsid w:val="0AA7129C"/>
    <w:rsid w:val="0F4306BA"/>
    <w:rsid w:val="0FCB77DB"/>
    <w:rsid w:val="10D16F18"/>
    <w:rsid w:val="117C7EE7"/>
    <w:rsid w:val="12EC0194"/>
    <w:rsid w:val="13EC5F71"/>
    <w:rsid w:val="144E4536"/>
    <w:rsid w:val="14795A57"/>
    <w:rsid w:val="16675D7A"/>
    <w:rsid w:val="16E16B11"/>
    <w:rsid w:val="19E255FA"/>
    <w:rsid w:val="1C200EAE"/>
    <w:rsid w:val="1D76242D"/>
    <w:rsid w:val="1DA21E5C"/>
    <w:rsid w:val="1E197963"/>
    <w:rsid w:val="1E522E75"/>
    <w:rsid w:val="1E675979"/>
    <w:rsid w:val="1F703EFB"/>
    <w:rsid w:val="209F553A"/>
    <w:rsid w:val="21387FB3"/>
    <w:rsid w:val="21F52E95"/>
    <w:rsid w:val="25F46FCE"/>
    <w:rsid w:val="26247A03"/>
    <w:rsid w:val="26F76658"/>
    <w:rsid w:val="29EA2C0B"/>
    <w:rsid w:val="2D5E5203"/>
    <w:rsid w:val="31E139C2"/>
    <w:rsid w:val="32FB0E27"/>
    <w:rsid w:val="34F87471"/>
    <w:rsid w:val="350B5E00"/>
    <w:rsid w:val="3579545F"/>
    <w:rsid w:val="358871FC"/>
    <w:rsid w:val="36D14E27"/>
    <w:rsid w:val="38EE0F44"/>
    <w:rsid w:val="3AC86541"/>
    <w:rsid w:val="3B2B02C4"/>
    <w:rsid w:val="3D3330CD"/>
    <w:rsid w:val="3EF21DDE"/>
    <w:rsid w:val="3FC27A03"/>
    <w:rsid w:val="41C061C4"/>
    <w:rsid w:val="41EC125B"/>
    <w:rsid w:val="43191E43"/>
    <w:rsid w:val="43A0005B"/>
    <w:rsid w:val="43B4782A"/>
    <w:rsid w:val="448A696E"/>
    <w:rsid w:val="457F1EF2"/>
    <w:rsid w:val="479848A9"/>
    <w:rsid w:val="49CA5E32"/>
    <w:rsid w:val="4B3544BD"/>
    <w:rsid w:val="4B8F7333"/>
    <w:rsid w:val="4CDF31B7"/>
    <w:rsid w:val="4E037B64"/>
    <w:rsid w:val="4FD7252C"/>
    <w:rsid w:val="4FFC6154"/>
    <w:rsid w:val="50732BBE"/>
    <w:rsid w:val="50FF01C2"/>
    <w:rsid w:val="51252E1B"/>
    <w:rsid w:val="51890380"/>
    <w:rsid w:val="52481FEA"/>
    <w:rsid w:val="52FC40CD"/>
    <w:rsid w:val="53C9715A"/>
    <w:rsid w:val="551B39E5"/>
    <w:rsid w:val="558B6EAE"/>
    <w:rsid w:val="565E29AE"/>
    <w:rsid w:val="583D1EC5"/>
    <w:rsid w:val="591542C8"/>
    <w:rsid w:val="59570D64"/>
    <w:rsid w:val="5C415BB9"/>
    <w:rsid w:val="5E0F1C0D"/>
    <w:rsid w:val="5E472D79"/>
    <w:rsid w:val="5F814D8D"/>
    <w:rsid w:val="6051475F"/>
    <w:rsid w:val="61D27B22"/>
    <w:rsid w:val="63DB5E63"/>
    <w:rsid w:val="67220BBC"/>
    <w:rsid w:val="672F3320"/>
    <w:rsid w:val="68A92037"/>
    <w:rsid w:val="695E7EED"/>
    <w:rsid w:val="6A275A32"/>
    <w:rsid w:val="6BCE135A"/>
    <w:rsid w:val="6D7777CF"/>
    <w:rsid w:val="6F4C696E"/>
    <w:rsid w:val="6F5B1156"/>
    <w:rsid w:val="700A650D"/>
    <w:rsid w:val="70115CB9"/>
    <w:rsid w:val="74AF7E92"/>
    <w:rsid w:val="77106CCA"/>
    <w:rsid w:val="774D3A7A"/>
    <w:rsid w:val="774E77F3"/>
    <w:rsid w:val="78AE22A7"/>
    <w:rsid w:val="78F67E30"/>
    <w:rsid w:val="790D5303"/>
    <w:rsid w:val="796C21B2"/>
    <w:rsid w:val="7A996FD7"/>
    <w:rsid w:val="7BA46FCA"/>
    <w:rsid w:val="7C54085C"/>
    <w:rsid w:val="7CB43C54"/>
    <w:rsid w:val="7F6E4CF8"/>
    <w:rsid w:val="7F7D4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p17"/>
    <w:basedOn w:val="1"/>
    <w:qFormat/>
    <w:uiPriority w:val="0"/>
    <w:pPr>
      <w:widowControl/>
    </w:pPr>
    <w:rPr>
      <w:kern w:val="0"/>
      <w:szCs w:val="21"/>
    </w:rPr>
  </w:style>
  <w:style w:type="paragraph" w:styleId="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4561</Words>
  <Characters>5048</Characters>
  <Lines>135</Lines>
  <Paragraphs>38</Paragraphs>
  <TotalTime>5</TotalTime>
  <ScaleCrop>false</ScaleCrop>
  <LinksUpToDate>false</LinksUpToDate>
  <CharactersWithSpaces>5351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2024-05-07T03:13:00Z</dcterms:created>
  <dc:creator>___怎扰</dc:creator>
  <cp:lastModifiedBy>安</cp:lastModifiedBy>
  <dcterms:modified xsi:type="dcterms:W3CDTF">2025-05-06T02:21:24Z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7B6877562CB14D5A8721037A221F0FDA_11</vt:lpwstr>
  </property>
  <property fmtid="{D5CDD505-2E9C-101B-9397-08002B2CF9AE}" pid="4" name="KSOTemplateDocerSaveRecord">
    <vt:lpwstr>eyJoZGlkIjoiMmY5Y2YzMzQ3MTkzZDE4MTdjMmNkZWU4OGIwMjE5MjIiLCJ1c2VySWQiOiI3MDk0NDg5NDkifQ==</vt:lpwstr>
  </property>
</Properties>
</file>