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方正小标宋_GBK"/>
          <w:sz w:val="48"/>
          <w:szCs w:val="48"/>
        </w:rPr>
      </w:pPr>
    </w:p>
    <w:p>
      <w:pPr>
        <w:jc w:val="center"/>
        <w:rPr>
          <w:rFonts w:hint="eastAsia" w:eastAsia="方正小标宋_GBK"/>
          <w:sz w:val="48"/>
          <w:szCs w:val="48"/>
        </w:rPr>
      </w:pPr>
    </w:p>
    <w:p>
      <w:pPr>
        <w:jc w:val="center"/>
        <w:rPr>
          <w:rFonts w:hint="eastAsia" w:eastAsia="方正小标宋_GBK"/>
          <w:sz w:val="48"/>
          <w:szCs w:val="48"/>
        </w:rPr>
      </w:pPr>
    </w:p>
    <w:p>
      <w:pPr>
        <w:jc w:val="center"/>
        <w:rPr>
          <w:rFonts w:hint="eastAsia" w:eastAsia="方正小标宋_GBK"/>
          <w:sz w:val="48"/>
          <w:szCs w:val="48"/>
          <w:lang w:val="en-US" w:eastAsia="zh-CN"/>
        </w:rPr>
      </w:pPr>
      <w:r>
        <w:rPr>
          <w:rFonts w:hint="eastAsia" w:eastAsia="方正小标宋_GBK"/>
          <w:sz w:val="48"/>
          <w:szCs w:val="48"/>
        </w:rPr>
        <w:t>202</w:t>
      </w:r>
      <w:r>
        <w:rPr>
          <w:rFonts w:hint="eastAsia" w:eastAsia="方正小标宋_GBK"/>
          <w:sz w:val="48"/>
          <w:szCs w:val="48"/>
          <w:lang w:val="en-US" w:eastAsia="zh-CN"/>
        </w:rPr>
        <w:t>4</w:t>
      </w:r>
      <w:r>
        <w:rPr>
          <w:rFonts w:eastAsia="方正小标宋_GBK"/>
          <w:sz w:val="48"/>
          <w:szCs w:val="48"/>
        </w:rPr>
        <w:t>年度</w:t>
      </w:r>
      <w:r>
        <w:rPr>
          <w:rFonts w:hint="eastAsia" w:eastAsia="方正小标宋_GBK"/>
          <w:sz w:val="48"/>
          <w:szCs w:val="48"/>
        </w:rPr>
        <w:t>江永县</w:t>
      </w:r>
      <w:r>
        <w:rPr>
          <w:rFonts w:hint="eastAsia" w:eastAsia="方正小标宋_GBK"/>
          <w:sz w:val="48"/>
          <w:szCs w:val="48"/>
          <w:lang w:val="en-US" w:eastAsia="zh-CN"/>
        </w:rPr>
        <w:t>上江圩镇中学</w:t>
      </w:r>
    </w:p>
    <w:p>
      <w:pPr>
        <w:jc w:val="center"/>
        <w:rPr>
          <w:rFonts w:eastAsia="方正小标宋_GBK"/>
          <w:sz w:val="48"/>
          <w:szCs w:val="48"/>
        </w:rPr>
      </w:pPr>
      <w:r>
        <w:rPr>
          <w:rFonts w:eastAsia="方正小标宋_GBK"/>
          <w:sz w:val="48"/>
          <w:szCs w:val="48"/>
        </w:rPr>
        <w:t>整体支出绩效自评报告</w:t>
      </w:r>
    </w:p>
    <w:p>
      <w:pPr>
        <w:jc w:val="center"/>
        <w:rPr>
          <w:rFonts w:eastAsia="楷体_GB2312"/>
          <w:b/>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hint="eastAsia" w:eastAsia="黑体"/>
          <w:sz w:val="44"/>
          <w:szCs w:val="44"/>
          <w:lang w:eastAsia="zh-CN"/>
        </w:rPr>
      </w:pPr>
    </w:p>
    <w:p>
      <w:pPr>
        <w:jc w:val="center"/>
        <w:rPr>
          <w:rFonts w:eastAsia="黑体"/>
          <w:sz w:val="36"/>
          <w:szCs w:val="36"/>
        </w:rPr>
      </w:pPr>
      <w:r>
        <w:rPr>
          <w:rFonts w:eastAsia="黑体"/>
          <w:sz w:val="36"/>
          <w:szCs w:val="36"/>
        </w:rPr>
        <w:t>单位名称（盖章）：</w:t>
      </w:r>
    </w:p>
    <w:p>
      <w:pPr>
        <w:jc w:val="center"/>
        <w:rPr>
          <w:rFonts w:eastAsia="黑体"/>
          <w:sz w:val="36"/>
          <w:szCs w:val="36"/>
        </w:rPr>
      </w:pPr>
    </w:p>
    <w:p>
      <w:pPr>
        <w:jc w:val="center"/>
        <w:rPr>
          <w:rFonts w:eastAsia="仿宋_GB2312"/>
          <w:sz w:val="32"/>
          <w:szCs w:val="32"/>
        </w:rPr>
      </w:pPr>
      <w:r>
        <w:rPr>
          <w:rFonts w:eastAsia="仿宋_GB2312"/>
          <w:sz w:val="32"/>
          <w:szCs w:val="32"/>
        </w:rPr>
        <w:t>（此页为封面）</w:t>
      </w:r>
    </w:p>
    <w:p>
      <w:pPr>
        <w:jc w:val="center"/>
        <w:rPr>
          <w:rFonts w:eastAsia="仿宋_GB2312"/>
          <w:sz w:val="32"/>
          <w:szCs w:val="32"/>
        </w:rPr>
      </w:pPr>
    </w:p>
    <w:p>
      <w:pPr>
        <w:jc w:val="center"/>
        <w:rPr>
          <w:rFonts w:hint="eastAsia"/>
          <w:b/>
          <w:bCs/>
          <w:sz w:val="44"/>
          <w:szCs w:val="44"/>
        </w:rPr>
      </w:pPr>
      <w:r>
        <w:rPr>
          <w:rFonts w:eastAsia="仿宋_GB2312"/>
          <w:sz w:val="32"/>
          <w:szCs w:val="32"/>
        </w:rPr>
        <w:br w:type="page"/>
      </w:r>
      <w:r>
        <w:rPr>
          <w:rFonts w:hint="eastAsia"/>
          <w:b/>
          <w:bCs/>
          <w:sz w:val="44"/>
          <w:szCs w:val="44"/>
          <w:lang w:val="en-US" w:eastAsia="zh-CN"/>
        </w:rPr>
        <w:t>2024年江永县上江圩镇中学单位</w:t>
      </w:r>
      <w:r>
        <w:rPr>
          <w:rFonts w:hint="eastAsia"/>
          <w:b/>
          <w:bCs/>
          <w:sz w:val="44"/>
          <w:szCs w:val="44"/>
        </w:rPr>
        <w:t>整体支出</w:t>
      </w:r>
    </w:p>
    <w:p>
      <w:pPr>
        <w:jc w:val="center"/>
        <w:rPr>
          <w:rFonts w:hint="eastAsia" w:eastAsiaTheme="minorEastAsia"/>
          <w:b/>
          <w:bCs/>
          <w:sz w:val="44"/>
          <w:szCs w:val="44"/>
          <w:lang w:val="en-US" w:eastAsia="zh-CN"/>
        </w:rPr>
      </w:pPr>
      <w:r>
        <w:rPr>
          <w:rFonts w:hint="eastAsia"/>
          <w:b/>
          <w:bCs/>
          <w:sz w:val="44"/>
          <w:szCs w:val="44"/>
        </w:rPr>
        <w:t>绩效</w:t>
      </w:r>
      <w:r>
        <w:rPr>
          <w:rFonts w:hint="eastAsia"/>
          <w:b/>
          <w:bCs/>
          <w:sz w:val="44"/>
          <w:szCs w:val="44"/>
          <w:lang w:val="en-US" w:eastAsia="zh-CN"/>
        </w:rPr>
        <w:t>自评</w:t>
      </w:r>
      <w:r>
        <w:rPr>
          <w:rFonts w:hint="eastAsia"/>
          <w:b/>
          <w:bCs/>
          <w:sz w:val="44"/>
          <w:szCs w:val="44"/>
        </w:rPr>
        <w:t>报告</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一、</w:t>
      </w:r>
      <w:r>
        <w:rPr>
          <w:rFonts w:hint="eastAsia" w:ascii="仿宋" w:hAnsi="仿宋" w:eastAsia="仿宋" w:cs="仿宋"/>
          <w:b/>
          <w:bCs/>
          <w:color w:val="auto"/>
          <w:sz w:val="28"/>
          <w:szCs w:val="28"/>
        </w:rPr>
        <w:t>基本情况</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(一) 单位基本情况及主要职能职责。</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江永县上江圩镇</w:t>
      </w:r>
      <w:r>
        <w:rPr>
          <w:rFonts w:hint="eastAsia" w:ascii="仿宋" w:hAnsi="仿宋" w:eastAsia="仿宋" w:cs="仿宋"/>
          <w:color w:val="auto"/>
          <w:sz w:val="28"/>
          <w:szCs w:val="28"/>
        </w:rPr>
        <w:t>中学是</w:t>
      </w:r>
      <w:r>
        <w:rPr>
          <w:rFonts w:hint="eastAsia" w:ascii="仿宋" w:hAnsi="仿宋" w:eastAsia="仿宋" w:cs="仿宋"/>
          <w:color w:val="auto"/>
          <w:sz w:val="28"/>
          <w:szCs w:val="28"/>
          <w:lang w:val="en-US" w:eastAsia="zh-CN"/>
        </w:rPr>
        <w:t>江永县教育</w:t>
      </w:r>
      <w:r>
        <w:rPr>
          <w:rFonts w:hint="eastAsia" w:ascii="仿宋" w:hAnsi="仿宋" w:eastAsia="仿宋" w:cs="仿宋"/>
          <w:color w:val="auto"/>
          <w:sz w:val="28"/>
          <w:szCs w:val="28"/>
        </w:rPr>
        <w:t>局下属的二级机构，学校为财政全额拨款事业单位</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是一所全日制农村初级中学，现有在校学生573人，</w:t>
      </w:r>
      <w:r>
        <w:rPr>
          <w:rFonts w:hint="eastAsia" w:ascii="仿宋" w:hAnsi="仿宋" w:eastAsia="仿宋" w:cs="仿宋"/>
          <w:color w:val="auto"/>
          <w:sz w:val="28"/>
          <w:szCs w:val="28"/>
        </w:rPr>
        <w:t>核定编制</w:t>
      </w:r>
      <w:r>
        <w:rPr>
          <w:rFonts w:hint="eastAsia" w:ascii="仿宋" w:hAnsi="仿宋" w:eastAsia="仿宋" w:cs="仿宋"/>
          <w:color w:val="auto"/>
          <w:sz w:val="28"/>
          <w:szCs w:val="28"/>
          <w:lang w:val="en-US" w:eastAsia="zh-CN"/>
        </w:rPr>
        <w:t>数</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51</w:t>
      </w:r>
      <w:r>
        <w:rPr>
          <w:rFonts w:hint="eastAsia" w:ascii="仿宋" w:hAnsi="仿宋" w:eastAsia="仿宋" w:cs="仿宋"/>
          <w:color w:val="auto"/>
          <w:sz w:val="28"/>
          <w:szCs w:val="28"/>
        </w:rPr>
        <w:t xml:space="preserve">人，实有在编人数 </w:t>
      </w:r>
      <w:r>
        <w:rPr>
          <w:rFonts w:hint="eastAsia" w:ascii="仿宋" w:hAnsi="仿宋" w:eastAsia="仿宋" w:cs="仿宋"/>
          <w:color w:val="auto"/>
          <w:sz w:val="28"/>
          <w:szCs w:val="28"/>
          <w:lang w:val="en-US" w:eastAsia="zh-CN"/>
        </w:rPr>
        <w:t>51</w:t>
      </w:r>
      <w:r>
        <w:rPr>
          <w:rFonts w:hint="eastAsia" w:ascii="仿宋" w:hAnsi="仿宋" w:eastAsia="仿宋" w:cs="仿宋"/>
          <w:color w:val="auto"/>
          <w:sz w:val="28"/>
          <w:szCs w:val="28"/>
        </w:rPr>
        <w:t>人。统</w:t>
      </w:r>
      <w:r>
        <w:rPr>
          <w:rFonts w:hint="eastAsia" w:ascii="仿宋" w:hAnsi="仿宋" w:eastAsia="仿宋" w:cs="仿宋"/>
          <w:color w:val="auto"/>
          <w:sz w:val="28"/>
          <w:szCs w:val="28"/>
          <w:lang w:eastAsia="zh-CN"/>
        </w:rPr>
        <w:t>一</w:t>
      </w:r>
      <w:r>
        <w:rPr>
          <w:rFonts w:hint="eastAsia" w:ascii="仿宋" w:hAnsi="仿宋" w:eastAsia="仿宋" w:cs="仿宋"/>
          <w:color w:val="auto"/>
          <w:sz w:val="28"/>
          <w:szCs w:val="28"/>
        </w:rPr>
        <w:t>社会信用代码</w:t>
      </w:r>
      <w:r>
        <w:rPr>
          <w:rFonts w:hint="eastAsia" w:ascii="仿宋" w:hAnsi="仿宋" w:eastAsia="仿宋" w:cs="仿宋"/>
          <w:color w:val="auto"/>
          <w:sz w:val="28"/>
          <w:szCs w:val="28"/>
          <w:lang w:val="en-US" w:eastAsia="zh-CN"/>
        </w:rPr>
        <w:t>12431125776797299N</w:t>
      </w:r>
      <w:r>
        <w:rPr>
          <w:rFonts w:hint="eastAsia" w:ascii="仿宋" w:hAnsi="仿宋" w:eastAsia="仿宋" w:cs="仿宋"/>
          <w:color w:val="auto"/>
          <w:sz w:val="28"/>
          <w:szCs w:val="28"/>
        </w:rPr>
        <w:t>，法人</w:t>
      </w:r>
      <w:r>
        <w:rPr>
          <w:rFonts w:hint="eastAsia" w:ascii="仿宋" w:hAnsi="仿宋" w:eastAsia="仿宋" w:cs="仿宋"/>
          <w:color w:val="auto"/>
          <w:sz w:val="28"/>
          <w:szCs w:val="28"/>
          <w:lang w:val="en-US" w:eastAsia="zh-CN"/>
        </w:rPr>
        <w:t>代表</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何春红</w:t>
      </w:r>
      <w:r>
        <w:rPr>
          <w:rFonts w:hint="eastAsia" w:ascii="仿宋" w:hAnsi="仿宋" w:eastAsia="仿宋" w:cs="仿宋"/>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单位主要职责:</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贯彻执行国家、省、</w:t>
      </w:r>
      <w:r>
        <w:rPr>
          <w:rFonts w:hint="eastAsia" w:ascii="仿宋" w:hAnsi="仿宋" w:eastAsia="仿宋" w:cs="仿宋"/>
          <w:color w:val="auto"/>
          <w:sz w:val="28"/>
          <w:szCs w:val="28"/>
          <w:lang w:val="en-US" w:eastAsia="zh-CN"/>
        </w:rPr>
        <w:t>市</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县</w:t>
      </w:r>
      <w:r>
        <w:rPr>
          <w:rFonts w:hint="eastAsia" w:ascii="仿宋" w:hAnsi="仿宋" w:eastAsia="仿宋" w:cs="仿宋"/>
          <w:color w:val="auto"/>
          <w:sz w:val="28"/>
          <w:szCs w:val="28"/>
        </w:rPr>
        <w:t>有关教育教学法律、法规和政策，拟订本校教育教学管理有关规章制度，并实施监督、检查、考核。对本校的教职员工进行业务培训，工资申报，实施国家各项教育法规要求的专项事务。负责本校基础设施建设，实施全方位跟踪监督，测算工程量，上报基建进度，审核资金运行，确保专款专用。</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(二)本单位</w:t>
      </w:r>
      <w:r>
        <w:rPr>
          <w:rFonts w:hint="eastAsia" w:ascii="仿宋" w:hAnsi="仿宋" w:eastAsia="仿宋" w:cs="仿宋"/>
          <w:color w:val="auto"/>
          <w:sz w:val="28"/>
          <w:szCs w:val="28"/>
          <w:lang w:val="en-US" w:eastAsia="zh-CN"/>
        </w:rPr>
        <w:t>2024</w:t>
      </w:r>
      <w:r>
        <w:rPr>
          <w:rFonts w:hint="eastAsia" w:ascii="仿宋" w:hAnsi="仿宋" w:eastAsia="仿宋" w:cs="仿宋"/>
          <w:color w:val="auto"/>
          <w:sz w:val="28"/>
          <w:szCs w:val="28"/>
        </w:rPr>
        <w:t>年的整体绩效目标为:</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贯彻落实党和国家的相关教育政策方针</w:t>
      </w:r>
      <w:r>
        <w:rPr>
          <w:rFonts w:hint="eastAsia" w:ascii="仿宋" w:hAnsi="仿宋" w:eastAsia="仿宋" w:cs="仿宋"/>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加强校园安全管理工作，在全体师生中积极宣传安全教育知识</w:t>
      </w:r>
      <w:r>
        <w:rPr>
          <w:rFonts w:hint="eastAsia" w:ascii="仿宋" w:hAnsi="仿宋" w:eastAsia="仿宋" w:cs="仿宋"/>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3、积极加强教师培训工作及师德师风建设工作</w:t>
      </w:r>
      <w:r>
        <w:rPr>
          <w:rFonts w:hint="eastAsia" w:ascii="仿宋" w:hAnsi="仿宋" w:eastAsia="仿宋" w:cs="仿宋"/>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4、认真抓好教育教学质量，全面推行素质教育，培养合格的社会主义建设者和接班人</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加强学校后勤管理工作，营造良好的校园文化氛围，抓好学校各项项目建设工作，努力改善办学条件;</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15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严肃财经纪律，开源节流，合理开支相关经费20</w:t>
      </w:r>
      <w:r>
        <w:rPr>
          <w:rFonts w:hint="eastAsia" w:ascii="仿宋" w:hAnsi="仿宋" w:eastAsia="仿宋" w:cs="仿宋"/>
          <w:color w:val="auto"/>
          <w:sz w:val="28"/>
          <w:szCs w:val="28"/>
          <w:lang w:val="en-US" w:eastAsia="zh-CN"/>
        </w:rPr>
        <w:t>23</w:t>
      </w:r>
      <w:r>
        <w:rPr>
          <w:rFonts w:hint="eastAsia" w:ascii="仿宋" w:hAnsi="仿宋" w:eastAsia="仿宋" w:cs="仿宋"/>
          <w:color w:val="auto"/>
          <w:sz w:val="28"/>
          <w:szCs w:val="28"/>
        </w:rPr>
        <w:t>年度收支情况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200"/>
        <w:textAlignment w:val="auto"/>
        <w:rPr>
          <w:rFonts w:hint="default" w:ascii="仿宋" w:hAnsi="仿宋" w:eastAsia="仿宋" w:cs="仿宋"/>
          <w:b/>
          <w:bCs/>
          <w:color w:val="auto"/>
          <w:sz w:val="28"/>
          <w:szCs w:val="28"/>
          <w:lang w:val="en-US"/>
        </w:rPr>
      </w:pPr>
      <w:r>
        <w:rPr>
          <w:rFonts w:hint="eastAsia" w:ascii="仿宋" w:hAnsi="仿宋" w:eastAsia="仿宋" w:cs="仿宋"/>
          <w:b/>
          <w:bCs/>
          <w:color w:val="auto"/>
          <w:sz w:val="28"/>
          <w:szCs w:val="28"/>
          <w:lang w:val="en-US" w:eastAsia="zh-CN"/>
        </w:rPr>
        <w:t>二、一般公共预算目支出情况</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为了保障我校日常工作正常运转，2024年度单位整体支出绩效为1037.16万元，其中: (1)基本支出为943.47万元，其中人员经费780.28万元，公用经费163.18万元; (2) 项目支出为0万元。</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(一)基本支出情况</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default"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2024年本单位基本支出预算数1037.16万元，主要是为保障部门正常运转、完成日常工作任务而发生的各项支出，包括用于基本工资、津贴补贴等人员经费以及办公费、印刷费、水电费、办公设备购置等公用经费。其中:人员经费780.28万元，人员经费用于基本工资、津贴补贴、奖金、绩效工资、职工基本医疗保险、社会保障缴费、其他工资福利支出等，公用经费163.18万元，公用经费用于办公费、日常印刷费、水费、电费、邮电费、差旅费、日常维修(护)费、租赁费、会议费、培训费、公务接待费、劳务费、工会经费、其他交通费、其他一般商品和服务支出等。</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1、</w:t>
      </w:r>
      <w:r>
        <w:rPr>
          <w:rFonts w:hint="eastAsia" w:ascii="仿宋" w:hAnsi="仿宋" w:eastAsia="仿宋" w:cs="仿宋"/>
          <w:b w:val="0"/>
          <w:bCs w:val="0"/>
          <w:color w:val="auto"/>
          <w:sz w:val="28"/>
          <w:szCs w:val="28"/>
        </w:rPr>
        <w:t>“三公”经费支出情况。</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2024年</w:t>
      </w:r>
      <w:r>
        <w:rPr>
          <w:rFonts w:hint="eastAsia" w:ascii="仿宋" w:hAnsi="仿宋" w:eastAsia="仿宋" w:cs="仿宋"/>
          <w:color w:val="auto"/>
          <w:sz w:val="28"/>
          <w:szCs w:val="28"/>
        </w:rPr>
        <w:t>共计支出</w:t>
      </w:r>
      <w:r>
        <w:rPr>
          <w:rFonts w:hint="eastAsia" w:ascii="仿宋" w:hAnsi="仿宋" w:eastAsia="仿宋" w:cs="仿宋"/>
          <w:color w:val="auto"/>
          <w:sz w:val="28"/>
          <w:szCs w:val="28"/>
          <w:lang w:val="en-US" w:eastAsia="zh-CN"/>
        </w:rPr>
        <w:t>1.51</w:t>
      </w:r>
      <w:r>
        <w:rPr>
          <w:rFonts w:hint="eastAsia" w:ascii="仿宋" w:hAnsi="仿宋" w:eastAsia="仿宋" w:cs="仿宋"/>
          <w:color w:val="auto"/>
          <w:sz w:val="28"/>
          <w:szCs w:val="28"/>
        </w:rPr>
        <w:t>万元。其中因公出国(境) 经费 0万元，公务接待费</w:t>
      </w:r>
      <w:r>
        <w:rPr>
          <w:rFonts w:hint="eastAsia" w:ascii="仿宋" w:hAnsi="仿宋" w:eastAsia="仿宋" w:cs="仿宋"/>
          <w:color w:val="auto"/>
          <w:sz w:val="28"/>
          <w:szCs w:val="28"/>
          <w:lang w:val="en-US" w:eastAsia="zh-CN"/>
        </w:rPr>
        <w:t>1.51</w:t>
      </w:r>
      <w:r>
        <w:rPr>
          <w:rFonts w:hint="eastAsia" w:ascii="仿宋" w:hAnsi="仿宋" w:eastAsia="仿宋" w:cs="仿宋"/>
          <w:color w:val="auto"/>
          <w:sz w:val="28"/>
          <w:szCs w:val="28"/>
        </w:rPr>
        <w:t xml:space="preserve">万元，公务用车购置及运行维护费 </w:t>
      </w:r>
      <w:r>
        <w:rPr>
          <w:rFonts w:hint="eastAsia" w:ascii="仿宋" w:hAnsi="仿宋" w:eastAsia="仿宋" w:cs="仿宋"/>
          <w:color w:val="auto"/>
          <w:sz w:val="28"/>
          <w:szCs w:val="28"/>
          <w:lang w:val="en-US" w:eastAsia="zh-CN"/>
        </w:rPr>
        <w:t>0</w:t>
      </w:r>
      <w:r>
        <w:rPr>
          <w:rFonts w:hint="eastAsia" w:ascii="仿宋" w:hAnsi="仿宋" w:eastAsia="仿宋" w:cs="仿宋"/>
          <w:color w:val="auto"/>
          <w:sz w:val="28"/>
          <w:szCs w:val="28"/>
        </w:rPr>
        <w:t xml:space="preserve"> 万元(含购置费 0万元，运行维护费 </w:t>
      </w:r>
      <w:r>
        <w:rPr>
          <w:rFonts w:hint="eastAsia" w:ascii="仿宋" w:hAnsi="仿宋" w:eastAsia="仿宋" w:cs="仿宋"/>
          <w:color w:val="auto"/>
          <w:sz w:val="28"/>
          <w:szCs w:val="28"/>
          <w:lang w:val="en-US" w:eastAsia="zh-CN"/>
        </w:rPr>
        <w:t>0</w:t>
      </w:r>
      <w:r>
        <w:rPr>
          <w:rFonts w:hint="eastAsia" w:ascii="仿宋" w:hAnsi="仿宋" w:eastAsia="仿宋" w:cs="仿宋"/>
          <w:color w:val="auto"/>
          <w:sz w:val="28"/>
          <w:szCs w:val="28"/>
        </w:rPr>
        <w:t>万元)。</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(四) 会议费和培训费情况。</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2024年</w:t>
      </w:r>
      <w:r>
        <w:rPr>
          <w:rFonts w:hint="eastAsia" w:ascii="仿宋" w:hAnsi="仿宋" w:eastAsia="仿宋" w:cs="仿宋"/>
          <w:color w:val="auto"/>
          <w:sz w:val="28"/>
          <w:szCs w:val="28"/>
        </w:rPr>
        <w:t>会议费支出</w:t>
      </w:r>
      <w:r>
        <w:rPr>
          <w:rFonts w:hint="eastAsia" w:ascii="仿宋" w:hAnsi="仿宋" w:eastAsia="仿宋" w:cs="仿宋"/>
          <w:color w:val="auto"/>
          <w:sz w:val="28"/>
          <w:szCs w:val="28"/>
          <w:lang w:val="en-US" w:eastAsia="zh-CN"/>
        </w:rPr>
        <w:t>0</w:t>
      </w:r>
      <w:r>
        <w:rPr>
          <w:rFonts w:hint="eastAsia" w:ascii="仿宋" w:hAnsi="仿宋" w:eastAsia="仿宋" w:cs="仿宋"/>
          <w:color w:val="auto"/>
          <w:sz w:val="28"/>
          <w:szCs w:val="28"/>
        </w:rPr>
        <w:t xml:space="preserve"> 万元，培训费</w:t>
      </w:r>
      <w:r>
        <w:rPr>
          <w:rFonts w:hint="eastAsia" w:ascii="仿宋" w:hAnsi="仿宋" w:eastAsia="仿宋" w:cs="仿宋"/>
          <w:color w:val="auto"/>
          <w:sz w:val="28"/>
          <w:szCs w:val="28"/>
          <w:lang w:val="en-US" w:eastAsia="zh-CN"/>
        </w:rPr>
        <w:t>8.51</w:t>
      </w:r>
      <w:r>
        <w:rPr>
          <w:rFonts w:hint="eastAsia" w:ascii="仿宋" w:hAnsi="仿宋" w:eastAsia="仿宋" w:cs="仿宋"/>
          <w:color w:val="auto"/>
          <w:sz w:val="28"/>
          <w:szCs w:val="28"/>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二</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、项目支出情况</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color w:val="auto"/>
          <w:sz w:val="28"/>
          <w:szCs w:val="28"/>
        </w:rPr>
        <w:t>本单位</w:t>
      </w:r>
      <w:r>
        <w:rPr>
          <w:rFonts w:hint="eastAsia" w:ascii="仿宋" w:hAnsi="仿宋" w:eastAsia="仿宋" w:cs="仿宋"/>
          <w:color w:val="auto"/>
          <w:sz w:val="28"/>
          <w:szCs w:val="28"/>
          <w:lang w:eastAsia="zh-CN"/>
        </w:rPr>
        <w:t>202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年度项目资金支出</w:t>
      </w:r>
      <w:r>
        <w:rPr>
          <w:rFonts w:hint="eastAsia" w:ascii="仿宋" w:hAnsi="仿宋" w:eastAsia="仿宋" w:cs="仿宋"/>
          <w:b w:val="0"/>
          <w:bCs w:val="0"/>
          <w:color w:val="auto"/>
          <w:sz w:val="28"/>
          <w:szCs w:val="28"/>
          <w:lang w:val="en-US" w:eastAsia="zh-CN"/>
        </w:rPr>
        <w:t>0。</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三、</w:t>
      </w:r>
      <w:r>
        <w:rPr>
          <w:rFonts w:hint="eastAsia" w:ascii="仿宋" w:hAnsi="仿宋" w:eastAsia="仿宋" w:cs="仿宋"/>
          <w:b/>
          <w:bCs/>
          <w:color w:val="auto"/>
          <w:sz w:val="28"/>
          <w:szCs w:val="28"/>
        </w:rPr>
        <w:t>政府性基金预算支出情况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我校没有政府性基金预算支出情况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四、国有资本经营预算支出情况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我校没有国有资本经营预算支出情况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五、社会保险基金预算支出情况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我校没有社会保险基金预算支出情况。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六、部门整体支出绩效情况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我校始终坚持“教育为本”的原则，在</w:t>
      </w:r>
      <w:r>
        <w:rPr>
          <w:rFonts w:hint="eastAsia" w:ascii="仿宋" w:hAnsi="仿宋" w:eastAsia="仿宋" w:cs="仿宋"/>
          <w:color w:val="auto"/>
          <w:sz w:val="28"/>
          <w:szCs w:val="28"/>
          <w:lang w:val="en-US" w:eastAsia="zh-CN"/>
        </w:rPr>
        <w:t>县委县政府</w:t>
      </w:r>
      <w:r>
        <w:rPr>
          <w:rFonts w:hint="eastAsia" w:ascii="仿宋" w:hAnsi="仿宋" w:eastAsia="仿宋" w:cs="仿宋"/>
          <w:color w:val="auto"/>
          <w:sz w:val="28"/>
          <w:szCs w:val="28"/>
        </w:rPr>
        <w:t>及各部门的关心支持下，在全校教职工的共同努力下，深入贯彻党的</w:t>
      </w:r>
      <w:r>
        <w:rPr>
          <w:rFonts w:hint="eastAsia" w:ascii="仿宋" w:hAnsi="仿宋" w:eastAsia="仿宋" w:cs="仿宋"/>
          <w:color w:val="auto"/>
          <w:sz w:val="28"/>
          <w:szCs w:val="28"/>
          <w:lang w:val="en-US" w:eastAsia="zh-CN"/>
        </w:rPr>
        <w:t>二十大</w:t>
      </w:r>
      <w:bookmarkStart w:id="0" w:name="_GoBack"/>
      <w:bookmarkEnd w:id="0"/>
      <w:r>
        <w:rPr>
          <w:rFonts w:hint="eastAsia" w:ascii="仿宋" w:hAnsi="仿宋" w:eastAsia="仿宋" w:cs="仿宋"/>
          <w:color w:val="auto"/>
          <w:sz w:val="28"/>
          <w:szCs w:val="28"/>
        </w:rPr>
        <w:t>精神</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围绕中心，服务大局，全面加强党的建设，协同推进教学培训、宣传宣讲、乡村振兴、四大行动等各项工作，取得了一定的进步和成绩。</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绩效目标完成率为100%，实际完成率</w:t>
      </w:r>
      <w:r>
        <w:rPr>
          <w:rFonts w:hint="eastAsia" w:ascii="仿宋" w:hAnsi="仿宋" w:eastAsia="仿宋" w:cs="仿宋"/>
          <w:color w:val="auto"/>
          <w:sz w:val="28"/>
          <w:szCs w:val="28"/>
          <w:lang w:val="en-US" w:eastAsia="zh-CN"/>
        </w:rPr>
        <w:t>100</w:t>
      </w:r>
      <w:r>
        <w:rPr>
          <w:rFonts w:hint="eastAsia" w:ascii="仿宋" w:hAnsi="仿宋" w:eastAsia="仿宋" w:cs="仿宋"/>
          <w:color w:val="auto"/>
          <w:sz w:val="28"/>
          <w:szCs w:val="28"/>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从履职及履职效益情况来看，总体效果比较好。从经济性来看，各负责部门能够按照预算来抓好成本控制，强化勤俭办事的意识，注重节约开支，年度开支控制在财政局规定的范围内;从效率性来看各部门对所承担的工作能够按照计划的时间把握进度，抓好质量，注重了工作的效率</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从有效性来看各专项工作的分工负责部门均能够按照制度和各自的目标来抓好落实，注重了专项资金的使用效果;从可持续性来看，后续的政策、相关的配套资金、必要的人员机构要继续保持，管理制度做到与时俱进相关内容进行了及时补充</w:t>
      </w:r>
      <w:r>
        <w:rPr>
          <w:rFonts w:hint="eastAsia" w:ascii="仿宋" w:hAnsi="仿宋" w:eastAsia="仿宋" w:cs="仿宋"/>
          <w:color w:val="auto"/>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七</w:t>
      </w:r>
      <w:r>
        <w:rPr>
          <w:rFonts w:hint="eastAsia" w:ascii="仿宋" w:hAnsi="仿宋" w:eastAsia="仿宋" w:cs="仿宋"/>
          <w:b/>
          <w:bCs/>
          <w:color w:val="auto"/>
          <w:sz w:val="28"/>
          <w:szCs w:val="28"/>
        </w:rPr>
        <w:t>、自查中存在的问题</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国库支付不及时，导致年底部分录单未支付，有些</w:t>
      </w:r>
      <w:r>
        <w:rPr>
          <w:rFonts w:hint="eastAsia" w:ascii="仿宋" w:hAnsi="仿宋" w:eastAsia="仿宋" w:cs="仿宋"/>
          <w:color w:val="auto"/>
          <w:sz w:val="28"/>
          <w:szCs w:val="28"/>
        </w:rPr>
        <w:t>财政资金有时拨付较晚，例如年底，而相关资金尚未来得及使用</w:t>
      </w:r>
      <w:r>
        <w:rPr>
          <w:rFonts w:hint="eastAsia" w:ascii="仿宋" w:hAnsi="仿宋" w:eastAsia="仿宋" w:cs="仿宋"/>
          <w:color w:val="auto"/>
          <w:sz w:val="28"/>
          <w:szCs w:val="28"/>
          <w:lang w:val="en-US" w:eastAsia="zh-CN"/>
        </w:rPr>
        <w:t>等原因，</w:t>
      </w:r>
      <w:r>
        <w:rPr>
          <w:rFonts w:hint="eastAsia" w:ascii="仿宋" w:hAnsi="仿宋" w:eastAsia="仿宋" w:cs="仿宋"/>
          <w:color w:val="auto"/>
          <w:sz w:val="28"/>
          <w:szCs w:val="28"/>
        </w:rPr>
        <w:t>导致账目上资金有所结余。因此在评价“预算完成率”这项指标时会导致评分基准不够合理。因为，某些项目是在年底才启动，而这项项目通常需要跨年才能够完成，故把这些项目纳入考核范围内欠缺合理性。建议</w:t>
      </w:r>
      <w:r>
        <w:rPr>
          <w:rFonts w:hint="eastAsia" w:ascii="仿宋" w:hAnsi="仿宋" w:eastAsia="仿宋" w:cs="仿宋"/>
          <w:color w:val="auto"/>
          <w:sz w:val="28"/>
          <w:szCs w:val="28"/>
          <w:lang w:val="en-US" w:eastAsia="zh-CN"/>
        </w:rPr>
        <w:t>国库能及时支付合理的支出资金，</w:t>
      </w:r>
      <w:r>
        <w:rPr>
          <w:rFonts w:hint="eastAsia" w:ascii="仿宋" w:hAnsi="仿宋" w:eastAsia="仿宋" w:cs="仿宋"/>
          <w:color w:val="auto"/>
          <w:sz w:val="28"/>
          <w:szCs w:val="28"/>
        </w:rPr>
        <w:t>在对财政资金拨付时应尽量早，这样使评价工作也更合理、顺利。</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八</w:t>
      </w:r>
      <w:r>
        <w:rPr>
          <w:rFonts w:hint="eastAsia" w:ascii="仿宋" w:hAnsi="仿宋" w:eastAsia="仿宋" w:cs="仿宋"/>
          <w:b/>
          <w:bCs/>
          <w:color w:val="auto"/>
          <w:sz w:val="28"/>
          <w:szCs w:val="28"/>
        </w:rPr>
        <w:t>、下一步改进措施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进一步健全和完善财务管理制度及内部控制制度，创新管理手段，用新思路、新方法，改进完善财务管理方法。</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按照财政支出绩效管理的要求，建立科学的财政资金效益考评制度体系，不断提高财政资金使用管理的水</w:t>
      </w:r>
      <w:r>
        <w:rPr>
          <w:rFonts w:hint="eastAsia" w:ascii="仿宋" w:hAnsi="仿宋" w:eastAsia="仿宋" w:cs="仿宋"/>
          <w:color w:val="auto"/>
          <w:sz w:val="28"/>
          <w:szCs w:val="28"/>
          <w:lang w:val="en-US" w:eastAsia="zh-CN"/>
        </w:rPr>
        <w:t>平</w:t>
      </w:r>
      <w:r>
        <w:rPr>
          <w:rFonts w:hint="eastAsia" w:ascii="仿宋" w:hAnsi="仿宋" w:eastAsia="仿宋" w:cs="仿宋"/>
          <w:color w:val="auto"/>
          <w:sz w:val="28"/>
          <w:szCs w:val="28"/>
        </w:rPr>
        <w:t>和效率。</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九</w:t>
      </w:r>
      <w:r>
        <w:rPr>
          <w:rFonts w:hint="eastAsia" w:ascii="仿宋" w:hAnsi="仿宋" w:eastAsia="仿宋" w:cs="仿宋"/>
          <w:b/>
          <w:bCs/>
          <w:color w:val="auto"/>
          <w:sz w:val="28"/>
          <w:szCs w:val="28"/>
        </w:rPr>
        <w:t>、绩效自评结果拟应用和公开情况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根据我校</w:t>
      </w:r>
      <w:r>
        <w:rPr>
          <w:rFonts w:hint="eastAsia" w:ascii="仿宋" w:hAnsi="仿宋" w:eastAsia="仿宋" w:cs="仿宋"/>
          <w:color w:val="auto"/>
          <w:sz w:val="28"/>
          <w:szCs w:val="28"/>
          <w:lang w:eastAsia="zh-CN"/>
        </w:rPr>
        <w:t>202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年度财政资金绩效自评结果，我校制定和完善部门管理制度，及时开展厉行节约严格管理专项活动。</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1、强化我校单位内部控制制度，预算管理、收支管理、财务管理、资产管理、采购管理、项目建设、合同管理的执行</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2、加强内部监督管理，有效的克服制度较多但内控的有效性不明显的弊端，有待加强。</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按照上级要求真实、完整、准确的公开预决算信息、绩效评估报告信息，基础数据信息和会计信息等资料。</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0" w:firstLineChars="15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江永县上江圩镇中学</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480" w:firstLineChars="16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2025年4月16日</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8"/>
          <w:szCs w:val="28"/>
          <w:lang w:val="en-US" w:eastAsia="zh-CN"/>
        </w:rPr>
      </w:pPr>
    </w:p>
    <w:tbl>
      <w:tblPr>
        <w:tblStyle w:val="2"/>
        <w:tblW w:w="11190" w:type="dxa"/>
        <w:tblInd w:w="-67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5"/>
        <w:gridCol w:w="1300"/>
        <w:gridCol w:w="1305"/>
        <w:gridCol w:w="335"/>
        <w:gridCol w:w="236"/>
        <w:gridCol w:w="584"/>
        <w:gridCol w:w="17"/>
        <w:gridCol w:w="337"/>
        <w:gridCol w:w="236"/>
        <w:gridCol w:w="580"/>
        <w:gridCol w:w="1185"/>
        <w:gridCol w:w="2"/>
        <w:gridCol w:w="1166"/>
        <w:gridCol w:w="107"/>
        <w:gridCol w:w="1096"/>
        <w:gridCol w:w="293"/>
        <w:gridCol w:w="166"/>
        <w:gridCol w:w="744"/>
        <w:gridCol w:w="2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1146" w:type="dxa"/>
          <w:trHeight w:val="402" w:hRule="atLeast"/>
        </w:trPr>
        <w:tc>
          <w:tcPr>
            <w:tcW w:w="10044" w:type="dxa"/>
            <w:gridSpan w:val="16"/>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基础数据表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1146" w:type="dxa"/>
          <w:trHeight w:val="409" w:hRule="atLeast"/>
        </w:trPr>
        <w:tc>
          <w:tcPr>
            <w:tcW w:w="256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财政供养人员情况</w:t>
            </w:r>
          </w:p>
        </w:tc>
        <w:tc>
          <w:tcPr>
            <w:tcW w:w="246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编制数</w:t>
            </w:r>
          </w:p>
        </w:tc>
        <w:tc>
          <w:tcPr>
            <w:tcW w:w="235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2024年实际在职人数</w:t>
            </w:r>
          </w:p>
        </w:tc>
        <w:tc>
          <w:tcPr>
            <w:tcW w:w="266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控制率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1146" w:type="dxa"/>
          <w:trHeight w:val="443" w:hRule="atLeast"/>
        </w:trPr>
        <w:tc>
          <w:tcPr>
            <w:tcW w:w="25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18"/>
                <w:szCs w:val="18"/>
                <w:u w:val="none"/>
              </w:rPr>
            </w:pPr>
          </w:p>
        </w:tc>
        <w:tc>
          <w:tcPr>
            <w:tcW w:w="246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w:t>
            </w:r>
          </w:p>
        </w:tc>
        <w:tc>
          <w:tcPr>
            <w:tcW w:w="235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w:t>
            </w:r>
          </w:p>
        </w:tc>
        <w:tc>
          <w:tcPr>
            <w:tcW w:w="266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1146" w:type="dxa"/>
          <w:trHeight w:val="638" w:hRule="atLeast"/>
        </w:trPr>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经费控制情况(万元)</w:t>
            </w:r>
          </w:p>
        </w:tc>
        <w:tc>
          <w:tcPr>
            <w:tcW w:w="246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2023年决算数</w:t>
            </w:r>
          </w:p>
        </w:tc>
        <w:tc>
          <w:tcPr>
            <w:tcW w:w="235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2024年预算数</w:t>
            </w:r>
          </w:p>
        </w:tc>
        <w:tc>
          <w:tcPr>
            <w:tcW w:w="266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2024年决算数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1146" w:type="dxa"/>
          <w:trHeight w:val="399" w:hRule="atLeast"/>
        </w:trPr>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三公经费</w:t>
            </w:r>
          </w:p>
        </w:tc>
        <w:tc>
          <w:tcPr>
            <w:tcW w:w="246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235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266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1146" w:type="dxa"/>
          <w:trHeight w:val="414" w:hRule="atLeast"/>
        </w:trPr>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1、公务用车购置和维护经费</w:t>
            </w:r>
          </w:p>
        </w:tc>
        <w:tc>
          <w:tcPr>
            <w:tcW w:w="246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35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1146" w:type="dxa"/>
          <w:trHeight w:val="444" w:hRule="atLeast"/>
        </w:trPr>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其中：公车购置</w:t>
            </w:r>
          </w:p>
        </w:tc>
        <w:tc>
          <w:tcPr>
            <w:tcW w:w="246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35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6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1146" w:type="dxa"/>
          <w:trHeight w:val="429" w:hRule="atLeast"/>
        </w:trPr>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公车运行维护</w:t>
            </w:r>
          </w:p>
        </w:tc>
        <w:tc>
          <w:tcPr>
            <w:tcW w:w="246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35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6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1146" w:type="dxa"/>
          <w:trHeight w:val="429" w:hRule="atLeast"/>
        </w:trPr>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2、出国经费</w:t>
            </w:r>
          </w:p>
        </w:tc>
        <w:tc>
          <w:tcPr>
            <w:tcW w:w="246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35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6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1146" w:type="dxa"/>
          <w:trHeight w:val="429" w:hRule="atLeast"/>
        </w:trPr>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3、公务接待</w:t>
            </w:r>
          </w:p>
        </w:tc>
        <w:tc>
          <w:tcPr>
            <w:tcW w:w="246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235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266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1146" w:type="dxa"/>
          <w:trHeight w:val="514" w:hRule="atLeast"/>
        </w:trPr>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项目支出：</w:t>
            </w:r>
          </w:p>
        </w:tc>
        <w:tc>
          <w:tcPr>
            <w:tcW w:w="246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35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1146" w:type="dxa"/>
          <w:trHeight w:val="464" w:hRule="atLeast"/>
        </w:trPr>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1、业务工作经费</w:t>
            </w:r>
          </w:p>
        </w:tc>
        <w:tc>
          <w:tcPr>
            <w:tcW w:w="246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35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6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1146" w:type="dxa"/>
          <w:trHeight w:val="504" w:hRule="atLeast"/>
        </w:trPr>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2、运行维护经费</w:t>
            </w:r>
          </w:p>
        </w:tc>
        <w:tc>
          <w:tcPr>
            <w:tcW w:w="246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35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6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1146" w:type="dxa"/>
          <w:trHeight w:val="524" w:hRule="atLeast"/>
        </w:trPr>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3、本级专项资金（一个专项一行）</w:t>
            </w:r>
          </w:p>
        </w:tc>
        <w:tc>
          <w:tcPr>
            <w:tcW w:w="246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35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6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1146" w:type="dxa"/>
          <w:trHeight w:val="429" w:hRule="atLeast"/>
        </w:trPr>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w:t>
            </w:r>
          </w:p>
        </w:tc>
        <w:tc>
          <w:tcPr>
            <w:tcW w:w="246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98.2</w:t>
            </w:r>
          </w:p>
        </w:tc>
        <w:tc>
          <w:tcPr>
            <w:tcW w:w="235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163.18</w:t>
            </w:r>
          </w:p>
        </w:tc>
        <w:tc>
          <w:tcPr>
            <w:tcW w:w="266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163.18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1146" w:type="dxa"/>
          <w:trHeight w:val="459" w:hRule="atLeast"/>
        </w:trPr>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其中：办公经费</w:t>
            </w:r>
          </w:p>
        </w:tc>
        <w:tc>
          <w:tcPr>
            <w:tcW w:w="246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17.02</w:t>
            </w:r>
          </w:p>
        </w:tc>
        <w:tc>
          <w:tcPr>
            <w:tcW w:w="235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13.29</w:t>
            </w:r>
          </w:p>
        </w:tc>
        <w:tc>
          <w:tcPr>
            <w:tcW w:w="266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1146" w:type="dxa"/>
          <w:trHeight w:val="459" w:hRule="atLeast"/>
        </w:trPr>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水费、电费、差旅费</w:t>
            </w:r>
          </w:p>
        </w:tc>
        <w:tc>
          <w:tcPr>
            <w:tcW w:w="246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6.55</w:t>
            </w:r>
          </w:p>
        </w:tc>
        <w:tc>
          <w:tcPr>
            <w:tcW w:w="235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w:t>
            </w:r>
          </w:p>
        </w:tc>
        <w:tc>
          <w:tcPr>
            <w:tcW w:w="266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1146" w:type="dxa"/>
          <w:trHeight w:val="474" w:hRule="atLeast"/>
        </w:trPr>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会议费、培训费</w:t>
            </w:r>
          </w:p>
        </w:tc>
        <w:tc>
          <w:tcPr>
            <w:tcW w:w="246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4.99</w:t>
            </w:r>
          </w:p>
        </w:tc>
        <w:tc>
          <w:tcPr>
            <w:tcW w:w="235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8.51</w:t>
            </w:r>
          </w:p>
        </w:tc>
        <w:tc>
          <w:tcPr>
            <w:tcW w:w="266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1146" w:type="dxa"/>
          <w:trHeight w:val="464" w:hRule="atLeast"/>
        </w:trPr>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政府采购金额</w:t>
            </w:r>
          </w:p>
        </w:tc>
        <w:tc>
          <w:tcPr>
            <w:tcW w:w="246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35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6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1146" w:type="dxa"/>
          <w:trHeight w:val="489" w:hRule="atLeast"/>
        </w:trPr>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部门基本支出预算调整 </w:t>
            </w:r>
          </w:p>
        </w:tc>
        <w:tc>
          <w:tcPr>
            <w:tcW w:w="246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35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66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1146" w:type="dxa"/>
          <w:trHeight w:val="806" w:hRule="atLeast"/>
        </w:trPr>
        <w:tc>
          <w:tcPr>
            <w:tcW w:w="256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楼堂馆所控制情况 </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（2024年完工项目）</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批复规模 </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w:t>
            </w:r>
          </w:p>
        </w:tc>
        <w:tc>
          <w:tcPr>
            <w:tcW w:w="11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实际规模</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w:t>
            </w:r>
          </w:p>
        </w:tc>
        <w:tc>
          <w:tcPr>
            <w:tcW w:w="115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规模控制率</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预算投资</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12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实际投资</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投资概算控制率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1146" w:type="dxa"/>
          <w:trHeight w:val="633" w:hRule="atLeast"/>
        </w:trPr>
        <w:tc>
          <w:tcPr>
            <w:tcW w:w="25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17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15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1146" w:type="dxa"/>
          <w:trHeight w:val="1620" w:hRule="atLeast"/>
        </w:trPr>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厉行节约保障措施</w:t>
            </w:r>
          </w:p>
        </w:tc>
        <w:tc>
          <w:tcPr>
            <w:tcW w:w="7479" w:type="dxa"/>
            <w:gridSpan w:val="1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26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30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640" w:type="dxa"/>
            <w:gridSpan w:val="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3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38" w:type="dxa"/>
            <w:gridSpan w:val="3"/>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3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58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87" w:type="dxa"/>
            <w:gridSpan w:val="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6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03" w:type="dxa"/>
            <w:gridSpan w:val="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59" w:type="dxa"/>
            <w:gridSpan w:val="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4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3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8"/>
          <w:szCs w:val="28"/>
          <w:lang w:val="en-US" w:eastAsia="zh-CN"/>
        </w:rPr>
      </w:pPr>
    </w:p>
    <w:tbl>
      <w:tblPr>
        <w:tblStyle w:val="2"/>
        <w:tblW w:w="10104" w:type="dxa"/>
        <w:tblInd w:w="-97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51"/>
        <w:gridCol w:w="375"/>
        <w:gridCol w:w="759"/>
        <w:gridCol w:w="516"/>
        <w:gridCol w:w="839"/>
        <w:gridCol w:w="595"/>
        <w:gridCol w:w="1170"/>
        <w:gridCol w:w="990"/>
        <w:gridCol w:w="260"/>
        <w:gridCol w:w="1067"/>
        <w:gridCol w:w="463"/>
        <w:gridCol w:w="623"/>
        <w:gridCol w:w="157"/>
        <w:gridCol w:w="12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9" w:hRule="atLeast"/>
        </w:trPr>
        <w:tc>
          <w:tcPr>
            <w:tcW w:w="10104" w:type="dxa"/>
            <w:gridSpan w:val="1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9" w:hRule="atLeast"/>
        </w:trPr>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预算部门名称</w:t>
            </w:r>
          </w:p>
        </w:tc>
        <w:tc>
          <w:tcPr>
            <w:tcW w:w="9053" w:type="dxa"/>
            <w:gridSpan w:val="1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江永县上江圩镇中学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ascii="Microsoft YaHei UI" w:hAnsi="Microsoft YaHei UI" w:eastAsia="Microsoft YaHei UI" w:cs="Microsoft YaHei UI"/>
                <w:i w:val="0"/>
                <w:iCs w:val="0"/>
                <w:color w:val="000000"/>
                <w:sz w:val="18"/>
                <w:szCs w:val="18"/>
                <w:u w:val="none"/>
              </w:rPr>
            </w:pPr>
            <w:r>
              <w:rPr>
                <w:rFonts w:hint="eastAsia" w:ascii="Microsoft YaHei UI" w:hAnsi="Microsoft YaHei UI" w:eastAsia="Microsoft YaHei UI" w:cs="Microsoft YaHei UI"/>
                <w:i w:val="0"/>
                <w:iCs w:val="0"/>
                <w:color w:val="000000"/>
                <w:kern w:val="0"/>
                <w:sz w:val="18"/>
                <w:szCs w:val="18"/>
                <w:u w:val="none"/>
                <w:lang w:val="en-US" w:eastAsia="zh-CN" w:bidi="ar"/>
              </w:rPr>
              <w:t>年度预算申请</w:t>
            </w:r>
            <w:r>
              <w:rPr>
                <w:rFonts w:hint="eastAsia" w:ascii="Microsoft YaHei UI" w:hAnsi="Microsoft YaHei UI" w:eastAsia="Microsoft YaHei UI" w:cs="Microsoft YaHei UI"/>
                <w:i w:val="0"/>
                <w:iCs w:val="0"/>
                <w:color w:val="000000"/>
                <w:kern w:val="0"/>
                <w:sz w:val="18"/>
                <w:szCs w:val="18"/>
                <w:u w:val="none"/>
                <w:lang w:val="en-US" w:eastAsia="zh-CN" w:bidi="ar"/>
              </w:rPr>
              <w:br w:type="textWrapping"/>
            </w:r>
            <w:r>
              <w:rPr>
                <w:rFonts w:hint="eastAsia" w:ascii="Microsoft YaHei UI" w:hAnsi="Microsoft YaHei UI" w:eastAsia="Microsoft YaHei UI" w:cs="Microsoft YaHei UI"/>
                <w:i w:val="0"/>
                <w:iCs w:val="0"/>
                <w:color w:val="000000"/>
                <w:kern w:val="0"/>
                <w:sz w:val="18"/>
                <w:szCs w:val="18"/>
                <w:u w:val="none"/>
                <w:lang w:val="en-US" w:eastAsia="zh-CN" w:bidi="ar"/>
              </w:rPr>
              <w:t>(万元)</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iCs w:val="0"/>
                <w:color w:val="000000"/>
                <w:sz w:val="18"/>
                <w:szCs w:val="18"/>
                <w:u w:val="no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年初预算数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(万元)</w:t>
            </w:r>
          </w:p>
        </w:tc>
        <w:tc>
          <w:tcPr>
            <w:tcW w:w="1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12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8" w:hRule="atLeast"/>
        </w:trPr>
        <w:tc>
          <w:tcPr>
            <w:tcW w:w="1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Microsoft YaHei UI" w:hAnsi="Microsoft YaHei UI" w:eastAsia="Microsoft YaHei UI" w:cs="Microsoft YaHei UI"/>
                <w:i w:val="0"/>
                <w:iCs w:val="0"/>
                <w:color w:val="000000"/>
                <w:sz w:val="18"/>
                <w:szCs w:val="18"/>
                <w:u w:val="none"/>
              </w:rPr>
            </w:pP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年度资金总额：</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663.18</w:t>
            </w:r>
          </w:p>
        </w:tc>
        <w:tc>
          <w:tcPr>
            <w:tcW w:w="1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1037.16</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1037.16</w:t>
            </w: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100.00%</w:t>
            </w:r>
          </w:p>
        </w:tc>
        <w:tc>
          <w:tcPr>
            <w:tcW w:w="12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3" w:hRule="atLeast"/>
        </w:trPr>
        <w:tc>
          <w:tcPr>
            <w:tcW w:w="1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Microsoft YaHei UI" w:hAnsi="Microsoft YaHei UI" w:eastAsia="Microsoft YaHei UI" w:cs="Microsoft YaHei UI"/>
                <w:i w:val="0"/>
                <w:iCs w:val="0"/>
                <w:color w:val="000000"/>
                <w:sz w:val="18"/>
                <w:szCs w:val="18"/>
                <w:u w:val="none"/>
              </w:rPr>
            </w:pPr>
          </w:p>
        </w:tc>
        <w:tc>
          <w:tcPr>
            <w:tcW w:w="550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按收入性质分：</w:t>
            </w:r>
          </w:p>
        </w:tc>
        <w:tc>
          <w:tcPr>
            <w:tcW w:w="354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按支出性质分：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 w:hRule="atLeast"/>
        </w:trPr>
        <w:tc>
          <w:tcPr>
            <w:tcW w:w="1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Microsoft YaHei UI" w:hAnsi="Microsoft YaHei UI" w:eastAsia="Microsoft YaHei UI" w:cs="Microsoft YaHei UI"/>
                <w:i w:val="0"/>
                <w:iCs w:val="0"/>
                <w:color w:val="000000"/>
                <w:sz w:val="18"/>
                <w:szCs w:val="18"/>
                <w:u w:val="none"/>
              </w:rPr>
            </w:pP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一般公共预算：</w:t>
            </w:r>
          </w:p>
        </w:tc>
        <w:tc>
          <w:tcPr>
            <w:tcW w:w="38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1014.51</w:t>
            </w:r>
          </w:p>
        </w:tc>
        <w:tc>
          <w:tcPr>
            <w:tcW w:w="153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其中:基本支出：</w:t>
            </w:r>
          </w:p>
        </w:tc>
        <w:tc>
          <w:tcPr>
            <w:tcW w:w="201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1037.16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4" w:hRule="atLeast"/>
        </w:trPr>
        <w:tc>
          <w:tcPr>
            <w:tcW w:w="1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Microsoft YaHei UI" w:hAnsi="Microsoft YaHei UI" w:eastAsia="Microsoft YaHei UI" w:cs="Microsoft YaHei UI"/>
                <w:i w:val="0"/>
                <w:iCs w:val="0"/>
                <w:color w:val="000000"/>
                <w:sz w:val="18"/>
                <w:szCs w:val="18"/>
                <w:u w:val="none"/>
              </w:rPr>
            </w:pP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政府性基金拨款：</w:t>
            </w:r>
          </w:p>
        </w:tc>
        <w:tc>
          <w:tcPr>
            <w:tcW w:w="38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22.65</w:t>
            </w:r>
          </w:p>
        </w:tc>
        <w:tc>
          <w:tcPr>
            <w:tcW w:w="15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b/>
                <w:bCs/>
                <w:i w:val="0"/>
                <w:iCs w:val="0"/>
                <w:color w:val="000000"/>
                <w:sz w:val="18"/>
                <w:szCs w:val="18"/>
                <w:u w:val="none"/>
              </w:rPr>
            </w:pPr>
          </w:p>
        </w:tc>
        <w:tc>
          <w:tcPr>
            <w:tcW w:w="20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3" w:hRule="atLeast"/>
        </w:trPr>
        <w:tc>
          <w:tcPr>
            <w:tcW w:w="1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Microsoft YaHei UI" w:hAnsi="Microsoft YaHei UI" w:eastAsia="Microsoft YaHei UI" w:cs="Microsoft YaHei UI"/>
                <w:i w:val="0"/>
                <w:iCs w:val="0"/>
                <w:color w:val="000000"/>
                <w:sz w:val="18"/>
                <w:szCs w:val="18"/>
                <w:u w:val="none"/>
              </w:rPr>
            </w:pP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纳入专户管理的非税收入拨款：</w:t>
            </w:r>
          </w:p>
        </w:tc>
        <w:tc>
          <w:tcPr>
            <w:tcW w:w="38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153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项目支出：</w:t>
            </w:r>
          </w:p>
        </w:tc>
        <w:tc>
          <w:tcPr>
            <w:tcW w:w="201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trPr>
        <w:tc>
          <w:tcPr>
            <w:tcW w:w="1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Microsoft YaHei UI" w:hAnsi="Microsoft YaHei UI" w:eastAsia="Microsoft YaHei UI" w:cs="Microsoft YaHei UI"/>
                <w:i w:val="0"/>
                <w:iCs w:val="0"/>
                <w:color w:val="000000"/>
                <w:sz w:val="18"/>
                <w:szCs w:val="18"/>
                <w:u w:val="none"/>
              </w:rPr>
            </w:pP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其他资金</w:t>
            </w:r>
          </w:p>
        </w:tc>
        <w:tc>
          <w:tcPr>
            <w:tcW w:w="38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w:t>
            </w:r>
          </w:p>
        </w:tc>
        <w:tc>
          <w:tcPr>
            <w:tcW w:w="15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b/>
                <w:bCs/>
                <w:i w:val="0"/>
                <w:iCs w:val="0"/>
                <w:color w:val="000000"/>
                <w:sz w:val="18"/>
                <w:szCs w:val="18"/>
                <w:u w:val="none"/>
              </w:rPr>
            </w:pPr>
          </w:p>
        </w:tc>
        <w:tc>
          <w:tcPr>
            <w:tcW w:w="20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1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年度总体目标</w:t>
            </w:r>
          </w:p>
        </w:tc>
        <w:tc>
          <w:tcPr>
            <w:tcW w:w="550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预期目标</w:t>
            </w:r>
          </w:p>
        </w:tc>
        <w:tc>
          <w:tcPr>
            <w:tcW w:w="354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12" w:hRule="atLeast"/>
        </w:trPr>
        <w:tc>
          <w:tcPr>
            <w:tcW w:w="1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仿宋_GB2312" w:hAnsi="宋体" w:eastAsia="仿宋_GB2312" w:cs="仿宋_GB2312"/>
                <w:b/>
                <w:bCs/>
                <w:i w:val="0"/>
                <w:iCs w:val="0"/>
                <w:color w:val="000000"/>
                <w:sz w:val="18"/>
                <w:szCs w:val="18"/>
                <w:u w:val="none"/>
              </w:rPr>
            </w:pPr>
          </w:p>
        </w:tc>
        <w:tc>
          <w:tcPr>
            <w:tcW w:w="550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both"/>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1、贯彻落实党和国家的相关教育政策方针。 </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xml:space="preserve">2、保障单位正常运行，为初中学生提供优质教育服务。 </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xml:space="preserve">3、保障单位全体干部职工工资发放、社会保障、基本医疗保险及住房公积补助等准时到位，提高工作效率。 </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xml:space="preserve">4、加强校园安全管理工作，在全体师生中积极宣传安全教育知识。 </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xml:space="preserve">5、积极加强教师培训工作及师德师风建设工作。 </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xml:space="preserve">6、认真抓好教育教学质量，全面推行素质教育，培养合格的社会主义建设者和接班人 </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xml:space="preserve">7、加强学校后勤管理工作，营造良好的校园文化氛围，抓好学校各项项目建设工作，努力改善办学条件; </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8、严肃财经纪律，开源节流，合理开支相关经费。</w:t>
            </w:r>
          </w:p>
        </w:tc>
        <w:tc>
          <w:tcPr>
            <w:tcW w:w="354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坚决贯彻党和国家的教育方针政策，保证了单位的正常运行，为学生提供了优质的教育服务，保障单位教师工资发放、社会保障、基本医疗保险及住房公积补助等准时到位，努力改善教学环境，认真抓好教学质量，确保各种经费的合理开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rPr>
        <w:tc>
          <w:tcPr>
            <w:tcW w:w="142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绩效指标</w:t>
            </w:r>
          </w:p>
        </w:tc>
        <w:tc>
          <w:tcPr>
            <w:tcW w:w="7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一级指标</w:t>
            </w:r>
          </w:p>
        </w:tc>
        <w:tc>
          <w:tcPr>
            <w:tcW w:w="195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三级指标</w:t>
            </w: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年度指标值</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实际完成值</w:t>
            </w:r>
          </w:p>
        </w:tc>
        <w:tc>
          <w:tcPr>
            <w:tcW w:w="13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评扣分标准</w:t>
            </w:r>
          </w:p>
        </w:tc>
        <w:tc>
          <w:tcPr>
            <w:tcW w:w="4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分值</w:t>
            </w:r>
          </w:p>
        </w:tc>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得分</w:t>
            </w:r>
          </w:p>
        </w:tc>
        <w:tc>
          <w:tcPr>
            <w:tcW w:w="139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14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仿宋_GB2312" w:hAnsi="宋体" w:eastAsia="仿宋_GB2312" w:cs="仿宋_GB2312"/>
                <w:b/>
                <w:bCs/>
                <w:i w:val="0"/>
                <w:iCs w:val="0"/>
                <w:color w:val="000000"/>
                <w:sz w:val="18"/>
                <w:szCs w:val="18"/>
                <w:u w:val="none"/>
              </w:rPr>
            </w:pPr>
          </w:p>
        </w:tc>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仿宋_GB2312" w:hAnsi="宋体" w:eastAsia="仿宋_GB2312" w:cs="仿宋_GB2312"/>
                <w:b/>
                <w:bCs/>
                <w:i w:val="0"/>
                <w:iCs w:val="0"/>
                <w:color w:val="000000"/>
                <w:sz w:val="18"/>
                <w:szCs w:val="18"/>
                <w:u w:val="none"/>
              </w:rPr>
            </w:pPr>
          </w:p>
        </w:tc>
        <w:tc>
          <w:tcPr>
            <w:tcW w:w="19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仿宋_GB2312" w:hAnsi="宋体" w:eastAsia="仿宋_GB2312" w:cs="仿宋_GB2312"/>
                <w:b/>
                <w:bCs/>
                <w:i w:val="0"/>
                <w:iCs w:val="0"/>
                <w:color w:val="000000"/>
                <w:sz w:val="18"/>
                <w:szCs w:val="18"/>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仿宋_GB2312" w:hAnsi="宋体" w:eastAsia="仿宋_GB2312" w:cs="仿宋_GB2312"/>
                <w:b/>
                <w:bCs/>
                <w:i w:val="0"/>
                <w:iCs w:val="0"/>
                <w:color w:val="000000"/>
                <w:sz w:val="18"/>
                <w:szCs w:val="18"/>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b/>
                <w:bCs/>
                <w:i w:val="0"/>
                <w:iCs w:val="0"/>
                <w:color w:val="000000"/>
                <w:sz w:val="18"/>
                <w:szCs w:val="18"/>
                <w:u w:val="none"/>
              </w:rPr>
            </w:pPr>
          </w:p>
        </w:tc>
        <w:tc>
          <w:tcPr>
            <w:tcW w:w="13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仿宋_GB2312" w:hAnsi="宋体" w:eastAsia="仿宋_GB2312" w:cs="仿宋_GB2312"/>
                <w:b/>
                <w:bCs/>
                <w:i w:val="0"/>
                <w:iCs w:val="0"/>
                <w:color w:val="000000"/>
                <w:sz w:val="18"/>
                <w:szCs w:val="18"/>
                <w:u w:val="none"/>
              </w:rPr>
            </w:pPr>
          </w:p>
        </w:tc>
        <w:tc>
          <w:tcPr>
            <w:tcW w:w="4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仿宋_GB2312" w:hAnsi="宋体" w:eastAsia="仿宋_GB2312" w:cs="仿宋_GB2312"/>
                <w:b/>
                <w:bCs/>
                <w:i w:val="0"/>
                <w:iCs w:val="0"/>
                <w:color w:val="000000"/>
                <w:sz w:val="18"/>
                <w:szCs w:val="18"/>
                <w:u w:val="none"/>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仿宋_GB2312" w:hAnsi="宋体" w:eastAsia="仿宋_GB2312" w:cs="仿宋_GB2312"/>
                <w:b/>
                <w:bCs/>
                <w:i w:val="0"/>
                <w:iCs w:val="0"/>
                <w:color w:val="000000"/>
                <w:sz w:val="18"/>
                <w:szCs w:val="18"/>
                <w:u w:val="none"/>
              </w:rPr>
            </w:pPr>
          </w:p>
        </w:tc>
        <w:tc>
          <w:tcPr>
            <w:tcW w:w="13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9" w:hRule="atLeast"/>
        </w:trPr>
        <w:tc>
          <w:tcPr>
            <w:tcW w:w="142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绩效指标</w:t>
            </w:r>
          </w:p>
        </w:tc>
        <w:tc>
          <w:tcPr>
            <w:tcW w:w="7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产出指标</w:t>
            </w:r>
          </w:p>
        </w:tc>
        <w:tc>
          <w:tcPr>
            <w:tcW w:w="1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教师待遇发放及教师培训人数</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51人</w:t>
            </w:r>
          </w:p>
        </w:tc>
        <w:tc>
          <w:tcPr>
            <w:tcW w:w="13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仿宋_GB2312" w:hAnsi="宋体" w:eastAsia="仿宋_GB2312" w:cs="仿宋_GB2312"/>
                <w:i w:val="0"/>
                <w:iCs w:val="0"/>
                <w:color w:val="000000"/>
                <w:sz w:val="18"/>
                <w:szCs w:val="18"/>
                <w:u w:val="none"/>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w:t>
            </w:r>
          </w:p>
        </w:tc>
        <w:tc>
          <w:tcPr>
            <w:tcW w:w="13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9" w:hRule="atLeast"/>
        </w:trPr>
        <w:tc>
          <w:tcPr>
            <w:tcW w:w="14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仿宋_GB2312" w:hAnsi="宋体" w:eastAsia="仿宋_GB2312" w:cs="仿宋_GB2312"/>
                <w:i w:val="0"/>
                <w:iCs w:val="0"/>
                <w:color w:val="000000"/>
                <w:sz w:val="18"/>
                <w:szCs w:val="18"/>
                <w:u w:val="none"/>
              </w:rPr>
            </w:pPr>
          </w:p>
        </w:tc>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仿宋_GB2312" w:hAnsi="宋体" w:eastAsia="仿宋_GB2312" w:cs="仿宋_GB2312"/>
                <w:i w:val="0"/>
                <w:iCs w:val="0"/>
                <w:color w:val="000000"/>
                <w:sz w:val="18"/>
                <w:szCs w:val="18"/>
                <w:u w:val="none"/>
              </w:rPr>
            </w:pPr>
          </w:p>
        </w:tc>
        <w:tc>
          <w:tcPr>
            <w:tcW w:w="1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学生享受营养餐人数人数</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573人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573人 </w:t>
            </w:r>
          </w:p>
        </w:tc>
        <w:tc>
          <w:tcPr>
            <w:tcW w:w="13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仿宋_GB2312" w:hAnsi="宋体" w:eastAsia="仿宋_GB2312" w:cs="仿宋_GB2312"/>
                <w:i w:val="0"/>
                <w:iCs w:val="0"/>
                <w:color w:val="000000"/>
                <w:sz w:val="18"/>
                <w:szCs w:val="18"/>
                <w:u w:val="none"/>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w:t>
            </w:r>
          </w:p>
        </w:tc>
        <w:tc>
          <w:tcPr>
            <w:tcW w:w="13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4" w:hRule="atLeast"/>
        </w:trPr>
        <w:tc>
          <w:tcPr>
            <w:tcW w:w="14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仿宋_GB2312" w:hAnsi="宋体" w:eastAsia="仿宋_GB2312" w:cs="仿宋_GB2312"/>
                <w:i w:val="0"/>
                <w:iCs w:val="0"/>
                <w:color w:val="000000"/>
                <w:sz w:val="18"/>
                <w:szCs w:val="18"/>
                <w:u w:val="none"/>
              </w:rPr>
            </w:pPr>
          </w:p>
        </w:tc>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仿宋_GB2312" w:hAnsi="宋体" w:eastAsia="仿宋_GB2312" w:cs="仿宋_GB2312"/>
                <w:i w:val="0"/>
                <w:iCs w:val="0"/>
                <w:color w:val="000000"/>
                <w:sz w:val="18"/>
                <w:szCs w:val="18"/>
                <w:u w:val="none"/>
              </w:rPr>
            </w:pPr>
          </w:p>
        </w:tc>
        <w:tc>
          <w:tcPr>
            <w:tcW w:w="1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参加课后服务学生人数</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573人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573人</w:t>
            </w:r>
          </w:p>
        </w:tc>
        <w:tc>
          <w:tcPr>
            <w:tcW w:w="13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仿宋_GB2312" w:hAnsi="宋体" w:eastAsia="仿宋_GB2312" w:cs="仿宋_GB2312"/>
                <w:i w:val="0"/>
                <w:iCs w:val="0"/>
                <w:color w:val="000000"/>
                <w:sz w:val="18"/>
                <w:szCs w:val="18"/>
                <w:u w:val="none"/>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w:t>
            </w:r>
          </w:p>
        </w:tc>
        <w:tc>
          <w:tcPr>
            <w:tcW w:w="13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4" w:hRule="atLeast"/>
        </w:trPr>
        <w:tc>
          <w:tcPr>
            <w:tcW w:w="14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仿宋_GB2312" w:hAnsi="宋体" w:eastAsia="仿宋_GB2312" w:cs="仿宋_GB2312"/>
                <w:i w:val="0"/>
                <w:iCs w:val="0"/>
                <w:color w:val="000000"/>
                <w:sz w:val="18"/>
                <w:szCs w:val="18"/>
                <w:u w:val="none"/>
              </w:rPr>
            </w:pPr>
          </w:p>
        </w:tc>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仿宋_GB2312" w:hAnsi="宋体" w:eastAsia="仿宋_GB2312" w:cs="仿宋_GB2312"/>
                <w:i w:val="0"/>
                <w:iCs w:val="0"/>
                <w:color w:val="000000"/>
                <w:sz w:val="18"/>
                <w:szCs w:val="18"/>
                <w:u w:val="none"/>
              </w:rPr>
            </w:pPr>
          </w:p>
        </w:tc>
        <w:tc>
          <w:tcPr>
            <w:tcW w:w="1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教师学历合格率、继续教育完成率 </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100%</w:t>
            </w:r>
          </w:p>
        </w:tc>
        <w:tc>
          <w:tcPr>
            <w:tcW w:w="13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仿宋_GB2312" w:hAnsi="宋体" w:eastAsia="仿宋_GB2312" w:cs="仿宋_GB2312"/>
                <w:i w:val="0"/>
                <w:iCs w:val="0"/>
                <w:color w:val="000000"/>
                <w:sz w:val="18"/>
                <w:szCs w:val="18"/>
                <w:u w:val="none"/>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w:t>
            </w:r>
          </w:p>
        </w:tc>
        <w:tc>
          <w:tcPr>
            <w:tcW w:w="13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9" w:hRule="atLeast"/>
        </w:trPr>
        <w:tc>
          <w:tcPr>
            <w:tcW w:w="14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仿宋_GB2312" w:hAnsi="宋体" w:eastAsia="仿宋_GB2312" w:cs="仿宋_GB2312"/>
                <w:i w:val="0"/>
                <w:iCs w:val="0"/>
                <w:color w:val="000000"/>
                <w:sz w:val="18"/>
                <w:szCs w:val="18"/>
                <w:u w:val="none"/>
              </w:rPr>
            </w:pPr>
          </w:p>
        </w:tc>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仿宋_GB2312" w:hAnsi="宋体" w:eastAsia="仿宋_GB2312" w:cs="仿宋_GB2312"/>
                <w:i w:val="0"/>
                <w:iCs w:val="0"/>
                <w:color w:val="000000"/>
                <w:sz w:val="18"/>
                <w:szCs w:val="18"/>
                <w:u w:val="none"/>
              </w:rPr>
            </w:pPr>
          </w:p>
        </w:tc>
        <w:tc>
          <w:tcPr>
            <w:tcW w:w="1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教师待遇支付准确率</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100%</w:t>
            </w:r>
          </w:p>
        </w:tc>
        <w:tc>
          <w:tcPr>
            <w:tcW w:w="13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仿宋_GB2312" w:hAnsi="宋体" w:eastAsia="仿宋_GB2312" w:cs="仿宋_GB2312"/>
                <w:i w:val="0"/>
                <w:iCs w:val="0"/>
                <w:color w:val="000000"/>
                <w:sz w:val="18"/>
                <w:szCs w:val="18"/>
                <w:u w:val="none"/>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w:t>
            </w:r>
          </w:p>
        </w:tc>
        <w:tc>
          <w:tcPr>
            <w:tcW w:w="13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4" w:hRule="atLeast"/>
        </w:trPr>
        <w:tc>
          <w:tcPr>
            <w:tcW w:w="14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仿宋_GB2312" w:hAnsi="宋体" w:eastAsia="仿宋_GB2312" w:cs="仿宋_GB2312"/>
                <w:i w:val="0"/>
                <w:iCs w:val="0"/>
                <w:color w:val="000000"/>
                <w:sz w:val="18"/>
                <w:szCs w:val="18"/>
                <w:u w:val="none"/>
              </w:rPr>
            </w:pPr>
          </w:p>
        </w:tc>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仿宋_GB2312" w:hAnsi="宋体" w:eastAsia="仿宋_GB2312" w:cs="仿宋_GB2312"/>
                <w:i w:val="0"/>
                <w:iCs w:val="0"/>
                <w:color w:val="000000"/>
                <w:sz w:val="18"/>
                <w:szCs w:val="18"/>
                <w:u w:val="none"/>
              </w:rPr>
            </w:pPr>
          </w:p>
        </w:tc>
        <w:tc>
          <w:tcPr>
            <w:tcW w:w="1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生均公用经费拨付率 </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100%</w:t>
            </w:r>
          </w:p>
        </w:tc>
        <w:tc>
          <w:tcPr>
            <w:tcW w:w="13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仿宋_GB2312" w:hAnsi="宋体" w:eastAsia="仿宋_GB2312" w:cs="仿宋_GB2312"/>
                <w:i w:val="0"/>
                <w:iCs w:val="0"/>
                <w:color w:val="000000"/>
                <w:sz w:val="18"/>
                <w:szCs w:val="18"/>
                <w:u w:val="none"/>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w:t>
            </w:r>
          </w:p>
        </w:tc>
        <w:tc>
          <w:tcPr>
            <w:tcW w:w="13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4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仿宋_GB2312" w:hAnsi="宋体" w:eastAsia="仿宋_GB2312" w:cs="仿宋_GB2312"/>
                <w:i w:val="0"/>
                <w:iCs w:val="0"/>
                <w:color w:val="000000"/>
                <w:sz w:val="18"/>
                <w:szCs w:val="18"/>
                <w:u w:val="none"/>
              </w:rPr>
            </w:pPr>
          </w:p>
        </w:tc>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仿宋_GB2312" w:hAnsi="宋体" w:eastAsia="仿宋_GB2312" w:cs="仿宋_GB2312"/>
                <w:i w:val="0"/>
                <w:iCs w:val="0"/>
                <w:color w:val="000000"/>
                <w:sz w:val="18"/>
                <w:szCs w:val="18"/>
                <w:u w:val="none"/>
              </w:rPr>
            </w:pPr>
          </w:p>
        </w:tc>
        <w:tc>
          <w:tcPr>
            <w:tcW w:w="1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完成时间</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2024年内完成</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2024年内完成</w:t>
            </w:r>
          </w:p>
        </w:tc>
        <w:tc>
          <w:tcPr>
            <w:tcW w:w="13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仿宋_GB2312" w:hAnsi="宋体" w:eastAsia="仿宋_GB2312" w:cs="仿宋_GB2312"/>
                <w:i w:val="0"/>
                <w:iCs w:val="0"/>
                <w:color w:val="000000"/>
                <w:sz w:val="18"/>
                <w:szCs w:val="18"/>
                <w:u w:val="none"/>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w:t>
            </w:r>
          </w:p>
        </w:tc>
        <w:tc>
          <w:tcPr>
            <w:tcW w:w="13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4" w:hRule="atLeast"/>
        </w:trPr>
        <w:tc>
          <w:tcPr>
            <w:tcW w:w="14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仿宋_GB2312" w:hAnsi="宋体" w:eastAsia="仿宋_GB2312" w:cs="仿宋_GB2312"/>
                <w:i w:val="0"/>
                <w:iCs w:val="0"/>
                <w:color w:val="000000"/>
                <w:sz w:val="18"/>
                <w:szCs w:val="18"/>
                <w:u w:val="none"/>
              </w:rPr>
            </w:pPr>
          </w:p>
        </w:tc>
        <w:tc>
          <w:tcPr>
            <w:tcW w:w="7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效益指标</w:t>
            </w:r>
          </w:p>
        </w:tc>
        <w:tc>
          <w:tcPr>
            <w:tcW w:w="1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教师生活条件和生活水平提升率 </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100%</w:t>
            </w:r>
          </w:p>
        </w:tc>
        <w:tc>
          <w:tcPr>
            <w:tcW w:w="13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仿宋_GB2312" w:hAnsi="宋体" w:eastAsia="仿宋_GB2312" w:cs="仿宋_GB2312"/>
                <w:i w:val="0"/>
                <w:iCs w:val="0"/>
                <w:color w:val="000000"/>
                <w:sz w:val="18"/>
                <w:szCs w:val="18"/>
                <w:u w:val="none"/>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13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 w:hRule="atLeast"/>
        </w:trPr>
        <w:tc>
          <w:tcPr>
            <w:tcW w:w="14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仿宋_GB2312" w:hAnsi="宋体" w:eastAsia="仿宋_GB2312" w:cs="仿宋_GB2312"/>
                <w:i w:val="0"/>
                <w:iCs w:val="0"/>
                <w:color w:val="000000"/>
                <w:sz w:val="18"/>
                <w:szCs w:val="18"/>
                <w:u w:val="none"/>
              </w:rPr>
            </w:pPr>
          </w:p>
        </w:tc>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仿宋_GB2312" w:hAnsi="宋体" w:eastAsia="仿宋_GB2312" w:cs="仿宋_GB2312"/>
                <w:i w:val="0"/>
                <w:iCs w:val="0"/>
                <w:color w:val="000000"/>
                <w:sz w:val="18"/>
                <w:szCs w:val="18"/>
                <w:u w:val="none"/>
              </w:rPr>
            </w:pPr>
          </w:p>
        </w:tc>
        <w:tc>
          <w:tcPr>
            <w:tcW w:w="1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办学条件提升 </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合格</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良</w:t>
            </w:r>
          </w:p>
        </w:tc>
        <w:tc>
          <w:tcPr>
            <w:tcW w:w="13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仿宋_GB2312" w:hAnsi="宋体" w:eastAsia="仿宋_GB2312" w:cs="仿宋_GB2312"/>
                <w:i w:val="0"/>
                <w:iCs w:val="0"/>
                <w:color w:val="000000"/>
                <w:sz w:val="18"/>
                <w:szCs w:val="18"/>
                <w:u w:val="none"/>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13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4" w:hRule="atLeast"/>
        </w:trPr>
        <w:tc>
          <w:tcPr>
            <w:tcW w:w="14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仿宋_GB2312" w:hAnsi="宋体" w:eastAsia="仿宋_GB2312" w:cs="仿宋_GB2312"/>
                <w:i w:val="0"/>
                <w:iCs w:val="0"/>
                <w:color w:val="000000"/>
                <w:sz w:val="18"/>
                <w:szCs w:val="18"/>
                <w:u w:val="none"/>
              </w:rPr>
            </w:pPr>
          </w:p>
        </w:tc>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仿宋_GB2312" w:hAnsi="宋体" w:eastAsia="仿宋_GB2312" w:cs="仿宋_GB2312"/>
                <w:i w:val="0"/>
                <w:iCs w:val="0"/>
                <w:color w:val="000000"/>
                <w:sz w:val="18"/>
                <w:szCs w:val="18"/>
                <w:u w:val="none"/>
              </w:rPr>
            </w:pPr>
          </w:p>
        </w:tc>
        <w:tc>
          <w:tcPr>
            <w:tcW w:w="1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学生入学率、巩固率</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100%</w:t>
            </w:r>
          </w:p>
        </w:tc>
        <w:tc>
          <w:tcPr>
            <w:tcW w:w="13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仿宋_GB2312" w:hAnsi="宋体" w:eastAsia="仿宋_GB2312" w:cs="仿宋_GB2312"/>
                <w:i w:val="0"/>
                <w:iCs w:val="0"/>
                <w:color w:val="000000"/>
                <w:sz w:val="18"/>
                <w:szCs w:val="18"/>
                <w:u w:val="none"/>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13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9" w:hRule="atLeast"/>
        </w:trPr>
        <w:tc>
          <w:tcPr>
            <w:tcW w:w="14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仿宋_GB2312" w:hAnsi="宋体" w:eastAsia="仿宋_GB2312" w:cs="仿宋_GB2312"/>
                <w:i w:val="0"/>
                <w:iCs w:val="0"/>
                <w:color w:val="000000"/>
                <w:sz w:val="18"/>
                <w:szCs w:val="18"/>
                <w:u w:val="none"/>
              </w:rPr>
            </w:pPr>
          </w:p>
        </w:tc>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仿宋_GB2312" w:hAnsi="宋体" w:eastAsia="仿宋_GB2312" w:cs="仿宋_GB2312"/>
                <w:i w:val="0"/>
                <w:iCs w:val="0"/>
                <w:color w:val="000000"/>
                <w:sz w:val="18"/>
                <w:szCs w:val="18"/>
                <w:u w:val="none"/>
              </w:rPr>
            </w:pPr>
          </w:p>
        </w:tc>
        <w:tc>
          <w:tcPr>
            <w:tcW w:w="1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校园环境改善</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改善</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改善</w:t>
            </w:r>
          </w:p>
        </w:tc>
        <w:tc>
          <w:tcPr>
            <w:tcW w:w="13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仿宋_GB2312" w:hAnsi="宋体" w:eastAsia="仿宋_GB2312" w:cs="仿宋_GB2312"/>
                <w:i w:val="0"/>
                <w:iCs w:val="0"/>
                <w:color w:val="000000"/>
                <w:sz w:val="18"/>
                <w:szCs w:val="18"/>
                <w:u w:val="none"/>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13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 w:hRule="atLeast"/>
        </w:trPr>
        <w:tc>
          <w:tcPr>
            <w:tcW w:w="14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仿宋_GB2312" w:hAnsi="宋体" w:eastAsia="仿宋_GB2312" w:cs="仿宋_GB2312"/>
                <w:i w:val="0"/>
                <w:iCs w:val="0"/>
                <w:color w:val="000000"/>
                <w:sz w:val="18"/>
                <w:szCs w:val="18"/>
                <w:u w:val="none"/>
              </w:rPr>
            </w:pPr>
          </w:p>
        </w:tc>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仿宋_GB2312" w:hAnsi="宋体" w:eastAsia="仿宋_GB2312" w:cs="仿宋_GB2312"/>
                <w:i w:val="0"/>
                <w:iCs w:val="0"/>
                <w:color w:val="000000"/>
                <w:sz w:val="18"/>
                <w:szCs w:val="18"/>
                <w:u w:val="none"/>
              </w:rPr>
            </w:pPr>
          </w:p>
        </w:tc>
        <w:tc>
          <w:tcPr>
            <w:tcW w:w="1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教育管理水平及教学质量提升</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合格</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良</w:t>
            </w:r>
          </w:p>
        </w:tc>
        <w:tc>
          <w:tcPr>
            <w:tcW w:w="13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仿宋_GB2312" w:hAnsi="宋体" w:eastAsia="仿宋_GB2312" w:cs="仿宋_GB2312"/>
                <w:i w:val="0"/>
                <w:iCs w:val="0"/>
                <w:color w:val="000000"/>
                <w:sz w:val="18"/>
                <w:szCs w:val="18"/>
                <w:u w:val="none"/>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13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0" w:hRule="atLeast"/>
        </w:trPr>
        <w:tc>
          <w:tcPr>
            <w:tcW w:w="14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仿宋_GB2312" w:hAnsi="宋体" w:eastAsia="仿宋_GB2312" w:cs="仿宋_GB2312"/>
                <w:i w:val="0"/>
                <w:iCs w:val="0"/>
                <w:color w:val="000000"/>
                <w:sz w:val="18"/>
                <w:szCs w:val="18"/>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满意度指标</w:t>
            </w:r>
          </w:p>
        </w:tc>
        <w:tc>
          <w:tcPr>
            <w:tcW w:w="1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教师、学生及家长满意度指标</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98.5%</w:t>
            </w:r>
          </w:p>
        </w:tc>
        <w:tc>
          <w:tcPr>
            <w:tcW w:w="13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仿宋_GB2312" w:hAnsi="宋体" w:eastAsia="仿宋_GB2312" w:cs="仿宋_GB2312"/>
                <w:i w:val="0"/>
                <w:iCs w:val="0"/>
                <w:color w:val="000000"/>
                <w:sz w:val="18"/>
                <w:szCs w:val="18"/>
                <w:u w:val="none"/>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13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14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仿宋_GB2312" w:hAnsi="宋体" w:eastAsia="仿宋_GB2312" w:cs="仿宋_GB2312"/>
                <w:i w:val="0"/>
                <w:iCs w:val="0"/>
                <w:color w:val="000000"/>
                <w:sz w:val="18"/>
                <w:szCs w:val="18"/>
                <w:u w:val="none"/>
              </w:rPr>
            </w:pPr>
          </w:p>
        </w:tc>
        <w:tc>
          <w:tcPr>
            <w:tcW w:w="7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成本指标</w:t>
            </w:r>
          </w:p>
        </w:tc>
        <w:tc>
          <w:tcPr>
            <w:tcW w:w="1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预算执行率</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1037.16万元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1037.16万元</w:t>
            </w:r>
          </w:p>
        </w:tc>
        <w:tc>
          <w:tcPr>
            <w:tcW w:w="13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仿宋_GB2312" w:hAnsi="宋体" w:eastAsia="仿宋_GB2312" w:cs="仿宋_GB2312"/>
                <w:i w:val="0"/>
                <w:iCs w:val="0"/>
                <w:color w:val="000000"/>
                <w:sz w:val="18"/>
                <w:szCs w:val="18"/>
                <w:u w:val="none"/>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13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 w:hRule="atLeast"/>
        </w:trPr>
        <w:tc>
          <w:tcPr>
            <w:tcW w:w="14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仿宋_GB2312" w:hAnsi="宋体" w:eastAsia="仿宋_GB2312" w:cs="仿宋_GB2312"/>
                <w:i w:val="0"/>
                <w:iCs w:val="0"/>
                <w:color w:val="000000"/>
                <w:sz w:val="18"/>
                <w:szCs w:val="18"/>
                <w:u w:val="none"/>
              </w:rPr>
            </w:pPr>
          </w:p>
        </w:tc>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仿宋_GB2312" w:hAnsi="宋体" w:eastAsia="仿宋_GB2312" w:cs="仿宋_GB2312"/>
                <w:i w:val="0"/>
                <w:iCs w:val="0"/>
                <w:color w:val="000000"/>
                <w:sz w:val="18"/>
                <w:szCs w:val="18"/>
                <w:u w:val="none"/>
              </w:rPr>
            </w:pPr>
          </w:p>
        </w:tc>
        <w:tc>
          <w:tcPr>
            <w:tcW w:w="1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资金使用合规性 </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合规</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合规</w:t>
            </w:r>
          </w:p>
        </w:tc>
        <w:tc>
          <w:tcPr>
            <w:tcW w:w="13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仿宋_GB2312" w:hAnsi="宋体" w:eastAsia="仿宋_GB2312" w:cs="仿宋_GB2312"/>
                <w:i w:val="0"/>
                <w:iCs w:val="0"/>
                <w:color w:val="000000"/>
                <w:sz w:val="18"/>
                <w:szCs w:val="18"/>
                <w:u w:val="none"/>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13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4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仿宋_GB2312" w:hAnsi="宋体" w:eastAsia="仿宋_GB2312" w:cs="仿宋_GB2312"/>
                <w:i w:val="0"/>
                <w:iCs w:val="0"/>
                <w:color w:val="000000"/>
                <w:sz w:val="18"/>
                <w:szCs w:val="18"/>
                <w:u w:val="none"/>
              </w:rPr>
            </w:pPr>
          </w:p>
        </w:tc>
        <w:tc>
          <w:tcPr>
            <w:tcW w:w="7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仿宋_GB2312" w:hAnsi="宋体" w:eastAsia="仿宋_GB2312" w:cs="仿宋_GB2312"/>
                <w:i w:val="0"/>
                <w:iCs w:val="0"/>
                <w:color w:val="000000"/>
                <w:sz w:val="18"/>
                <w:szCs w:val="18"/>
                <w:u w:val="none"/>
              </w:rPr>
            </w:pPr>
          </w:p>
        </w:tc>
        <w:tc>
          <w:tcPr>
            <w:tcW w:w="1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校园环境改善率 </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100%</w:t>
            </w:r>
          </w:p>
        </w:tc>
        <w:tc>
          <w:tcPr>
            <w:tcW w:w="13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仿宋_GB2312" w:hAnsi="宋体" w:eastAsia="仿宋_GB2312" w:cs="仿宋_GB2312"/>
                <w:i w:val="0"/>
                <w:iCs w:val="0"/>
                <w:color w:val="000000"/>
                <w:sz w:val="18"/>
                <w:szCs w:val="18"/>
                <w:u w:val="none"/>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13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9053" w:type="dxa"/>
            <w:gridSpan w:val="1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99.90</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8"/>
          <w:szCs w:val="28"/>
          <w:lang w:val="en-US" w:eastAsia="zh-CN"/>
        </w:rPr>
      </w:pPr>
    </w:p>
    <w:p>
      <w:pPr>
        <w:widowControl/>
        <w:rPr>
          <w:rFonts w:ascii="黑体" w:hAnsi="宋体" w:eastAsia="黑体"/>
          <w:kern w:val="0"/>
          <w:sz w:val="32"/>
          <w:szCs w:val="32"/>
        </w:rPr>
      </w:pPr>
      <w:r>
        <w:rPr>
          <w:rFonts w:hint="eastAsia" w:ascii="黑体" w:hAnsi="黑体" w:eastAsia="黑体"/>
          <w:kern w:val="0"/>
          <w:sz w:val="32"/>
          <w:szCs w:val="32"/>
        </w:rPr>
        <w:t>附件5</w:t>
      </w:r>
    </w:p>
    <w:p>
      <w:pPr>
        <w:spacing w:line="560" w:lineRule="exact"/>
        <w:jc w:val="center"/>
        <w:rPr>
          <w:rFonts w:ascii="Times New Roman" w:hAnsi="Times New Roman"/>
          <w:kern w:val="0"/>
          <w:sz w:val="44"/>
          <w:szCs w:val="44"/>
        </w:rPr>
      </w:pPr>
      <w:r>
        <w:rPr>
          <w:rFonts w:hint="eastAsia" w:ascii="方正小标宋_GBK" w:hAnsi="方正小标宋_GBK" w:eastAsia="方正小标宋_GBK"/>
          <w:kern w:val="0"/>
          <w:sz w:val="44"/>
          <w:szCs w:val="44"/>
          <w:lang w:val="en-US" w:eastAsia="zh-CN"/>
        </w:rPr>
        <w:t>2024年</w:t>
      </w:r>
      <w:r>
        <w:rPr>
          <w:rFonts w:ascii="方正小标宋_GBK" w:hAnsi="方正小标宋_GBK" w:eastAsia="方正小标宋_GBK"/>
          <w:kern w:val="0"/>
          <w:sz w:val="44"/>
          <w:szCs w:val="44"/>
        </w:rPr>
        <w:t>部门整体支出绩效评价表</w:t>
      </w:r>
    </w:p>
    <w:tbl>
      <w:tblPr>
        <w:tblStyle w:val="2"/>
        <w:tblW w:w="10608" w:type="dxa"/>
        <w:jc w:val="center"/>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tblPrEx>
          <w:tblCellMar>
            <w:top w:w="0" w:type="dxa"/>
            <w:left w:w="108" w:type="dxa"/>
            <w:bottom w:w="0" w:type="dxa"/>
            <w:right w:w="108" w:type="dxa"/>
          </w:tblCellMar>
        </w:tblPrEx>
        <w:trPr>
          <w:gridAfter w:val="1"/>
          <w:wAfter w:w="8" w:type="dxa"/>
          <w:jc w:val="center"/>
        </w:trPr>
        <w:tc>
          <w:tcPr>
            <w:tcW w:w="5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三级</w:t>
            </w:r>
          </w:p>
          <w:p>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得分</w:t>
            </w:r>
          </w:p>
        </w:tc>
      </w:tr>
      <w:tr>
        <w:tblPrEx>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kern w:val="0"/>
                <w:sz w:val="24"/>
              </w:rPr>
            </w:pPr>
            <w:r>
              <w:rPr>
                <w:rFonts w:hint="eastAsia"/>
                <w:kern w:val="0"/>
                <w:sz w:val="24"/>
              </w:rPr>
              <w:t>5</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kern w:val="0"/>
                <w:sz w:val="24"/>
              </w:rPr>
            </w:pPr>
            <w:r>
              <w:rPr>
                <w:rFonts w:hint="eastAsia"/>
                <w:kern w:val="0"/>
                <w:sz w:val="24"/>
              </w:rPr>
              <w:t>5</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ascii="仿宋_GB2312" w:hAnsi="仿宋_GB2312"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kern w:val="0"/>
                <w:sz w:val="24"/>
              </w:rPr>
            </w:pPr>
            <w:r>
              <w:rPr>
                <w:color w:val="FF0000"/>
                <w:kern w:val="0"/>
                <w:sz w:val="24"/>
              </w:rPr>
              <w:t>　</w:t>
            </w:r>
            <w:r>
              <w:rPr>
                <w:rFonts w:hint="eastAsia"/>
                <w:color w:val="000000"/>
                <w:kern w:val="0"/>
                <w:sz w:val="24"/>
              </w:rPr>
              <w:t>5</w:t>
            </w:r>
          </w:p>
        </w:tc>
      </w:tr>
      <w:tr>
        <w:tblPrEx>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ascii="仿宋_GB2312" w:hAnsi="仿宋_GB2312"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Height w:val="1562"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ascii="仿宋_GB2312" w:hAnsi="仿宋_GB2312"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kern w:val="0"/>
                <w:sz w:val="24"/>
              </w:rPr>
            </w:pPr>
            <w:r>
              <w:rPr>
                <w:rFonts w:hint="eastAsia"/>
                <w:color w:val="000000"/>
                <w:kern w:val="0"/>
                <w:sz w:val="24"/>
              </w:rPr>
              <w:t>8</w:t>
            </w:r>
          </w:p>
        </w:tc>
      </w:tr>
      <w:tr>
        <w:tblPrEx>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实际支出数</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kern w:val="0"/>
                <w:sz w:val="24"/>
              </w:rPr>
            </w:pPr>
            <w:r>
              <w:rPr>
                <w:rFonts w:hint="eastAsia"/>
                <w:kern w:val="0"/>
                <w:sz w:val="24"/>
              </w:rPr>
              <w:t>7</w:t>
            </w:r>
          </w:p>
        </w:tc>
      </w:tr>
      <w:tr>
        <w:tblPrEx>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kern w:val="0"/>
                <w:sz w:val="24"/>
              </w:rPr>
            </w:pPr>
            <w:r>
              <w:rPr>
                <w:rFonts w:hint="eastAsia"/>
                <w:kern w:val="0"/>
                <w:sz w:val="24"/>
              </w:rPr>
              <w:t>6</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ascii="仿宋_GB2312" w:hAnsi="仿宋_GB2312" w:eastAsia="仿宋_GB2312"/>
                <w:kern w:val="0"/>
                <w:sz w:val="20"/>
                <w:szCs w:val="20"/>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kern w:val="0"/>
                <w:sz w:val="24"/>
              </w:rPr>
            </w:pPr>
            <w:r>
              <w:rPr>
                <w:kern w:val="0"/>
                <w:sz w:val="24"/>
              </w:rPr>
              <w:t>　</w:t>
            </w:r>
            <w:r>
              <w:rPr>
                <w:rFonts w:hint="eastAsia"/>
                <w:kern w:val="0"/>
                <w:sz w:val="24"/>
              </w:rPr>
              <w:t>8</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kern w:val="0"/>
                <w:sz w:val="24"/>
              </w:rPr>
            </w:pPr>
            <w:r>
              <w:rPr>
                <w:kern w:val="0"/>
                <w:sz w:val="24"/>
              </w:rPr>
              <w:t>　</w:t>
            </w:r>
            <w:r>
              <w:rPr>
                <w:rFonts w:hint="eastAsia"/>
                <w:kern w:val="0"/>
                <w:sz w:val="24"/>
              </w:rPr>
              <w:t>6</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根据绩效办20</w:t>
            </w:r>
            <w:r>
              <w:rPr>
                <w:rFonts w:hint="eastAsia" w:eastAsia="仿宋_GB2312"/>
                <w:kern w:val="0"/>
                <w:sz w:val="20"/>
                <w:szCs w:val="20"/>
              </w:rPr>
              <w:t>23</w:t>
            </w:r>
            <w:r>
              <w:rPr>
                <w:rFonts w:eastAsia="仿宋_GB2312"/>
                <w:kern w:val="0"/>
                <w:sz w:val="20"/>
                <w:szCs w:val="20"/>
              </w:rPr>
              <w:t>年对各部门为民办实事和部门重点工程与重点工作考核分数折算。</w:t>
            </w:r>
          </w:p>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kern w:val="0"/>
                <w:sz w:val="24"/>
              </w:rPr>
            </w:pPr>
            <w:r>
              <w:rPr>
                <w:kern w:val="0"/>
                <w:sz w:val="24"/>
              </w:rPr>
              <w:t>　</w:t>
            </w:r>
            <w:r>
              <w:rPr>
                <w:rFonts w:hint="eastAsia"/>
                <w:kern w:val="0"/>
                <w:sz w:val="24"/>
              </w:rPr>
              <w:t>8</w:t>
            </w:r>
          </w:p>
        </w:tc>
      </w:tr>
      <w:tr>
        <w:tblPrEx>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kern w:val="0"/>
                <w:sz w:val="24"/>
              </w:rPr>
            </w:pPr>
            <w:r>
              <w:rPr>
                <w:kern w:val="0"/>
                <w:sz w:val="24"/>
              </w:rPr>
              <w:t>　</w:t>
            </w:r>
          </w:p>
        </w:tc>
      </w:tr>
      <w:tr>
        <w:tblPrEx>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6379" w:type="dxa"/>
            <w:gridSpan w:val="2"/>
            <w:vMerge w:val="continue"/>
            <w:tcBorders>
              <w:top w:val="nil"/>
              <w:left w:val="nil"/>
              <w:bottom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522"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kern w:val="0"/>
                <w:sz w:val="24"/>
              </w:rPr>
            </w:pPr>
            <w:r>
              <w:rPr>
                <w:kern w:val="0"/>
                <w:sz w:val="24"/>
              </w:rPr>
              <w:t>　</w:t>
            </w:r>
            <w:r>
              <w:rPr>
                <w:rFonts w:hint="eastAsia"/>
                <w:kern w:val="0"/>
                <w:sz w:val="24"/>
              </w:rPr>
              <w:t>10</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416" w:type="dxa"/>
            <w:vMerge w:val="restart"/>
            <w:tcBorders>
              <w:top w:val="nil"/>
              <w:left w:val="nil"/>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kern w:val="0"/>
                <w:sz w:val="24"/>
              </w:rPr>
            </w:pPr>
            <w:r>
              <w:rPr>
                <w:kern w:val="0"/>
                <w:sz w:val="24"/>
              </w:rPr>
              <w:t>　</w:t>
            </w:r>
            <w:r>
              <w:rPr>
                <w:rFonts w:hint="eastAsia"/>
                <w:kern w:val="0"/>
                <w:sz w:val="24"/>
              </w:rPr>
              <w:t>6</w:t>
            </w:r>
          </w:p>
        </w:tc>
      </w:tr>
      <w:tr>
        <w:tblPrEx>
          <w:tblCellMar>
            <w:top w:w="0" w:type="dxa"/>
            <w:left w:w="108" w:type="dxa"/>
            <w:bottom w:w="0" w:type="dxa"/>
            <w:right w:w="108" w:type="dxa"/>
          </w:tblCellMar>
        </w:tblPrEx>
        <w:trPr>
          <w:gridAfter w:val="1"/>
          <w:wAfter w:w="8" w:type="dxa"/>
          <w:trHeight w:val="1241" w:hRule="atLeast"/>
          <w:jc w:val="center"/>
        </w:trPr>
        <w:tc>
          <w:tcPr>
            <w:tcW w:w="518" w:type="dxa"/>
            <w:vMerge w:val="continue"/>
            <w:tcBorders>
              <w:top w:val="nil"/>
              <w:left w:val="single" w:color="auto" w:sz="4" w:space="0"/>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416" w:type="dxa"/>
            <w:vMerge w:val="continue"/>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677" w:type="dxa"/>
            <w:gridSpan w:val="2"/>
            <w:vMerge w:val="continue"/>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416" w:type="dxa"/>
            <w:vMerge w:val="continue"/>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p>
        </w:tc>
        <w:tc>
          <w:tcPr>
            <w:tcW w:w="1194"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ascii="仿宋_GB2312" w:hAnsi="仿宋_GB2312" w:eastAsia="仿宋_GB2312"/>
                <w:kern w:val="0"/>
                <w:sz w:val="20"/>
                <w:szCs w:val="20"/>
              </w:rPr>
            </w:pPr>
            <w:r>
              <w:rPr>
                <w:rFonts w:eastAsia="仿宋_GB2312"/>
                <w:kern w:val="0"/>
                <w:sz w:val="20"/>
                <w:szCs w:val="20"/>
              </w:rPr>
              <w:t>9</w:t>
            </w:r>
            <w:r>
              <w:rPr>
                <w:rFonts w:hint="eastAsia" w:eastAsia="仿宋_GB2312"/>
                <w:kern w:val="0"/>
                <w:sz w:val="20"/>
                <w:szCs w:val="20"/>
              </w:rPr>
              <w:t>8</w:t>
            </w:r>
            <w:r>
              <w:rPr>
                <w:rFonts w:eastAsia="仿宋_GB2312"/>
                <w:kern w:val="0"/>
                <w:sz w:val="20"/>
                <w:szCs w:val="20"/>
              </w:rPr>
              <w:t>%</w:t>
            </w:r>
            <w:r>
              <w:rPr>
                <w:rFonts w:ascii="仿宋_GB2312" w:hAnsi="仿宋_GB2312" w:eastAsia="仿宋_GB2312"/>
                <w:kern w:val="0"/>
                <w:sz w:val="20"/>
                <w:szCs w:val="20"/>
              </w:rPr>
              <w:t>以上计</w:t>
            </w:r>
            <w:r>
              <w:rPr>
                <w:rFonts w:eastAsia="仿宋_GB2312"/>
                <w:kern w:val="0"/>
                <w:sz w:val="20"/>
                <w:szCs w:val="20"/>
              </w:rPr>
              <w:t>6</w:t>
            </w:r>
            <w:r>
              <w:rPr>
                <w:rFonts w:ascii="仿宋_GB2312" w:hAnsi="仿宋_GB2312" w:eastAsia="仿宋_GB2312"/>
                <w:kern w:val="0"/>
                <w:sz w:val="20"/>
                <w:szCs w:val="20"/>
              </w:rPr>
              <w:t>分；</w:t>
            </w:r>
          </w:p>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ascii="仿宋_GB2312" w:hAnsi="仿宋_GB2312" w:eastAsia="仿宋_GB2312"/>
                <w:kern w:val="0"/>
                <w:sz w:val="20"/>
                <w:szCs w:val="20"/>
              </w:rPr>
            </w:pPr>
            <w:r>
              <w:rPr>
                <w:rFonts w:hint="eastAsia" w:eastAsia="仿宋_GB2312"/>
                <w:kern w:val="0"/>
                <w:sz w:val="20"/>
                <w:szCs w:val="20"/>
              </w:rPr>
              <w:t>80</w:t>
            </w:r>
            <w:r>
              <w:rPr>
                <w:rFonts w:eastAsia="仿宋_GB2312"/>
                <w:kern w:val="0"/>
                <w:sz w:val="20"/>
                <w:szCs w:val="20"/>
              </w:rPr>
              <w:t>%</w:t>
            </w:r>
            <w:r>
              <w:rPr>
                <w:rFonts w:ascii="仿宋_GB2312" w:hAnsi="仿宋_GB2312" w:eastAsia="仿宋_GB2312"/>
                <w:kern w:val="0"/>
                <w:sz w:val="20"/>
                <w:szCs w:val="20"/>
              </w:rPr>
              <w:t>（含）</w:t>
            </w:r>
            <w:r>
              <w:rPr>
                <w:rFonts w:eastAsia="仿宋_GB2312"/>
                <w:kern w:val="0"/>
                <w:sz w:val="20"/>
                <w:szCs w:val="20"/>
              </w:rPr>
              <w:t>-9</w:t>
            </w:r>
            <w:r>
              <w:rPr>
                <w:rFonts w:hint="eastAsia" w:eastAsia="仿宋_GB2312"/>
                <w:kern w:val="0"/>
                <w:sz w:val="20"/>
                <w:szCs w:val="20"/>
              </w:rPr>
              <w:t>8</w:t>
            </w:r>
            <w:r>
              <w:rPr>
                <w:rFonts w:eastAsia="仿宋_GB2312"/>
                <w:kern w:val="0"/>
                <w:sz w:val="20"/>
                <w:szCs w:val="20"/>
              </w:rPr>
              <w:t>%</w:t>
            </w:r>
            <w:r>
              <w:rPr>
                <w:rFonts w:ascii="仿宋_GB2312" w:hAnsi="仿宋_GB2312" w:eastAsia="仿宋_GB2312"/>
                <w:kern w:val="0"/>
                <w:sz w:val="20"/>
                <w:szCs w:val="20"/>
              </w:rPr>
              <w:t>，计</w:t>
            </w:r>
            <w:r>
              <w:rPr>
                <w:rFonts w:hint="eastAsia" w:ascii="仿宋_GB2312" w:hAnsi="仿宋_GB2312" w:eastAsia="仿宋_GB2312"/>
                <w:kern w:val="0"/>
                <w:sz w:val="20"/>
                <w:szCs w:val="20"/>
              </w:rPr>
              <w:t>5</w:t>
            </w:r>
            <w:r>
              <w:rPr>
                <w:rFonts w:ascii="仿宋_GB2312" w:hAnsi="仿宋_GB2312" w:eastAsia="仿宋_GB2312"/>
                <w:kern w:val="0"/>
                <w:sz w:val="20"/>
                <w:szCs w:val="20"/>
              </w:rPr>
              <w:t>分；</w:t>
            </w:r>
          </w:p>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ascii="仿宋_GB2312" w:hAnsi="仿宋_GB2312" w:eastAsia="仿宋_GB2312"/>
                <w:kern w:val="0"/>
                <w:sz w:val="20"/>
                <w:szCs w:val="20"/>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hint="eastAsia" w:ascii="仿宋_GB2312" w:hAnsi="仿宋_GB2312" w:eastAsia="仿宋_GB2312"/>
                <w:kern w:val="0"/>
                <w:sz w:val="20"/>
                <w:szCs w:val="20"/>
              </w:rPr>
              <w:t>4</w:t>
            </w:r>
            <w:r>
              <w:rPr>
                <w:rFonts w:ascii="仿宋_GB2312" w:hAnsi="仿宋_GB2312" w:eastAsia="仿宋_GB2312"/>
                <w:kern w:val="0"/>
                <w:sz w:val="20"/>
                <w:szCs w:val="20"/>
              </w:rPr>
              <w:t>分；</w:t>
            </w:r>
          </w:p>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kern w:val="0"/>
                <w:sz w:val="24"/>
              </w:rPr>
            </w:pPr>
            <w:r>
              <w:rPr>
                <w:rFonts w:hint="eastAsia"/>
                <w:kern w:val="0"/>
                <w:sz w:val="24"/>
              </w:rPr>
              <w:t>5</w:t>
            </w:r>
            <w:r>
              <w:rPr>
                <w:kern w:val="0"/>
                <w:sz w:val="24"/>
              </w:rPr>
              <w:t>　</w:t>
            </w:r>
          </w:p>
        </w:tc>
      </w:tr>
      <w:tr>
        <w:tblPrEx>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noWrap/>
          </w:tcPr>
          <w:p>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noWrap/>
            <w:vAlign w:val="center"/>
          </w:tcPr>
          <w:p>
            <w:pPr>
              <w:widowControl/>
              <w:rPr>
                <w:rFonts w:ascii="宋体" w:hAnsi="宋体"/>
                <w:color w:val="000000"/>
                <w:kern w:val="0"/>
                <w:sz w:val="24"/>
              </w:rPr>
            </w:pPr>
            <w:r>
              <w:rPr>
                <w:rFonts w:hint="eastAsia" w:ascii="宋体" w:hAnsi="宋体"/>
                <w:color w:val="000000"/>
                <w:kern w:val="0"/>
                <w:sz w:val="24"/>
              </w:rPr>
              <w:t>99</w:t>
            </w:r>
          </w:p>
        </w:tc>
      </w:tr>
    </w:tbl>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480" w:firstLineChars="1600"/>
        <w:textAlignment w:val="auto"/>
        <w:rPr>
          <w:rFonts w:hint="eastAsia" w:ascii="仿宋" w:hAnsi="仿宋" w:eastAsia="仿宋" w:cs="仿宋"/>
          <w:color w:val="auto"/>
          <w:sz w:val="28"/>
          <w:szCs w:val="28"/>
          <w:lang w:val="en-US" w:eastAsia="zh-CN"/>
        </w:rPr>
      </w:pPr>
    </w:p>
    <w:sectPr>
      <w:pgSz w:w="11906" w:h="16838"/>
      <w:pgMar w:top="1440" w:right="1800" w:bottom="121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Microsoft YaHei UI">
    <w:altName w:val="宋体"/>
    <w:panose1 w:val="020B0503020204020204"/>
    <w:charset w:val="86"/>
    <w:family w:val="auto"/>
    <w:pitch w:val="default"/>
    <w:sig w:usb0="00000000" w:usb1="00000000" w:usb2="00000016" w:usb3="00000000" w:csb0="0004001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YxZjBkNGRhNjU0ZDRjZGExOTc2Y2RjODU2ZGI1YTMifQ=="/>
    <w:docVar w:name="KSO_WPS_MARK_KEY" w:val="33262d81-2db1-4a91-8be7-c17e623f9457"/>
  </w:docVars>
  <w:rsids>
    <w:rsidRoot w:val="59FC271D"/>
    <w:rsid w:val="09AA124A"/>
    <w:rsid w:val="0BD633C8"/>
    <w:rsid w:val="0D004C93"/>
    <w:rsid w:val="0DFC6427"/>
    <w:rsid w:val="0F4D7B46"/>
    <w:rsid w:val="12D361B4"/>
    <w:rsid w:val="157E269D"/>
    <w:rsid w:val="15FF54BC"/>
    <w:rsid w:val="164C1310"/>
    <w:rsid w:val="1DAA5E8A"/>
    <w:rsid w:val="22700284"/>
    <w:rsid w:val="237D0994"/>
    <w:rsid w:val="2B46456B"/>
    <w:rsid w:val="2D2C4086"/>
    <w:rsid w:val="2E315CE4"/>
    <w:rsid w:val="32BF586B"/>
    <w:rsid w:val="33F34ADB"/>
    <w:rsid w:val="3A5D0BEE"/>
    <w:rsid w:val="3CBC1446"/>
    <w:rsid w:val="3D9440E0"/>
    <w:rsid w:val="45AC02C2"/>
    <w:rsid w:val="49885860"/>
    <w:rsid w:val="51493EC0"/>
    <w:rsid w:val="5457392B"/>
    <w:rsid w:val="59FC271D"/>
    <w:rsid w:val="5AD2039E"/>
    <w:rsid w:val="695D4175"/>
    <w:rsid w:val="6CFB4ADF"/>
    <w:rsid w:val="6E813D91"/>
    <w:rsid w:val="6F6873CF"/>
    <w:rsid w:val="70791152"/>
    <w:rsid w:val="71C823A7"/>
    <w:rsid w:val="76876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4672</Words>
  <Characters>5140</Characters>
  <Lines>0</Lines>
  <Paragraphs>0</Paragraphs>
  <TotalTime>13</TotalTime>
  <ScaleCrop>false</ScaleCrop>
  <LinksUpToDate>false</LinksUpToDate>
  <CharactersWithSpaces>5464</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2023-11-13T12:11:00Z</dcterms:created>
  <dc:creator>柳暗花明</dc:creator>
  <cp:lastModifiedBy>Administrator</cp:lastModifiedBy>
  <cp:lastPrinted>2024-03-26T02:38:00Z</cp:lastPrinted>
  <dcterms:modified xsi:type="dcterms:W3CDTF">2025-05-30T03:57:26Z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7E3D269B9EEB43A780F7AB2394952639_13</vt:lpwstr>
  </property>
</Properties>
</file>