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jc w:val="center"/>
        <w:rPr>
          <w:b/>
          <w:sz w:val="36"/>
          <w:szCs w:val="36"/>
          <w:lang w:eastAsia="zh-CN"/>
        </w:rPr>
      </w:pPr>
      <w:r>
        <w:rPr>
          <w:b/>
          <w:sz w:val="36"/>
          <w:szCs w:val="36"/>
          <w:lang w:eastAsia="zh-CN"/>
        </w:rPr>
        <w:t>202</w:t>
      </w:r>
      <w:r>
        <w:rPr>
          <w:rFonts w:hint="eastAsia"/>
          <w:b/>
          <w:sz w:val="36"/>
          <w:szCs w:val="36"/>
          <w:lang w:eastAsia="zh-CN"/>
        </w:rPr>
        <w:t>4</w:t>
      </w:r>
      <w:r>
        <w:rPr>
          <w:b/>
          <w:sz w:val="36"/>
          <w:szCs w:val="36"/>
          <w:lang w:eastAsia="zh-CN"/>
        </w:rPr>
        <w:t>年度江永县</w:t>
      </w:r>
      <w:r>
        <w:rPr>
          <w:rFonts w:hint="eastAsia"/>
          <w:b/>
          <w:sz w:val="36"/>
          <w:szCs w:val="36"/>
          <w:lang w:eastAsia="zh-CN"/>
        </w:rPr>
        <w:t>夏层铺镇学校</w:t>
      </w:r>
      <w:r>
        <w:rPr>
          <w:b/>
          <w:sz w:val="36"/>
          <w:szCs w:val="36"/>
          <w:lang w:eastAsia="zh-CN"/>
        </w:rPr>
        <w:t>整体支出</w:t>
      </w:r>
    </w:p>
    <w:p>
      <w:pPr>
        <w:pStyle w:val="19"/>
        <w:jc w:val="center"/>
        <w:rPr>
          <w:b/>
          <w:sz w:val="36"/>
          <w:szCs w:val="36"/>
          <w:lang w:eastAsia="zh-CN"/>
        </w:rPr>
      </w:pPr>
      <w:r>
        <w:rPr>
          <w:rFonts w:hint="eastAsia"/>
          <w:b/>
          <w:sz w:val="36"/>
          <w:szCs w:val="36"/>
          <w:lang w:eastAsia="zh-CN"/>
        </w:rPr>
        <w:t>绩效自评报告</w:t>
      </w:r>
    </w:p>
    <w:p>
      <w:pPr>
        <w:pStyle w:val="19"/>
        <w:jc w:val="center"/>
        <w:rPr>
          <w:b/>
          <w:sz w:val="36"/>
          <w:szCs w:val="36"/>
          <w:lang w:eastAsia="zh-CN"/>
        </w:rPr>
      </w:pPr>
    </w:p>
    <w:p>
      <w:pPr>
        <w:pStyle w:val="19"/>
        <w:jc w:val="center"/>
        <w:rPr>
          <w:b/>
          <w:sz w:val="36"/>
          <w:szCs w:val="36"/>
          <w:lang w:eastAsia="zh-CN"/>
        </w:rPr>
      </w:pPr>
    </w:p>
    <w:p>
      <w:pPr>
        <w:pStyle w:val="19"/>
        <w:jc w:val="center"/>
        <w:rPr>
          <w:b/>
          <w:sz w:val="36"/>
          <w:szCs w:val="36"/>
          <w:lang w:eastAsia="zh-CN"/>
        </w:rPr>
      </w:pPr>
    </w:p>
    <w:p>
      <w:pPr>
        <w:pStyle w:val="19"/>
        <w:jc w:val="center"/>
        <w:rPr>
          <w:b/>
          <w:sz w:val="36"/>
          <w:szCs w:val="36"/>
          <w:lang w:eastAsia="zh-CN"/>
        </w:rPr>
      </w:pPr>
    </w:p>
    <w:p>
      <w:pPr>
        <w:pStyle w:val="19"/>
        <w:jc w:val="center"/>
        <w:rPr>
          <w:b/>
          <w:sz w:val="36"/>
          <w:szCs w:val="36"/>
          <w:lang w:eastAsia="zh-CN"/>
        </w:rPr>
      </w:pPr>
    </w:p>
    <w:p>
      <w:pPr>
        <w:pStyle w:val="19"/>
        <w:jc w:val="center"/>
        <w:rPr>
          <w:b/>
          <w:sz w:val="36"/>
          <w:szCs w:val="36"/>
          <w:lang w:eastAsia="zh-CN"/>
        </w:rPr>
      </w:pPr>
    </w:p>
    <w:p>
      <w:pPr>
        <w:pStyle w:val="19"/>
        <w:rPr>
          <w:b/>
          <w:sz w:val="36"/>
          <w:szCs w:val="36"/>
          <w:lang w:eastAsia="zh-CN"/>
        </w:rPr>
      </w:pPr>
    </w:p>
    <w:p>
      <w:pPr>
        <w:pStyle w:val="19"/>
        <w:jc w:val="center"/>
        <w:rPr>
          <w:b/>
          <w:sz w:val="36"/>
          <w:szCs w:val="36"/>
          <w:lang w:eastAsia="zh-CN"/>
        </w:rPr>
      </w:pPr>
    </w:p>
    <w:p>
      <w:pPr>
        <w:pStyle w:val="19"/>
        <w:jc w:val="center"/>
        <w:rPr>
          <w:b/>
          <w:sz w:val="36"/>
          <w:szCs w:val="36"/>
          <w:lang w:eastAsia="zh-CN"/>
        </w:rPr>
      </w:pPr>
      <w:r>
        <w:rPr>
          <w:rFonts w:hint="eastAsia"/>
          <w:b/>
          <w:sz w:val="36"/>
          <w:szCs w:val="36"/>
          <w:lang w:eastAsia="zh-CN"/>
        </w:rPr>
        <w:t>单位名称（盖章）：</w:t>
      </w:r>
      <w:r>
        <w:rPr>
          <w:sz w:val="36"/>
          <w:szCs w:val="36"/>
          <w:lang w:eastAsia="zh-CN"/>
        </w:rPr>
        <w:t>江永县夏层铺镇学校</w:t>
      </w:r>
    </w:p>
    <w:p>
      <w:pPr>
        <w:pStyle w:val="19"/>
        <w:jc w:val="center"/>
        <w:rPr>
          <w:b/>
          <w:sz w:val="36"/>
          <w:szCs w:val="36"/>
          <w:lang w:eastAsia="zh-CN"/>
        </w:rPr>
      </w:pPr>
    </w:p>
    <w:p>
      <w:pPr>
        <w:pStyle w:val="19"/>
        <w:jc w:val="center"/>
        <w:rPr>
          <w:b/>
          <w:sz w:val="36"/>
          <w:szCs w:val="36"/>
          <w:lang w:eastAsia="zh-CN"/>
        </w:rPr>
      </w:pPr>
    </w:p>
    <w:p>
      <w:pPr>
        <w:pStyle w:val="19"/>
        <w:jc w:val="center"/>
        <w:rPr>
          <w:b/>
          <w:sz w:val="36"/>
          <w:szCs w:val="36"/>
          <w:lang w:eastAsia="zh-CN"/>
        </w:rPr>
      </w:pPr>
    </w:p>
    <w:p>
      <w:pPr>
        <w:pStyle w:val="19"/>
        <w:jc w:val="center"/>
        <w:rPr>
          <w:b/>
          <w:sz w:val="36"/>
          <w:szCs w:val="36"/>
          <w:lang w:eastAsia="zh-CN"/>
        </w:rPr>
      </w:pPr>
      <w:r>
        <w:rPr>
          <w:rFonts w:hint="eastAsia"/>
          <w:b/>
          <w:sz w:val="36"/>
          <w:szCs w:val="36"/>
          <w:lang w:eastAsia="zh-CN"/>
        </w:rPr>
        <w:t>（此页为封面）</w:t>
      </w:r>
    </w:p>
    <w:p>
      <w:pPr>
        <w:pStyle w:val="19"/>
        <w:rPr>
          <w:b/>
          <w:sz w:val="36"/>
          <w:szCs w:val="36"/>
          <w:lang w:eastAsia="zh-CN"/>
        </w:rPr>
      </w:pPr>
    </w:p>
    <w:p>
      <w:pPr>
        <w:pStyle w:val="19"/>
        <w:jc w:val="center"/>
        <w:rPr>
          <w:sz w:val="36"/>
          <w:szCs w:val="36"/>
          <w:lang w:eastAsia="zh-CN"/>
        </w:rPr>
      </w:pPr>
      <w:r>
        <w:rPr>
          <w:sz w:val="36"/>
          <w:szCs w:val="36"/>
          <w:lang w:eastAsia="zh-CN"/>
        </w:rPr>
        <w:t>202</w:t>
      </w:r>
      <w:r>
        <w:rPr>
          <w:rFonts w:hint="eastAsia"/>
          <w:sz w:val="36"/>
          <w:szCs w:val="36"/>
          <w:lang w:eastAsia="zh-CN"/>
        </w:rPr>
        <w:t>4</w:t>
      </w:r>
      <w:r>
        <w:rPr>
          <w:sz w:val="36"/>
          <w:szCs w:val="36"/>
          <w:lang w:eastAsia="zh-CN"/>
        </w:rPr>
        <w:t>年江永县夏层铺镇学校整体支出</w:t>
      </w:r>
    </w:p>
    <w:p>
      <w:pPr>
        <w:pStyle w:val="19"/>
        <w:jc w:val="center"/>
        <w:rPr>
          <w:sz w:val="24"/>
          <w:szCs w:val="24"/>
          <w:lang w:eastAsia="zh-CN"/>
        </w:rPr>
      </w:pPr>
      <w:r>
        <w:rPr>
          <w:sz w:val="36"/>
          <w:szCs w:val="36"/>
          <w:lang w:eastAsia="zh-CN"/>
        </w:rPr>
        <w:t>绩效自评报告</w:t>
      </w:r>
    </w:p>
    <w:p>
      <w:pPr>
        <w:pStyle w:val="19"/>
        <w:ind w:firstLine="480" w:firstLineChars="200"/>
        <w:jc w:val="both"/>
        <w:rPr>
          <w:sz w:val="24"/>
          <w:szCs w:val="24"/>
          <w:lang w:eastAsia="zh-CN"/>
        </w:rPr>
      </w:pPr>
      <w:r>
        <w:rPr>
          <w:sz w:val="24"/>
          <w:szCs w:val="24"/>
          <w:lang w:eastAsia="zh-CN"/>
        </w:rPr>
        <w:t>一、基本情况</w:t>
      </w:r>
    </w:p>
    <w:p>
      <w:pPr>
        <w:pStyle w:val="19"/>
        <w:ind w:firstLine="480" w:firstLineChars="200"/>
        <w:jc w:val="both"/>
        <w:rPr>
          <w:sz w:val="24"/>
          <w:szCs w:val="24"/>
          <w:lang w:eastAsia="zh-CN"/>
        </w:rPr>
      </w:pPr>
      <w:r>
        <w:rPr>
          <w:sz w:val="24"/>
          <w:szCs w:val="24"/>
          <w:lang w:eastAsia="zh-CN"/>
        </w:rPr>
        <w:t>（一）单位基本情况及主要职能职责。</w:t>
      </w:r>
    </w:p>
    <w:p>
      <w:pPr>
        <w:pStyle w:val="19"/>
        <w:spacing w:after="0" w:line="240" w:lineRule="auto"/>
        <w:ind w:firstLine="480" w:firstLineChars="200"/>
        <w:jc w:val="both"/>
        <w:rPr>
          <w:sz w:val="24"/>
          <w:szCs w:val="24"/>
          <w:lang w:eastAsia="zh-CN"/>
        </w:rPr>
      </w:pPr>
      <w:r>
        <w:rPr>
          <w:sz w:val="24"/>
          <w:szCs w:val="24"/>
          <w:lang w:eastAsia="zh-CN"/>
        </w:rPr>
        <w:t>江永县夏层铺镇学校是江永县教育局下属的二级机构，学校为财政全额拨款事业单位，是一所全日制九年一贯制学校，现有在校学生1</w:t>
      </w:r>
      <w:r>
        <w:rPr>
          <w:rFonts w:hint="eastAsia"/>
          <w:sz w:val="24"/>
          <w:szCs w:val="24"/>
          <w:lang w:eastAsia="zh-CN"/>
        </w:rPr>
        <w:t>753</w:t>
      </w:r>
      <w:r>
        <w:rPr>
          <w:sz w:val="24"/>
          <w:szCs w:val="24"/>
          <w:lang w:eastAsia="zh-CN"/>
        </w:rPr>
        <w:t>人，核定编制数10</w:t>
      </w:r>
      <w:r>
        <w:rPr>
          <w:rFonts w:hint="eastAsia"/>
          <w:sz w:val="24"/>
          <w:szCs w:val="24"/>
          <w:lang w:eastAsia="zh-CN"/>
        </w:rPr>
        <w:t>7</w:t>
      </w:r>
      <w:r>
        <w:rPr>
          <w:sz w:val="24"/>
          <w:szCs w:val="24"/>
          <w:lang w:eastAsia="zh-CN"/>
        </w:rPr>
        <w:t>人，实有在编人数10</w:t>
      </w:r>
      <w:r>
        <w:rPr>
          <w:rFonts w:hint="eastAsia"/>
          <w:sz w:val="24"/>
          <w:szCs w:val="24"/>
          <w:lang w:eastAsia="zh-CN"/>
        </w:rPr>
        <w:t>7</w:t>
      </w:r>
      <w:r>
        <w:rPr>
          <w:sz w:val="24"/>
          <w:szCs w:val="24"/>
          <w:lang w:eastAsia="zh-CN"/>
        </w:rPr>
        <w:t>人。统</w:t>
      </w:r>
      <w:r>
        <w:rPr>
          <w:rFonts w:hint="eastAsia"/>
          <w:sz w:val="24"/>
          <w:szCs w:val="24"/>
          <w:lang w:eastAsia="zh-CN"/>
        </w:rPr>
        <w:t>一</w:t>
      </w:r>
      <w:bookmarkStart w:id="0" w:name="_GoBack"/>
      <w:bookmarkEnd w:id="0"/>
      <w:r>
        <w:rPr>
          <w:sz w:val="24"/>
          <w:szCs w:val="24"/>
          <w:lang w:eastAsia="zh-CN"/>
        </w:rPr>
        <w:t>社会信用代码</w:t>
      </w:r>
      <w:r>
        <w:rPr>
          <w:rFonts w:hint="eastAsia"/>
          <w:sz w:val="24"/>
          <w:szCs w:val="24"/>
          <w:lang w:eastAsia="zh-CN"/>
        </w:rPr>
        <w:t>：</w:t>
      </w:r>
      <w:r>
        <w:rPr>
          <w:sz w:val="24"/>
          <w:szCs w:val="24"/>
          <w:lang w:eastAsia="zh-CN"/>
        </w:rPr>
        <w:t>12431125448809000M</w:t>
      </w:r>
      <w:r>
        <w:rPr>
          <w:rFonts w:hint="eastAsia"/>
          <w:sz w:val="24"/>
          <w:szCs w:val="24"/>
          <w:lang w:eastAsia="zh-CN"/>
        </w:rPr>
        <w:t>，</w:t>
      </w:r>
      <w:r>
        <w:rPr>
          <w:sz w:val="24"/>
          <w:szCs w:val="24"/>
          <w:lang w:eastAsia="zh-CN"/>
        </w:rPr>
        <w:t>法人代表：谭小文。</w:t>
      </w:r>
    </w:p>
    <w:p>
      <w:pPr>
        <w:pStyle w:val="19"/>
        <w:ind w:firstLine="480" w:firstLineChars="200"/>
        <w:jc w:val="both"/>
        <w:rPr>
          <w:sz w:val="24"/>
          <w:szCs w:val="24"/>
          <w:lang w:eastAsia="zh-CN"/>
        </w:rPr>
      </w:pPr>
      <w:r>
        <w:rPr>
          <w:sz w:val="24"/>
          <w:szCs w:val="24"/>
          <w:lang w:eastAsia="zh-CN"/>
        </w:rPr>
        <w:t>单位主要职责：</w:t>
      </w:r>
    </w:p>
    <w:p>
      <w:pPr>
        <w:pStyle w:val="19"/>
        <w:ind w:firstLine="480" w:firstLineChars="200"/>
        <w:jc w:val="both"/>
        <w:rPr>
          <w:sz w:val="24"/>
          <w:szCs w:val="24"/>
          <w:lang w:eastAsia="zh-CN"/>
        </w:rPr>
      </w:pPr>
      <w:r>
        <w:rPr>
          <w:sz w:val="24"/>
          <w:szCs w:val="24"/>
          <w:lang w:eastAsia="zh-CN"/>
        </w:rPr>
        <w:t>贯彻执行国家、省、市、县有关教育教学法律、法规和政策，拟订本校教育教学管理有关规章制度，并实施监督、检查、考核。对本校的教职员工进行业务培训，工资申报，实施国家各项教育法规要求的专项事务。负责本校基础设施建设，实施全方位跟踪监督，测算工程量，上报基建进度，审核资金运行，确保专款专用。</w:t>
      </w:r>
    </w:p>
    <w:p>
      <w:pPr>
        <w:pStyle w:val="19"/>
        <w:ind w:firstLine="480" w:firstLineChars="200"/>
        <w:jc w:val="both"/>
        <w:rPr>
          <w:sz w:val="24"/>
          <w:szCs w:val="24"/>
          <w:lang w:eastAsia="zh-CN"/>
        </w:rPr>
      </w:pPr>
      <w:r>
        <w:rPr>
          <w:sz w:val="24"/>
          <w:szCs w:val="24"/>
          <w:lang w:eastAsia="zh-CN"/>
        </w:rPr>
        <w:t>（二）本单位202</w:t>
      </w:r>
      <w:r>
        <w:rPr>
          <w:rFonts w:hint="eastAsia"/>
          <w:sz w:val="24"/>
          <w:szCs w:val="24"/>
          <w:lang w:eastAsia="zh-CN"/>
        </w:rPr>
        <w:t>4</w:t>
      </w:r>
      <w:r>
        <w:rPr>
          <w:sz w:val="24"/>
          <w:szCs w:val="24"/>
          <w:lang w:eastAsia="zh-CN"/>
        </w:rPr>
        <w:t>年的整体绩效目标为：</w:t>
      </w:r>
    </w:p>
    <w:p>
      <w:pPr>
        <w:pStyle w:val="19"/>
        <w:ind w:firstLine="480" w:firstLineChars="200"/>
        <w:jc w:val="both"/>
        <w:rPr>
          <w:sz w:val="24"/>
          <w:szCs w:val="24"/>
          <w:lang w:eastAsia="zh-CN"/>
        </w:rPr>
      </w:pPr>
      <w:r>
        <w:rPr>
          <w:sz w:val="24"/>
          <w:szCs w:val="24"/>
          <w:lang w:eastAsia="zh-CN"/>
        </w:rPr>
        <w:t>1、贯彻落实党和国家的相关教育政策方针。</w:t>
      </w:r>
    </w:p>
    <w:p>
      <w:pPr>
        <w:pStyle w:val="19"/>
        <w:ind w:firstLine="480" w:firstLineChars="200"/>
        <w:jc w:val="both"/>
        <w:rPr>
          <w:sz w:val="24"/>
          <w:szCs w:val="24"/>
          <w:lang w:eastAsia="zh-CN"/>
        </w:rPr>
      </w:pPr>
      <w:r>
        <w:rPr>
          <w:sz w:val="24"/>
          <w:szCs w:val="24"/>
          <w:lang w:eastAsia="zh-CN"/>
        </w:rPr>
        <w:t>2、加强校园安全管理工作，在全体师生中积极宣传安全教育知识。</w:t>
      </w:r>
    </w:p>
    <w:p>
      <w:pPr>
        <w:pStyle w:val="19"/>
        <w:ind w:firstLine="480" w:firstLineChars="200"/>
        <w:jc w:val="both"/>
        <w:rPr>
          <w:sz w:val="24"/>
          <w:szCs w:val="24"/>
          <w:lang w:eastAsia="zh-CN"/>
        </w:rPr>
      </w:pPr>
      <w:r>
        <w:rPr>
          <w:sz w:val="24"/>
          <w:szCs w:val="24"/>
          <w:lang w:eastAsia="zh-CN"/>
        </w:rPr>
        <w:t>3、积极加强教师培训工作及师德师风建设工作。</w:t>
      </w:r>
    </w:p>
    <w:p>
      <w:pPr>
        <w:pStyle w:val="19"/>
        <w:ind w:firstLine="480" w:firstLineChars="200"/>
        <w:jc w:val="both"/>
        <w:rPr>
          <w:sz w:val="24"/>
          <w:szCs w:val="24"/>
          <w:lang w:eastAsia="zh-CN"/>
        </w:rPr>
      </w:pPr>
      <w:r>
        <w:rPr>
          <w:rFonts w:hint="eastAsia"/>
          <w:sz w:val="24"/>
          <w:szCs w:val="24"/>
          <w:lang w:eastAsia="zh-CN"/>
        </w:rPr>
        <w:t>4</w:t>
      </w:r>
      <w:r>
        <w:rPr>
          <w:sz w:val="24"/>
          <w:szCs w:val="24"/>
          <w:lang w:eastAsia="zh-CN"/>
        </w:rPr>
        <w:t>、严肃财经纪律，开源节流，合理开支相关经费202</w:t>
      </w:r>
      <w:r>
        <w:rPr>
          <w:rFonts w:hint="eastAsia"/>
          <w:sz w:val="24"/>
          <w:szCs w:val="24"/>
          <w:lang w:eastAsia="zh-CN"/>
        </w:rPr>
        <w:t>4</w:t>
      </w:r>
      <w:r>
        <w:rPr>
          <w:sz w:val="24"/>
          <w:szCs w:val="24"/>
          <w:lang w:eastAsia="zh-CN"/>
        </w:rPr>
        <w:t>年度收支情况。</w:t>
      </w:r>
    </w:p>
    <w:p>
      <w:pPr>
        <w:pStyle w:val="19"/>
        <w:jc w:val="both"/>
        <w:rPr>
          <w:sz w:val="24"/>
          <w:szCs w:val="24"/>
          <w:lang w:eastAsia="zh-CN"/>
        </w:rPr>
      </w:pPr>
      <w:r>
        <w:rPr>
          <w:sz w:val="24"/>
          <w:szCs w:val="24"/>
          <w:lang w:eastAsia="zh-CN"/>
        </w:rPr>
        <w:t>二、一般公共预算目支出情况</w:t>
      </w:r>
    </w:p>
    <w:p>
      <w:pPr>
        <w:pStyle w:val="19"/>
        <w:ind w:firstLine="480" w:firstLineChars="200"/>
        <w:jc w:val="both"/>
        <w:rPr>
          <w:sz w:val="24"/>
          <w:szCs w:val="24"/>
          <w:lang w:eastAsia="zh-CN"/>
        </w:rPr>
      </w:pPr>
      <w:r>
        <w:rPr>
          <w:sz w:val="24"/>
          <w:szCs w:val="24"/>
          <w:lang w:eastAsia="zh-CN"/>
        </w:rPr>
        <w:t>（一）基本支出情况</w:t>
      </w:r>
    </w:p>
    <w:p>
      <w:pPr>
        <w:pStyle w:val="19"/>
        <w:ind w:firstLine="480" w:firstLineChars="200"/>
        <w:jc w:val="both"/>
        <w:rPr>
          <w:sz w:val="24"/>
          <w:szCs w:val="24"/>
          <w:lang w:eastAsia="zh-CN"/>
        </w:rPr>
      </w:pPr>
      <w:r>
        <w:rPr>
          <w:sz w:val="24"/>
          <w:szCs w:val="24"/>
          <w:lang w:eastAsia="zh-CN"/>
        </w:rPr>
        <w:t>202</w:t>
      </w:r>
      <w:r>
        <w:rPr>
          <w:rFonts w:hint="eastAsia"/>
          <w:sz w:val="24"/>
          <w:szCs w:val="24"/>
          <w:lang w:eastAsia="zh-CN"/>
        </w:rPr>
        <w:t>4</w:t>
      </w:r>
      <w:r>
        <w:rPr>
          <w:sz w:val="24"/>
          <w:szCs w:val="24"/>
          <w:lang w:eastAsia="zh-CN"/>
        </w:rPr>
        <w:t>年本单位基本支出预算数</w:t>
      </w:r>
      <w:r>
        <w:rPr>
          <w:rFonts w:hint="eastAsia"/>
          <w:sz w:val="24"/>
          <w:szCs w:val="24"/>
          <w:lang w:eastAsia="zh-CN"/>
        </w:rPr>
        <w:t>2216.34</w:t>
      </w:r>
      <w:r>
        <w:rPr>
          <w:sz w:val="24"/>
          <w:szCs w:val="24"/>
          <w:lang w:eastAsia="zh-CN"/>
        </w:rPr>
        <w:t>万元，主要是为保障部门正常运转、完成日常工作任务而发生的各项支出，包括用于基本工资、津贴补贴等人员经费以及办公费、印刷费、水电费、办公设备购置等公用经费</w:t>
      </w:r>
      <w:r>
        <w:rPr>
          <w:rFonts w:hint="eastAsia"/>
          <w:sz w:val="24"/>
          <w:szCs w:val="24"/>
          <w:lang w:eastAsia="zh-CN"/>
        </w:rPr>
        <w:t>。</w:t>
      </w:r>
    </w:p>
    <w:p>
      <w:pPr>
        <w:pStyle w:val="19"/>
        <w:ind w:firstLine="480" w:firstLineChars="200"/>
        <w:jc w:val="both"/>
        <w:rPr>
          <w:sz w:val="24"/>
          <w:szCs w:val="24"/>
          <w:lang w:eastAsia="zh-CN"/>
        </w:rPr>
      </w:pPr>
      <w:r>
        <w:rPr>
          <w:sz w:val="24"/>
          <w:szCs w:val="24"/>
          <w:lang w:eastAsia="zh-CN"/>
        </w:rPr>
        <w:t>1、“三公”经费支出情况。</w:t>
      </w:r>
    </w:p>
    <w:p>
      <w:pPr>
        <w:pStyle w:val="19"/>
        <w:ind w:firstLine="480" w:firstLineChars="200"/>
        <w:jc w:val="both"/>
        <w:rPr>
          <w:sz w:val="24"/>
          <w:szCs w:val="24"/>
          <w:lang w:eastAsia="zh-CN"/>
        </w:rPr>
      </w:pPr>
      <w:r>
        <w:rPr>
          <w:sz w:val="24"/>
          <w:szCs w:val="24"/>
          <w:lang w:eastAsia="zh-CN"/>
        </w:rPr>
        <w:t>202</w:t>
      </w:r>
      <w:r>
        <w:rPr>
          <w:rFonts w:hint="eastAsia"/>
          <w:sz w:val="24"/>
          <w:szCs w:val="24"/>
          <w:lang w:eastAsia="zh-CN"/>
        </w:rPr>
        <w:t>4</w:t>
      </w:r>
      <w:r>
        <w:rPr>
          <w:sz w:val="24"/>
          <w:szCs w:val="24"/>
          <w:lang w:eastAsia="zh-CN"/>
        </w:rPr>
        <w:t>年共计支出</w:t>
      </w:r>
      <w:r>
        <w:rPr>
          <w:rFonts w:hint="eastAsia"/>
          <w:sz w:val="24"/>
          <w:szCs w:val="24"/>
          <w:lang w:eastAsia="zh-CN"/>
        </w:rPr>
        <w:t>0.72</w:t>
      </w:r>
      <w:r>
        <w:rPr>
          <w:sz w:val="24"/>
          <w:szCs w:val="24"/>
          <w:lang w:eastAsia="zh-CN"/>
        </w:rPr>
        <w:t>万元。其中因公出国（境）经费0万元，公务接待费</w:t>
      </w:r>
      <w:r>
        <w:rPr>
          <w:rFonts w:hint="eastAsia"/>
          <w:sz w:val="24"/>
          <w:szCs w:val="24"/>
          <w:lang w:eastAsia="zh-CN"/>
        </w:rPr>
        <w:t>0.72</w:t>
      </w:r>
      <w:r>
        <w:rPr>
          <w:sz w:val="24"/>
          <w:szCs w:val="24"/>
          <w:lang w:eastAsia="zh-CN"/>
        </w:rPr>
        <w:t>万元，公务用车购置及运行维护费0万元（含购置费0万元，运行维护费0万元）。</w:t>
      </w:r>
    </w:p>
    <w:p>
      <w:pPr>
        <w:pStyle w:val="19"/>
        <w:ind w:firstLine="480" w:firstLineChars="200"/>
        <w:jc w:val="both"/>
        <w:rPr>
          <w:sz w:val="24"/>
          <w:szCs w:val="24"/>
          <w:lang w:eastAsia="zh-CN"/>
        </w:rPr>
      </w:pPr>
      <w:r>
        <w:rPr>
          <w:rFonts w:hint="eastAsia"/>
          <w:sz w:val="24"/>
          <w:szCs w:val="24"/>
          <w:lang w:eastAsia="zh-CN"/>
        </w:rPr>
        <w:t>2.公用经费支出情况</w:t>
      </w:r>
    </w:p>
    <w:p>
      <w:pPr>
        <w:pStyle w:val="19"/>
        <w:ind w:firstLine="480" w:firstLineChars="200"/>
        <w:jc w:val="both"/>
        <w:rPr>
          <w:sz w:val="24"/>
          <w:szCs w:val="24"/>
          <w:lang w:eastAsia="zh-CN"/>
        </w:rPr>
      </w:pPr>
      <w:r>
        <w:rPr>
          <w:sz w:val="24"/>
          <w:szCs w:val="24"/>
          <w:lang w:eastAsia="zh-CN"/>
        </w:rPr>
        <w:t>202</w:t>
      </w:r>
      <w:r>
        <w:rPr>
          <w:rFonts w:hint="eastAsia"/>
          <w:sz w:val="24"/>
          <w:szCs w:val="24"/>
          <w:lang w:eastAsia="zh-CN"/>
        </w:rPr>
        <w:t>4</w:t>
      </w:r>
      <w:r>
        <w:rPr>
          <w:sz w:val="24"/>
          <w:szCs w:val="24"/>
          <w:lang w:eastAsia="zh-CN"/>
        </w:rPr>
        <w:t>年</w:t>
      </w:r>
      <w:r>
        <w:rPr>
          <w:rFonts w:hint="eastAsia"/>
          <w:sz w:val="24"/>
          <w:szCs w:val="24"/>
          <w:lang w:eastAsia="zh-CN"/>
        </w:rPr>
        <w:t>共计支出127.08万元，其中办公经费80.33万元，水费，电费，差旅费共计15.44万元，</w:t>
      </w:r>
      <w:r>
        <w:rPr>
          <w:sz w:val="24"/>
          <w:szCs w:val="24"/>
          <w:lang w:eastAsia="zh-CN"/>
        </w:rPr>
        <w:t>会议费</w:t>
      </w:r>
      <w:r>
        <w:rPr>
          <w:rFonts w:hint="eastAsia"/>
          <w:sz w:val="24"/>
          <w:szCs w:val="24"/>
          <w:lang w:eastAsia="zh-CN"/>
        </w:rPr>
        <w:t>，</w:t>
      </w:r>
      <w:r>
        <w:rPr>
          <w:sz w:val="24"/>
          <w:szCs w:val="24"/>
          <w:lang w:eastAsia="zh-CN"/>
        </w:rPr>
        <w:t>培训费</w:t>
      </w:r>
      <w:r>
        <w:rPr>
          <w:rFonts w:hint="eastAsia"/>
          <w:sz w:val="24"/>
          <w:szCs w:val="24"/>
          <w:lang w:eastAsia="zh-CN"/>
        </w:rPr>
        <w:t>共支出1.62</w:t>
      </w:r>
      <w:r>
        <w:rPr>
          <w:sz w:val="24"/>
          <w:szCs w:val="24"/>
          <w:lang w:eastAsia="zh-CN"/>
        </w:rPr>
        <w:t>万元</w:t>
      </w:r>
      <w:r>
        <w:rPr>
          <w:rFonts w:hint="eastAsia"/>
          <w:sz w:val="24"/>
          <w:szCs w:val="24"/>
          <w:lang w:eastAsia="zh-CN"/>
        </w:rPr>
        <w:t>，政府采购金额为29.48万元。</w:t>
      </w:r>
    </w:p>
    <w:p>
      <w:pPr>
        <w:pStyle w:val="19"/>
        <w:jc w:val="both"/>
        <w:rPr>
          <w:sz w:val="24"/>
          <w:szCs w:val="24"/>
          <w:lang w:eastAsia="zh-CN"/>
        </w:rPr>
      </w:pPr>
      <w:r>
        <w:rPr>
          <w:sz w:val="24"/>
          <w:szCs w:val="24"/>
          <w:lang w:eastAsia="zh-CN"/>
        </w:rPr>
        <w:t>三、政府性基金预算支出情况</w:t>
      </w:r>
    </w:p>
    <w:p>
      <w:pPr>
        <w:pStyle w:val="19"/>
        <w:ind w:firstLine="480" w:firstLineChars="200"/>
        <w:jc w:val="both"/>
        <w:rPr>
          <w:sz w:val="24"/>
          <w:szCs w:val="24"/>
          <w:lang w:eastAsia="zh-CN"/>
        </w:rPr>
      </w:pPr>
      <w:r>
        <w:rPr>
          <w:sz w:val="24"/>
          <w:szCs w:val="24"/>
          <w:lang w:eastAsia="zh-CN"/>
        </w:rPr>
        <w:t>我校没有政府性基金预算支出情况</w:t>
      </w:r>
    </w:p>
    <w:p>
      <w:pPr>
        <w:pStyle w:val="19"/>
        <w:jc w:val="both"/>
        <w:rPr>
          <w:sz w:val="24"/>
          <w:szCs w:val="24"/>
          <w:lang w:eastAsia="zh-CN"/>
        </w:rPr>
      </w:pPr>
      <w:r>
        <w:rPr>
          <w:sz w:val="24"/>
          <w:szCs w:val="24"/>
          <w:lang w:eastAsia="zh-CN"/>
        </w:rPr>
        <w:t>四、国有资本经营预算支出情况</w:t>
      </w:r>
    </w:p>
    <w:p>
      <w:pPr>
        <w:pStyle w:val="19"/>
        <w:ind w:firstLine="480" w:firstLineChars="200"/>
        <w:jc w:val="both"/>
        <w:rPr>
          <w:sz w:val="24"/>
          <w:szCs w:val="24"/>
          <w:lang w:eastAsia="zh-CN"/>
        </w:rPr>
      </w:pPr>
      <w:r>
        <w:rPr>
          <w:sz w:val="24"/>
          <w:szCs w:val="24"/>
          <w:lang w:eastAsia="zh-CN"/>
        </w:rPr>
        <w:t>我校没有国有资本经营预算支出情况</w:t>
      </w:r>
    </w:p>
    <w:p>
      <w:pPr>
        <w:pStyle w:val="19"/>
        <w:jc w:val="both"/>
        <w:rPr>
          <w:sz w:val="24"/>
          <w:szCs w:val="24"/>
          <w:lang w:eastAsia="zh-CN"/>
        </w:rPr>
      </w:pPr>
      <w:r>
        <w:rPr>
          <w:sz w:val="24"/>
          <w:szCs w:val="24"/>
          <w:lang w:eastAsia="zh-CN"/>
        </w:rPr>
        <w:t>五、社会保险基金预算支出情况</w:t>
      </w:r>
    </w:p>
    <w:p>
      <w:pPr>
        <w:pStyle w:val="19"/>
        <w:ind w:firstLine="480" w:firstLineChars="200"/>
        <w:jc w:val="both"/>
        <w:rPr>
          <w:sz w:val="24"/>
          <w:szCs w:val="24"/>
          <w:lang w:eastAsia="zh-CN"/>
        </w:rPr>
      </w:pPr>
      <w:r>
        <w:rPr>
          <w:sz w:val="24"/>
          <w:szCs w:val="24"/>
          <w:lang w:eastAsia="zh-CN"/>
        </w:rPr>
        <w:t>我校没有社会保险基金预算支出情况。</w:t>
      </w:r>
    </w:p>
    <w:p>
      <w:pPr>
        <w:pStyle w:val="19"/>
        <w:jc w:val="both"/>
        <w:rPr>
          <w:sz w:val="24"/>
          <w:szCs w:val="24"/>
          <w:lang w:eastAsia="zh-CN"/>
        </w:rPr>
      </w:pPr>
      <w:r>
        <w:rPr>
          <w:sz w:val="24"/>
          <w:szCs w:val="24"/>
          <w:lang w:eastAsia="zh-CN"/>
        </w:rPr>
        <w:t>六、部门整体支出绩效情况</w:t>
      </w:r>
    </w:p>
    <w:p>
      <w:pPr>
        <w:pStyle w:val="19"/>
        <w:ind w:firstLine="480" w:firstLineChars="200"/>
        <w:jc w:val="both"/>
        <w:rPr>
          <w:sz w:val="24"/>
          <w:szCs w:val="24"/>
          <w:lang w:eastAsia="zh-CN"/>
        </w:rPr>
      </w:pPr>
      <w:r>
        <w:rPr>
          <w:sz w:val="24"/>
          <w:szCs w:val="24"/>
          <w:lang w:eastAsia="zh-CN"/>
        </w:rPr>
        <w:t>我校始终坚持“教育为本”的原则，在县委县政府及各部门的关心支持下，在全校教职工的共同努力下，深入贯彻党的二十大精神，围绕中心，服务大局，全面加强党的建设，协同推进教学培训、宣传宣讲、乡村振兴、四大行动等各项工作，取得了一定的进步和成绩。绩效目标完成率为100%,实际完成率100%.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w:t>
      </w:r>
    </w:p>
    <w:p>
      <w:pPr>
        <w:pStyle w:val="19"/>
        <w:jc w:val="both"/>
        <w:rPr>
          <w:sz w:val="24"/>
          <w:szCs w:val="24"/>
          <w:lang w:eastAsia="zh-CN"/>
        </w:rPr>
      </w:pPr>
      <w:r>
        <w:rPr>
          <w:sz w:val="24"/>
          <w:szCs w:val="24"/>
          <w:lang w:eastAsia="zh-CN"/>
        </w:rPr>
        <w:t>七、自查中存在的问题</w:t>
      </w:r>
    </w:p>
    <w:p>
      <w:pPr>
        <w:pStyle w:val="19"/>
        <w:ind w:firstLine="480" w:firstLineChars="200"/>
        <w:jc w:val="both"/>
        <w:rPr>
          <w:sz w:val="24"/>
          <w:szCs w:val="24"/>
          <w:lang w:eastAsia="zh-CN"/>
        </w:rPr>
      </w:pPr>
      <w:r>
        <w:rPr>
          <w:sz w:val="24"/>
          <w:szCs w:val="24"/>
          <w:lang w:eastAsia="zh-CN"/>
        </w:rPr>
        <w:t>国库支付不及时，导致年底部分录单未支付，有些财政资金有时拨付较晚，例如年底，而相关资金尚未来得及使用等原因，导致账目上资金有所结余。因此在评价“预算完成率”这项指标时会导致评分基准不够合理。因为，某些项目是在年底才启动，而这项项目通常需要跨年才能够完成，故把这些项目纳入考核范围内欠缺合理性。建议国库能及时支付合理的支出资金，在对财政资金拨付时应尽量早，这样使评价工作也更合理、顺利。</w:t>
      </w:r>
    </w:p>
    <w:p>
      <w:pPr>
        <w:pStyle w:val="19"/>
        <w:jc w:val="both"/>
        <w:rPr>
          <w:sz w:val="24"/>
          <w:szCs w:val="24"/>
          <w:lang w:eastAsia="zh-CN"/>
        </w:rPr>
      </w:pPr>
      <w:r>
        <w:rPr>
          <w:sz w:val="24"/>
          <w:szCs w:val="24"/>
          <w:lang w:eastAsia="zh-CN"/>
        </w:rPr>
        <w:t>八、下一步改进措施</w:t>
      </w:r>
    </w:p>
    <w:p>
      <w:pPr>
        <w:pStyle w:val="19"/>
        <w:ind w:firstLine="480" w:firstLineChars="200"/>
        <w:jc w:val="both"/>
        <w:rPr>
          <w:sz w:val="24"/>
          <w:szCs w:val="24"/>
          <w:lang w:eastAsia="zh-CN"/>
        </w:rPr>
      </w:pPr>
      <w:r>
        <w:rPr>
          <w:sz w:val="24"/>
          <w:szCs w:val="24"/>
          <w:lang w:eastAsia="zh-CN"/>
        </w:rPr>
        <w:t>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pStyle w:val="19"/>
        <w:jc w:val="both"/>
        <w:rPr>
          <w:sz w:val="24"/>
          <w:szCs w:val="24"/>
          <w:lang w:eastAsia="zh-CN"/>
        </w:rPr>
      </w:pPr>
      <w:r>
        <w:rPr>
          <w:sz w:val="24"/>
          <w:szCs w:val="24"/>
          <w:lang w:eastAsia="zh-CN"/>
        </w:rPr>
        <w:t>九、绩效自评结果拟应用和公开情况</w:t>
      </w:r>
    </w:p>
    <w:p>
      <w:pPr>
        <w:pStyle w:val="19"/>
        <w:ind w:firstLine="480" w:firstLineChars="200"/>
        <w:jc w:val="both"/>
        <w:rPr>
          <w:sz w:val="24"/>
          <w:szCs w:val="24"/>
          <w:lang w:eastAsia="zh-CN"/>
        </w:rPr>
      </w:pPr>
      <w:r>
        <w:rPr>
          <w:sz w:val="24"/>
          <w:szCs w:val="24"/>
          <w:lang w:eastAsia="zh-CN"/>
        </w:rPr>
        <w:t>根据我校202</w:t>
      </w:r>
      <w:r>
        <w:rPr>
          <w:rFonts w:hint="eastAsia"/>
          <w:sz w:val="24"/>
          <w:szCs w:val="24"/>
          <w:lang w:eastAsia="zh-CN"/>
        </w:rPr>
        <w:t>4</w:t>
      </w:r>
      <w:r>
        <w:rPr>
          <w:sz w:val="24"/>
          <w:szCs w:val="24"/>
          <w:lang w:eastAsia="zh-CN"/>
        </w:rPr>
        <w:t>年度财政资金绩效自评结果，我校制定和完善部门管理制度，及时开展厉行节约严格管理专项活动。</w:t>
      </w:r>
    </w:p>
    <w:p>
      <w:pPr>
        <w:pStyle w:val="19"/>
        <w:ind w:firstLine="480" w:firstLineChars="200"/>
        <w:jc w:val="both"/>
        <w:rPr>
          <w:sz w:val="24"/>
          <w:szCs w:val="24"/>
          <w:lang w:eastAsia="zh-CN"/>
        </w:rPr>
      </w:pPr>
      <w:r>
        <w:rPr>
          <w:sz w:val="24"/>
          <w:szCs w:val="24"/>
          <w:lang w:eastAsia="zh-CN"/>
        </w:rPr>
        <w:t>1、强化我校单位内部控制制度，预算管理、收支管理、财务管理、资产管理、采购管理、项目建设、合同管理的执行</w:t>
      </w:r>
    </w:p>
    <w:p>
      <w:pPr>
        <w:pStyle w:val="19"/>
        <w:ind w:firstLine="480" w:firstLineChars="200"/>
        <w:jc w:val="both"/>
        <w:rPr>
          <w:sz w:val="24"/>
          <w:szCs w:val="24"/>
          <w:lang w:eastAsia="zh-CN"/>
        </w:rPr>
      </w:pPr>
      <w:r>
        <w:rPr>
          <w:sz w:val="24"/>
          <w:szCs w:val="24"/>
          <w:lang w:eastAsia="zh-CN"/>
        </w:rPr>
        <w:t>2、加强内部监督管理，有效的克服制度较多但内控的有效性不明显的弊端，有待加强。</w:t>
      </w:r>
    </w:p>
    <w:p>
      <w:pPr>
        <w:pStyle w:val="19"/>
        <w:ind w:firstLine="480" w:firstLineChars="200"/>
        <w:jc w:val="both"/>
        <w:rPr>
          <w:sz w:val="24"/>
          <w:szCs w:val="24"/>
          <w:lang w:eastAsia="zh-CN"/>
        </w:rPr>
      </w:pPr>
      <w:r>
        <w:rPr>
          <w:sz w:val="24"/>
          <w:szCs w:val="24"/>
          <w:lang w:eastAsia="zh-CN"/>
        </w:rPr>
        <w:t>3、按照上级要求真实、完整、准确的公开预决算信息、绩效评估报告信息，基础数据信息和会计信息等资料。</w:t>
      </w:r>
    </w:p>
    <w:p>
      <w:pPr>
        <w:pStyle w:val="19"/>
        <w:jc w:val="right"/>
        <w:rPr>
          <w:sz w:val="24"/>
          <w:szCs w:val="24"/>
          <w:lang w:eastAsia="zh-CN"/>
        </w:rPr>
      </w:pPr>
      <w:r>
        <w:rPr>
          <w:sz w:val="24"/>
          <w:szCs w:val="24"/>
          <w:lang w:eastAsia="zh-CN"/>
        </w:rPr>
        <w:t>江永县</w:t>
      </w:r>
      <w:r>
        <w:rPr>
          <w:rFonts w:hint="eastAsia"/>
          <w:sz w:val="24"/>
          <w:szCs w:val="24"/>
          <w:lang w:eastAsia="zh-CN"/>
        </w:rPr>
        <w:t>夏</w:t>
      </w:r>
      <w:r>
        <w:rPr>
          <w:sz w:val="24"/>
          <w:szCs w:val="24"/>
          <w:lang w:eastAsia="zh-CN"/>
        </w:rPr>
        <w:t>层铺镇学校</w:t>
      </w:r>
    </w:p>
    <w:p>
      <w:pPr>
        <w:pStyle w:val="19"/>
        <w:jc w:val="right"/>
        <w:rPr>
          <w:sz w:val="24"/>
          <w:szCs w:val="24"/>
        </w:rPr>
      </w:pPr>
      <w:r>
        <w:rPr>
          <w:sz w:val="24"/>
          <w:szCs w:val="24"/>
        </w:rPr>
        <w:t>202</w:t>
      </w:r>
      <w:r>
        <w:rPr>
          <w:rFonts w:hint="eastAsia"/>
          <w:sz w:val="24"/>
          <w:szCs w:val="24"/>
          <w:lang w:eastAsia="zh-CN"/>
        </w:rPr>
        <w:t>5</w:t>
      </w:r>
      <w:r>
        <w:rPr>
          <w:sz w:val="24"/>
          <w:szCs w:val="24"/>
        </w:rPr>
        <w:t>年</w:t>
      </w:r>
      <w:r>
        <w:rPr>
          <w:rFonts w:hint="eastAsia"/>
          <w:sz w:val="24"/>
          <w:szCs w:val="24"/>
          <w:lang w:eastAsia="zh-CN"/>
        </w:rPr>
        <w:t>4</w:t>
      </w:r>
      <w:r>
        <w:rPr>
          <w:sz w:val="24"/>
          <w:szCs w:val="24"/>
        </w:rPr>
        <w:t>月</w:t>
      </w:r>
      <w:r>
        <w:rPr>
          <w:rFonts w:hint="eastAsia"/>
          <w:sz w:val="24"/>
          <w:szCs w:val="24"/>
          <w:lang w:eastAsia="zh-CN"/>
        </w:rPr>
        <w:t>16</w:t>
      </w:r>
      <w:r>
        <w:rPr>
          <w:sz w:val="24"/>
          <w:szCs w:val="24"/>
        </w:rPr>
        <w:t>日</w:t>
      </w:r>
    </w:p>
    <w:tbl>
      <w:tblPr>
        <w:tblStyle w:val="32"/>
        <w:tblW w:w="10650" w:type="dxa"/>
        <w:jc w:val="center"/>
        <w:tblLayout w:type="autofit"/>
        <w:tblCellMar>
          <w:top w:w="0" w:type="dxa"/>
          <w:left w:w="108" w:type="dxa"/>
          <w:bottom w:w="0" w:type="dxa"/>
          <w:right w:w="108" w:type="dxa"/>
        </w:tblCellMar>
      </w:tblPr>
      <w:tblGrid>
        <w:gridCol w:w="3006"/>
        <w:gridCol w:w="1138"/>
        <w:gridCol w:w="1321"/>
        <w:gridCol w:w="1120"/>
        <w:gridCol w:w="1316"/>
        <w:gridCol w:w="1267"/>
        <w:gridCol w:w="1482"/>
      </w:tblGrid>
      <w:tr>
        <w:tblPrEx>
          <w:tblCellMar>
            <w:top w:w="0" w:type="dxa"/>
            <w:left w:w="108" w:type="dxa"/>
            <w:bottom w:w="0" w:type="dxa"/>
            <w:right w:w="108" w:type="dxa"/>
          </w:tblCellMar>
        </w:tblPrEx>
        <w:trPr>
          <w:trHeight w:val="442" w:hRule="atLeast"/>
          <w:jc w:val="center"/>
        </w:trPr>
        <w:tc>
          <w:tcPr>
            <w:tcW w:w="912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32"/>
                <w:szCs w:val="32"/>
              </w:rPr>
            </w:pPr>
            <w:r>
              <w:rPr>
                <w:rFonts w:hint="eastAsia" w:ascii="宋体" w:hAnsi="宋体" w:cs="宋体"/>
                <w:color w:val="000000"/>
                <w:sz w:val="28"/>
                <w:szCs w:val="28"/>
              </w:rPr>
              <w:t>江永县</w:t>
            </w:r>
            <w:r>
              <w:rPr>
                <w:rFonts w:hint="eastAsia" w:ascii="宋体" w:hAnsi="宋体" w:cs="宋体"/>
                <w:color w:val="000000"/>
                <w:sz w:val="28"/>
                <w:szCs w:val="28"/>
                <w:lang w:eastAsia="zh-CN"/>
              </w:rPr>
              <w:t>夏层铺镇学校</w:t>
            </w:r>
            <w:r>
              <w:rPr>
                <w:rFonts w:hint="eastAsia" w:ascii="宋体" w:hAnsi="宋体" w:cs="宋体"/>
                <w:color w:val="000000"/>
                <w:sz w:val="28"/>
                <w:szCs w:val="28"/>
              </w:rPr>
              <w:t>部门整体支出绩效评价基础数据表</w:t>
            </w:r>
            <w:r>
              <w:rPr>
                <w:rFonts w:hint="eastAsia" w:ascii="宋体" w:hAnsi="宋体" w:cs="宋体"/>
                <w:b/>
                <w:bCs/>
                <w:color w:val="000000"/>
                <w:sz w:val="24"/>
                <w:szCs w:val="24"/>
              </w:rPr>
              <w:t>(2024年度）</w:t>
            </w:r>
          </w:p>
        </w:tc>
      </w:tr>
      <w:tr>
        <w:tblPrEx>
          <w:tblCellMar>
            <w:top w:w="0" w:type="dxa"/>
            <w:left w:w="108" w:type="dxa"/>
            <w:bottom w:w="0" w:type="dxa"/>
            <w:right w:w="108" w:type="dxa"/>
          </w:tblCellMar>
        </w:tblPrEx>
        <w:trPr>
          <w:trHeight w:val="409"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财政供养人员情况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编制数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2024年实际在职人数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控制率</w:t>
            </w:r>
          </w:p>
        </w:tc>
      </w:tr>
      <w:tr>
        <w:tblPrEx>
          <w:tblCellMar>
            <w:top w:w="0" w:type="dxa"/>
            <w:left w:w="108" w:type="dxa"/>
            <w:bottom w:w="0" w:type="dxa"/>
            <w:right w:w="108" w:type="dxa"/>
          </w:tblCellMar>
        </w:tblPrEx>
        <w:trPr>
          <w:trHeight w:val="23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107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107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100.00%</w:t>
            </w:r>
          </w:p>
        </w:tc>
      </w:tr>
      <w:tr>
        <w:tblPrEx>
          <w:tblCellMar>
            <w:top w:w="0" w:type="dxa"/>
            <w:left w:w="108" w:type="dxa"/>
            <w:bottom w:w="0" w:type="dxa"/>
            <w:right w:w="108" w:type="dxa"/>
          </w:tblCellMar>
        </w:tblPrEx>
        <w:trPr>
          <w:trHeight w:val="44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经费控制情况(万元)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2023年决算数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2024年预算数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2024年决算数</w:t>
            </w:r>
          </w:p>
        </w:tc>
      </w:tr>
      <w:tr>
        <w:tblPrEx>
          <w:tblCellMar>
            <w:top w:w="0" w:type="dxa"/>
            <w:left w:w="108" w:type="dxa"/>
            <w:bottom w:w="0" w:type="dxa"/>
            <w:right w:w="108" w:type="dxa"/>
          </w:tblCellMar>
        </w:tblPrEx>
        <w:trPr>
          <w:trHeight w:val="41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三公经费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2.23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2.52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0.72</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1、公务用车购置和维护经费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其中：公车购置</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公车运行维护</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2、出国经费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3、公务接待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2.23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2.52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0.72</w:t>
            </w:r>
          </w:p>
        </w:tc>
      </w:tr>
      <w:tr>
        <w:tblPrEx>
          <w:tblCellMar>
            <w:top w:w="0" w:type="dxa"/>
            <w:left w:w="108" w:type="dxa"/>
            <w:bottom w:w="0" w:type="dxa"/>
            <w:right w:w="108" w:type="dxa"/>
          </w:tblCellMar>
        </w:tblPrEx>
        <w:trPr>
          <w:trHeight w:val="39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项目支出：</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1、业务工作经费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38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2、运行维护经费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33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3、本级专项资金（一个专项一行）</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42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公用经费：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502.3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127.08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127.08</w:t>
            </w:r>
          </w:p>
        </w:tc>
      </w:tr>
      <w:tr>
        <w:tblPrEx>
          <w:tblCellMar>
            <w:top w:w="0" w:type="dxa"/>
            <w:left w:w="108" w:type="dxa"/>
            <w:bottom w:w="0" w:type="dxa"/>
            <w:right w:w="108" w:type="dxa"/>
          </w:tblCellMar>
        </w:tblPrEx>
        <w:trPr>
          <w:trHeight w:val="41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其中：办公经费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53.45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80.33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80.33</w:t>
            </w:r>
          </w:p>
        </w:tc>
      </w:tr>
      <w:tr>
        <w:tblPrEx>
          <w:tblCellMar>
            <w:top w:w="0" w:type="dxa"/>
            <w:left w:w="108" w:type="dxa"/>
            <w:bottom w:w="0" w:type="dxa"/>
            <w:right w:w="108" w:type="dxa"/>
          </w:tblCellMar>
        </w:tblPrEx>
        <w:trPr>
          <w:trHeight w:val="27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水费、电费、差旅费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12.79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15.44</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15.44</w:t>
            </w:r>
          </w:p>
        </w:tc>
      </w:tr>
      <w:tr>
        <w:tblPrEx>
          <w:tblCellMar>
            <w:top w:w="0" w:type="dxa"/>
            <w:left w:w="108" w:type="dxa"/>
            <w:bottom w:w="0" w:type="dxa"/>
            <w:right w:w="108" w:type="dxa"/>
          </w:tblCellMar>
        </w:tblPrEx>
        <w:trPr>
          <w:trHeight w:val="33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会议费、培训费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1.04</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1.62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1.62</w:t>
            </w:r>
          </w:p>
        </w:tc>
      </w:tr>
      <w:tr>
        <w:tblPrEx>
          <w:tblCellMar>
            <w:top w:w="0" w:type="dxa"/>
            <w:left w:w="108" w:type="dxa"/>
            <w:bottom w:w="0" w:type="dxa"/>
            <w:right w:w="108" w:type="dxa"/>
          </w:tblCellMar>
        </w:tblPrEx>
        <w:trPr>
          <w:trHeight w:val="2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政府采购金额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44.87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29.48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29.48</w:t>
            </w:r>
          </w:p>
        </w:tc>
      </w:tr>
      <w:tr>
        <w:tblPrEx>
          <w:tblCellMar>
            <w:top w:w="0" w:type="dxa"/>
            <w:left w:w="108" w:type="dxa"/>
            <w:bottom w:w="0" w:type="dxa"/>
            <w:right w:w="108"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部门基本支出预算调整</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w:t>
            </w:r>
          </w:p>
        </w:tc>
      </w:tr>
      <w:tr>
        <w:tblPrEx>
          <w:tblCellMar>
            <w:top w:w="0" w:type="dxa"/>
            <w:left w:w="108" w:type="dxa"/>
            <w:bottom w:w="0" w:type="dxa"/>
            <w:right w:w="108" w:type="dxa"/>
          </w:tblCellMar>
        </w:tblPrEx>
        <w:trPr>
          <w:trHeight w:val="878" w:hRule="atLeast"/>
          <w:jc w:val="center"/>
        </w:trPr>
        <w:tc>
          <w:tcPr>
            <w:tcW w:w="21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 xml:space="preserve">楼堂馆所控制情况 </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（2024年完工项目）</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 xml:space="preserve">批复规模 </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实际规模</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规模控制率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预算投资</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实际投资</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投资概算控制率</w:t>
            </w:r>
          </w:p>
        </w:tc>
      </w:tr>
      <w:tr>
        <w:tblPrEx>
          <w:tblCellMar>
            <w:top w:w="0" w:type="dxa"/>
            <w:left w:w="108" w:type="dxa"/>
            <w:bottom w:w="0" w:type="dxa"/>
            <w:right w:w="108" w:type="dxa"/>
          </w:tblCellMar>
        </w:tblPrEx>
        <w:trPr>
          <w:trHeight w:val="328" w:hRule="atLeast"/>
          <w:jc w:val="center"/>
        </w:trPr>
        <w:tc>
          <w:tcPr>
            <w:tcW w:w="21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43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厉行节约保障措施</w:t>
            </w:r>
          </w:p>
        </w:tc>
        <w:tc>
          <w:tcPr>
            <w:tcW w:w="69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提倡无纸化办公，节约办公用品，加强资产管理，提高物品使用年限，已定收支，量入为出，保证重点，兼顾一般。</w:t>
            </w:r>
          </w:p>
        </w:tc>
      </w:tr>
    </w:tbl>
    <w:p>
      <w:pPr>
        <w:pStyle w:val="19"/>
        <w:jc w:val="center"/>
        <w:rPr>
          <w:rFonts w:ascii="宋体" w:hAnsi="宋体" w:eastAsia="宋体" w:cs="宋体"/>
          <w:b/>
          <w:bCs/>
          <w:color w:val="000000"/>
          <w:sz w:val="32"/>
          <w:szCs w:val="32"/>
          <w:lang w:eastAsia="zh-CN"/>
        </w:rPr>
      </w:pPr>
      <w:r>
        <w:rPr>
          <w:rFonts w:hint="eastAsia" w:ascii="宋体" w:hAnsi="宋体" w:cs="宋体"/>
          <w:b/>
          <w:bCs/>
          <w:color w:val="000000"/>
          <w:sz w:val="32"/>
          <w:szCs w:val="32"/>
        </w:rPr>
        <w:t>部门整体支出绩效自评表</w:t>
      </w:r>
    </w:p>
    <w:p>
      <w:pPr>
        <w:pStyle w:val="19"/>
        <w:jc w:val="center"/>
        <w:rPr>
          <w:rFonts w:ascii="宋体" w:hAnsi="宋体" w:eastAsia="宋体" w:cs="宋体"/>
          <w:b/>
          <w:bCs/>
          <w:color w:val="000000"/>
          <w:sz w:val="32"/>
          <w:szCs w:val="32"/>
          <w:lang w:eastAsia="zh-CN"/>
        </w:rPr>
      </w:pPr>
      <w:r>
        <w:rPr>
          <w:rFonts w:hint="eastAsia" w:ascii="宋体" w:hAnsi="宋体" w:cs="宋体"/>
          <w:b/>
          <w:bCs/>
          <w:color w:val="000000"/>
          <w:sz w:val="24"/>
          <w:szCs w:val="24"/>
        </w:rPr>
        <w:t>(2024年度）</w:t>
      </w:r>
    </w:p>
    <w:tbl>
      <w:tblPr>
        <w:tblStyle w:val="32"/>
        <w:tblW w:w="10500" w:type="dxa"/>
        <w:jc w:val="center"/>
        <w:tblLayout w:type="autofit"/>
        <w:tblCellMar>
          <w:top w:w="0" w:type="dxa"/>
          <w:left w:w="108" w:type="dxa"/>
          <w:bottom w:w="0" w:type="dxa"/>
          <w:right w:w="108" w:type="dxa"/>
        </w:tblCellMar>
      </w:tblPr>
      <w:tblGrid>
        <w:gridCol w:w="881"/>
        <w:gridCol w:w="1044"/>
        <w:gridCol w:w="1119"/>
        <w:gridCol w:w="1153"/>
        <w:gridCol w:w="1153"/>
        <w:gridCol w:w="1325"/>
        <w:gridCol w:w="750"/>
        <w:gridCol w:w="522"/>
        <w:gridCol w:w="735"/>
        <w:gridCol w:w="861"/>
        <w:gridCol w:w="957"/>
      </w:tblGrid>
      <w:tr>
        <w:tblPrEx>
          <w:tblCellMar>
            <w:top w:w="0" w:type="dxa"/>
            <w:left w:w="108" w:type="dxa"/>
            <w:bottom w:w="0" w:type="dxa"/>
            <w:right w:w="108" w:type="dxa"/>
          </w:tblCellMar>
        </w:tblPrEx>
        <w:trPr>
          <w:trHeight w:val="6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预算部门名称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江永县夏层铺镇学校</w:t>
            </w:r>
          </w:p>
        </w:tc>
      </w:tr>
      <w:tr>
        <w:tblPrEx>
          <w:tblCellMar>
            <w:top w:w="0" w:type="dxa"/>
            <w:left w:w="108" w:type="dxa"/>
            <w:bottom w:w="0" w:type="dxa"/>
            <w:right w:w="108" w:type="dxa"/>
          </w:tblCellMar>
        </w:tblPrEx>
        <w:trPr>
          <w:trHeight w:val="642" w:hRule="atLeast"/>
          <w:jc w:val="center"/>
        </w:trPr>
        <w:tc>
          <w:tcPr>
            <w:tcW w:w="19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Microsoft YaHei UI" w:hAnsi="Microsoft YaHei UI" w:eastAsia="Microsoft YaHei UI" w:cs="Microsoft YaHei UI"/>
                <w:color w:val="000000"/>
                <w:sz w:val="18"/>
                <w:szCs w:val="18"/>
              </w:rPr>
            </w:pPr>
            <w:r>
              <w:rPr>
                <w:rFonts w:ascii="Microsoft YaHei UI" w:hAnsi="Microsoft YaHei UI" w:eastAsia="Microsoft YaHei UI" w:cs="Microsoft YaHei UI"/>
                <w:color w:val="000000"/>
                <w:sz w:val="18"/>
                <w:szCs w:val="18"/>
                <w:lang w:eastAsia="zh-CN"/>
              </w:rPr>
              <w:t>年度预算申请</w:t>
            </w:r>
            <w:r>
              <w:rPr>
                <w:rFonts w:ascii="Microsoft YaHei UI" w:hAnsi="Microsoft YaHei UI" w:eastAsia="Microsoft YaHei UI" w:cs="Microsoft YaHei UI"/>
                <w:color w:val="000000"/>
                <w:sz w:val="18"/>
                <w:szCs w:val="18"/>
                <w:lang w:eastAsia="zh-CN"/>
              </w:rPr>
              <w:br w:type="textWrapping"/>
            </w:r>
            <w:r>
              <w:rPr>
                <w:rFonts w:ascii="Microsoft YaHei UI" w:hAnsi="Microsoft YaHei UI" w:eastAsia="Microsoft YaHei UI" w:cs="Microsoft YaHei UI"/>
                <w:color w:val="000000"/>
                <w:sz w:val="18"/>
                <w:szCs w:val="18"/>
                <w:lang w:eastAsia="zh-CN"/>
              </w:rPr>
              <w:t>(万元)</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年初预算数</w:t>
            </w:r>
            <w:r>
              <w:rPr>
                <w:rFonts w:ascii="仿宋_GB2312" w:hAnsi="宋体" w:eastAsia="仿宋_GB2312" w:cs="仿宋_GB2312"/>
                <w:b/>
                <w:bCs/>
                <w:color w:val="000000"/>
                <w:sz w:val="18"/>
                <w:szCs w:val="18"/>
                <w:lang w:eastAsia="zh-CN"/>
              </w:rPr>
              <w:br w:type="textWrapping"/>
            </w:r>
            <w:r>
              <w:rPr>
                <w:rFonts w:ascii="仿宋_GB2312" w:hAnsi="宋体" w:eastAsia="仿宋_GB2312" w:cs="仿宋_GB2312"/>
                <w:b/>
                <w:bCs/>
                <w:color w:val="000000"/>
                <w:sz w:val="18"/>
                <w:szCs w:val="18"/>
                <w:lang w:eastAsia="zh-CN"/>
              </w:rPr>
              <w:t>(万元)</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全年预算数</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全年执行数</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分值</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执行率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得分</w:t>
            </w:r>
          </w:p>
        </w:tc>
      </w:tr>
      <w:tr>
        <w:trPr>
          <w:trHeight w:val="578"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Microsoft YaHei UI" w:hAnsi="Microsoft YaHei UI" w:eastAsia="Microsoft YaHei UI" w:cs="Microsoft YaHei UI"/>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年度资金总额：</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1287.21</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2216.34</w:t>
            </w:r>
          </w:p>
        </w:tc>
        <w:tc>
          <w:tcPr>
            <w:tcW w:w="25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2216.34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10</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100.00%</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10.00</w:t>
            </w:r>
          </w:p>
        </w:tc>
      </w:tr>
      <w:tr>
        <w:tblPrEx>
          <w:tblCellMar>
            <w:top w:w="0" w:type="dxa"/>
            <w:left w:w="108" w:type="dxa"/>
            <w:bottom w:w="0" w:type="dxa"/>
            <w:right w:w="108" w:type="dxa"/>
          </w:tblCellMar>
        </w:tblPrEx>
        <w:trPr>
          <w:trHeight w:val="533"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Microsoft YaHei UI" w:hAnsi="Microsoft YaHei UI" w:eastAsia="Microsoft YaHei UI" w:cs="Microsoft YaHei UI"/>
                <w:color w:val="000000"/>
                <w:sz w:val="18"/>
                <w:szCs w:val="18"/>
              </w:rPr>
            </w:pPr>
          </w:p>
        </w:tc>
        <w:tc>
          <w:tcPr>
            <w:tcW w:w="60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按收入性质分：</w:t>
            </w:r>
          </w:p>
        </w:tc>
        <w:tc>
          <w:tcPr>
            <w:tcW w:w="2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按支出性质分：</w:t>
            </w:r>
          </w:p>
        </w:tc>
      </w:tr>
      <w:tr>
        <w:tblPrEx>
          <w:tblCellMar>
            <w:top w:w="0" w:type="dxa"/>
            <w:left w:w="108" w:type="dxa"/>
            <w:bottom w:w="0" w:type="dxa"/>
            <w:right w:w="108" w:type="dxa"/>
          </w:tblCellMar>
        </w:tblPrEx>
        <w:trPr>
          <w:trHeight w:val="743"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Microsoft YaHei UI" w:hAnsi="Microsoft YaHei UI" w:eastAsia="Microsoft YaHei UI" w:cs="Microsoft YaHei UI"/>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一般公共预算：</w:t>
            </w:r>
          </w:p>
        </w:tc>
        <w:tc>
          <w:tcPr>
            <w:tcW w:w="4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2130.40</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其中:基本支出：</w:t>
            </w:r>
          </w:p>
        </w:tc>
        <w:tc>
          <w:tcPr>
            <w:tcW w:w="18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2216.34</w:t>
            </w:r>
          </w:p>
        </w:tc>
      </w:tr>
      <w:tr>
        <w:tblPrEx>
          <w:tblCellMar>
            <w:top w:w="0" w:type="dxa"/>
            <w:left w:w="108" w:type="dxa"/>
            <w:bottom w:w="0" w:type="dxa"/>
            <w:right w:w="108" w:type="dxa"/>
          </w:tblCellMar>
        </w:tblPrEx>
        <w:trPr>
          <w:trHeight w:val="529"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Microsoft YaHei UI" w:hAnsi="Microsoft YaHei UI" w:eastAsia="Microsoft YaHei UI" w:cs="Microsoft YaHei UI"/>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政府性基金拨款：</w:t>
            </w:r>
          </w:p>
        </w:tc>
        <w:tc>
          <w:tcPr>
            <w:tcW w:w="4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50.70</w:t>
            </w: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18"/>
                <w:szCs w:val="18"/>
              </w:rPr>
            </w:pPr>
          </w:p>
        </w:tc>
        <w:tc>
          <w:tcPr>
            <w:tcW w:w="18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8"/>
                <w:szCs w:val="18"/>
              </w:rPr>
            </w:pPr>
          </w:p>
        </w:tc>
      </w:tr>
      <w:tr>
        <w:tblPrEx>
          <w:tblCellMar>
            <w:top w:w="0" w:type="dxa"/>
            <w:left w:w="108" w:type="dxa"/>
            <w:bottom w:w="0" w:type="dxa"/>
            <w:right w:w="108" w:type="dxa"/>
          </w:tblCellMar>
        </w:tblPrEx>
        <w:trPr>
          <w:trHeight w:val="552"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Microsoft YaHei UI" w:hAnsi="Microsoft YaHei UI" w:eastAsia="Microsoft YaHei UI" w:cs="Microsoft YaHei UI"/>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纳入专户管理的非税收入拨款：</w:t>
            </w:r>
          </w:p>
        </w:tc>
        <w:tc>
          <w:tcPr>
            <w:tcW w:w="4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35.24</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项目支出：</w:t>
            </w:r>
          </w:p>
        </w:tc>
        <w:tc>
          <w:tcPr>
            <w:tcW w:w="18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0.00</w:t>
            </w:r>
          </w:p>
        </w:tc>
      </w:tr>
      <w:tr>
        <w:tblPrEx>
          <w:tblCellMar>
            <w:top w:w="0" w:type="dxa"/>
            <w:left w:w="108" w:type="dxa"/>
            <w:bottom w:w="0" w:type="dxa"/>
            <w:right w:w="108" w:type="dxa"/>
          </w:tblCellMar>
        </w:tblPrEx>
        <w:trPr>
          <w:trHeight w:val="469"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Microsoft YaHei UI" w:hAnsi="Microsoft YaHei UI" w:eastAsia="Microsoft YaHei UI" w:cs="Microsoft YaHei UI"/>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其他资金</w:t>
            </w:r>
          </w:p>
        </w:tc>
        <w:tc>
          <w:tcPr>
            <w:tcW w:w="4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0.00</w:t>
            </w: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18"/>
                <w:szCs w:val="18"/>
              </w:rPr>
            </w:pPr>
          </w:p>
        </w:tc>
        <w:tc>
          <w:tcPr>
            <w:tcW w:w="18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8"/>
                <w:szCs w:val="18"/>
              </w:rPr>
            </w:pPr>
          </w:p>
        </w:tc>
      </w:tr>
      <w:tr>
        <w:tblPrEx>
          <w:tblCellMar>
            <w:top w:w="0" w:type="dxa"/>
            <w:left w:w="108" w:type="dxa"/>
            <w:bottom w:w="0" w:type="dxa"/>
            <w:right w:w="108" w:type="dxa"/>
          </w:tblCellMar>
        </w:tblPrEx>
        <w:trPr>
          <w:trHeight w:val="439" w:hRule="atLeast"/>
          <w:jc w:val="center"/>
        </w:trPr>
        <w:tc>
          <w:tcPr>
            <w:tcW w:w="19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年度总体目标</w:t>
            </w:r>
          </w:p>
        </w:tc>
        <w:tc>
          <w:tcPr>
            <w:tcW w:w="60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预期目标</w:t>
            </w:r>
          </w:p>
        </w:tc>
        <w:tc>
          <w:tcPr>
            <w:tcW w:w="2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实际完成情况</w:t>
            </w:r>
          </w:p>
        </w:tc>
      </w:tr>
      <w:tr>
        <w:tblPrEx>
          <w:tblCellMar>
            <w:top w:w="0" w:type="dxa"/>
            <w:left w:w="108" w:type="dxa"/>
            <w:bottom w:w="0" w:type="dxa"/>
            <w:right w:w="108" w:type="dxa"/>
          </w:tblCellMar>
        </w:tblPrEx>
        <w:trPr>
          <w:trHeight w:val="2484" w:hRule="atLeast"/>
          <w:jc w:val="center"/>
        </w:trPr>
        <w:tc>
          <w:tcPr>
            <w:tcW w:w="19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60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目标1：确保师生在校期间饮食安全。目标2：购置相关仪器设备，保证教学质量。目标3：做好后勤保障管理工作，解决师生后顾之忧，为师生提供良好的教学环境。目标4：完成年初既定学生招生工作。目标5：引进优质教师，开展教师培训工作，建立优质的师资队伍。目标6：合理制定后勤及安全管理工作发展规划和计划，保障学校正常教学秩序、消防安全等。目标7：加强校园基础设施建设，保障学生与教师的校园生活。目标8：做好设施维修工作，确保环境安全。目标9：坚持政治理论学习和业务能力培养,坚持建立正确有效的学校价值体系和文化,创建浓厚的学习氛围。目标10：不断完善和提高学校的整体形象和水平,起引领示范的带头作用。</w:t>
            </w:r>
          </w:p>
        </w:tc>
        <w:tc>
          <w:tcPr>
            <w:tcW w:w="2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rPr>
              <w:t>全面完成</w:t>
            </w:r>
          </w:p>
        </w:tc>
      </w:tr>
      <w:tr>
        <w:tblPrEx>
          <w:tblCellMar>
            <w:top w:w="0" w:type="dxa"/>
            <w:left w:w="108" w:type="dxa"/>
            <w:bottom w:w="0" w:type="dxa"/>
            <w:right w:w="108" w:type="dxa"/>
          </w:tblCellMar>
        </w:tblPrEx>
        <w:trPr>
          <w:trHeight w:val="468" w:hRule="atLeast"/>
          <w:jc w:val="center"/>
        </w:trPr>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绩效指标</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一级指标</w:t>
            </w: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三级指标</w:t>
            </w:r>
          </w:p>
        </w:tc>
        <w:tc>
          <w:tcPr>
            <w:tcW w:w="11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年度指标值</w:t>
            </w:r>
          </w:p>
        </w:tc>
        <w:tc>
          <w:tcPr>
            <w:tcW w:w="11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实际完成值</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评扣分标准</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分值</w:t>
            </w:r>
          </w:p>
        </w:tc>
        <w:tc>
          <w:tcPr>
            <w:tcW w:w="5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b/>
                <w:bCs/>
                <w:color w:val="000000"/>
                <w:sz w:val="18"/>
                <w:szCs w:val="18"/>
              </w:rPr>
            </w:pPr>
            <w:r>
              <w:rPr>
                <w:rFonts w:ascii="仿宋_GB2312" w:hAnsi="宋体" w:eastAsia="仿宋_GB2312" w:cs="仿宋_GB2312"/>
                <w:b/>
                <w:bCs/>
                <w:color w:val="000000"/>
                <w:sz w:val="18"/>
                <w:szCs w:val="18"/>
                <w:lang w:eastAsia="zh-CN"/>
              </w:rPr>
              <w:t>得分</w:t>
            </w: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偏差原因分析及改进措施</w:t>
            </w:r>
          </w:p>
        </w:tc>
      </w:tr>
      <w:tr>
        <w:tblPrEx>
          <w:tblCellMar>
            <w:top w:w="0" w:type="dxa"/>
            <w:left w:w="108" w:type="dxa"/>
            <w:bottom w:w="0" w:type="dxa"/>
            <w:right w:w="108" w:type="dxa"/>
          </w:tblCellMar>
        </w:tblPrEx>
        <w:trPr>
          <w:trHeight w:val="468"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11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11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18"/>
                <w:szCs w:val="18"/>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5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b/>
                <w:bCs/>
                <w:color w:val="000000"/>
                <w:sz w:val="18"/>
                <w:szCs w:val="18"/>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绩效指标</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产出指标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保障人员经费发放人数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107人</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107人</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该指标达到要求得满分，共计5分，每减少1人扣0.5分，扣完为止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教师培训次数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4次</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4次</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该指标达到要求得满分，共计5分，每减少1人扣0.5分，扣完为止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学生招生数量</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1700人</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1753人</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该指标达到要求得满分，共计5分，每少1人扣1分，扣完为止。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采购设备件数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1件</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1件</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该指标达到要求得满分，共计5分，每少1件扣2分，扣完为止。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教师考核人数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107人</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107人</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该指标达到要求得满分，共计5分，每减少1人扣0.5分，扣完为止。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经费使用准确率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该指标达到100%得满分，共计5分，每降低1%扣0.1分，扣完为止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考核人数准确率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考核人数准确率，计5分。否则，酌情扣分。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食品安全达标率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该指标达到100%得满分，共计5分，每降低1%扣0.1分，扣完为止。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设备验收合格率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该指标达到100%得满分，共计2分，每降低1%扣0.1分，扣完为止。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教师培训完成率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100%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该指标达到100%得满分，共计5分，每降低1%扣0.1分，扣完为止。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完成时间</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2024年内完成</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2024年内完成</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该指标于2024年12月31日前完成得满分，共计2分，每降低一个档次扣</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效益指标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提高教师生活水平</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提高教师生活水平</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提高教师生活水平</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该指标达到要求得满分，共计5分，每降低一个档次扣0.1分，扣完为止。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提高单位工作效率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提高单位工作效率</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提高单位工作效率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该指标达到要求得满分，共计5分，每降低一个档次扣0.1分，扣完为止。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使教师和学生拥有良好的教育氛围</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使教师和学生拥有良好的教育氛围</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使教师和学生拥有良好的教育氛围</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该指标达到要求得满分，共计5分，每降低一个档次扣0.1分，扣完为止。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改善校园环境</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改善</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改善</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该指标达到要求得满分，共计5分，每降低一个档次扣0.1分，扣完为止。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可持续发展</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可持续发展</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可持续发展</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该指标达到要求得满分，共计5分，每降低一个档次扣0.1分，扣完为止。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满意度指标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家长满意度</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90%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90%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该指标达到90%得满分，共计5分，每减少5%扣1分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教师满意度</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90%</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90%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该指标达到90%得满分，共计5分，每减少5%扣1分。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成本指标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cs="仿宋"/>
                <w:color w:val="000000"/>
                <w:sz w:val="18"/>
                <w:szCs w:val="18"/>
              </w:rPr>
            </w:pPr>
            <w:r>
              <w:rPr>
                <w:rFonts w:hint="eastAsia" w:ascii="仿宋" w:hAnsi="仿宋" w:eastAsia="仿宋" w:cs="仿宋"/>
                <w:color w:val="000000"/>
                <w:sz w:val="18"/>
                <w:szCs w:val="18"/>
                <w:lang w:eastAsia="zh-CN"/>
              </w:rPr>
              <w:t>部门整体控制数</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2216.34万元</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2216.34万元</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该指标达到要求得满分，共计6分，每少1万元扣0.1分，扣完为止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6</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宋体" w:eastAsia="仿宋_GB2312" w:cs="仿宋_GB2312"/>
                <w:color w:val="000000"/>
                <w:sz w:val="18"/>
                <w:szCs w:val="18"/>
              </w:rPr>
            </w:pPr>
            <w:r>
              <w:rPr>
                <w:rFonts w:ascii="仿宋_GB2312" w:hAnsi="宋体" w:eastAsia="仿宋_GB2312" w:cs="仿宋_GB2312"/>
                <w:color w:val="000000"/>
                <w:sz w:val="18"/>
                <w:szCs w:val="18"/>
                <w:lang w:eastAsia="zh-CN"/>
              </w:rPr>
              <w:t>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18"/>
                <w:szCs w:val="18"/>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49" w:hRule="atLeast"/>
          <w:jc w:val="center"/>
        </w:trPr>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18"/>
                <w:szCs w:val="18"/>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42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b/>
                <w:bCs/>
                <w:color w:val="000000"/>
                <w:sz w:val="18"/>
                <w:szCs w:val="18"/>
              </w:rPr>
            </w:pPr>
            <w:r>
              <w:rPr>
                <w:rFonts w:hint="eastAsia" w:ascii="宋体" w:hAnsi="宋体" w:eastAsia="宋体" w:cs="宋体"/>
                <w:b/>
                <w:bCs/>
                <w:color w:val="000000"/>
                <w:sz w:val="18"/>
                <w:szCs w:val="18"/>
                <w:lang w:eastAsia="zh-CN"/>
              </w:rPr>
              <w:t>总分</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100.00</w:t>
            </w:r>
          </w:p>
        </w:tc>
      </w:tr>
    </w:tbl>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lang w:eastAsia="zh-CN"/>
        </w:rPr>
      </w:pPr>
    </w:p>
    <w:p>
      <w:pPr>
        <w:widowControl w:val="0"/>
        <w:spacing w:line="240" w:lineRule="auto"/>
        <w:jc w:val="both"/>
        <w:rPr>
          <w:rFonts w:ascii="宋体" w:hAnsi="宋体" w:eastAsia="宋体" w:cs="宋体"/>
          <w:b/>
          <w:bCs/>
          <w:sz w:val="40"/>
          <w:szCs w:val="40"/>
        </w:rPr>
      </w:pPr>
      <w:r>
        <w:rPr>
          <w:rFonts w:hint="eastAsia" w:ascii="宋体" w:hAnsi="宋体" w:eastAsia="宋体" w:cs="宋体"/>
          <w:b/>
          <w:bCs/>
          <w:sz w:val="40"/>
          <w:szCs w:val="40"/>
          <w:lang w:eastAsia="zh-CN"/>
        </w:rPr>
        <w:t>江永县</w:t>
      </w:r>
      <w:r>
        <w:rPr>
          <w:rFonts w:hint="eastAsia" w:ascii="宋体" w:hAnsi="宋体" w:cs="宋体"/>
          <w:b/>
          <w:bCs/>
          <w:sz w:val="40"/>
          <w:szCs w:val="40"/>
          <w:lang w:eastAsia="zh-CN"/>
        </w:rPr>
        <w:t>夏层铺镇学校</w:t>
      </w:r>
      <w:r>
        <w:rPr>
          <w:rFonts w:hint="eastAsia" w:ascii="宋体" w:hAnsi="宋体" w:eastAsia="宋体" w:cs="宋体"/>
          <w:b/>
          <w:bCs/>
          <w:sz w:val="40"/>
          <w:szCs w:val="40"/>
        </w:rPr>
        <w:t>部门整体支出绩效评价表</w:t>
      </w:r>
    </w:p>
    <w:tbl>
      <w:tblPr>
        <w:tblStyle w:val="32"/>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pPr>
              <w:rPr>
                <w:rFonts w:eastAsia="仿宋_GB2312"/>
                <w:sz w:val="20"/>
                <w:szCs w:val="20"/>
              </w:rPr>
            </w:pPr>
            <w:r>
              <w:rPr>
                <w:rFonts w:eastAsia="仿宋_GB2312"/>
                <w:sz w:val="20"/>
                <w:szCs w:val="20"/>
              </w:rPr>
              <w:t>一级指标</w:t>
            </w:r>
          </w:p>
        </w:tc>
        <w:tc>
          <w:tcPr>
            <w:tcW w:w="416"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分值</w:t>
            </w:r>
          </w:p>
        </w:tc>
        <w:tc>
          <w:tcPr>
            <w:tcW w:w="1194"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三级</w:t>
            </w:r>
          </w:p>
          <w:p>
            <w:pPr>
              <w:jc w:val="center"/>
              <w:rPr>
                <w:rFonts w:eastAsia="仿宋_GB2312"/>
                <w:sz w:val="20"/>
                <w:szCs w:val="20"/>
              </w:rPr>
            </w:pPr>
            <w:r>
              <w:rPr>
                <w:rFonts w:eastAsia="仿宋_GB2312"/>
                <w:sz w:val="20"/>
                <w:szCs w:val="20"/>
              </w:rPr>
              <w:t>指标</w:t>
            </w:r>
          </w:p>
        </w:tc>
        <w:tc>
          <w:tcPr>
            <w:tcW w:w="478"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分值</w:t>
            </w:r>
          </w:p>
        </w:tc>
        <w:tc>
          <w:tcPr>
            <w:tcW w:w="2977"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jc w:val="center"/>
              <w:rPr>
                <w:rFonts w:eastAsia="仿宋_GB2312"/>
                <w:sz w:val="20"/>
                <w:szCs w:val="20"/>
              </w:rPr>
            </w:pPr>
            <w:r>
              <w:rPr>
                <w:rFonts w:eastAsia="仿宋_GB2312"/>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投入</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预算配置</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在职人员控制率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nil"/>
              <w:right w:val="nil"/>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以100%为标准。在职人员控制率≦100%，计5分；每超过一个百分点扣0.5分，扣完为止。</w:t>
            </w:r>
          </w:p>
        </w:tc>
        <w:tc>
          <w:tcPr>
            <w:tcW w:w="3402" w:type="dxa"/>
            <w:tcBorders>
              <w:top w:val="nil"/>
              <w:left w:val="single" w:color="auto" w:sz="4" w:space="0"/>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在职人员控制率=（在职人员数/编制数）×100%，在职人员数：部门（单位）实际在职人数，以市财政局确定的部门决算编制口径为准。</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“三公经费”变动率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“三公经费”变动率≦0,计5分；“三公经费”＞0，每超过一个百分点扣0.8分，扣完为止。</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“三公经费”变动率=[（本年度“三公经费”预算数-上年度“三公经费”预算数）/上年度“三公经费”预算数]×100%</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rPr>
            </w:pPr>
            <w:r>
              <w:rPr>
                <w:rFonts w:hint="eastAsia" w:ascii="仿宋_GB2312" w:hAnsi="仿宋_GB2312" w:eastAsia="仿宋_GB2312" w:cs="仿宋_GB2312"/>
                <w:sz w:val="24"/>
                <w:lang w:eastAsia="zh-CN"/>
              </w:rPr>
              <w:t>5</w:t>
            </w:r>
            <w:r>
              <w:rPr>
                <w:rFonts w:hint="eastAsia" w:ascii="仿宋_GB2312" w:hAnsi="仿宋_GB2312" w:eastAsia="仿宋_GB2312" w:cs="仿宋_GB2312"/>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过                                                                                                                                       程</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预算执行</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w:t>
            </w: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预算完成率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100%计满分，每低于5%扣2分，扣完为止。</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预算完成率=（上年结转+年初预算+本年追加预算-年末结余）/（上年结转+年初预算+本年追加预算）×100%。</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预算控制率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预算控制率=0，计5分；0-10%（含），计4分；10-20%（含），计3分；20-30%（含），计2分；大于30%不得分。</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预算控制率=（本年追加预算/年初预算）×100%。</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新建楼堂馆所面积控制率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100%以下（含）计满分，每超出5%扣2分，扣完为止。没有楼堂馆所项目的部门按满分计算。</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楼堂馆所面积控制率=实际建设面积/批准建设面积×100% 。</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该指标以20</w:t>
            </w:r>
            <w:r>
              <w:rPr>
                <w:rFonts w:hint="eastAsia" w:ascii="仿宋_GB2312" w:hAnsi="仿宋_GB2312" w:eastAsia="仿宋_GB2312" w:cs="仿宋_GB2312"/>
                <w:sz w:val="20"/>
                <w:szCs w:val="20"/>
                <w:lang w:eastAsia="zh-CN"/>
              </w:rPr>
              <w:t>20</w:t>
            </w:r>
            <w:r>
              <w:rPr>
                <w:rFonts w:hint="eastAsia" w:ascii="仿宋_GB2312" w:hAnsi="仿宋_GB2312" w:eastAsia="仿宋_GB2312" w:cs="仿宋_GB2312"/>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100%以下（含）计满分，每超出5%扣2分，扣完为止。</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楼堂馆所投资预算控制率=实际投资金额/批准投资金额×100% 。</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该指标以20</w:t>
            </w:r>
            <w:r>
              <w:rPr>
                <w:rFonts w:hint="eastAsia" w:ascii="仿宋_GB2312" w:hAnsi="仿宋_GB2312" w:eastAsia="仿宋_GB2312" w:cs="仿宋_GB2312"/>
                <w:sz w:val="20"/>
                <w:szCs w:val="20"/>
                <w:lang w:eastAsia="zh-CN"/>
              </w:rPr>
              <w:t>20</w:t>
            </w:r>
            <w:r>
              <w:rPr>
                <w:rFonts w:hint="eastAsia" w:ascii="仿宋_GB2312" w:hAnsi="仿宋_GB2312" w:eastAsia="仿宋_GB2312" w:cs="仿宋_GB2312"/>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预算管理</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40</w:t>
            </w: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公用经费控制率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100%以下（含）计满分，每超出1%扣1分，扣完为止。</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公用经费控制率=（实际支出公用经费总额/预算安排公用经费总额）×100%。</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“三公经费”控制率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7</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100%以下（含）计满分，每超出1%扣1分，扣完为止。</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“三公经费”控制率-（“三公经费”实际支出数/“三公经费”预算安排数）×100%。</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7</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政府采购执行率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100%计满分，每超过（降低）5%扣2分。扣完为止。</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政府采购执行率=（实际政府采购金额/政府采购预算数）×100%</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6</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过                                                                                                                                       程</w:t>
            </w:r>
          </w:p>
        </w:tc>
        <w:tc>
          <w:tcPr>
            <w:tcW w:w="416" w:type="dxa"/>
            <w:vMerge w:val="restart"/>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restart"/>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预算管理</w:t>
            </w: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管理制度健全性</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6379" w:type="dxa"/>
            <w:gridSpan w:val="2"/>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①有内部财务管理制度、会计核算制度等管理制度，2分；</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②有本部门厉行节约制度,2分；</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③相关管理制度合法、合规、完整，2分；④相关管理制度得到有效执行，2分。</w:t>
            </w:r>
          </w:p>
          <w:p>
            <w:pP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rPr>
            </w:pPr>
            <w:r>
              <w:rPr>
                <w:rFonts w:hint="eastAsia" w:ascii="仿宋_GB2312" w:hAnsi="仿宋_GB2312" w:eastAsia="仿宋_GB2312" w:cs="仿宋_GB2312"/>
                <w:sz w:val="24"/>
                <w:lang w:eastAsia="zh-CN"/>
              </w:rPr>
              <w:t>8</w:t>
            </w:r>
            <w:r>
              <w:rPr>
                <w:rFonts w:hint="eastAsia" w:ascii="仿宋_GB2312" w:hAnsi="仿宋_GB2312" w:eastAsia="仿宋_GB2312" w:cs="仿宋_GB2312"/>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资金使用合规性</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6379" w:type="dxa"/>
            <w:gridSpan w:val="2"/>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以上情况每出现一例不符合要求的扣1分，扣完为止。</w:t>
            </w:r>
          </w:p>
          <w:p>
            <w:pP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rPr>
              <w:t>　</w:t>
            </w:r>
            <w:r>
              <w:rPr>
                <w:rFonts w:hint="eastAsia" w:ascii="仿宋_GB2312" w:hAnsi="仿宋_GB2312" w:eastAsia="仿宋_GB2312" w:cs="仿宋_GB2312"/>
                <w:sz w:val="24"/>
                <w:lang w:eastAsia="zh-CN"/>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预决算信息公开性</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rPr>
            </w:pPr>
            <w:r>
              <w:rPr>
                <w:rFonts w:hint="eastAsia" w:ascii="仿宋_GB2312" w:hAnsi="仿宋_GB2312" w:eastAsia="仿宋_GB2312" w:cs="仿宋_GB2312"/>
                <w:sz w:val="24"/>
                <w:lang w:eastAsia="zh-CN"/>
              </w:rPr>
              <w:t>5</w:t>
            </w:r>
            <w:r>
              <w:rPr>
                <w:rFonts w:hint="eastAsia" w:ascii="仿宋_GB2312" w:hAnsi="仿宋_GB2312" w:eastAsia="仿宋_GB2312" w:cs="仿宋_GB2312"/>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30</w:t>
            </w:r>
          </w:p>
        </w:tc>
        <w:tc>
          <w:tcPr>
            <w:tcW w:w="677"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职责履行</w:t>
            </w:r>
          </w:p>
        </w:tc>
        <w:tc>
          <w:tcPr>
            <w:tcW w:w="416"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1194" w:type="dxa"/>
            <w:tcBorders>
              <w:top w:val="nil"/>
              <w:left w:val="nil"/>
              <w:bottom w:val="nil"/>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重点工作实际完成率</w:t>
            </w:r>
          </w:p>
        </w:tc>
        <w:tc>
          <w:tcPr>
            <w:tcW w:w="478"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2977"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根据绩效办20</w:t>
            </w:r>
            <w:r>
              <w:rPr>
                <w:rFonts w:hint="eastAsia" w:ascii="仿宋_GB2312" w:hAnsi="仿宋_GB2312" w:eastAsia="仿宋_GB2312" w:cs="仿宋_GB2312"/>
                <w:sz w:val="20"/>
                <w:szCs w:val="20"/>
                <w:lang w:eastAsia="zh-CN"/>
              </w:rPr>
              <w:t>20</w:t>
            </w:r>
            <w:r>
              <w:rPr>
                <w:rFonts w:hint="eastAsia" w:ascii="仿宋_GB2312" w:hAnsi="仿宋_GB2312" w:eastAsia="仿宋_GB2312" w:cs="仿宋_GB2312"/>
                <w:sz w:val="20"/>
                <w:szCs w:val="20"/>
              </w:rPr>
              <w:t>年对各部门为民办实事和部门重点工程与重点工作考核分数折算。</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该项得分=（绩效办对应部分考核得分/350）*8</w:t>
            </w:r>
          </w:p>
        </w:tc>
        <w:tc>
          <w:tcPr>
            <w:tcW w:w="340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522" w:type="dxa"/>
            <w:tcBorders>
              <w:top w:val="nil"/>
              <w:left w:val="nil"/>
              <w:bottom w:val="single" w:color="auto" w:sz="4" w:space="0"/>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履职 效益</w:t>
            </w: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194"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经济效益</w:t>
            </w:r>
          </w:p>
        </w:tc>
        <w:tc>
          <w:tcPr>
            <w:tcW w:w="478" w:type="dxa"/>
            <w:vMerge w:val="restart"/>
            <w:tcBorders>
              <w:top w:val="nil"/>
              <w:left w:val="nil"/>
              <w:bottom w:val="nil"/>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6379" w:type="dxa"/>
            <w:gridSpan w:val="2"/>
            <w:vMerge w:val="restart"/>
            <w:tcBorders>
              <w:top w:val="nil"/>
              <w:left w:val="nil"/>
              <w:bottom w:val="nil"/>
              <w:right w:val="single" w:color="000000"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此两项指标为设置部门整体支出绩效评价指标时必须考虑的共性要素，可根据部门实际情况有选择的进行设置，并将其细化为相应的个性化指标。</w:t>
            </w:r>
          </w:p>
        </w:tc>
        <w:tc>
          <w:tcPr>
            <w:tcW w:w="522" w:type="dxa"/>
            <w:vMerge w:val="restart"/>
            <w:tcBorders>
              <w:top w:val="nil"/>
              <w:left w:val="nil"/>
              <w:right w:val="single" w:color="auto" w:sz="4" w:space="0"/>
            </w:tcBorders>
            <w:vAlign w:val="center"/>
          </w:tcPr>
          <w:p>
            <w:pP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10</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p>
        </w:tc>
        <w:tc>
          <w:tcPr>
            <w:tcW w:w="478" w:type="dxa"/>
            <w:vMerge w:val="continue"/>
            <w:tcBorders>
              <w:top w:val="nil"/>
              <w:left w:val="nil"/>
              <w:bottom w:val="nil"/>
              <w:right w:val="single" w:color="auto" w:sz="4" w:space="0"/>
            </w:tcBorders>
            <w:vAlign w:val="center"/>
          </w:tcPr>
          <w:p>
            <w:pPr>
              <w:rPr>
                <w:rFonts w:ascii="仿宋_GB2312" w:hAnsi="仿宋_GB2312" w:eastAsia="仿宋_GB2312" w:cs="仿宋_GB2312"/>
                <w:sz w:val="20"/>
                <w:szCs w:val="20"/>
              </w:rPr>
            </w:pPr>
          </w:p>
        </w:tc>
        <w:tc>
          <w:tcPr>
            <w:tcW w:w="6379" w:type="dxa"/>
            <w:gridSpan w:val="2"/>
            <w:vMerge w:val="continue"/>
            <w:tcBorders>
              <w:top w:val="nil"/>
              <w:left w:val="nil"/>
              <w:bottom w:val="nil"/>
              <w:right w:val="single" w:color="000000" w:sz="4" w:space="0"/>
            </w:tcBorders>
            <w:vAlign w:val="center"/>
          </w:tcPr>
          <w:p>
            <w:pPr>
              <w:rPr>
                <w:rFonts w:ascii="仿宋_GB2312" w:hAnsi="仿宋_GB2312" w:eastAsia="仿宋_GB2312" w:cs="仿宋_GB2312"/>
                <w:sz w:val="20"/>
                <w:szCs w:val="20"/>
              </w:rPr>
            </w:pPr>
          </w:p>
        </w:tc>
        <w:tc>
          <w:tcPr>
            <w:tcW w:w="522" w:type="dxa"/>
            <w:vMerge w:val="continue"/>
            <w:tcBorders>
              <w:left w:val="nil"/>
              <w:bottom w:val="nil"/>
              <w:right w:val="single" w:color="auto" w:sz="4" w:space="0"/>
            </w:tcBorders>
            <w:vAlign w:val="center"/>
          </w:tcPr>
          <w:p>
            <w:pPr>
              <w:rPr>
                <w:rFonts w:ascii="仿宋_GB2312" w:hAnsi="仿宋_GB2312" w:eastAsia="仿宋_GB2312" w:cs="仿宋_GB2312"/>
                <w:sz w:val="24"/>
                <w:lang w:eastAsia="zh-CN"/>
              </w:rPr>
            </w:pP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single" w:color="000000" w:sz="4" w:space="0"/>
              <w:right w:val="single" w:color="auto" w:sz="4" w:space="0"/>
            </w:tcBorders>
            <w:vAlign w:val="center"/>
          </w:tcPr>
          <w:p>
            <w:pPr>
              <w:rPr>
                <w:rFonts w:ascii="仿宋_GB2312" w:hAnsi="仿宋_GB2312" w:eastAsia="仿宋_GB2312" w:cs="仿宋_GB2312"/>
                <w:sz w:val="20"/>
                <w:szCs w:val="20"/>
              </w:rPr>
            </w:pPr>
          </w:p>
        </w:tc>
        <w:tc>
          <w:tcPr>
            <w:tcW w:w="416" w:type="dxa"/>
            <w:vMerge w:val="restart"/>
            <w:tcBorders>
              <w:top w:val="nil"/>
              <w:left w:val="nil"/>
              <w:bottom w:val="single" w:color="000000"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12</w:t>
            </w:r>
          </w:p>
        </w:tc>
        <w:tc>
          <w:tcPr>
            <w:tcW w:w="1194" w:type="dxa"/>
            <w:tcBorders>
              <w:top w:val="nil"/>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2977"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促进部门改进文风会风，加强经费及资产管理，推动网上办事，提高行政效率，降低行政成本效果较好的计6分；一般3分；无效果或者效果不明显0分。</w:t>
            </w:r>
          </w:p>
        </w:tc>
        <w:tc>
          <w:tcPr>
            <w:tcW w:w="3402"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sz w:val="24"/>
              </w:rPr>
            </w:pPr>
            <w:r>
              <w:rPr>
                <w:rFonts w:hint="eastAsia" w:ascii="仿宋_GB2312" w:hAnsi="仿宋_GB2312" w:eastAsia="仿宋_GB2312" w:cs="仿宋_GB2312"/>
                <w:sz w:val="24"/>
                <w:lang w:eastAsia="zh-CN"/>
              </w:rPr>
              <w:t>6</w:t>
            </w:r>
            <w:r>
              <w:rPr>
                <w:rFonts w:hint="eastAsia" w:ascii="仿宋_GB2312" w:hAnsi="仿宋_GB2312" w:eastAsia="仿宋_GB2312" w:cs="仿宋_GB2312"/>
                <w:sz w:val="24"/>
              </w:rPr>
              <w:t>　</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nil"/>
              <w:right w:val="single" w:color="auto" w:sz="4" w:space="0"/>
            </w:tcBorders>
            <w:vAlign w:val="center"/>
          </w:tcPr>
          <w:p>
            <w:pPr>
              <w:rPr>
                <w:rFonts w:ascii="仿宋_GB2312" w:hAnsi="仿宋_GB2312" w:eastAsia="仿宋_GB2312" w:cs="仿宋_GB2312"/>
                <w:sz w:val="20"/>
                <w:szCs w:val="20"/>
              </w:rPr>
            </w:pPr>
          </w:p>
        </w:tc>
        <w:tc>
          <w:tcPr>
            <w:tcW w:w="677" w:type="dxa"/>
            <w:gridSpan w:val="2"/>
            <w:vMerge w:val="continue"/>
            <w:tcBorders>
              <w:top w:val="nil"/>
              <w:left w:val="nil"/>
              <w:bottom w:val="nil"/>
              <w:right w:val="single" w:color="auto" w:sz="4" w:space="0"/>
            </w:tcBorders>
            <w:vAlign w:val="center"/>
          </w:tcPr>
          <w:p>
            <w:pPr>
              <w:rPr>
                <w:rFonts w:ascii="仿宋_GB2312" w:hAnsi="仿宋_GB2312" w:eastAsia="仿宋_GB2312" w:cs="仿宋_GB2312"/>
                <w:sz w:val="20"/>
                <w:szCs w:val="20"/>
              </w:rPr>
            </w:pPr>
          </w:p>
        </w:tc>
        <w:tc>
          <w:tcPr>
            <w:tcW w:w="416" w:type="dxa"/>
            <w:vMerge w:val="continue"/>
            <w:tcBorders>
              <w:top w:val="nil"/>
              <w:left w:val="nil"/>
              <w:bottom w:val="nil"/>
              <w:right w:val="single" w:color="auto" w:sz="4" w:space="0"/>
            </w:tcBorders>
            <w:vAlign w:val="center"/>
          </w:tcPr>
          <w:p>
            <w:pPr>
              <w:rPr>
                <w:rFonts w:ascii="仿宋_GB2312" w:hAnsi="仿宋_GB2312" w:eastAsia="仿宋_GB2312" w:cs="仿宋_GB2312"/>
                <w:sz w:val="20"/>
                <w:szCs w:val="20"/>
              </w:rPr>
            </w:pPr>
          </w:p>
        </w:tc>
        <w:tc>
          <w:tcPr>
            <w:tcW w:w="1194" w:type="dxa"/>
            <w:tcBorders>
              <w:top w:val="nil"/>
              <w:left w:val="nil"/>
              <w:bottom w:val="nil"/>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社会公众或服务对象满意度</w:t>
            </w:r>
          </w:p>
        </w:tc>
        <w:tc>
          <w:tcPr>
            <w:tcW w:w="478" w:type="dxa"/>
            <w:tcBorders>
              <w:top w:val="nil"/>
              <w:left w:val="nil"/>
              <w:bottom w:val="nil"/>
              <w:right w:val="single" w:color="auto" w:sz="4" w:space="0"/>
            </w:tcBorders>
            <w:vAlign w:val="center"/>
          </w:tcPr>
          <w:p>
            <w:pPr>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2977" w:type="dxa"/>
            <w:tcBorders>
              <w:top w:val="nil"/>
              <w:left w:val="nil"/>
              <w:bottom w:val="nil"/>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90%（含）以上计6分；</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80%（含）-90%，计4分；</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70%（含）-80%，计2分；</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低于70%计0分。</w:t>
            </w:r>
          </w:p>
        </w:tc>
        <w:tc>
          <w:tcPr>
            <w:tcW w:w="3402" w:type="dxa"/>
            <w:tcBorders>
              <w:top w:val="nil"/>
              <w:left w:val="nil"/>
              <w:bottom w:val="nil"/>
              <w:right w:val="single" w:color="auto" w:sz="4" w:space="0"/>
            </w:tcBorders>
            <w:vAlign w:val="center"/>
          </w:tcPr>
          <w:p>
            <w:pPr>
              <w:rPr>
                <w:rFonts w:ascii="仿宋_GB2312" w:hAnsi="仿宋_GB2312" w:eastAsia="仿宋_GB2312" w:cs="仿宋_GB2312"/>
                <w:sz w:val="20"/>
                <w:szCs w:val="20"/>
              </w:rPr>
            </w:pPr>
            <w:r>
              <w:rPr>
                <w:rFonts w:hint="eastAsia" w:ascii="仿宋_GB2312" w:hAnsi="仿宋_GB2312" w:eastAsia="仿宋_GB2312" w:cs="仿宋_GB2312"/>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rPr>
                <w:rFonts w:ascii="仿宋_GB2312" w:hAnsi="仿宋_GB2312" w:eastAsia="仿宋_GB2312" w:cs="仿宋_GB2312"/>
                <w:sz w:val="24"/>
              </w:rPr>
            </w:pPr>
            <w:r>
              <w:rPr>
                <w:rFonts w:hint="eastAsia" w:ascii="仿宋_GB2312" w:hAnsi="仿宋_GB2312" w:eastAsia="仿宋_GB2312" w:cs="仿宋_GB2312"/>
                <w:sz w:val="24"/>
                <w:lang w:eastAsia="zh-CN"/>
              </w:rPr>
              <w:t>6</w:t>
            </w:r>
            <w:r>
              <w:rPr>
                <w:rFonts w:hint="eastAsia" w:ascii="仿宋_GB2312" w:hAnsi="仿宋_GB2312" w:eastAsia="仿宋_GB2312" w:cs="仿宋_GB2312"/>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tcPr>
          <w:p>
            <w:pP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100</w:t>
            </w:r>
          </w:p>
        </w:tc>
      </w:tr>
    </w:tbl>
    <w:p>
      <w:pPr>
        <w:pStyle w:val="19"/>
        <w:jc w:val="right"/>
        <w:rPr>
          <w:sz w:val="24"/>
          <w:szCs w:val="24"/>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Microsoft YaHei UI">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
  <w:rsids>
    <w:rsidRoot w:val="00B47730"/>
    <w:rsid w:val="00034616"/>
    <w:rsid w:val="0006063C"/>
    <w:rsid w:val="00097BF9"/>
    <w:rsid w:val="0015074B"/>
    <w:rsid w:val="001908CF"/>
    <w:rsid w:val="001B1453"/>
    <w:rsid w:val="00295C16"/>
    <w:rsid w:val="0029639D"/>
    <w:rsid w:val="00326F90"/>
    <w:rsid w:val="003B5881"/>
    <w:rsid w:val="0040087F"/>
    <w:rsid w:val="0042418F"/>
    <w:rsid w:val="0045041D"/>
    <w:rsid w:val="004974D1"/>
    <w:rsid w:val="00742E2A"/>
    <w:rsid w:val="00774723"/>
    <w:rsid w:val="008277D0"/>
    <w:rsid w:val="00A308DC"/>
    <w:rsid w:val="00AA1D8D"/>
    <w:rsid w:val="00B47730"/>
    <w:rsid w:val="00CB0664"/>
    <w:rsid w:val="00D74F9B"/>
    <w:rsid w:val="00E03EA3"/>
    <w:rsid w:val="00E30D90"/>
    <w:rsid w:val="00FC693F"/>
    <w:rsid w:val="21A443FD"/>
    <w:rsid w:val="27615576"/>
    <w:rsid w:val="3ACB24D5"/>
    <w:rsid w:val="4B481704"/>
    <w:rsid w:val="69FD3A6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heme="minorBidi"/>
      <w:sz w:val="22"/>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4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4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3F3F3F" w:themeColor="text1" w:themeTint="BF"/>
      <w:sz w:val="20"/>
      <w:szCs w:val="20"/>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3">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rPr>
      <w:color w:val="000000"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rPr>
      <w:color w:val="000000"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rPr>
      <w:color w:val="000000"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rPr>
      <w:color w:val="000000"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blPr/>
      <w:tcPr>
        <w:shd w:val="clear" w:color="auto" w:fill="E5E5E5"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5"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rPr>
      <w:color w:val="FFFFFF" w:themeColor="background1"/>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rPr>
      <w:color w:val="FFFFFF" w:themeColor="background1"/>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rPr>
      <w:color w:val="FFFFFF" w:themeColor="background1"/>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rPr>
      <w:color w:val="FFFFFF" w:themeColor="background1"/>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rPr>
      <w:color w:val="FFFFFF" w:themeColor="background1"/>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rPr>
      <w:color w:val="FFFFFF" w:themeColor="background1"/>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rPr>
      <w:color w:val="FFFFFF" w:themeColor="background1"/>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rPr>
      <w:color w:val="000000" w:themeColor="text1"/>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styleId="112">
    <w:name w:val="Colorful Shading Accent 1"/>
    <w:basedOn w:val="32"/>
    <w:uiPriority w:val="71"/>
    <w:rPr>
      <w:color w:val="000000" w:themeColor="text1"/>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4D74"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rPr>
    </w:tblStylePr>
    <w:tblStylePr w:type="nwCell">
      <w:rPr>
        <w:color w:val="000000" w:themeColor="text1"/>
      </w:rPr>
    </w:tblStylePr>
  </w:style>
  <w:style w:type="table" w:styleId="113">
    <w:name w:val="Colorful Shading Accent 2"/>
    <w:basedOn w:val="32"/>
    <w:uiPriority w:val="71"/>
    <w:rPr>
      <w:color w:val="000000" w:themeColor="text1"/>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14">
    <w:name w:val="Colorful Shading Accent 3"/>
    <w:basedOn w:val="32"/>
    <w:uiPriority w:val="71"/>
    <w:rPr>
      <w:color w:val="000000" w:themeColor="text1"/>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rPr>
      <w:color w:val="000000" w:themeColor="text1"/>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A62"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16">
    <w:name w:val="Colorful Shading Accent 5"/>
    <w:basedOn w:val="32"/>
    <w:uiPriority w:val="71"/>
    <w:rPr>
      <w:color w:val="000000" w:themeColor="text1"/>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17">
    <w:name w:val="Colorful Shading Accent 6"/>
    <w:basedOn w:val="32"/>
    <w:uiPriority w:val="71"/>
    <w:rPr>
      <w:color w:val="000000" w:themeColor="text1"/>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7"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18">
    <w:name w:val="Colorful List"/>
    <w:basedOn w:val="32"/>
    <w:uiPriority w:val="72"/>
    <w:rPr>
      <w:color w:val="000000" w:themeColor="text1"/>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rPr>
      <w:color w:val="000000" w:themeColor="text1"/>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rPr>
      <w:color w:val="000000" w:themeColor="text1"/>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rPr>
      <w:color w:val="000000" w:themeColor="text1"/>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rPr>
      <w:color w:val="000000" w:themeColor="text1"/>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rPr>
      <w:color w:val="000000" w:themeColor="text1"/>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rPr>
      <w:color w:val="000000" w:themeColor="text1"/>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6091" w:themeFill="accent1" w:themeFillShade="BF"/>
      </w:tcPr>
    </w:tblStylePr>
    <w:tblStylePr w:type="lastCol">
      <w:rPr>
        <w:color w:val="FFFFFF" w:themeColor="background1"/>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734" w:themeFill="accent2" w:themeFillShade="BF"/>
      </w:tcPr>
    </w:tblStylePr>
    <w:tblStylePr w:type="lastCol">
      <w:rPr>
        <w:color w:val="FFFFFF" w:themeColor="background1"/>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9" w:themeFill="accent6" w:themeFillShade="BF"/>
      </w:tcPr>
    </w:tblStylePr>
    <w:tblStylePr w:type="lastCol">
      <w:rPr>
        <w:color w:val="FFFFFF" w:themeColor="background1"/>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Char"/>
    <w:basedOn w:val="132"/>
    <w:link w:val="25"/>
    <w:uiPriority w:val="99"/>
  </w:style>
  <w:style w:type="character" w:customStyle="1" w:styleId="136">
    <w:name w:val="页脚 Char"/>
    <w:basedOn w:val="132"/>
    <w:link w:val="24"/>
    <w:uiPriority w:val="99"/>
  </w:style>
  <w:style w:type="paragraph" w:styleId="137">
    <w:name w:val="No Spacing"/>
    <w:qFormat/>
    <w:uiPriority w:val="1"/>
    <w:rPr>
      <w:rFonts w:asciiTheme="minorHAnsi" w:hAnsiTheme="minorHAnsi" w:eastAsiaTheme="minorEastAsia" w:cstheme="minorBidi"/>
      <w:sz w:val="22"/>
      <w:szCs w:val="22"/>
      <w:lang w:val="en-US" w:eastAsia="en-US" w:bidi="ar-SA"/>
    </w:rPr>
  </w:style>
  <w:style w:type="character" w:customStyle="1" w:styleId="138">
    <w:name w:val="标题 1 Char"/>
    <w:basedOn w:val="132"/>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39">
    <w:name w:val="标题 2 Char"/>
    <w:basedOn w:val="132"/>
    <w:link w:val="4"/>
    <w:qFormat/>
    <w:uiPriority w:val="9"/>
    <w:rPr>
      <w:rFonts w:asciiTheme="majorHAnsi" w:hAnsiTheme="majorHAnsi" w:eastAsiaTheme="majorEastAsia" w:cstheme="majorBidi"/>
      <w:b/>
      <w:bCs/>
      <w:color w:val="4F81BD" w:themeColor="accent1"/>
      <w:sz w:val="26"/>
      <w:szCs w:val="26"/>
    </w:rPr>
  </w:style>
  <w:style w:type="character" w:customStyle="1" w:styleId="140">
    <w:name w:val="标题 3 Char"/>
    <w:basedOn w:val="132"/>
    <w:link w:val="5"/>
    <w:qFormat/>
    <w:uiPriority w:val="9"/>
    <w:rPr>
      <w:rFonts w:asciiTheme="majorHAnsi" w:hAnsiTheme="majorHAnsi" w:eastAsiaTheme="majorEastAsia" w:cstheme="majorBidi"/>
      <w:b/>
      <w:bCs/>
      <w:color w:val="4F81BD" w:themeColor="accent1"/>
    </w:rPr>
  </w:style>
  <w:style w:type="character" w:customStyle="1" w:styleId="141">
    <w:name w:val="标题 Char"/>
    <w:basedOn w:val="132"/>
    <w:link w:val="3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42">
    <w:name w:val="副标题 Char"/>
    <w:basedOn w:val="132"/>
    <w:link w:val="26"/>
    <w:qFormat/>
    <w:uiPriority w:val="11"/>
    <w:rPr>
      <w:rFonts w:asciiTheme="majorHAnsi" w:hAnsiTheme="majorHAnsi" w:eastAsiaTheme="majorEastAsia" w:cstheme="majorBidi"/>
      <w:i/>
      <w:iCs/>
      <w:color w:val="4F81BD" w:themeColor="accent1"/>
      <w:spacing w:val="15"/>
      <w:sz w:val="24"/>
      <w:szCs w:val="24"/>
    </w:rPr>
  </w:style>
  <w:style w:type="paragraph" w:styleId="143">
    <w:name w:val="List Paragraph"/>
    <w:basedOn w:val="1"/>
    <w:qFormat/>
    <w:uiPriority w:val="34"/>
    <w:pPr>
      <w:ind w:left="720"/>
      <w:contextualSpacing/>
    </w:pPr>
  </w:style>
  <w:style w:type="character" w:customStyle="1" w:styleId="144">
    <w:name w:val="正文文本 Char"/>
    <w:basedOn w:val="132"/>
    <w:link w:val="19"/>
    <w:qFormat/>
    <w:uiPriority w:val="99"/>
  </w:style>
  <w:style w:type="character" w:customStyle="1" w:styleId="145">
    <w:name w:val="正文文本 2 Char"/>
    <w:basedOn w:val="132"/>
    <w:link w:val="28"/>
    <w:qFormat/>
    <w:uiPriority w:val="99"/>
  </w:style>
  <w:style w:type="character" w:customStyle="1" w:styleId="146">
    <w:name w:val="正文文本 3 Char"/>
    <w:basedOn w:val="132"/>
    <w:link w:val="17"/>
    <w:qFormat/>
    <w:uiPriority w:val="99"/>
    <w:rPr>
      <w:sz w:val="16"/>
      <w:szCs w:val="16"/>
    </w:rPr>
  </w:style>
  <w:style w:type="character" w:customStyle="1" w:styleId="147">
    <w:name w:val="宏文本 Char"/>
    <w:basedOn w:val="132"/>
    <w:link w:val="3"/>
    <w:qFormat/>
    <w:uiPriority w:val="99"/>
    <w:rPr>
      <w:rFonts w:ascii="Courier" w:hAnsi="Courier"/>
      <w:sz w:val="20"/>
      <w:szCs w:val="20"/>
    </w:rPr>
  </w:style>
  <w:style w:type="paragraph" w:styleId="148">
    <w:name w:val="Quote"/>
    <w:basedOn w:val="1"/>
    <w:next w:val="1"/>
    <w:link w:val="149"/>
    <w:qFormat/>
    <w:uiPriority w:val="29"/>
    <w:rPr>
      <w:i/>
      <w:iCs/>
      <w:color w:val="000000" w:themeColor="text1"/>
    </w:rPr>
  </w:style>
  <w:style w:type="character" w:customStyle="1" w:styleId="149">
    <w:name w:val="引用 Char"/>
    <w:basedOn w:val="132"/>
    <w:link w:val="148"/>
    <w:qFormat/>
    <w:uiPriority w:val="29"/>
    <w:rPr>
      <w:i/>
      <w:iCs/>
      <w:color w:val="000000" w:themeColor="text1"/>
    </w:rPr>
  </w:style>
  <w:style w:type="character" w:customStyle="1" w:styleId="150">
    <w:name w:val="标题 4 Char"/>
    <w:basedOn w:val="132"/>
    <w:link w:val="6"/>
    <w:semiHidden/>
    <w:qFormat/>
    <w:uiPriority w:val="9"/>
    <w:rPr>
      <w:rFonts w:asciiTheme="majorHAnsi" w:hAnsiTheme="majorHAnsi" w:eastAsiaTheme="majorEastAsia" w:cstheme="majorBidi"/>
      <w:b/>
      <w:bCs/>
      <w:i/>
      <w:iCs/>
      <w:color w:val="4F81BD" w:themeColor="accent1"/>
    </w:rPr>
  </w:style>
  <w:style w:type="character" w:customStyle="1" w:styleId="151">
    <w:name w:val="标题 5 Char"/>
    <w:basedOn w:val="132"/>
    <w:link w:val="7"/>
    <w:semiHidden/>
    <w:qFormat/>
    <w:uiPriority w:val="9"/>
    <w:rPr>
      <w:rFonts w:asciiTheme="majorHAnsi" w:hAnsiTheme="majorHAnsi" w:eastAsiaTheme="majorEastAsia" w:cstheme="majorBidi"/>
      <w:color w:val="244061" w:themeColor="accent1" w:themeShade="80"/>
    </w:rPr>
  </w:style>
  <w:style w:type="character" w:customStyle="1" w:styleId="152">
    <w:name w:val="标题 6 Char"/>
    <w:basedOn w:val="132"/>
    <w:link w:val="8"/>
    <w:semiHidden/>
    <w:qFormat/>
    <w:uiPriority w:val="9"/>
    <w:rPr>
      <w:rFonts w:asciiTheme="majorHAnsi" w:hAnsiTheme="majorHAnsi" w:eastAsiaTheme="majorEastAsia" w:cstheme="majorBidi"/>
      <w:i/>
      <w:iCs/>
      <w:color w:val="244061" w:themeColor="accent1" w:themeShade="80"/>
    </w:rPr>
  </w:style>
  <w:style w:type="character" w:customStyle="1" w:styleId="153">
    <w:name w:val="标题 7 Char"/>
    <w:basedOn w:val="132"/>
    <w:link w:val="9"/>
    <w:semiHidden/>
    <w:qFormat/>
    <w:uiPriority w:val="9"/>
    <w:rPr>
      <w:rFonts w:asciiTheme="majorHAnsi" w:hAnsiTheme="majorHAnsi" w:eastAsiaTheme="majorEastAsia" w:cstheme="majorBidi"/>
      <w:i/>
      <w:iCs/>
      <w:color w:val="3F3F3F" w:themeColor="text1" w:themeTint="BF"/>
    </w:rPr>
  </w:style>
  <w:style w:type="character" w:customStyle="1" w:styleId="154">
    <w:name w:val="标题 8 Char"/>
    <w:basedOn w:val="132"/>
    <w:link w:val="10"/>
    <w:semiHidden/>
    <w:qFormat/>
    <w:uiPriority w:val="9"/>
    <w:rPr>
      <w:rFonts w:asciiTheme="majorHAnsi" w:hAnsiTheme="majorHAnsi" w:eastAsiaTheme="majorEastAsia" w:cstheme="majorBidi"/>
      <w:color w:val="4F81BD" w:themeColor="accent1"/>
      <w:sz w:val="20"/>
      <w:szCs w:val="20"/>
    </w:rPr>
  </w:style>
  <w:style w:type="character" w:customStyle="1" w:styleId="155">
    <w:name w:val="标题 9 Char"/>
    <w:basedOn w:val="132"/>
    <w:link w:val="11"/>
    <w:semiHidden/>
    <w:qFormat/>
    <w:uiPriority w:val="9"/>
    <w:rPr>
      <w:rFonts w:asciiTheme="majorHAnsi" w:hAnsiTheme="majorHAnsi" w:eastAsiaTheme="majorEastAsia" w:cstheme="majorBidi"/>
      <w:i/>
      <w:iCs/>
      <w:color w:val="3F3F3F" w:themeColor="text1" w:themeTint="BF"/>
      <w:sz w:val="20"/>
      <w:szCs w:val="20"/>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157">
    <w:name w:val="明显引用 Char"/>
    <w:basedOn w:val="132"/>
    <w:link w:val="156"/>
    <w:qFormat/>
    <w:uiPriority w:val="30"/>
    <w:rPr>
      <w:b/>
      <w:bCs/>
      <w:i/>
      <w:iCs/>
      <w:color w:val="4F81BD" w:themeColor="accent1"/>
    </w:rPr>
  </w:style>
  <w:style w:type="character" w:customStyle="1" w:styleId="158">
    <w:name w:val="不明显强调1"/>
    <w:basedOn w:val="132"/>
    <w:qFormat/>
    <w:uiPriority w:val="19"/>
    <w:rPr>
      <w:i/>
      <w:iCs/>
      <w:color w:val="7E7E7E" w:themeColor="text1" w:themeTint="80"/>
    </w:rPr>
  </w:style>
  <w:style w:type="character" w:customStyle="1" w:styleId="159">
    <w:name w:val="明显强调1"/>
    <w:basedOn w:val="132"/>
    <w:qFormat/>
    <w:uiPriority w:val="21"/>
    <w:rPr>
      <w:b/>
      <w:bCs/>
      <w:i/>
      <w:iCs/>
      <w:color w:val="4F81BD" w:themeColor="accent1"/>
    </w:rPr>
  </w:style>
  <w:style w:type="character" w:customStyle="1" w:styleId="160">
    <w:name w:val="不明显参考1"/>
    <w:basedOn w:val="132"/>
    <w:qFormat/>
    <w:uiPriority w:val="31"/>
    <w:rPr>
      <w:smallCaps/>
      <w:color w:val="C0504D" w:themeColor="accent2"/>
      <w:u w:val="single"/>
    </w:rPr>
  </w:style>
  <w:style w:type="character" w:customStyle="1" w:styleId="161">
    <w:name w:val="明显参考1"/>
    <w:basedOn w:val="132"/>
    <w:qFormat/>
    <w:uiPriority w:val="32"/>
    <w:rPr>
      <w:b/>
      <w:bCs/>
      <w:smallCaps/>
      <w:color w:val="C0504D" w:themeColor="accent2"/>
      <w:spacing w:val="5"/>
      <w:u w:val="single"/>
    </w:rPr>
  </w:style>
  <w:style w:type="character" w:customStyle="1" w:styleId="162">
    <w:name w:val="书籍标题1"/>
    <w:basedOn w:val="132"/>
    <w:qFormat/>
    <w:uiPriority w:val="33"/>
    <w:rPr>
      <w:b/>
      <w:bCs/>
      <w:smallCaps/>
      <w:spacing w:val="5"/>
    </w:rPr>
  </w:style>
  <w:style w:type="paragraph" w:customStyle="1" w:styleId="163">
    <w:name w:val="TOC 标题1"/>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0DBA3-BFDD-42B9-B502-EA6781184709}">
  <ds:schemaRefs/>
</ds:datastoreItem>
</file>

<file path=docProps/app.xml><?xml version="1.0" encoding="utf-8"?>
<Properties xmlns="http://schemas.openxmlformats.org/officeDocument/2006/extended-properties" xmlns:vt="http://schemas.openxmlformats.org/officeDocument/2006/docPropsVTypes">
  <Template>Normal</Template>
  <Pages>12</Pages>
  <Words>967</Words>
  <Characters>5513</Characters>
  <Lines>45</Lines>
  <Paragraphs>12</Paragraphs>
  <TotalTime>2</TotalTime>
  <ScaleCrop>false</ScaleCrop>
  <LinksUpToDate>false</LinksUpToDate>
  <CharactersWithSpaces>6468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2025-04-17T03:26:00Z</dcterms:created>
  <dc:creator>python-docx</dc:creator>
  <dc:description>generated by python-docx</dc:description>
  <cp:lastModifiedBy>Administrator</cp:lastModifiedBy>
  <dcterms:modified xsi:type="dcterms:W3CDTF">2025-05-30T05:35:22Z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eyJoZGlkIjoiODFhOWE5MTIwMzA2NzQ1NzZjYzhhMzZkMzU2MDYzZDUiLCJ1c2VySWQiOiI4ODM0OTk4NjkifQ==</vt:lpwstr>
  </property>
  <property fmtid="{D5CDD505-2E9C-101B-9397-08002B2CF9AE}" pid="3" name="KSOProductBuildVer">
    <vt:lpwstr>2052-11.8.2.12055</vt:lpwstr>
  </property>
  <property fmtid="{D5CDD505-2E9C-101B-9397-08002B2CF9AE}" pid="4" name="ICV">
    <vt:lpwstr>446AACDF7E4E48B08B2D87C0773C3996_13</vt:lpwstr>
  </property>
</Properties>
</file>