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kern w:val="0"/>
          <w:sz w:val="32"/>
          <w:szCs w:val="32"/>
        </w:rPr>
      </w:pPr>
      <w:r>
        <w:rPr>
          <w:rFonts w:hint="eastAsia" w:ascii="宋体" w:hAnsi="宋体" w:cs="宋体"/>
          <w:kern w:val="0"/>
          <w:sz w:val="32"/>
          <w:szCs w:val="32"/>
        </w:rPr>
        <w:t>江永县工商联部门整体支出绩效评价基础数据表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仿宋_GB2312"/>
          <w:kern w:val="0"/>
          <w:sz w:val="24"/>
        </w:rPr>
      </w:pPr>
      <w:r>
        <w:rPr>
          <w:rFonts w:hint="eastAsia" w:eastAsia="仿宋_GB2312"/>
          <w:kern w:val="0"/>
          <w:sz w:val="24"/>
        </w:rPr>
        <w:tab/>
      </w:r>
      <w:r>
        <w:rPr>
          <w:rFonts w:hint="eastAsia" w:eastAsia="仿宋_GB2312"/>
          <w:kern w:val="0"/>
          <w:sz w:val="24"/>
        </w:rPr>
        <w:tab/>
      </w:r>
      <w:r>
        <w:rPr>
          <w:rFonts w:hint="eastAsia" w:eastAsia="仿宋_GB2312"/>
          <w:kern w:val="0"/>
          <w:sz w:val="24"/>
        </w:rPr>
        <w:t xml:space="preserve">             金额单位：万元</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年实际在职人数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5</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年预算数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1.89</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1.89</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46.75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 xml:space="preserve"> (1)、行政管理事务</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30.08</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 xml:space="preserve"> (2)、 绩效奖</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16.67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2.41</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6.09</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0.25</w:t>
            </w:r>
          </w:p>
        </w:tc>
        <w:tc>
          <w:tcPr>
            <w:tcW w:w="2240"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0.48</w:t>
            </w:r>
          </w:p>
        </w:tc>
        <w:tc>
          <w:tcPr>
            <w:tcW w:w="1832"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0.12</w:t>
            </w:r>
          </w:p>
        </w:tc>
        <w:tc>
          <w:tcPr>
            <w:tcW w:w="2240"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1.14</w:t>
            </w:r>
          </w:p>
        </w:tc>
        <w:tc>
          <w:tcPr>
            <w:tcW w:w="1832" w:type="dxa"/>
            <w:gridSpan w:val="2"/>
            <w:noWrap/>
            <w:vAlign w:val="center"/>
          </w:tcPr>
          <w:p>
            <w:pPr>
              <w:widowControl/>
              <w:jc w:val="center"/>
              <w:rPr>
                <w:rFonts w:eastAsia="仿宋_GB2312"/>
                <w:color w:val="000000"/>
                <w:kern w:val="0"/>
                <w:szCs w:val="21"/>
              </w:rPr>
            </w:pPr>
            <w:r>
              <w:rPr>
                <w:rFonts w:hint="eastAsia" w:eastAsia="仿宋_GB2312"/>
                <w:color w:val="000000"/>
                <w:kern w:val="0"/>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ign w:val="center"/>
          </w:tcPr>
          <w:p>
            <w:pPr>
              <w:widowControl/>
              <w:jc w:val="center"/>
              <w:rPr>
                <w:rFonts w:eastAsia="仿宋_GB2312"/>
                <w:color w:val="000000"/>
                <w:kern w:val="0"/>
                <w:szCs w:val="21"/>
              </w:rPr>
            </w:pPr>
          </w:p>
        </w:tc>
        <w:tc>
          <w:tcPr>
            <w:tcW w:w="2240" w:type="dxa"/>
            <w:gridSpan w:val="2"/>
            <w:noWrap/>
            <w:vAlign w:val="center"/>
          </w:tcPr>
          <w:p>
            <w:pPr>
              <w:widowControl/>
              <w:jc w:val="center"/>
              <w:rPr>
                <w:rFonts w:eastAsia="仿宋_GB2312"/>
                <w:color w:val="FF0000"/>
                <w:kern w:val="0"/>
                <w:szCs w:val="21"/>
              </w:rPr>
            </w:pPr>
          </w:p>
        </w:tc>
        <w:tc>
          <w:tcPr>
            <w:tcW w:w="1832" w:type="dxa"/>
            <w:gridSpan w:val="2"/>
            <w:noWrap/>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2.17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24</w:t>
            </w:r>
            <w:r>
              <w:rPr>
                <w:rFonts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hint="eastAsia" w:eastAsia="仿宋_GB2312"/>
                <w:kern w:val="0"/>
                <w:szCs w:val="21"/>
              </w:rPr>
              <w:t>0</w:t>
            </w:r>
          </w:p>
        </w:tc>
        <w:tc>
          <w:tcPr>
            <w:tcW w:w="849" w:type="dxa"/>
            <w:noWrap/>
            <w:vAlign w:val="center"/>
          </w:tcPr>
          <w:p>
            <w:pPr>
              <w:widowControl/>
              <w:jc w:val="center"/>
              <w:rPr>
                <w:rFonts w:eastAsia="仿宋_GB2312"/>
                <w:kern w:val="0"/>
                <w:szCs w:val="21"/>
              </w:rPr>
            </w:pPr>
            <w:r>
              <w:rPr>
                <w:rFonts w:hint="eastAsia" w:eastAsia="仿宋_GB2312"/>
                <w:kern w:val="0"/>
                <w:szCs w:val="21"/>
              </w:rPr>
              <w:t>0</w:t>
            </w:r>
          </w:p>
        </w:tc>
        <w:tc>
          <w:tcPr>
            <w:tcW w:w="1129" w:type="dxa"/>
            <w:noWrap/>
            <w:vAlign w:val="center"/>
          </w:tcPr>
          <w:p>
            <w:pPr>
              <w:widowControl/>
              <w:jc w:val="center"/>
              <w:rPr>
                <w:rFonts w:eastAsia="仿宋_GB2312"/>
                <w:kern w:val="0"/>
                <w:szCs w:val="21"/>
              </w:rPr>
            </w:pPr>
            <w:r>
              <w:rPr>
                <w:rFonts w:hint="eastAsia" w:eastAsia="仿宋_GB2312"/>
                <w:kern w:val="0"/>
                <w:szCs w:val="21"/>
              </w:rPr>
              <w:t>0</w:t>
            </w:r>
          </w:p>
        </w:tc>
        <w:tc>
          <w:tcPr>
            <w:tcW w:w="1111" w:type="dxa"/>
            <w:noWrap/>
            <w:vAlign w:val="center"/>
          </w:tcPr>
          <w:p>
            <w:pPr>
              <w:widowControl/>
              <w:jc w:val="center"/>
              <w:rPr>
                <w:rFonts w:eastAsia="仿宋_GB2312"/>
                <w:kern w:val="0"/>
                <w:szCs w:val="21"/>
              </w:rPr>
            </w:pPr>
            <w:r>
              <w:rPr>
                <w:rFonts w:hint="eastAsia" w:eastAsia="仿宋_GB2312"/>
                <w:kern w:val="0"/>
                <w:szCs w:val="21"/>
              </w:rPr>
              <w:t>0</w:t>
            </w:r>
          </w:p>
        </w:tc>
        <w:tc>
          <w:tcPr>
            <w:tcW w:w="969" w:type="dxa"/>
            <w:noWrap/>
            <w:vAlign w:val="center"/>
          </w:tcPr>
          <w:p>
            <w:pPr>
              <w:widowControl/>
              <w:jc w:val="center"/>
              <w:rPr>
                <w:rFonts w:eastAsia="仿宋_GB2312"/>
                <w:kern w:val="0"/>
                <w:szCs w:val="21"/>
              </w:rPr>
            </w:pPr>
            <w:r>
              <w:rPr>
                <w:rFonts w:hint="eastAsia" w:eastAsia="仿宋_GB2312"/>
                <w:kern w:val="0"/>
                <w:szCs w:val="21"/>
              </w:rPr>
              <w:t>0</w:t>
            </w:r>
          </w:p>
        </w:tc>
        <w:tc>
          <w:tcPr>
            <w:tcW w:w="863" w:type="dxa"/>
            <w:noWrap/>
            <w:vAlign w:val="center"/>
          </w:tcPr>
          <w:p>
            <w:pPr>
              <w:widowControl/>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354" w:type="dxa"/>
            <w:noWrap/>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ign w:val="center"/>
          </w:tcPr>
          <w:p>
            <w:pPr>
              <w:widowControl/>
              <w:rPr>
                <w:rFonts w:eastAsia="仿宋_GB2312"/>
                <w:kern w:val="0"/>
                <w:szCs w:val="21"/>
              </w:rPr>
            </w:pPr>
            <w:r>
              <w:rPr>
                <w:rFonts w:hint="eastAsia" w:eastAsia="仿宋_GB2312"/>
                <w:kern w:val="0"/>
                <w:szCs w:val="21"/>
                <w:lang w:eastAsia="zh-CN"/>
              </w:rPr>
              <w:t>建</w:t>
            </w:r>
            <w:bookmarkStart w:id="0" w:name="_GoBack"/>
            <w:bookmarkEnd w:id="0"/>
            <w:r>
              <w:rPr>
                <w:rFonts w:hint="eastAsia" w:eastAsia="仿宋_GB2312"/>
                <w:kern w:val="0"/>
                <w:szCs w:val="21"/>
              </w:rPr>
              <w:t>立健全财务制度，严格遵守国家财政规章，加强财务审批。</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19"/>
        <w:gridCol w:w="1115"/>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hint="eastAsia" w:eastAsia="仿宋_GB2312"/>
                <w:color w:val="000000"/>
                <w:kern w:val="0"/>
                <w:szCs w:val="21"/>
              </w:rPr>
              <w:t>县</w:t>
            </w:r>
            <w:r>
              <w:rPr>
                <w:rFonts w:eastAsia="仿宋_GB2312"/>
                <w:color w:val="000000"/>
                <w:kern w:val="0"/>
                <w:szCs w:val="21"/>
              </w:rPr>
              <w:t>级预算部门名称</w:t>
            </w:r>
          </w:p>
        </w:tc>
        <w:tc>
          <w:tcPr>
            <w:tcW w:w="9243" w:type="dxa"/>
            <w:gridSpan w:val="9"/>
            <w:noWrap/>
            <w:vAlign w:val="center"/>
          </w:tcPr>
          <w:p>
            <w:pPr>
              <w:widowControl/>
              <w:jc w:val="center"/>
              <w:rPr>
                <w:rFonts w:eastAsia="仿宋_GB2312"/>
                <w:color w:val="000000"/>
                <w:kern w:val="0"/>
                <w:szCs w:val="21"/>
              </w:rPr>
            </w:pP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ign w:val="center"/>
          </w:tcPr>
          <w:p>
            <w:pPr>
              <w:jc w:val="center"/>
              <w:rPr>
                <w:rFonts w:eastAsia="仿宋_GB2312"/>
                <w:szCs w:val="21"/>
              </w:rPr>
            </w:pPr>
          </w:p>
        </w:tc>
        <w:tc>
          <w:tcPr>
            <w:tcW w:w="1114" w:type="dxa"/>
            <w:noWrap/>
            <w:vAlign w:val="center"/>
          </w:tcPr>
          <w:p>
            <w:pPr>
              <w:jc w:val="center"/>
              <w:rPr>
                <w:rFonts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314" w:type="dxa"/>
            <w:gridSpan w:val="2"/>
            <w:noWrap/>
            <w:vAlign w:val="center"/>
          </w:tcPr>
          <w:p>
            <w:pPr>
              <w:jc w:val="center"/>
              <w:rPr>
                <w:rFonts w:eastAsia="仿宋_GB2312"/>
                <w:szCs w:val="21"/>
              </w:rPr>
            </w:pPr>
            <w:r>
              <w:rPr>
                <w:rFonts w:eastAsia="仿宋_GB2312"/>
                <w:szCs w:val="21"/>
              </w:rPr>
              <w:t>全年预算数</w:t>
            </w:r>
          </w:p>
        </w:tc>
        <w:tc>
          <w:tcPr>
            <w:tcW w:w="1115"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ign w:val="center"/>
          </w:tcPr>
          <w:p>
            <w:pPr>
              <w:jc w:val="center"/>
              <w:rPr>
                <w:rFonts w:eastAsia="仿宋_GB2312"/>
                <w:szCs w:val="21"/>
              </w:rPr>
            </w:pPr>
            <w:r>
              <w:rPr>
                <w:rFonts w:eastAsia="仿宋_GB2312"/>
                <w:szCs w:val="21"/>
              </w:rPr>
              <w:t>分值</w:t>
            </w:r>
          </w:p>
        </w:tc>
        <w:tc>
          <w:tcPr>
            <w:tcW w:w="898" w:type="dxa"/>
            <w:noWrap/>
            <w:vAlign w:val="center"/>
          </w:tcPr>
          <w:p>
            <w:pPr>
              <w:jc w:val="center"/>
              <w:rPr>
                <w:rFonts w:eastAsia="仿宋_GB2312"/>
                <w:szCs w:val="21"/>
              </w:rPr>
            </w:pPr>
            <w:r>
              <w:rPr>
                <w:rFonts w:eastAsia="仿宋_GB2312"/>
                <w:szCs w:val="21"/>
              </w:rPr>
              <w:t>执行率</w:t>
            </w:r>
          </w:p>
        </w:tc>
        <w:tc>
          <w:tcPr>
            <w:tcW w:w="1446"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2647" w:type="dxa"/>
            <w:gridSpan w:val="2"/>
            <w:noWrap/>
            <w:vAlign w:val="center"/>
          </w:tcPr>
          <w:p>
            <w:pPr>
              <w:jc w:val="center"/>
              <w:rPr>
                <w:rFonts w:eastAsia="仿宋_GB2312"/>
                <w:szCs w:val="21"/>
              </w:rPr>
            </w:pPr>
            <w:r>
              <w:rPr>
                <w:rFonts w:eastAsia="仿宋_GB2312"/>
                <w:color w:val="000000"/>
                <w:kern w:val="0"/>
                <w:szCs w:val="21"/>
              </w:rPr>
              <w:t>年度资金总额</w:t>
            </w:r>
          </w:p>
        </w:tc>
        <w:tc>
          <w:tcPr>
            <w:tcW w:w="1114" w:type="dxa"/>
            <w:noWrap/>
            <w:vAlign w:val="center"/>
          </w:tcPr>
          <w:p>
            <w:pPr>
              <w:jc w:val="center"/>
              <w:rPr>
                <w:rFonts w:eastAsia="仿宋_GB2312"/>
                <w:szCs w:val="21"/>
              </w:rPr>
            </w:pPr>
            <w:r>
              <w:rPr>
                <w:rFonts w:hint="eastAsia" w:eastAsia="仿宋_GB2312"/>
                <w:szCs w:val="21"/>
              </w:rPr>
              <w:t>90.47</w:t>
            </w:r>
          </w:p>
        </w:tc>
        <w:tc>
          <w:tcPr>
            <w:tcW w:w="1314" w:type="dxa"/>
            <w:gridSpan w:val="2"/>
            <w:noWrap/>
            <w:vAlign w:val="center"/>
          </w:tcPr>
          <w:p>
            <w:pPr>
              <w:jc w:val="center"/>
              <w:rPr>
                <w:rFonts w:eastAsia="仿宋_GB2312"/>
                <w:szCs w:val="21"/>
              </w:rPr>
            </w:pPr>
            <w:r>
              <w:rPr>
                <w:rFonts w:hint="eastAsia" w:eastAsia="仿宋_GB2312"/>
                <w:szCs w:val="21"/>
              </w:rPr>
              <w:t>122.93</w:t>
            </w:r>
          </w:p>
        </w:tc>
        <w:tc>
          <w:tcPr>
            <w:tcW w:w="1115" w:type="dxa"/>
            <w:noWrap/>
            <w:vAlign w:val="center"/>
          </w:tcPr>
          <w:p>
            <w:pPr>
              <w:jc w:val="center"/>
              <w:rPr>
                <w:rFonts w:eastAsia="仿宋_GB2312"/>
                <w:szCs w:val="21"/>
              </w:rPr>
            </w:pPr>
            <w:r>
              <w:rPr>
                <w:rFonts w:hint="eastAsia" w:eastAsia="仿宋_GB2312"/>
                <w:szCs w:val="21"/>
              </w:rPr>
              <w:t>122.93</w:t>
            </w:r>
          </w:p>
        </w:tc>
        <w:tc>
          <w:tcPr>
            <w:tcW w:w="709" w:type="dxa"/>
            <w:noWrap/>
            <w:vAlign w:val="center"/>
          </w:tcPr>
          <w:p>
            <w:pPr>
              <w:jc w:val="center"/>
              <w:rPr>
                <w:rFonts w:eastAsia="仿宋_GB2312"/>
                <w:szCs w:val="21"/>
              </w:rPr>
            </w:pPr>
            <w:r>
              <w:rPr>
                <w:rFonts w:eastAsia="仿宋_GB2312"/>
                <w:szCs w:val="21"/>
              </w:rPr>
              <w:t>10</w:t>
            </w:r>
          </w:p>
        </w:tc>
        <w:tc>
          <w:tcPr>
            <w:tcW w:w="898" w:type="dxa"/>
            <w:noWrap/>
            <w:vAlign w:val="center"/>
          </w:tcPr>
          <w:p>
            <w:pPr>
              <w:jc w:val="center"/>
              <w:rPr>
                <w:rFonts w:eastAsia="仿宋_GB2312"/>
                <w:szCs w:val="21"/>
              </w:rPr>
            </w:pPr>
            <w:r>
              <w:rPr>
                <w:rFonts w:hint="eastAsia" w:eastAsia="仿宋_GB2312"/>
                <w:szCs w:val="21"/>
              </w:rPr>
              <w:t>100%</w:t>
            </w:r>
          </w:p>
        </w:tc>
        <w:tc>
          <w:tcPr>
            <w:tcW w:w="1446" w:type="dxa"/>
            <w:noWrap/>
            <w:vAlign w:val="center"/>
          </w:tcPr>
          <w:p>
            <w:pPr>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按收入性质分：</w:t>
            </w:r>
            <w:r>
              <w:rPr>
                <w:rFonts w:hint="eastAsia" w:eastAsia="仿宋_GB2312"/>
                <w:color w:val="000000"/>
                <w:kern w:val="0"/>
                <w:szCs w:val="21"/>
              </w:rPr>
              <w:t>122.93</w:t>
            </w:r>
          </w:p>
        </w:tc>
        <w:tc>
          <w:tcPr>
            <w:tcW w:w="4168" w:type="dxa"/>
            <w:gridSpan w:val="4"/>
            <w:noWrap/>
            <w:vAlign w:val="center"/>
          </w:tcPr>
          <w:p>
            <w:pPr>
              <w:widowControl/>
              <w:jc w:val="left"/>
              <w:rPr>
                <w:rFonts w:eastAsia="仿宋_GB2312"/>
                <w:color w:val="000000"/>
                <w:kern w:val="0"/>
                <w:szCs w:val="21"/>
              </w:rPr>
            </w:pPr>
            <w:r>
              <w:rPr>
                <w:rFonts w:eastAsia="仿宋_GB2312"/>
                <w:color w:val="000000"/>
                <w:kern w:val="0"/>
                <w:szCs w:val="21"/>
              </w:rPr>
              <w:t>按支出性质分：</w:t>
            </w:r>
            <w:r>
              <w:rPr>
                <w:rFonts w:hint="eastAsia" w:eastAsia="仿宋_GB2312"/>
                <w:color w:val="000000"/>
                <w:kern w:val="0"/>
                <w:szCs w:val="21"/>
              </w:rPr>
              <w:t>122.93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118.24</w:t>
            </w:r>
          </w:p>
        </w:tc>
        <w:tc>
          <w:tcPr>
            <w:tcW w:w="4168" w:type="dxa"/>
            <w:gridSpan w:val="4"/>
            <w:noWrap/>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r>
              <w:rPr>
                <w:rFonts w:hint="eastAsia" w:eastAsia="仿宋_GB2312"/>
                <w:color w:val="000000"/>
                <w:kern w:val="0"/>
                <w:szCs w:val="21"/>
              </w:rPr>
              <w:t>4.45</w:t>
            </w:r>
          </w:p>
        </w:tc>
        <w:tc>
          <w:tcPr>
            <w:tcW w:w="4168" w:type="dxa"/>
            <w:gridSpan w:val="4"/>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68"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r>
              <w:rPr>
                <w:rFonts w:hint="eastAsia" w:eastAsia="仿宋_GB2312"/>
                <w:color w:val="000000"/>
                <w:kern w:val="0"/>
                <w:szCs w:val="21"/>
              </w:rPr>
              <w:t>0.24</w:t>
            </w:r>
          </w:p>
        </w:tc>
        <w:tc>
          <w:tcPr>
            <w:tcW w:w="4168"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75" w:type="dxa"/>
            <w:gridSpan w:val="5"/>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68"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1、积极发展会员，壮大会员队伍。</w:t>
            </w:r>
          </w:p>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2、积极开展招商引资活动，服务江永经济发展。</w:t>
            </w:r>
          </w:p>
          <w:p>
            <w:pPr>
              <w:widowControl/>
              <w:jc w:val="center"/>
              <w:rPr>
                <w:rFonts w:eastAsia="仿宋_GB2312"/>
                <w:color w:val="000000"/>
                <w:kern w:val="0"/>
                <w:szCs w:val="21"/>
              </w:rPr>
            </w:pPr>
          </w:p>
        </w:tc>
        <w:tc>
          <w:tcPr>
            <w:tcW w:w="416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2024年，发展工商联会员43人，增长8.4%。参加组织招商推介会2场。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1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1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ign w:val="top"/>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数量</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w:t>
            </w:r>
          </w:p>
        </w:tc>
        <w:tc>
          <w:tcPr>
            <w:tcW w:w="121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40人</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43人</w:t>
            </w:r>
          </w:p>
        </w:tc>
        <w:tc>
          <w:tcPr>
            <w:tcW w:w="709" w:type="dxa"/>
            <w:noWrap/>
            <w:vAlign w:val="center"/>
          </w:tcPr>
          <w:p>
            <w:pPr>
              <w:widowControl/>
              <w:spacing w:line="240" w:lineRule="exact"/>
              <w:jc w:val="center"/>
              <w:rPr>
                <w:rFonts w:hint="eastAsia" w:eastAsia="仿宋_GB2312"/>
                <w:color w:val="000000"/>
                <w:kern w:val="0"/>
                <w:szCs w:val="21"/>
                <w:lang w:eastAsia="zh-CN"/>
              </w:rPr>
            </w:pPr>
            <w:r>
              <w:rPr>
                <w:rFonts w:hint="eastAsia" w:eastAsia="仿宋_GB2312"/>
                <w:color w:val="000000"/>
                <w:kern w:val="0"/>
                <w:szCs w:val="21"/>
                <w:lang w:val="en-US" w:eastAsia="zh-CN"/>
              </w:rPr>
              <w:t>5</w:t>
            </w:r>
          </w:p>
        </w:tc>
        <w:tc>
          <w:tcPr>
            <w:tcW w:w="898" w:type="dxa"/>
            <w:noWrap/>
            <w:vAlign w:val="center"/>
          </w:tcPr>
          <w:p>
            <w:pPr>
              <w:widowControl/>
              <w:spacing w:line="240" w:lineRule="exact"/>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widowControl/>
              <w:jc w:val="center"/>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hint="eastAsia" w:eastAsia="仿宋_GB2312"/>
                <w:color w:val="000000"/>
                <w:kern w:val="0"/>
                <w:szCs w:val="21"/>
              </w:rPr>
            </w:pPr>
            <w:r>
              <w:rPr>
                <w:rFonts w:hint="eastAsia" w:eastAsia="仿宋_GB2312"/>
                <w:color w:val="000000"/>
                <w:kern w:val="0"/>
                <w:szCs w:val="21"/>
              </w:rPr>
              <w:t>考核人数</w:t>
            </w:r>
          </w:p>
        </w:tc>
        <w:tc>
          <w:tcPr>
            <w:tcW w:w="1219" w:type="dxa"/>
            <w:noWrap/>
            <w:vAlign w:val="center"/>
          </w:tcPr>
          <w:p>
            <w:pPr>
              <w:widowControl/>
              <w:spacing w:line="240" w:lineRule="exact"/>
              <w:ind w:firstLine="420" w:firstLineChars="2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7人</w:t>
            </w:r>
          </w:p>
        </w:tc>
        <w:tc>
          <w:tcPr>
            <w:tcW w:w="1115" w:type="dxa"/>
            <w:noWrap/>
            <w:vAlign w:val="center"/>
          </w:tcPr>
          <w:p>
            <w:pPr>
              <w:widowControl/>
              <w:spacing w:line="240" w:lineRule="exact"/>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7人</w:t>
            </w:r>
          </w:p>
        </w:tc>
        <w:tc>
          <w:tcPr>
            <w:tcW w:w="709" w:type="dxa"/>
            <w:noWrap/>
            <w:vAlign w:val="center"/>
          </w:tcPr>
          <w:p>
            <w:pPr>
              <w:widowControl/>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98" w:type="dxa"/>
            <w:noWrap/>
            <w:vAlign w:val="center"/>
          </w:tcPr>
          <w:p>
            <w:pPr>
              <w:widowControl/>
              <w:spacing w:line="240" w:lineRule="exact"/>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46" w:type="dxa"/>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参与招商活动</w:t>
            </w:r>
          </w:p>
        </w:tc>
        <w:tc>
          <w:tcPr>
            <w:tcW w:w="1219"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2场</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2场</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质量</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发展工商联会员增长率</w:t>
            </w:r>
          </w:p>
        </w:tc>
        <w:tc>
          <w:tcPr>
            <w:tcW w:w="121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5%</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8.4%</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招商引资额</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10亿元</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28.8亿元</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时效</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按规定期限完成 </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2024年度内</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2024年度内完成</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center"/>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成本</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基本支出</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76.18万元</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76.18万元</w:t>
            </w:r>
          </w:p>
        </w:tc>
        <w:tc>
          <w:tcPr>
            <w:tcW w:w="709" w:type="dxa"/>
            <w:noWrap/>
            <w:vAlign w:val="center"/>
          </w:tcPr>
          <w:p>
            <w:pPr>
              <w:widowControl/>
              <w:spacing w:line="240" w:lineRule="exact"/>
              <w:ind w:firstLine="210" w:firstLineChars="100"/>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46.75万元</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46.75万元</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经济效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招商引资，服务江永经济发展。</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center"/>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社会效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推动江永全面发展。</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生态效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项目无污染</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社会各界人士满意率</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89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rPr>
          <w:rFonts w:hint="eastAsia" w:ascii="方正小标宋_GBK" w:hAnsi="方正小标宋_GBK"/>
          <w:kern w:val="0"/>
          <w:sz w:val="36"/>
          <w:szCs w:val="36"/>
        </w:rPr>
      </w:pPr>
    </w:p>
    <w:p>
      <w:pPr>
        <w:widowControl/>
        <w:jc w:val="center"/>
        <w:rPr>
          <w:kern w:val="0"/>
          <w:sz w:val="36"/>
          <w:szCs w:val="36"/>
        </w:rPr>
      </w:pPr>
      <w:r>
        <w:rPr>
          <w:rFonts w:hint="eastAsia" w:ascii="方正小标宋_GBK" w:hAnsi="方正小标宋_GBK"/>
          <w:kern w:val="0"/>
          <w:sz w:val="36"/>
          <w:szCs w:val="36"/>
        </w:rPr>
        <w:t>江永县工商联</w:t>
      </w:r>
      <w:r>
        <w:rPr>
          <w:rFonts w:ascii="方正小标宋_GBK" w:hAnsi="方正小标宋_GBK" w:eastAsia="方正小标宋_GBK"/>
          <w:kern w:val="0"/>
          <w:sz w:val="36"/>
          <w:szCs w:val="36"/>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8</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根据绩效办20</w:t>
            </w:r>
            <w:r>
              <w:rPr>
                <w:rFonts w:hint="eastAsia" w:eastAsia="仿宋_GB2312"/>
                <w:kern w:val="0"/>
                <w:sz w:val="20"/>
                <w:szCs w:val="20"/>
              </w:rPr>
              <w:t>20</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r>
              <w:rPr>
                <w:rFonts w:hint="eastAsia"/>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hAnsi="宋体"/>
                <w:color w:val="000000"/>
                <w:kern w:val="0"/>
                <w:sz w:val="24"/>
              </w:rPr>
            </w:pPr>
            <w:r>
              <w:rPr>
                <w:rFonts w:hint="eastAsia" w:ascii="宋体" w:hAnsi="宋体"/>
                <w:color w:val="000000"/>
                <w:kern w:val="0"/>
                <w:sz w:val="24"/>
              </w:rPr>
              <w:t>100</w:t>
            </w:r>
          </w:p>
        </w:tc>
      </w:tr>
    </w:tbl>
    <w:p>
      <w:pPr>
        <w:spacing w:line="600" w:lineRule="exact"/>
        <w:rPr>
          <w:rFonts w:eastAsia="黑体"/>
          <w:kern w:val="0"/>
          <w:sz w:val="32"/>
          <w:szCs w:val="32"/>
        </w:rPr>
      </w:pPr>
    </w:p>
    <w:p>
      <w:pPr>
        <w:spacing w:line="560" w:lineRule="exact"/>
        <w:jc w:val="center"/>
        <w:rPr>
          <w:rFonts w:hint="eastAsia" w:ascii="宋体" w:hAns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ascii="宋体" w:hAnsi="宋体"/>
          <w:b/>
          <w:bCs/>
          <w:sz w:val="44"/>
          <w:szCs w:val="44"/>
        </w:rPr>
      </w:pPr>
      <w:r>
        <w:rPr>
          <w:rFonts w:hint="eastAsia" w:ascii="宋体" w:hAnsi="宋体" w:cs="Arial"/>
          <w:b/>
          <w:bCs/>
          <w:sz w:val="44"/>
          <w:szCs w:val="44"/>
        </w:rPr>
        <w:t>江永县工商联2024</w:t>
      </w:r>
      <w:r>
        <w:rPr>
          <w:rFonts w:hint="eastAsia" w:ascii="宋体" w:hAnsi="宋体"/>
          <w:b/>
          <w:bCs/>
          <w:sz w:val="44"/>
          <w:szCs w:val="44"/>
        </w:rPr>
        <w:t>年度项目支出</w:t>
      </w:r>
    </w:p>
    <w:p>
      <w:pPr>
        <w:spacing w:line="560" w:lineRule="exact"/>
        <w:jc w:val="center"/>
        <w:rPr>
          <w:rFonts w:ascii="宋体" w:hAnsi="宋体"/>
          <w:b/>
          <w:bCs/>
          <w:sz w:val="44"/>
          <w:szCs w:val="44"/>
        </w:rPr>
      </w:pPr>
      <w:r>
        <w:rPr>
          <w:rFonts w:hint="eastAsia" w:ascii="宋体" w:hAnsi="宋体"/>
          <w:b/>
          <w:bCs/>
          <w:sz w:val="44"/>
          <w:szCs w:val="44"/>
        </w:rPr>
        <w:t>（行政管理事务）绩效自评报告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hint="eastAsia" w:ascii="仿宋" w:hAnsi="仿宋" w:eastAsia="仿宋" w:cs="仿宋"/>
          <w:color w:val="000000"/>
          <w:sz w:val="32"/>
          <w:szCs w:val="32"/>
          <w:shd w:val="clear" w:color="auto" w:fill="FFFFFF"/>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hint="eastAsia" w:ascii="仿宋" w:hAnsi="仿宋" w:eastAsia="仿宋" w:cs="仿宋"/>
          <w:color w:val="000000"/>
          <w:sz w:val="32"/>
          <w:szCs w:val="32"/>
          <w:shd w:val="clear" w:color="auto" w:fill="FFFFFF"/>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（9）办好会办服务事业、经济实体。</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（10）承办政府和有关部门委托事项。</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2、机构和人员情况</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县工商联是具有统战性、经济性、民间性的人民团体和商会组织，是党和政府联系非公有制经济人士的桥梁和纽带，是政府管理和服务非公有制经济的助手。核定编制7人，年末实有在职人员7名。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2024年，县财政安排我单位项目支出预算30.08万元，用于我单位各项业务工作运转</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2024年，县财政拨入我单位项目支出资金30.08万元，资金到位率为100%。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2024年，县财政拨付我单位项目资金30.08万元，实际使用30.08万元，资金使用率为100%。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我单位项目支出属于业务工作经费，按财政安排的资金使用计划使用。单位设立资金支出审批领导小组审批，严格按照财政规章制度使用财政资金，无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ascii="仿宋" w:hAnsi="仿宋" w:eastAsia="仿宋" w:cs="仿宋"/>
          <w:kern w:val="0"/>
          <w:sz w:val="32"/>
          <w:szCs w:val="32"/>
        </w:rPr>
      </w:pPr>
      <w:r>
        <w:rPr>
          <w:rFonts w:hint="eastAsia" w:ascii="楷体" w:hAnsi="楷体" w:eastAsia="楷体" w:cs="仿宋"/>
          <w:b/>
          <w:bCs/>
          <w:color w:val="000000"/>
          <w:sz w:val="32"/>
          <w:szCs w:val="32"/>
        </w:rPr>
        <w:t xml:space="preserve">    （一）数量指标完成情况。</w:t>
      </w:r>
      <w:r>
        <w:rPr>
          <w:rFonts w:hint="eastAsia" w:ascii="仿宋" w:hAnsi="仿宋" w:eastAsia="仿宋" w:cs="仿宋"/>
          <w:kern w:val="0"/>
          <w:sz w:val="32"/>
          <w:szCs w:val="32"/>
        </w:rPr>
        <w:t>2024年，发展工商联会员43人，为目标任务的107.5%，增长8.4%，为目标任务的170%。参加组织招商推介会2场，为目标任务的100%，招商引资28.8亿元，为目标任务的288%。</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（二）效益指标完成情况。</w:t>
      </w:r>
      <w:r>
        <w:rPr>
          <w:rFonts w:hint="eastAsia" w:ascii="仿宋" w:hAnsi="仿宋" w:eastAsia="仿宋" w:cs="仿宋"/>
          <w:snapToGrid w:val="0"/>
          <w:sz w:val="32"/>
          <w:szCs w:val="32"/>
        </w:rPr>
        <w:t>通过招商引资，服务江永经济发展，从而推动江永全面发展，成效明显。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社会各界人士本单位工作满意度为100%。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我单位项目支出资金为业务工作经费，资金使用为一次性的，无后续工作计划。</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5"/>
        <w:spacing w:line="600" w:lineRule="exact"/>
        <w:ind w:firstLine="640"/>
        <w:rPr>
          <w:rFonts w:ascii="仿宋" w:hAnsi="仿宋" w:eastAsia="仿宋" w:cs="仿宋"/>
          <w:sz w:val="32"/>
          <w:szCs w:val="32"/>
        </w:rPr>
      </w:pPr>
    </w:p>
    <w:p>
      <w:pPr>
        <w:spacing w:line="360" w:lineRule="auto"/>
        <w:ind w:left="480"/>
        <w:rPr>
          <w:sz w:val="32"/>
          <w:szCs w:val="32"/>
        </w:rPr>
      </w:pPr>
    </w:p>
    <w:p>
      <w:pPr>
        <w:spacing w:line="360" w:lineRule="auto"/>
        <w:ind w:left="480"/>
        <w:rPr>
          <w:sz w:val="32"/>
          <w:szCs w:val="32"/>
        </w:rPr>
      </w:pPr>
    </w:p>
    <w:p>
      <w:pPr>
        <w:spacing w:line="360" w:lineRule="auto"/>
        <w:ind w:left="480"/>
        <w:rPr>
          <w:sz w:val="32"/>
          <w:szCs w:val="32"/>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2024</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30.08</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30.08</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30.08</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30.08</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1、积极发展会员，壮大会员队伍。</w:t>
            </w:r>
          </w:p>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2、积极开展招商引资活动，服务江永经济发展。</w:t>
            </w:r>
          </w:p>
          <w:p>
            <w:pPr>
              <w:widowControl/>
              <w:jc w:val="center"/>
              <w:rPr>
                <w:rFonts w:eastAsia="仿宋_GB2312"/>
                <w:color w:val="000000"/>
                <w:kern w:val="0"/>
                <w:szCs w:val="21"/>
              </w:rPr>
            </w:pP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2024年，发展工商联会员43人，增长8.4%。参加组织招商推介会2场。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40人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43人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参与招商活动</w:t>
            </w:r>
          </w:p>
        </w:tc>
        <w:tc>
          <w:tcPr>
            <w:tcW w:w="1209"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2场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发展工商联会员增长率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5%</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8.4%</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招商引资额</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10亿元</w:t>
            </w:r>
          </w:p>
        </w:tc>
        <w:tc>
          <w:tcPr>
            <w:tcW w:w="1134" w:type="dxa"/>
            <w:noWrap/>
            <w:vAlign w:val="center"/>
          </w:tcPr>
          <w:p>
            <w:pPr>
              <w:widowControl/>
              <w:spacing w:line="240" w:lineRule="exact"/>
              <w:ind w:firstLine="210" w:firstLineChars="100"/>
              <w:rPr>
                <w:rFonts w:eastAsia="仿宋_GB2312"/>
                <w:color w:val="000000"/>
                <w:kern w:val="0"/>
                <w:szCs w:val="21"/>
              </w:rPr>
            </w:pPr>
            <w:r>
              <w:rPr>
                <w:rFonts w:hint="eastAsia" w:eastAsia="仿宋_GB2312"/>
                <w:color w:val="000000"/>
                <w:kern w:val="0"/>
                <w:szCs w:val="21"/>
              </w:rPr>
              <w:t>28.8亿元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规定期内完成</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2024年内</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2024年内</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30.08万元</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30.08万元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招商引资，服务江永经济发展。</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推动江永全面发展。</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项目无污染</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社会各界人士满意率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
      <w:pPr>
        <w:widowControl/>
      </w:pPr>
    </w:p>
    <w:p>
      <w:pPr>
        <w:spacing w:line="560" w:lineRule="exact"/>
        <w:jc w:val="center"/>
        <w:rPr>
          <w:rFonts w:ascii="宋体" w:hAnsi="宋体"/>
          <w:bCs/>
          <w:sz w:val="44"/>
          <w:szCs w:val="44"/>
        </w:rPr>
      </w:pPr>
      <w:r>
        <w:rPr>
          <w:rFonts w:hint="eastAsia" w:ascii="宋体" w:hAnsi="宋体" w:cs="Arial"/>
          <w:bCs/>
          <w:sz w:val="44"/>
          <w:szCs w:val="44"/>
        </w:rPr>
        <w:t>江永县工商联2024</w:t>
      </w:r>
      <w:r>
        <w:rPr>
          <w:rFonts w:hint="eastAsia" w:ascii="宋体" w:hAnsi="宋体"/>
          <w:bCs/>
          <w:sz w:val="44"/>
          <w:szCs w:val="44"/>
        </w:rPr>
        <w:t>年度项目支出</w:t>
      </w:r>
    </w:p>
    <w:p>
      <w:pPr>
        <w:spacing w:line="560" w:lineRule="exact"/>
        <w:jc w:val="center"/>
        <w:rPr>
          <w:rFonts w:ascii="宋体" w:hAnsi="宋体" w:eastAsia="宋体"/>
          <w:bCs/>
          <w:sz w:val="44"/>
          <w:szCs w:val="44"/>
        </w:rPr>
      </w:pPr>
      <w:r>
        <w:rPr>
          <w:rFonts w:hint="eastAsia" w:ascii="宋体" w:hAnsi="宋体" w:eastAsia="宋体"/>
          <w:bCs/>
          <w:sz w:val="44"/>
          <w:szCs w:val="44"/>
        </w:rPr>
        <w:t>（</w:t>
      </w:r>
      <w:r>
        <w:rPr>
          <w:rFonts w:hint="eastAsia" w:ascii="宋体" w:hAnsi="宋体" w:eastAsia="宋体"/>
          <w:color w:val="000000"/>
          <w:kern w:val="0"/>
          <w:sz w:val="44"/>
          <w:szCs w:val="44"/>
        </w:rPr>
        <w:t>绩效奖</w:t>
      </w:r>
      <w:r>
        <w:rPr>
          <w:rFonts w:hint="eastAsia" w:ascii="宋体" w:hAnsi="宋体" w:eastAsia="宋体"/>
          <w:bCs/>
          <w:sz w:val="44"/>
          <w:szCs w:val="44"/>
        </w:rPr>
        <w:t>）</w:t>
      </w:r>
      <w:r>
        <w:rPr>
          <w:rFonts w:hint="eastAsia" w:ascii="宋体" w:hAnsi="宋体"/>
          <w:bCs/>
          <w:sz w:val="44"/>
          <w:szCs w:val="44"/>
        </w:rPr>
        <w:t>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hint="eastAsia" w:ascii="仿宋" w:hAnsi="仿宋" w:eastAsia="仿宋" w:cs="仿宋"/>
          <w:color w:val="000000"/>
          <w:sz w:val="32"/>
          <w:szCs w:val="32"/>
          <w:shd w:val="clear" w:color="auto" w:fill="FFFFFF"/>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hint="eastAsia" w:ascii="仿宋" w:hAnsi="仿宋" w:eastAsia="仿宋" w:cs="仿宋"/>
          <w:color w:val="000000"/>
          <w:sz w:val="32"/>
          <w:szCs w:val="32"/>
          <w:shd w:val="clear" w:color="auto" w:fill="FFFFFF"/>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（9）办好会办服务事业、经济实体。</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（10）承办政府和有关部门委托事项。</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2、机构和人员情况</w:t>
      </w:r>
    </w:p>
    <w:p>
      <w:pPr>
        <w:pStyle w:val="2"/>
        <w:shd w:val="clear" w:color="auto" w:fill="FFFFFF"/>
        <w:spacing w:before="0" w:beforeAutospacing="0" w:after="0" w:afterAutospacing="0" w:line="560" w:lineRule="exact"/>
        <w:ind w:firstLine="48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县工商联是具有统战性、经济性、民间性的人民团体和商会组织，是党和政府联系非公有制经济人士的桥梁和纽带，是政府管理和服务非公有制经济的助手。核定编制7人，年末实有在职人员7名。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2024年，县财政安排我单位项目支出预算16.67万元，用于发放本单位干部职工2021年7月-2023年12月绩效奖</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2024年，县财政拨入我单位项目支出资金16.67万元，资金到位率为100%。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2024年，县财政拨付我单位项目资金16.67万元，实际使用16.67万元，资金使用率为100%。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643" w:firstLineChars="200"/>
        <w:rPr>
          <w:rFonts w:ascii="仿宋" w:hAnsi="仿宋" w:eastAsia="仿宋" w:cs="仿宋"/>
          <w:color w:val="000000"/>
          <w:kern w:val="0"/>
          <w:sz w:val="32"/>
          <w:szCs w:val="32"/>
          <w:shd w:val="clear" w:color="auto" w:fill="FFFFFF"/>
        </w:rPr>
      </w:pPr>
      <w:r>
        <w:rPr>
          <w:rFonts w:hint="eastAsia" w:ascii="楷体" w:hAnsi="楷体" w:eastAsia="楷体" w:cs="仿宋"/>
          <w:b/>
          <w:bCs/>
          <w:color w:val="000000"/>
          <w:sz w:val="32"/>
          <w:szCs w:val="32"/>
        </w:rPr>
        <w:t xml:space="preserve">  （一）数量指标完成情况。</w:t>
      </w:r>
      <w:r>
        <w:rPr>
          <w:rFonts w:hint="eastAsia" w:ascii="仿宋" w:hAnsi="仿宋" w:eastAsia="仿宋" w:cs="仿宋"/>
          <w:color w:val="000000"/>
          <w:kern w:val="0"/>
          <w:sz w:val="32"/>
          <w:szCs w:val="32"/>
          <w:shd w:val="clear" w:color="auto" w:fill="FFFFFF"/>
        </w:rPr>
        <w:t>2024年，发放本单位干部职工7人全年基础绩效奖16.67万元，足额发放率为100%，发放及时率为100%。</w:t>
      </w:r>
    </w:p>
    <w:p>
      <w:pPr>
        <w:widowControl/>
        <w:rPr>
          <w:rFonts w:ascii="楷体" w:hAnsi="楷体" w:eastAsia="楷体"/>
          <w:b/>
          <w:color w:val="000000"/>
          <w:kern w:val="0"/>
          <w:sz w:val="32"/>
          <w:szCs w:val="32"/>
        </w:rPr>
      </w:pPr>
      <w:r>
        <w:rPr>
          <w:rFonts w:hint="eastAsia" w:ascii="楷体" w:hAnsi="楷体" w:eastAsia="楷体"/>
          <w:b/>
          <w:color w:val="000000"/>
          <w:kern w:val="0"/>
          <w:sz w:val="32"/>
          <w:szCs w:val="32"/>
        </w:rPr>
        <w:t xml:space="preserve">    （二）效益指标完成情况。</w:t>
      </w:r>
      <w:r>
        <w:rPr>
          <w:rFonts w:hint="eastAsia" w:ascii="仿宋" w:hAnsi="仿宋" w:eastAsia="仿宋"/>
          <w:color w:val="000000"/>
          <w:kern w:val="0"/>
          <w:sz w:val="32"/>
          <w:szCs w:val="32"/>
        </w:rPr>
        <w:t>干部职工人平年增加收入2万元以上，有利于调动干部职工工作积极性。</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干部职工满意度为100%。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2024</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eastAsia="仿宋_GB2312"/>
                <w:color w:val="000000"/>
                <w:kern w:val="0"/>
                <w:szCs w:val="21"/>
              </w:rPr>
            </w:pPr>
            <w:r>
              <w:rPr>
                <w:rFonts w:hint="eastAsia" w:ascii="仿宋_GB2312" w:hAnsi="仿宋_GB2312" w:eastAsia="仿宋_GB2312" w:cs="仿宋_GB2312"/>
                <w:szCs w:val="21"/>
              </w:rPr>
              <w:t>按时发放干部职工2021年7月-2023年12月基础绩效奖</w:t>
            </w: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2024年实际发放干部职工基础绩效奖16.67万元，发放7人，足额发放率100%，发放及时率100%。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发放人数</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7人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7人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ind w:firstLine="210" w:firstLineChars="100"/>
              <w:jc w:val="left"/>
              <w:rPr>
                <w:rFonts w:eastAsia="仿宋_GB2312"/>
                <w:color w:val="000000"/>
                <w:kern w:val="0"/>
                <w:szCs w:val="21"/>
              </w:rPr>
            </w:pPr>
          </w:p>
        </w:tc>
        <w:tc>
          <w:tcPr>
            <w:tcW w:w="1134" w:type="dxa"/>
            <w:noWrap/>
            <w:vAlign w:val="center"/>
          </w:tcPr>
          <w:p>
            <w:pPr>
              <w:widowControl/>
              <w:spacing w:line="240" w:lineRule="exact"/>
              <w:ind w:firstLine="210" w:firstLineChars="100"/>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足额发放率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100%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ind w:firstLine="210" w:firstLineChars="100"/>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发放及时率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16.67万元</w:t>
            </w:r>
          </w:p>
        </w:tc>
        <w:tc>
          <w:tcPr>
            <w:tcW w:w="1134"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16.67万元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增加干部职工收入</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人均增加2万元以上</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人均增加2万元以上</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调动干部职工工作积极性</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left"/>
              <w:rPr>
                <w:rFonts w:eastAsia="仿宋_GB2312"/>
                <w:color w:val="000000"/>
                <w:kern w:val="0"/>
                <w:szCs w:val="21"/>
              </w:rPr>
            </w:pP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干部职工满意率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kern w:val="0"/>
          <w:sz w:val="36"/>
          <w:szCs w:val="36"/>
        </w:rPr>
      </w:pPr>
      <w:r>
        <w:rPr>
          <w:rFonts w:hint="eastAsia" w:ascii="方正小标宋_GBK" w:hAnsi="方正小标宋_GBK"/>
          <w:kern w:val="0"/>
          <w:sz w:val="36"/>
          <w:szCs w:val="36"/>
        </w:rPr>
        <w:t>江永县工商联</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ign w:val="to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ign w:val="top"/>
          </w:tcPr>
          <w:p>
            <w:pPr>
              <w:widowControl/>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ign w:val="to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ign w:val="top"/>
          </w:tcPr>
          <w:p>
            <w:pPr>
              <w:widowControl/>
              <w:jc w:val="lef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ign w:val="top"/>
          </w:tcPr>
          <w:p>
            <w:pPr>
              <w:widowControl/>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hAnsi="宋体"/>
                <w:color w:val="000000"/>
                <w:kern w:val="0"/>
                <w:sz w:val="24"/>
              </w:rPr>
            </w:pPr>
            <w:r>
              <w:rPr>
                <w:rFonts w:hint="eastAsia" w:ascii="宋体" w:hAnsi="宋体"/>
                <w:color w:val="000000"/>
                <w:kern w:val="0"/>
                <w:sz w:val="24"/>
              </w:rPr>
              <w:t>100</w:t>
            </w:r>
          </w:p>
        </w:tc>
      </w:tr>
    </w:tbl>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30E5"/>
    <w:multiLevelType w:val="singleLevel"/>
    <w:tmpl w:val="465930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FA6C7"/>
    <w:rsid w:val="26EF30C6"/>
    <w:rsid w:val="2E3E3E18"/>
    <w:rsid w:val="5BEFA6C7"/>
    <w:rsid w:val="7D757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2392</Words>
  <Characters>2724</Characters>
  <Lines>0</Lines>
  <Paragraphs>0</Paragraphs>
  <TotalTime>0</TotalTime>
  <ScaleCrop>false</ScaleCrop>
  <LinksUpToDate>false</LinksUpToDate>
  <CharactersWithSpaces>3174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2025-05-29T23:57:00Z</dcterms:created>
  <dc:creator>huawei</dc:creator>
  <cp:lastModifiedBy>Administrator</cp:lastModifiedBy>
  <dcterms:modified xsi:type="dcterms:W3CDTF">2025-05-30T01:28:03Z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6057CD56BA7644FEA4666FA95E0672D5_13</vt:lpwstr>
  </property>
</Properties>
</file>