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宋体" w:eastAsia="黑体"/>
          <w:kern w:val="0"/>
          <w:sz w:val="32"/>
          <w:szCs w:val="32"/>
        </w:rPr>
        <w:t>1</w:t>
      </w:r>
    </w:p>
    <w:p>
      <w:pPr>
        <w:spacing w:line="560" w:lineRule="exact"/>
        <w:jc w:val="center"/>
        <w:rPr>
          <w:rFonts w:ascii="宋体" w:cs="宋体"/>
          <w:kern w:val="0"/>
          <w:sz w:val="32"/>
          <w:szCs w:val="32"/>
        </w:rPr>
      </w:pPr>
      <w:r>
        <w:rPr>
          <w:rFonts w:hint="eastAsia" w:ascii="宋体" w:hAnsi="宋体" w:cs="宋体"/>
          <w:kern w:val="0"/>
          <w:sz w:val="32"/>
          <w:szCs w:val="32"/>
        </w:rPr>
        <w:t>江永县科学技术协会部门整体支出绩效评价基础数据表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FangSong_GB2312"/>
          <w:kern w:val="0"/>
          <w:sz w:val="24"/>
        </w:rPr>
      </w:pPr>
      <w:r>
        <w:rPr>
          <w:rFonts w:eastAsia="FangSong_GB2312"/>
          <w:kern w:val="0"/>
          <w:sz w:val="24"/>
        </w:rPr>
        <w:tab/>
      </w:r>
      <w:r>
        <w:rPr>
          <w:rFonts w:eastAsia="FangSong_GB2312"/>
          <w:kern w:val="0"/>
          <w:sz w:val="24"/>
        </w:rPr>
        <w:tab/>
      </w:r>
      <w:r>
        <w:rPr>
          <w:rFonts w:hint="eastAsia" w:eastAsia="FangSong_GB2312"/>
          <w:kern w:val="0"/>
          <w:sz w:val="24"/>
        </w:rPr>
        <w:t>金额单位：万元</w:t>
      </w:r>
    </w:p>
    <w:tbl>
      <w:tblP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354"/>
        <w:gridCol w:w="1189"/>
        <w:gridCol w:w="849"/>
        <w:gridCol w:w="1129"/>
        <w:gridCol w:w="1111"/>
        <w:gridCol w:w="969"/>
        <w:gridCol w:w="863"/>
      </w:tblGrid>
      <w:tr>
        <w:trPr>
          <w:trHeight w:val="39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财政供养人员情况</w:t>
            </w:r>
          </w:p>
        </w:tc>
        <w:tc>
          <w:tcPr>
            <w:tcW w:w="2038" w:type="dxa"/>
            <w:gridSpan w:val="2"/>
            <w:vAlign w:val="center"/>
          </w:tcPr>
          <w:p>
            <w:pPr>
              <w:widowControl/>
              <w:jc w:val="center"/>
              <w:rPr>
                <w:rFonts w:eastAsia="FangSong_GB2312"/>
                <w:b/>
                <w:bCs/>
                <w:kern w:val="0"/>
                <w:szCs w:val="21"/>
              </w:rPr>
            </w:pPr>
            <w:r>
              <w:rPr>
                <w:rFonts w:hint="eastAsia" w:eastAsia="FangSong_GB2312"/>
                <w:b/>
                <w:bCs/>
                <w:kern w:val="0"/>
                <w:szCs w:val="21"/>
              </w:rPr>
              <w:t>编制数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2024</w:t>
            </w:r>
            <w:r>
              <w:rPr>
                <w:rFonts w:hint="eastAsia" w:eastAsia="FangSong_GB2312"/>
                <w:b/>
                <w:bCs/>
                <w:kern w:val="0"/>
                <w:szCs w:val="21"/>
              </w:rPr>
              <w:t>年实际在职人数</w:t>
            </w:r>
          </w:p>
        </w:tc>
        <w:tc>
          <w:tcPr>
            <w:tcW w:w="1832" w:type="dxa"/>
            <w:gridSpan w:val="2"/>
            <w:vAlign w:val="center"/>
          </w:tcPr>
          <w:p>
            <w:pPr>
              <w:widowControl/>
              <w:jc w:val="center"/>
              <w:rPr>
                <w:rFonts w:eastAsia="FangSong_GB2312"/>
                <w:b/>
                <w:bCs/>
                <w:kern w:val="0"/>
                <w:szCs w:val="21"/>
              </w:rPr>
            </w:pPr>
            <w:r>
              <w:rPr>
                <w:rFonts w:hint="eastAsia" w:eastAsia="FangSong_GB2312"/>
                <w:b/>
                <w:bCs/>
                <w:kern w:val="0"/>
                <w:szCs w:val="21"/>
              </w:rPr>
              <w:t>控制率</w:t>
            </w:r>
          </w:p>
        </w:tc>
      </w:tr>
      <w:tr>
        <w:trPr>
          <w:trHeight w:val="325" w:hRule="atLeast"/>
          <w:jc w:val="center"/>
        </w:trPr>
        <w:tc>
          <w:tcPr>
            <w:tcW w:w="3354" w:type="dxa"/>
            <w:vMerge w:val="continue"/>
            <w:vAlign w:val="center"/>
          </w:tcPr>
          <w:p>
            <w:pPr>
              <w:widowControl/>
              <w:jc w:val="left"/>
              <w:rPr>
                <w:rFonts w:eastAsia="FangSong_GB2312"/>
                <w:kern w:val="0"/>
                <w:szCs w:val="21"/>
              </w:rPr>
            </w:pPr>
          </w:p>
        </w:tc>
        <w:tc>
          <w:tcPr>
            <w:tcW w:w="2038" w:type="dxa"/>
            <w:gridSpan w:val="2"/>
            <w:vAlign w:val="center"/>
          </w:tcPr>
          <w:p>
            <w:pPr>
              <w:widowControl/>
              <w:jc w:val="center"/>
              <w:rPr>
                <w:rFonts w:eastAsia="FangSong_GB2312"/>
                <w:kern w:val="0"/>
                <w:szCs w:val="21"/>
              </w:rPr>
            </w:pPr>
            <w:r>
              <w:rPr>
                <w:rFonts w:hint="eastAsia" w:ascii="宋体" w:hAnsi="宋体"/>
                <w:kern w:val="0"/>
                <w:szCs w:val="21"/>
              </w:rPr>
              <w:t>9</w:t>
            </w:r>
          </w:p>
        </w:tc>
        <w:tc>
          <w:tcPr>
            <w:tcW w:w="2240" w:type="dxa"/>
            <w:gridSpan w:val="2"/>
            <w:vAlign w:val="center"/>
          </w:tcPr>
          <w:p>
            <w:pPr>
              <w:widowControl/>
              <w:jc w:val="center"/>
              <w:rPr>
                <w:rFonts w:eastAsia="FangSong_GB2312"/>
                <w:kern w:val="0"/>
                <w:szCs w:val="21"/>
              </w:rPr>
            </w:pPr>
            <w:r>
              <w:rPr>
                <w:rFonts w:eastAsia="FangSong_GB2312"/>
                <w:kern w:val="0"/>
                <w:szCs w:val="21"/>
              </w:rPr>
              <w:t>9</w:t>
            </w:r>
          </w:p>
        </w:tc>
        <w:tc>
          <w:tcPr>
            <w:tcW w:w="1832" w:type="dxa"/>
            <w:gridSpan w:val="2"/>
            <w:vAlign w:val="center"/>
          </w:tcPr>
          <w:p>
            <w:pPr>
              <w:widowControl/>
              <w:jc w:val="center"/>
              <w:rPr>
                <w:rFonts w:eastAsia="FangSong_GB2312"/>
                <w:kern w:val="0"/>
                <w:szCs w:val="21"/>
              </w:rPr>
            </w:pPr>
            <w:r>
              <w:rPr>
                <w:rFonts w:eastAsia="FangSong_GB2312"/>
                <w:kern w:val="0"/>
                <w:szCs w:val="21"/>
              </w:rPr>
              <w:t>1</w:t>
            </w:r>
            <w:r>
              <w:rPr>
                <w:rFonts w:hint="eastAsia" w:eastAsia="FangSong_GB2312"/>
                <w:kern w:val="0"/>
                <w:szCs w:val="21"/>
              </w:rPr>
              <w:t>00</w:t>
            </w:r>
            <w:r>
              <w:rPr>
                <w:rFonts w:eastAsia="FangSong_GB2312"/>
                <w:kern w:val="0"/>
                <w:szCs w:val="21"/>
              </w:rPr>
              <w:t>%</w:t>
            </w:r>
          </w:p>
        </w:tc>
      </w:tr>
      <w:tr>
        <w:trPr>
          <w:trHeight w:val="397"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经费控制情况</w:t>
            </w:r>
          </w:p>
        </w:tc>
        <w:tc>
          <w:tcPr>
            <w:tcW w:w="2038" w:type="dxa"/>
            <w:gridSpan w:val="2"/>
            <w:vAlign w:val="center"/>
          </w:tcPr>
          <w:p>
            <w:pPr>
              <w:widowControl/>
              <w:jc w:val="center"/>
              <w:rPr>
                <w:rFonts w:eastAsia="FangSong_GB2312"/>
                <w:b/>
                <w:bCs/>
                <w:kern w:val="0"/>
                <w:szCs w:val="21"/>
              </w:rPr>
            </w:pPr>
            <w:r>
              <w:rPr>
                <w:rFonts w:eastAsia="FangSong_GB2312"/>
                <w:b/>
                <w:bCs/>
                <w:kern w:val="0"/>
                <w:szCs w:val="21"/>
              </w:rPr>
              <w:t>202</w:t>
            </w:r>
            <w:r>
              <w:rPr>
                <w:rFonts w:hint="eastAsia" w:ascii="宋体" w:hAnsi="宋体"/>
                <w:b/>
                <w:bCs/>
                <w:kern w:val="0"/>
                <w:szCs w:val="21"/>
              </w:rPr>
              <w:t>3</w:t>
            </w:r>
            <w:r>
              <w:rPr>
                <w:rFonts w:hint="eastAsia" w:eastAsia="FangSong_GB2312"/>
                <w:b/>
                <w:bCs/>
                <w:kern w:val="0"/>
                <w:szCs w:val="21"/>
              </w:rPr>
              <w:t>年决算数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2024</w:t>
            </w:r>
            <w:r>
              <w:rPr>
                <w:rFonts w:hint="eastAsia" w:eastAsia="FangSong_GB2312"/>
                <w:b/>
                <w:bCs/>
                <w:kern w:val="0"/>
                <w:szCs w:val="21"/>
              </w:rPr>
              <w:t>年预算数</w:t>
            </w:r>
          </w:p>
        </w:tc>
        <w:tc>
          <w:tcPr>
            <w:tcW w:w="1832" w:type="dxa"/>
            <w:gridSpan w:val="2"/>
            <w:vAlign w:val="center"/>
          </w:tcPr>
          <w:p>
            <w:pPr>
              <w:widowControl/>
              <w:jc w:val="center"/>
              <w:rPr>
                <w:rFonts w:eastAsia="FangSong_GB2312"/>
                <w:b/>
                <w:bCs/>
                <w:kern w:val="0"/>
                <w:szCs w:val="21"/>
              </w:rPr>
            </w:pPr>
            <w:r>
              <w:rPr>
                <w:rFonts w:eastAsia="FangSong_GB2312"/>
                <w:b/>
                <w:bCs/>
                <w:kern w:val="0"/>
                <w:szCs w:val="21"/>
              </w:rPr>
              <w:t>2024</w:t>
            </w:r>
            <w:r>
              <w:rPr>
                <w:rFonts w:hint="eastAsia" w:eastAsia="FangSong_GB2312"/>
                <w:b/>
                <w:bCs/>
                <w:kern w:val="0"/>
                <w:szCs w:val="21"/>
              </w:rPr>
              <w:t>年决算数</w:t>
            </w: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三公经费</w:t>
            </w:r>
          </w:p>
        </w:tc>
        <w:tc>
          <w:tcPr>
            <w:tcW w:w="2038" w:type="dxa"/>
            <w:gridSpan w:val="2"/>
            <w:vAlign w:val="center"/>
          </w:tcPr>
          <w:p>
            <w:pPr>
              <w:widowControl/>
              <w:jc w:val="center"/>
              <w:rPr>
                <w:rFonts w:eastAsia="FangSong_GB2312"/>
                <w:kern w:val="0"/>
                <w:szCs w:val="21"/>
              </w:rPr>
            </w:pPr>
            <w:r>
              <w:rPr>
                <w:rFonts w:ascii="宋体" w:hAnsi="宋体"/>
                <w:kern w:val="0"/>
                <w:szCs w:val="21"/>
              </w:rPr>
              <w:t>2.68</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2</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1.3</w:t>
            </w:r>
          </w:p>
        </w:tc>
      </w:tr>
      <w:tr>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、公务用车购置和维护经费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其中：公车购置</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公车运行维护</w:t>
            </w:r>
          </w:p>
        </w:tc>
        <w:tc>
          <w:tcPr>
            <w:tcW w:w="2038" w:type="dxa"/>
            <w:gridSpan w:val="2"/>
            <w:vAlign w:val="center"/>
          </w:tcPr>
          <w:p>
            <w:pPr>
              <w:widowControl/>
              <w:jc w:val="center"/>
              <w:rPr>
                <w:rFonts w:eastAsia="FangSong_GB2312"/>
                <w:kern w:val="0"/>
                <w:szCs w:val="21"/>
              </w:rPr>
            </w:pPr>
            <w:r>
              <w:rPr>
                <w:rFonts w:ascii="宋体" w:hAnsi="宋体"/>
                <w:kern w:val="0"/>
                <w:szCs w:val="21"/>
              </w:rPr>
              <w:t>1</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、出国经费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3</w:t>
            </w:r>
            <w:r>
              <w:rPr>
                <w:rFonts w:hint="eastAsia" w:eastAsia="FangSong_GB2312"/>
                <w:kern w:val="0"/>
                <w:szCs w:val="21"/>
              </w:rPr>
              <w:t>、公务接待</w:t>
            </w:r>
          </w:p>
        </w:tc>
        <w:tc>
          <w:tcPr>
            <w:tcW w:w="2038" w:type="dxa"/>
            <w:gridSpan w:val="2"/>
            <w:vAlign w:val="center"/>
          </w:tcPr>
          <w:p>
            <w:pPr>
              <w:widowControl/>
              <w:jc w:val="center"/>
              <w:rPr>
                <w:rFonts w:eastAsia="FangSong_GB2312"/>
                <w:kern w:val="0"/>
                <w:szCs w:val="21"/>
              </w:rPr>
            </w:pPr>
            <w:r>
              <w:rPr>
                <w:rFonts w:ascii="宋体" w:hAnsi="宋体"/>
                <w:kern w:val="0"/>
                <w:szCs w:val="21"/>
              </w:rPr>
              <w:t>1.68</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2</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1.3</w:t>
            </w: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项目支出：</w:t>
            </w:r>
          </w:p>
        </w:tc>
        <w:tc>
          <w:tcPr>
            <w:tcW w:w="2038" w:type="dxa"/>
            <w:gridSpan w:val="2"/>
            <w:vAlign w:val="center"/>
          </w:tcPr>
          <w:p>
            <w:pPr>
              <w:widowControl/>
              <w:jc w:val="center"/>
              <w:rPr>
                <w:rFonts w:eastAsia="FangSong_GB2312"/>
                <w:kern w:val="0"/>
                <w:szCs w:val="21"/>
              </w:rPr>
            </w:pPr>
            <w:r>
              <w:rPr>
                <w:rFonts w:eastAsia="FangSong_GB2312"/>
                <w:kern w:val="0"/>
                <w:szCs w:val="21"/>
              </w:rPr>
              <w:t>46.86</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、业务工作经费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、运行维护经费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624"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3</w:t>
            </w:r>
            <w:r>
              <w:rPr>
                <w:rFonts w:hint="eastAsia" w:eastAsia="FangSong_GB2312"/>
                <w:kern w:val="0"/>
                <w:szCs w:val="21"/>
              </w:rPr>
              <w:t>、专项资金</w:t>
            </w:r>
          </w:p>
          <w:p>
            <w:pPr>
              <w:widowControl/>
              <w:ind w:firstLine="630" w:firstLineChars="300"/>
              <w:jc w:val="left"/>
              <w:rPr>
                <w:rFonts w:eastAsia="FangSong_GB2312"/>
                <w:kern w:val="0"/>
                <w:szCs w:val="21"/>
              </w:rPr>
            </w:pPr>
            <w:r>
              <w:rPr>
                <w:rFonts w:hint="eastAsia" w:eastAsia="FangSong_GB2312"/>
                <w:kern w:val="0"/>
                <w:szCs w:val="21"/>
              </w:rPr>
              <w:t>（一个专项一行）</w:t>
            </w:r>
          </w:p>
        </w:tc>
        <w:tc>
          <w:tcPr>
            <w:tcW w:w="2038" w:type="dxa"/>
            <w:gridSpan w:val="2"/>
            <w:vAlign w:val="center"/>
          </w:tcPr>
          <w:p>
            <w:pPr>
              <w:widowControl/>
              <w:jc w:val="center"/>
              <w:rPr>
                <w:rFonts w:eastAsia="FangSong_GB2312"/>
                <w:kern w:val="0"/>
                <w:szCs w:val="21"/>
              </w:rPr>
            </w:pPr>
            <w:r>
              <w:rPr>
                <w:rFonts w:eastAsia="FangSong_GB2312"/>
                <w:kern w:val="0"/>
                <w:szCs w:val="21"/>
              </w:rPr>
              <w:t>46.86</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58.44</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58.44</w:t>
            </w:r>
          </w:p>
        </w:tc>
      </w:tr>
      <w:tr>
        <w:trPr>
          <w:trHeight w:val="397" w:hRule="atLeast"/>
          <w:jc w:val="center"/>
        </w:trPr>
        <w:tc>
          <w:tcPr>
            <w:tcW w:w="3354" w:type="dxa"/>
            <w:vAlign w:val="center"/>
          </w:tcPr>
          <w:p>
            <w:pPr>
              <w:widowControl/>
              <w:ind w:firstLine="525" w:firstLineChars="250"/>
              <w:jc w:val="left"/>
              <w:rPr>
                <w:kern w:val="0"/>
                <w:szCs w:val="21"/>
              </w:rPr>
            </w:pPr>
            <w:r>
              <w:rPr>
                <w:rFonts w:ascii="宋体" w:hAnsi="宋体"/>
                <w:kern w:val="0"/>
                <w:szCs w:val="21"/>
              </w:rPr>
              <w:t>(1)</w:t>
            </w:r>
            <w:r>
              <w:rPr>
                <w:rFonts w:hint="eastAsia" w:ascii="宋体" w:hAnsi="宋体"/>
                <w:kern w:val="0"/>
                <w:szCs w:val="21"/>
              </w:rPr>
              <w:t>科普活动费用</w:t>
            </w:r>
          </w:p>
        </w:tc>
        <w:tc>
          <w:tcPr>
            <w:tcW w:w="2038" w:type="dxa"/>
            <w:gridSpan w:val="2"/>
            <w:vAlign w:val="center"/>
          </w:tcPr>
          <w:p>
            <w:pPr>
              <w:widowControl/>
              <w:jc w:val="center"/>
              <w:rPr>
                <w:kern w:val="0"/>
                <w:szCs w:val="21"/>
              </w:rPr>
            </w:pPr>
            <w:r>
              <w:rPr>
                <w:kern w:val="0"/>
                <w:szCs w:val="21"/>
              </w:rPr>
              <w:t>34.48</w:t>
            </w:r>
          </w:p>
        </w:tc>
        <w:tc>
          <w:tcPr>
            <w:tcW w:w="2240" w:type="dxa"/>
            <w:gridSpan w:val="2"/>
            <w:vAlign w:val="center"/>
          </w:tcPr>
          <w:p>
            <w:pPr>
              <w:widowControl/>
              <w:jc w:val="center"/>
              <w:rPr>
                <w:kern w:val="0"/>
                <w:szCs w:val="21"/>
              </w:rPr>
            </w:pPr>
            <w:r>
              <w:rPr>
                <w:rFonts w:hint="eastAsia"/>
                <w:kern w:val="0"/>
                <w:szCs w:val="21"/>
              </w:rPr>
              <w:t>58.44</w:t>
            </w:r>
          </w:p>
        </w:tc>
        <w:tc>
          <w:tcPr>
            <w:tcW w:w="1832" w:type="dxa"/>
            <w:gridSpan w:val="2"/>
            <w:vAlign w:val="center"/>
          </w:tcPr>
          <w:p>
            <w:pPr>
              <w:widowControl/>
              <w:jc w:val="center"/>
              <w:rPr>
                <w:kern w:val="0"/>
                <w:szCs w:val="21"/>
              </w:rPr>
            </w:pPr>
            <w:r>
              <w:rPr>
                <w:rFonts w:hint="eastAsia"/>
                <w:kern w:val="0"/>
                <w:szCs w:val="21"/>
              </w:rPr>
              <w:t>58.44</w:t>
            </w:r>
          </w:p>
        </w:tc>
      </w:tr>
      <w:tr>
        <w:trPr>
          <w:trHeight w:val="397" w:hRule="atLeast"/>
          <w:jc w:val="center"/>
        </w:trPr>
        <w:tc>
          <w:tcPr>
            <w:tcW w:w="3354" w:type="dxa"/>
            <w:vAlign w:val="center"/>
          </w:tcPr>
          <w:p>
            <w:pPr>
              <w:widowControl/>
              <w:ind w:firstLine="420" w:firstLineChars="200"/>
              <w:jc w:val="left"/>
              <w:rPr>
                <w:kern w:val="0"/>
                <w:szCs w:val="21"/>
              </w:rPr>
            </w:pPr>
            <w:r>
              <w:rPr>
                <w:rFonts w:hint="eastAsia"/>
                <w:kern w:val="0"/>
                <w:szCs w:val="21"/>
              </w:rPr>
              <w:t>（</w:t>
            </w:r>
            <w:r>
              <w:rPr>
                <w:kern w:val="0"/>
                <w:szCs w:val="21"/>
              </w:rPr>
              <w:t>2</w:t>
            </w:r>
            <w:r>
              <w:rPr>
                <w:rFonts w:hint="eastAsia"/>
                <w:kern w:val="0"/>
                <w:szCs w:val="21"/>
              </w:rPr>
              <w:t>）绩效奖励</w:t>
            </w:r>
          </w:p>
        </w:tc>
        <w:tc>
          <w:tcPr>
            <w:tcW w:w="2038" w:type="dxa"/>
            <w:gridSpan w:val="2"/>
            <w:vAlign w:val="center"/>
          </w:tcPr>
          <w:p>
            <w:pPr>
              <w:widowControl/>
              <w:jc w:val="center"/>
              <w:rPr>
                <w:rFonts w:eastAsia="FangSong_GB2312"/>
                <w:kern w:val="0"/>
                <w:szCs w:val="21"/>
              </w:rPr>
            </w:pPr>
            <w:r>
              <w:rPr>
                <w:rFonts w:eastAsia="FangSong_GB2312"/>
                <w:kern w:val="0"/>
                <w:szCs w:val="21"/>
              </w:rPr>
              <w:t>12.38</w:t>
            </w:r>
          </w:p>
        </w:tc>
        <w:tc>
          <w:tcPr>
            <w:tcW w:w="2240" w:type="dxa"/>
            <w:gridSpan w:val="2"/>
            <w:vAlign w:val="center"/>
          </w:tcPr>
          <w:p>
            <w:pPr>
              <w:widowControl/>
              <w:jc w:val="center"/>
              <w:rPr>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4</w:t>
            </w:r>
            <w:r>
              <w:rPr>
                <w:rFonts w:hint="eastAsia" w:eastAsia="FangSong_GB2312"/>
                <w:kern w:val="0"/>
                <w:szCs w:val="21"/>
              </w:rPr>
              <w:t>、其他资金</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center"/>
              <w:rPr>
                <w:rFonts w:eastAsia="FangSong_GB2312"/>
                <w:kern w:val="0"/>
                <w:szCs w:val="21"/>
              </w:rPr>
            </w:pPr>
            <w:r>
              <w:rPr>
                <w:rFonts w:eastAsia="FangSong_GB2312"/>
                <w:kern w:val="0"/>
                <w:szCs w:val="21"/>
              </w:rPr>
              <w:t>……</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公用经费</w:t>
            </w:r>
          </w:p>
        </w:tc>
        <w:tc>
          <w:tcPr>
            <w:tcW w:w="2038" w:type="dxa"/>
            <w:gridSpan w:val="2"/>
            <w:vAlign w:val="center"/>
          </w:tcPr>
          <w:p>
            <w:pPr>
              <w:widowControl/>
              <w:jc w:val="center"/>
              <w:rPr>
                <w:rFonts w:eastAsia="FangSong_GB2312"/>
                <w:kern w:val="0"/>
                <w:szCs w:val="21"/>
              </w:rPr>
            </w:pPr>
            <w:r>
              <w:rPr>
                <w:rFonts w:eastAsia="FangSong_GB2312"/>
                <w:kern w:val="0"/>
                <w:szCs w:val="21"/>
              </w:rPr>
              <w:t>1.87</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4.18</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4.18</w:t>
            </w: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其中：办公费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0.09</w:t>
            </w:r>
          </w:p>
        </w:tc>
        <w:tc>
          <w:tcPr>
            <w:tcW w:w="224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0.74</w:t>
            </w:r>
          </w:p>
        </w:tc>
        <w:tc>
          <w:tcPr>
            <w:tcW w:w="1832"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0.74</w:t>
            </w: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水费、电费、差旅费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0.1</w:t>
            </w: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会议费、培训费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0.03</w:t>
            </w: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政府采购金额</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3.65</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3.65</w:t>
            </w:r>
          </w:p>
        </w:tc>
      </w:tr>
      <w:tr>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部门基本支出预算调整</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rPr>
          <w:trHeight w:val="83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楼堂馆所控制情况</w:t>
            </w:r>
          </w:p>
          <w:p>
            <w:pPr>
              <w:widowControl/>
              <w:jc w:val="center"/>
              <w:rPr>
                <w:rFonts w:eastAsia="FangSong_GB2312"/>
                <w:kern w:val="0"/>
                <w:szCs w:val="21"/>
              </w:rPr>
            </w:pPr>
            <w:r>
              <w:rPr>
                <w:rFonts w:hint="eastAsia" w:eastAsia="FangSong_GB2312"/>
                <w:kern w:val="0"/>
                <w:szCs w:val="21"/>
              </w:rPr>
              <w:t>（</w:t>
            </w:r>
            <w:r>
              <w:rPr>
                <w:rFonts w:eastAsia="FangSong_GB2312"/>
                <w:kern w:val="0"/>
                <w:szCs w:val="21"/>
              </w:rPr>
              <w:t>2024</w:t>
            </w:r>
            <w:r>
              <w:rPr>
                <w:rFonts w:hint="eastAsia" w:eastAsia="FangSong_GB2312"/>
                <w:kern w:val="0"/>
                <w:szCs w:val="21"/>
              </w:rPr>
              <w:t>年完工项目）</w:t>
            </w:r>
          </w:p>
        </w:tc>
        <w:tc>
          <w:tcPr>
            <w:tcW w:w="1189" w:type="dxa"/>
            <w:vAlign w:val="center"/>
          </w:tcPr>
          <w:p>
            <w:pPr>
              <w:widowControl/>
              <w:spacing w:line="240" w:lineRule="exact"/>
              <w:jc w:val="center"/>
              <w:rPr>
                <w:rFonts w:eastAsia="FangSong_GB2312"/>
                <w:bCs/>
                <w:kern w:val="0"/>
                <w:szCs w:val="21"/>
              </w:rPr>
            </w:pPr>
            <w:r>
              <w:rPr>
                <w:rFonts w:hint="eastAsia" w:eastAsia="FangSong_GB2312"/>
                <w:bCs/>
                <w:kern w:val="0"/>
                <w:szCs w:val="21"/>
              </w:rPr>
              <w:t>批复规模</w:t>
            </w:r>
          </w:p>
          <w:p>
            <w:pPr>
              <w:widowControl/>
              <w:spacing w:line="240" w:lineRule="exact"/>
              <w:jc w:val="center"/>
              <w:rPr>
                <w:rFonts w:eastAsia="FangSong_GB2312"/>
                <w:bCs/>
                <w:kern w:val="0"/>
                <w:szCs w:val="21"/>
              </w:rPr>
            </w:pPr>
            <w:r>
              <w:rPr>
                <w:rFonts w:hint="eastAsia" w:eastAsia="FangSong_GB2312"/>
                <w:bCs/>
                <w:kern w:val="0"/>
                <w:szCs w:val="21"/>
              </w:rPr>
              <w:t>（</w:t>
            </w:r>
            <w:r>
              <w:rPr>
                <w:rFonts w:hint="eastAsia" w:eastAsia="Batang"/>
                <w:bCs/>
                <w:kern w:val="0"/>
                <w:szCs w:val="21"/>
              </w:rPr>
              <w:t>㎡</w:t>
            </w:r>
            <w:r>
              <w:rPr>
                <w:rFonts w:hint="eastAsia" w:eastAsia="FangSong_GB2312"/>
                <w:bCs/>
                <w:kern w:val="0"/>
                <w:szCs w:val="21"/>
              </w:rPr>
              <w:t>）</w:t>
            </w:r>
          </w:p>
        </w:tc>
        <w:tc>
          <w:tcPr>
            <w:tcW w:w="84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实际规模（</w:t>
            </w:r>
            <w:r>
              <w:rPr>
                <w:rFonts w:hint="eastAsia" w:eastAsia="Batang"/>
                <w:bCs/>
                <w:kern w:val="0"/>
                <w:szCs w:val="21"/>
              </w:rPr>
              <w:t>㎡</w:t>
            </w:r>
            <w:r>
              <w:rPr>
                <w:rFonts w:hint="eastAsia" w:eastAsia="FangSong_GB2312"/>
                <w:bCs/>
                <w:kern w:val="0"/>
                <w:szCs w:val="21"/>
              </w:rPr>
              <w:t>）</w:t>
            </w:r>
          </w:p>
        </w:tc>
        <w:tc>
          <w:tcPr>
            <w:tcW w:w="1129" w:type="dxa"/>
            <w:vAlign w:val="center"/>
          </w:tcPr>
          <w:p>
            <w:pPr>
              <w:widowControl/>
              <w:spacing w:line="240" w:lineRule="exact"/>
              <w:jc w:val="center"/>
              <w:rPr>
                <w:rFonts w:eastAsia="FangSong_GB2312"/>
                <w:bCs/>
                <w:kern w:val="0"/>
                <w:szCs w:val="21"/>
              </w:rPr>
            </w:pPr>
            <w:r>
              <w:rPr>
                <w:rFonts w:hint="eastAsia" w:eastAsia="FangSong_GB2312"/>
                <w:bCs/>
                <w:kern w:val="0"/>
                <w:szCs w:val="21"/>
              </w:rPr>
              <w:t>规模控制率</w:t>
            </w:r>
          </w:p>
        </w:tc>
        <w:tc>
          <w:tcPr>
            <w:tcW w:w="1111" w:type="dxa"/>
            <w:vAlign w:val="center"/>
          </w:tcPr>
          <w:p>
            <w:pPr>
              <w:widowControl/>
              <w:spacing w:line="240" w:lineRule="exact"/>
              <w:jc w:val="center"/>
              <w:rPr>
                <w:rFonts w:eastAsia="FangSong_GB2312"/>
                <w:bCs/>
                <w:kern w:val="0"/>
                <w:szCs w:val="21"/>
              </w:rPr>
            </w:pPr>
            <w:r>
              <w:rPr>
                <w:rFonts w:hint="eastAsia" w:eastAsia="FangSong_GB2312"/>
                <w:bCs/>
                <w:kern w:val="0"/>
                <w:szCs w:val="21"/>
              </w:rPr>
              <w:t>预算投资（万元）</w:t>
            </w:r>
          </w:p>
        </w:tc>
        <w:tc>
          <w:tcPr>
            <w:tcW w:w="96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实际投资（万元）</w:t>
            </w:r>
          </w:p>
        </w:tc>
        <w:tc>
          <w:tcPr>
            <w:tcW w:w="863" w:type="dxa"/>
            <w:vAlign w:val="center"/>
          </w:tcPr>
          <w:p>
            <w:pPr>
              <w:widowControl/>
              <w:spacing w:line="240" w:lineRule="exact"/>
              <w:jc w:val="center"/>
              <w:rPr>
                <w:rFonts w:eastAsia="FangSong_GB2312"/>
                <w:bCs/>
                <w:kern w:val="0"/>
                <w:szCs w:val="21"/>
              </w:rPr>
            </w:pPr>
            <w:r>
              <w:rPr>
                <w:rFonts w:hint="eastAsia" w:eastAsia="FangSong_GB2312"/>
                <w:bCs/>
                <w:kern w:val="0"/>
                <w:szCs w:val="21"/>
              </w:rPr>
              <w:t>投资概算控制率</w:t>
            </w:r>
          </w:p>
        </w:tc>
      </w:tr>
      <w:tr>
        <w:trPr>
          <w:trHeight w:val="454" w:hRule="atLeast"/>
          <w:jc w:val="center"/>
        </w:trPr>
        <w:tc>
          <w:tcPr>
            <w:tcW w:w="3354" w:type="dxa"/>
            <w:vMerge w:val="continue"/>
            <w:vAlign w:val="center"/>
          </w:tcPr>
          <w:p>
            <w:pPr>
              <w:widowControl/>
              <w:jc w:val="left"/>
              <w:rPr>
                <w:rFonts w:eastAsia="FangSong_GB2312"/>
                <w:kern w:val="0"/>
                <w:szCs w:val="21"/>
              </w:rPr>
            </w:pPr>
          </w:p>
        </w:tc>
        <w:tc>
          <w:tcPr>
            <w:tcW w:w="1189" w:type="dxa"/>
            <w:vAlign w:val="center"/>
          </w:tcPr>
          <w:p>
            <w:pPr>
              <w:widowControl/>
              <w:jc w:val="center"/>
              <w:rPr>
                <w:rFonts w:eastAsia="FangSong_GB2312"/>
                <w:kern w:val="0"/>
                <w:szCs w:val="21"/>
              </w:rPr>
            </w:pPr>
            <w:r>
              <w:rPr>
                <w:rFonts w:eastAsia="FangSong_GB2312"/>
                <w:kern w:val="0"/>
                <w:szCs w:val="21"/>
              </w:rPr>
              <w:t>0</w:t>
            </w:r>
          </w:p>
        </w:tc>
        <w:tc>
          <w:tcPr>
            <w:tcW w:w="849" w:type="dxa"/>
            <w:vAlign w:val="center"/>
          </w:tcPr>
          <w:p>
            <w:pPr>
              <w:widowControl/>
              <w:jc w:val="center"/>
              <w:rPr>
                <w:rFonts w:eastAsia="FangSong_GB2312"/>
                <w:kern w:val="0"/>
                <w:szCs w:val="21"/>
              </w:rPr>
            </w:pPr>
            <w:r>
              <w:rPr>
                <w:rFonts w:eastAsia="FangSong_GB2312"/>
                <w:kern w:val="0"/>
                <w:szCs w:val="21"/>
              </w:rPr>
              <w:t>0</w:t>
            </w:r>
          </w:p>
        </w:tc>
        <w:tc>
          <w:tcPr>
            <w:tcW w:w="1129" w:type="dxa"/>
            <w:vAlign w:val="center"/>
          </w:tcPr>
          <w:p>
            <w:pPr>
              <w:widowControl/>
              <w:jc w:val="center"/>
              <w:rPr>
                <w:rFonts w:eastAsia="FangSong_GB2312"/>
                <w:kern w:val="0"/>
                <w:szCs w:val="21"/>
              </w:rPr>
            </w:pPr>
            <w:r>
              <w:rPr>
                <w:rFonts w:eastAsia="FangSong_GB2312"/>
                <w:kern w:val="0"/>
                <w:szCs w:val="21"/>
              </w:rPr>
              <w:t>0</w:t>
            </w:r>
          </w:p>
        </w:tc>
        <w:tc>
          <w:tcPr>
            <w:tcW w:w="1111" w:type="dxa"/>
            <w:vAlign w:val="center"/>
          </w:tcPr>
          <w:p>
            <w:pPr>
              <w:widowControl/>
              <w:jc w:val="center"/>
              <w:rPr>
                <w:rFonts w:eastAsia="FangSong_GB2312"/>
                <w:kern w:val="0"/>
                <w:szCs w:val="21"/>
              </w:rPr>
            </w:pPr>
            <w:r>
              <w:rPr>
                <w:rFonts w:eastAsia="FangSong_GB2312"/>
                <w:kern w:val="0"/>
                <w:szCs w:val="21"/>
              </w:rPr>
              <w:t>0</w:t>
            </w:r>
          </w:p>
        </w:tc>
        <w:tc>
          <w:tcPr>
            <w:tcW w:w="969" w:type="dxa"/>
            <w:vAlign w:val="center"/>
          </w:tcPr>
          <w:p>
            <w:pPr>
              <w:widowControl/>
              <w:jc w:val="center"/>
              <w:rPr>
                <w:rFonts w:eastAsia="FangSong_GB2312"/>
                <w:kern w:val="0"/>
                <w:szCs w:val="21"/>
              </w:rPr>
            </w:pPr>
            <w:r>
              <w:rPr>
                <w:rFonts w:eastAsia="FangSong_GB2312"/>
                <w:kern w:val="0"/>
                <w:szCs w:val="21"/>
              </w:rPr>
              <w:t>0</w:t>
            </w:r>
          </w:p>
        </w:tc>
        <w:tc>
          <w:tcPr>
            <w:tcW w:w="863" w:type="dxa"/>
            <w:vAlign w:val="center"/>
          </w:tcPr>
          <w:p>
            <w:pPr>
              <w:widowControl/>
              <w:jc w:val="center"/>
              <w:rPr>
                <w:rFonts w:eastAsia="FangSong_GB2312"/>
                <w:kern w:val="0"/>
                <w:szCs w:val="21"/>
              </w:rPr>
            </w:pPr>
            <w:r>
              <w:rPr>
                <w:rFonts w:eastAsia="FangSong_GB2312"/>
                <w:kern w:val="0"/>
                <w:szCs w:val="21"/>
              </w:rPr>
              <w:t>0</w:t>
            </w:r>
          </w:p>
        </w:tc>
      </w:tr>
      <w:tr>
        <w:trPr>
          <w:trHeight w:val="659"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厉行节约保障措施</w:t>
            </w:r>
          </w:p>
        </w:tc>
        <w:tc>
          <w:tcPr>
            <w:tcW w:w="6110" w:type="dxa"/>
            <w:gridSpan w:val="6"/>
            <w:vAlign w:val="center"/>
          </w:tcPr>
          <w:p>
            <w:pPr>
              <w:widowControl/>
              <w:rPr>
                <w:rFonts w:eastAsia="FangSong_GB2312"/>
                <w:kern w:val="0"/>
                <w:szCs w:val="21"/>
              </w:rPr>
            </w:pPr>
            <w:r>
              <w:rPr>
                <w:rFonts w:hint="eastAsia" w:eastAsia="FangSong_GB2312"/>
                <w:kern w:val="0"/>
                <w:szCs w:val="21"/>
              </w:rPr>
              <w:t>严控一般性支出，节约行政成本。　</w:t>
            </w:r>
          </w:p>
        </w:tc>
      </w:tr>
    </w:tbl>
    <w:p>
      <w:pPr>
        <w:spacing w:line="360" w:lineRule="exact"/>
        <w:rPr>
          <w:sz w:val="30"/>
          <w:szCs w:val="30"/>
        </w:rPr>
      </w:pPr>
      <w:r>
        <w:rPr>
          <w:rFonts w:hint="eastAsia" w:eastAsia="FangSong_GB2312"/>
          <w:kern w:val="0"/>
          <w:sz w:val="22"/>
        </w:rPr>
        <w:t>说明：</w:t>
      </w:r>
      <w:r>
        <w:rPr>
          <w:rFonts w:eastAsia="FangSong_GB2312"/>
          <w:kern w:val="0"/>
          <w:sz w:val="22"/>
        </w:rPr>
        <w:t>“</w:t>
      </w:r>
      <w:r>
        <w:rPr>
          <w:rFonts w:hint="eastAsia" w:eastAsia="FangSong_GB2312"/>
          <w:kern w:val="0"/>
          <w:sz w:val="22"/>
        </w:rPr>
        <w:t>项目支出</w:t>
      </w:r>
      <w:r>
        <w:rPr>
          <w:rFonts w:eastAsia="FangSong_GB2312"/>
          <w:kern w:val="0"/>
          <w:sz w:val="22"/>
        </w:rPr>
        <w:t>”</w:t>
      </w:r>
      <w:r>
        <w:rPr>
          <w:rFonts w:hint="eastAsia" w:eastAsia="FangSong_GB2312"/>
          <w:kern w:val="0"/>
          <w:sz w:val="22"/>
        </w:rPr>
        <w:t>需要填报基本支出以外的所有项目支出情况，</w:t>
      </w:r>
      <w:r>
        <w:rPr>
          <w:rFonts w:eastAsia="FangSong_GB2312"/>
          <w:kern w:val="0"/>
          <w:sz w:val="22"/>
        </w:rPr>
        <w:t>“</w:t>
      </w:r>
      <w:r>
        <w:rPr>
          <w:rFonts w:hint="eastAsia" w:eastAsia="FangSong_GB2312"/>
          <w:kern w:val="0"/>
          <w:sz w:val="22"/>
        </w:rPr>
        <w:t>公用经费</w:t>
      </w:r>
      <w:r>
        <w:rPr>
          <w:rFonts w:eastAsia="FangSong_GB2312"/>
          <w:kern w:val="0"/>
          <w:sz w:val="22"/>
        </w:rPr>
        <w:t>”</w:t>
      </w:r>
      <w:r>
        <w:rPr>
          <w:rFonts w:hint="eastAsia" w:eastAsia="FangSong_GB2312"/>
          <w:kern w:val="0"/>
          <w:sz w:val="22"/>
        </w:rPr>
        <w:t>填报基本支出中的一般商品和服务支出。</w:t>
      </w:r>
      <w:r>
        <w:rPr>
          <w:rFonts w:eastAsia="FangSong_GB2312"/>
          <w:kern w:val="0"/>
          <w:sz w:val="22"/>
        </w:rPr>
        <w:br w:type="page"/>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2024</w:t>
      </w:r>
      <w:r>
        <w:rPr>
          <w:rFonts w:hint="eastAsia" w:eastAsia="FangSong_GB2312"/>
          <w:color w:val="000000"/>
          <w:kern w:val="0"/>
          <w:szCs w:val="21"/>
        </w:rPr>
        <w:t>年度）</w:t>
      </w:r>
    </w:p>
    <w:tbl>
      <w:tblPr>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1395"/>
        <w:gridCol w:w="1252"/>
        <w:gridCol w:w="1114"/>
        <w:gridCol w:w="95"/>
        <w:gridCol w:w="1267"/>
        <w:gridCol w:w="982"/>
        <w:gridCol w:w="794"/>
        <w:gridCol w:w="898"/>
        <w:gridCol w:w="1446"/>
      </w:tblGrid>
      <w:tr>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43" w:type="dxa"/>
            <w:gridSpan w:val="9"/>
            <w:vAlign w:val="center"/>
          </w:tcPr>
          <w:p>
            <w:pPr>
              <w:widowControl/>
              <w:jc w:val="center"/>
              <w:rPr>
                <w:rFonts w:eastAsia="FangSong_GB2312"/>
                <w:color w:val="000000"/>
                <w:kern w:val="0"/>
                <w:szCs w:val="21"/>
              </w:rPr>
            </w:pPr>
            <w:r>
              <w:rPr>
                <w:rFonts w:hint="eastAsia" w:eastAsia="FangSong_GB2312"/>
                <w:color w:val="000000"/>
                <w:kern w:val="0"/>
                <w:szCs w:val="21"/>
              </w:rPr>
              <w:t>江永县科学技术协会</w:t>
            </w:r>
          </w:p>
        </w:tc>
      </w:tr>
      <w:tr>
        <w:trPr>
          <w:trHeight w:val="9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47" w:type="dxa"/>
            <w:gridSpan w:val="2"/>
            <w:vAlign w:val="center"/>
          </w:tcPr>
          <w:p>
            <w:pPr>
              <w:jc w:val="center"/>
              <w:rPr>
                <w:rFonts w:eastAsia="FangSong_GB2312"/>
                <w:szCs w:val="21"/>
              </w:rPr>
            </w:pPr>
          </w:p>
        </w:tc>
        <w:tc>
          <w:tcPr>
            <w:tcW w:w="1114" w:type="dxa"/>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362" w:type="dxa"/>
            <w:gridSpan w:val="2"/>
            <w:vAlign w:val="center"/>
          </w:tcPr>
          <w:p>
            <w:pPr>
              <w:jc w:val="center"/>
              <w:rPr>
                <w:rFonts w:eastAsia="FangSong_GB2312"/>
                <w:szCs w:val="21"/>
              </w:rPr>
            </w:pPr>
            <w:r>
              <w:rPr>
                <w:rFonts w:hint="eastAsia" w:eastAsia="FangSong_GB2312"/>
                <w:szCs w:val="21"/>
              </w:rPr>
              <w:t>全年预算数</w:t>
            </w:r>
          </w:p>
        </w:tc>
        <w:tc>
          <w:tcPr>
            <w:tcW w:w="982"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794" w:type="dxa"/>
            <w:vAlign w:val="center"/>
          </w:tcPr>
          <w:p>
            <w:pPr>
              <w:jc w:val="center"/>
              <w:rPr>
                <w:rFonts w:eastAsia="FangSong_GB2312"/>
                <w:szCs w:val="21"/>
              </w:rPr>
            </w:pPr>
            <w:r>
              <w:rPr>
                <w:rFonts w:hint="eastAsia" w:eastAsia="FangSong_GB2312"/>
                <w:szCs w:val="21"/>
              </w:rPr>
              <w:t>分值</w:t>
            </w:r>
          </w:p>
        </w:tc>
        <w:tc>
          <w:tcPr>
            <w:tcW w:w="898" w:type="dxa"/>
            <w:vAlign w:val="center"/>
          </w:tcPr>
          <w:p>
            <w:pPr>
              <w:jc w:val="center"/>
              <w:rPr>
                <w:rFonts w:eastAsia="FangSong_GB2312"/>
                <w:szCs w:val="21"/>
              </w:rPr>
            </w:pPr>
            <w:r>
              <w:rPr>
                <w:rFonts w:hint="eastAsia" w:eastAsia="FangSong_GB2312"/>
                <w:szCs w:val="21"/>
              </w:rPr>
              <w:t>执行率</w:t>
            </w:r>
          </w:p>
        </w:tc>
        <w:tc>
          <w:tcPr>
            <w:tcW w:w="1446" w:type="dxa"/>
            <w:vAlign w:val="center"/>
          </w:tcPr>
          <w:p>
            <w:pPr>
              <w:jc w:val="center"/>
              <w:rPr>
                <w:rFonts w:eastAsia="FangSong_GB2312"/>
                <w:szCs w:val="21"/>
              </w:rPr>
            </w:pPr>
            <w:r>
              <w:rPr>
                <w:rFonts w:hint="eastAsia" w:eastAsia="FangSong_GB2312"/>
                <w:szCs w:val="21"/>
              </w:rPr>
              <w:t>得分</w:t>
            </w:r>
          </w:p>
        </w:tc>
      </w:tr>
      <w:tr>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2647" w:type="dxa"/>
            <w:gridSpan w:val="2"/>
            <w:vAlign w:val="center"/>
          </w:tcPr>
          <w:p>
            <w:pPr>
              <w:jc w:val="center"/>
              <w:rPr>
                <w:rFonts w:eastAsia="FangSong_GB2312"/>
                <w:szCs w:val="21"/>
              </w:rPr>
            </w:pPr>
            <w:r>
              <w:rPr>
                <w:rFonts w:hint="eastAsia" w:eastAsia="FangSong_GB2312"/>
                <w:color w:val="000000"/>
                <w:kern w:val="0"/>
                <w:szCs w:val="21"/>
              </w:rPr>
              <w:t>年度资金总额</w:t>
            </w:r>
          </w:p>
        </w:tc>
        <w:tc>
          <w:tcPr>
            <w:tcW w:w="1114" w:type="dxa"/>
            <w:vAlign w:val="center"/>
          </w:tcPr>
          <w:p>
            <w:pPr>
              <w:jc w:val="center"/>
              <w:rPr>
                <w:rFonts w:eastAsia="FangSong_GB2312"/>
                <w:szCs w:val="21"/>
              </w:rPr>
            </w:pPr>
            <w:r>
              <w:rPr>
                <w:rFonts w:hint="eastAsia" w:eastAsia="FangSong_GB2312"/>
                <w:szCs w:val="21"/>
              </w:rPr>
              <w:t>177.13</w:t>
            </w:r>
          </w:p>
        </w:tc>
        <w:tc>
          <w:tcPr>
            <w:tcW w:w="1362" w:type="dxa"/>
            <w:gridSpan w:val="2"/>
            <w:vAlign w:val="center"/>
          </w:tcPr>
          <w:p>
            <w:pPr>
              <w:jc w:val="center"/>
              <w:rPr>
                <w:rFonts w:eastAsia="FangSong_GB2312"/>
                <w:szCs w:val="21"/>
              </w:rPr>
            </w:pPr>
            <w:r>
              <w:rPr>
                <w:rFonts w:hint="eastAsia" w:eastAsia="FangSong_GB2312"/>
                <w:szCs w:val="21"/>
              </w:rPr>
              <w:t>211.99</w:t>
            </w:r>
          </w:p>
        </w:tc>
        <w:tc>
          <w:tcPr>
            <w:tcW w:w="982" w:type="dxa"/>
            <w:vAlign w:val="center"/>
          </w:tcPr>
          <w:p>
            <w:pPr>
              <w:jc w:val="center"/>
              <w:rPr>
                <w:rFonts w:eastAsia="FangSong_GB2312"/>
                <w:szCs w:val="21"/>
              </w:rPr>
            </w:pPr>
            <w:r>
              <w:rPr>
                <w:rFonts w:hint="eastAsia" w:eastAsia="FangSong_GB2312"/>
                <w:szCs w:val="21"/>
              </w:rPr>
              <w:t>211.99</w:t>
            </w:r>
          </w:p>
        </w:tc>
        <w:tc>
          <w:tcPr>
            <w:tcW w:w="794" w:type="dxa"/>
            <w:vAlign w:val="center"/>
          </w:tcPr>
          <w:p>
            <w:pPr>
              <w:jc w:val="center"/>
              <w:rPr>
                <w:rFonts w:eastAsia="FangSong_GB2312"/>
                <w:szCs w:val="21"/>
              </w:rPr>
            </w:pPr>
            <w:r>
              <w:rPr>
                <w:rFonts w:eastAsia="FangSong_GB2312"/>
                <w:szCs w:val="21"/>
              </w:rPr>
              <w:t>10</w:t>
            </w:r>
          </w:p>
        </w:tc>
        <w:tc>
          <w:tcPr>
            <w:tcW w:w="898" w:type="dxa"/>
            <w:vAlign w:val="center"/>
          </w:tcPr>
          <w:p>
            <w:pPr>
              <w:jc w:val="center"/>
              <w:rPr>
                <w:rFonts w:eastAsia="FangSong_GB2312"/>
                <w:szCs w:val="21"/>
              </w:rPr>
            </w:pPr>
            <w:r>
              <w:rPr>
                <w:rFonts w:eastAsia="FangSong_GB2312"/>
                <w:szCs w:val="21"/>
              </w:rPr>
              <w:t>100%</w:t>
            </w:r>
          </w:p>
        </w:tc>
        <w:tc>
          <w:tcPr>
            <w:tcW w:w="1446" w:type="dxa"/>
            <w:vAlign w:val="center"/>
          </w:tcPr>
          <w:p>
            <w:pPr>
              <w:jc w:val="center"/>
              <w:rPr>
                <w:rFonts w:eastAsia="FangSong_GB2312"/>
                <w:szCs w:val="21"/>
              </w:rPr>
            </w:pPr>
            <w:r>
              <w:rPr>
                <w:rFonts w:eastAsia="FangSong_GB2312"/>
                <w:szCs w:val="21"/>
              </w:rPr>
              <w:t>10</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512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按收入性质分：</w:t>
            </w:r>
          </w:p>
        </w:tc>
        <w:tc>
          <w:tcPr>
            <w:tcW w:w="412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按支出性质分：</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512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其中：一般公共预算：203.89</w:t>
            </w:r>
          </w:p>
        </w:tc>
        <w:tc>
          <w:tcPr>
            <w:tcW w:w="412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其中：基本支出：153.55</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5123" w:type="dxa"/>
            <w:gridSpan w:val="5"/>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政府性基金拨款：8.1</w:t>
            </w:r>
          </w:p>
        </w:tc>
        <w:tc>
          <w:tcPr>
            <w:tcW w:w="4120" w:type="dxa"/>
            <w:gridSpan w:val="4"/>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项目支出：58.44</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512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20" w:type="dxa"/>
            <w:gridSpan w:val="4"/>
            <w:vAlign w:val="center"/>
          </w:tcPr>
          <w:p>
            <w:pPr>
              <w:widowControl/>
              <w:jc w:val="left"/>
              <w:rPr>
                <w:rFonts w:eastAsia="FangSong_GB2312"/>
                <w:color w:val="000000"/>
                <w:kern w:val="0"/>
                <w:szCs w:val="21"/>
              </w:rPr>
            </w:pPr>
          </w:p>
        </w:tc>
      </w:tr>
      <w:tr>
        <w:trPr>
          <w:trHeight w:val="90" w:hRule="atLeast"/>
          <w:jc w:val="center"/>
        </w:trPr>
        <w:tc>
          <w:tcPr>
            <w:tcW w:w="1080" w:type="dxa"/>
            <w:vMerge w:val="continue"/>
            <w:vAlign w:val="center"/>
          </w:tcPr>
          <w:p>
            <w:pPr>
              <w:widowControl/>
              <w:jc w:val="left"/>
              <w:rPr>
                <w:rFonts w:eastAsia="FangSong_GB2312"/>
                <w:color w:val="000000"/>
                <w:kern w:val="0"/>
                <w:szCs w:val="21"/>
              </w:rPr>
            </w:pPr>
          </w:p>
        </w:tc>
        <w:tc>
          <w:tcPr>
            <w:tcW w:w="5123" w:type="dxa"/>
            <w:gridSpan w:val="5"/>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p>
        </w:tc>
        <w:tc>
          <w:tcPr>
            <w:tcW w:w="4120" w:type="dxa"/>
            <w:gridSpan w:val="4"/>
            <w:vAlign w:val="center"/>
          </w:tcPr>
          <w:p>
            <w:pPr>
              <w:widowControl/>
              <w:jc w:val="left"/>
              <w:rPr>
                <w:rFonts w:eastAsia="FangSong_GB2312"/>
                <w:color w:val="000000"/>
                <w:kern w:val="0"/>
                <w:szCs w:val="21"/>
              </w:rPr>
            </w:pPr>
          </w:p>
        </w:tc>
      </w:tr>
      <w:tr>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123"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20"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rPr>
          <w:trHeight w:val="525" w:hRule="atLeast"/>
          <w:jc w:val="center"/>
        </w:trPr>
        <w:tc>
          <w:tcPr>
            <w:tcW w:w="1080" w:type="dxa"/>
            <w:vMerge w:val="continue"/>
            <w:vAlign w:val="center"/>
          </w:tcPr>
          <w:p>
            <w:pPr>
              <w:widowControl/>
              <w:jc w:val="left"/>
              <w:rPr>
                <w:rFonts w:eastAsia="FangSong_GB2312"/>
                <w:color w:val="000000"/>
                <w:kern w:val="0"/>
                <w:szCs w:val="21"/>
              </w:rPr>
            </w:pPr>
          </w:p>
        </w:tc>
        <w:tc>
          <w:tcPr>
            <w:tcW w:w="5123" w:type="dxa"/>
            <w:gridSpan w:val="5"/>
            <w:vAlign w:val="center"/>
          </w:tcPr>
          <w:p>
            <w:pPr>
              <w:widowControl/>
              <w:rPr>
                <w:rFonts w:eastAsia="FangSong_GB2312"/>
                <w:color w:val="000000"/>
                <w:kern w:val="0"/>
                <w:szCs w:val="21"/>
              </w:rPr>
            </w:pPr>
            <w:r>
              <w:rPr>
                <w:rFonts w:hint="eastAsia" w:eastAsia="FangSong_GB2312"/>
                <w:color w:val="000000"/>
                <w:kern w:val="0"/>
                <w:szCs w:val="21"/>
              </w:rPr>
              <w:t>积极开展科普活动，不断提高全民科学素质。</w:t>
            </w:r>
          </w:p>
        </w:tc>
        <w:tc>
          <w:tcPr>
            <w:tcW w:w="412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全年开展科普活动40次，发放宣传资料30000份</w:t>
            </w:r>
            <w:r>
              <w:rPr>
                <w:rFonts w:hint="eastAsia" w:ascii="FangSong_GB2312" w:hAnsi="FangSong_GB2312" w:eastAsia="FangSong_GB2312" w:cs="FangSong_GB2312"/>
                <w:color w:val="000000"/>
                <w:szCs w:val="21"/>
              </w:rPr>
              <w:t>。</w:t>
            </w:r>
          </w:p>
        </w:tc>
      </w:tr>
      <w:tr>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95"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52"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209"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6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982"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79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9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46" w:type="dxa"/>
            <w:vAlign w:val="top"/>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5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开展科普活动次数</w:t>
            </w:r>
          </w:p>
        </w:tc>
        <w:tc>
          <w:tcPr>
            <w:tcW w:w="1267"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24</w:t>
            </w:r>
            <w:r>
              <w:rPr>
                <w:rFonts w:hint="eastAsia" w:eastAsia="FangSong_GB2312"/>
                <w:color w:val="000000"/>
                <w:kern w:val="0"/>
                <w:szCs w:val="21"/>
              </w:rPr>
              <w:t>次</w:t>
            </w:r>
          </w:p>
        </w:tc>
        <w:tc>
          <w:tcPr>
            <w:tcW w:w="982"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40次</w:t>
            </w:r>
          </w:p>
        </w:tc>
        <w:tc>
          <w:tcPr>
            <w:tcW w:w="79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continue"/>
            <w:vAlign w:val="center"/>
          </w:tcPr>
          <w:p>
            <w:pPr>
              <w:widowControl/>
              <w:jc w:val="center"/>
              <w:rPr>
                <w:rFonts w:eastAsia="FangSong_GB2312"/>
                <w:color w:val="000000"/>
                <w:kern w:val="0"/>
                <w:szCs w:val="21"/>
              </w:rPr>
            </w:pP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单位考核人数</w:t>
            </w:r>
          </w:p>
        </w:tc>
        <w:tc>
          <w:tcPr>
            <w:tcW w:w="1267" w:type="dxa"/>
            <w:vAlign w:val="center"/>
          </w:tcPr>
          <w:p>
            <w:pPr>
              <w:widowControl/>
              <w:jc w:val="center"/>
              <w:rPr>
                <w:rFonts w:eastAsia="FangSong_GB2312"/>
                <w:color w:val="000000"/>
                <w:kern w:val="0"/>
                <w:szCs w:val="21"/>
              </w:rPr>
            </w:pPr>
            <w:r>
              <w:rPr>
                <w:rFonts w:hint="eastAsia" w:eastAsia="FangSong_GB2312"/>
                <w:color w:val="000000"/>
                <w:kern w:val="0"/>
                <w:szCs w:val="21"/>
              </w:rPr>
              <w:t>9人</w:t>
            </w:r>
          </w:p>
        </w:tc>
        <w:tc>
          <w:tcPr>
            <w:tcW w:w="982" w:type="dxa"/>
            <w:vAlign w:val="center"/>
          </w:tcPr>
          <w:p>
            <w:pPr>
              <w:widowControl/>
              <w:jc w:val="center"/>
              <w:rPr>
                <w:rFonts w:eastAsia="FangSong_GB2312"/>
                <w:color w:val="000000"/>
                <w:kern w:val="0"/>
                <w:szCs w:val="21"/>
              </w:rPr>
            </w:pPr>
            <w:r>
              <w:rPr>
                <w:rFonts w:hint="eastAsia" w:eastAsia="FangSong_GB2312"/>
                <w:color w:val="000000"/>
                <w:kern w:val="0"/>
                <w:szCs w:val="21"/>
              </w:rPr>
              <w:t>9人</w:t>
            </w:r>
          </w:p>
        </w:tc>
        <w:tc>
          <w:tcPr>
            <w:tcW w:w="79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46" w:type="dxa"/>
            <w:vAlign w:val="center"/>
          </w:tcPr>
          <w:p>
            <w:pPr>
              <w:widowControl/>
              <w:jc w:val="left"/>
              <w:rPr>
                <w:rFonts w:eastAsia="FangSong_GB2312"/>
                <w:color w:val="000000"/>
                <w:kern w:val="0"/>
                <w:szCs w:val="21"/>
              </w:rPr>
            </w:pP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continue"/>
            <w:vAlign w:val="center"/>
          </w:tcPr>
          <w:p>
            <w:pPr>
              <w:widowControl/>
              <w:jc w:val="center"/>
              <w:rPr>
                <w:rFonts w:eastAsia="FangSong_GB2312"/>
                <w:color w:val="000000"/>
                <w:kern w:val="0"/>
                <w:szCs w:val="21"/>
              </w:rPr>
            </w:pP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发放宣传资料数量</w:t>
            </w:r>
          </w:p>
        </w:tc>
        <w:tc>
          <w:tcPr>
            <w:tcW w:w="1267" w:type="dxa"/>
            <w:vAlign w:val="center"/>
          </w:tcPr>
          <w:p>
            <w:pPr>
              <w:widowControl/>
              <w:jc w:val="center"/>
              <w:rPr>
                <w:rFonts w:eastAsia="FangSong_GB2312"/>
                <w:color w:val="000000"/>
                <w:kern w:val="0"/>
                <w:szCs w:val="21"/>
              </w:rPr>
            </w:pPr>
            <w:r>
              <w:rPr>
                <w:rFonts w:eastAsia="FangSong_GB2312"/>
                <w:color w:val="000000"/>
                <w:kern w:val="0"/>
                <w:szCs w:val="21"/>
              </w:rPr>
              <w:t>30000</w:t>
            </w:r>
            <w:r>
              <w:rPr>
                <w:rFonts w:hint="eastAsia" w:eastAsia="FangSong_GB2312"/>
                <w:color w:val="000000"/>
                <w:kern w:val="0"/>
                <w:szCs w:val="21"/>
              </w:rPr>
              <w:t>份</w:t>
            </w:r>
          </w:p>
        </w:tc>
        <w:tc>
          <w:tcPr>
            <w:tcW w:w="982" w:type="dxa"/>
            <w:vAlign w:val="center"/>
          </w:tcPr>
          <w:p>
            <w:pPr>
              <w:widowControl/>
              <w:jc w:val="center"/>
              <w:rPr>
                <w:rFonts w:eastAsia="FangSong_GB2312"/>
                <w:color w:val="000000"/>
                <w:kern w:val="0"/>
                <w:szCs w:val="21"/>
              </w:rPr>
            </w:pPr>
            <w:r>
              <w:rPr>
                <w:rFonts w:hint="eastAsia" w:eastAsia="FangSong_GB2312"/>
                <w:color w:val="000000"/>
                <w:kern w:val="0"/>
                <w:szCs w:val="21"/>
              </w:rPr>
              <w:t>30000份</w:t>
            </w:r>
          </w:p>
        </w:tc>
        <w:tc>
          <w:tcPr>
            <w:tcW w:w="79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6" w:type="dxa"/>
            <w:vAlign w:val="center"/>
          </w:tcPr>
          <w:p>
            <w:pPr>
              <w:widowControl/>
              <w:jc w:val="left"/>
              <w:rPr>
                <w:rFonts w:eastAsia="FangSong_GB2312"/>
                <w:color w:val="000000"/>
                <w:kern w:val="0"/>
                <w:szCs w:val="21"/>
              </w:rPr>
            </w:pP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科普活动成功举办率</w:t>
            </w:r>
          </w:p>
        </w:tc>
        <w:tc>
          <w:tcPr>
            <w:tcW w:w="1267" w:type="dxa"/>
            <w:vAlign w:val="center"/>
          </w:tcPr>
          <w:p>
            <w:pPr>
              <w:widowControl/>
              <w:jc w:val="center"/>
              <w:rPr>
                <w:rFonts w:eastAsia="FangSong_GB2312"/>
                <w:color w:val="000000"/>
                <w:kern w:val="0"/>
                <w:szCs w:val="21"/>
              </w:rPr>
            </w:pPr>
            <w:r>
              <w:rPr>
                <w:rFonts w:hint="eastAsia" w:eastAsia="FangSong_GB2312"/>
                <w:color w:val="000000"/>
                <w:kern w:val="0"/>
                <w:szCs w:val="21"/>
              </w:rPr>
              <w:t>100%</w:t>
            </w:r>
          </w:p>
        </w:tc>
        <w:tc>
          <w:tcPr>
            <w:tcW w:w="982" w:type="dxa"/>
            <w:vAlign w:val="center"/>
          </w:tcPr>
          <w:p>
            <w:pPr>
              <w:widowControl/>
              <w:jc w:val="center"/>
              <w:rPr>
                <w:rFonts w:eastAsia="FangSong_GB2312"/>
                <w:color w:val="000000"/>
                <w:kern w:val="0"/>
                <w:szCs w:val="21"/>
              </w:rPr>
            </w:pPr>
            <w:r>
              <w:rPr>
                <w:rFonts w:hint="eastAsia" w:eastAsia="FangSong_GB2312"/>
                <w:color w:val="000000"/>
                <w:kern w:val="0"/>
                <w:szCs w:val="21"/>
              </w:rPr>
              <w:t>100%</w:t>
            </w:r>
          </w:p>
        </w:tc>
        <w:tc>
          <w:tcPr>
            <w:tcW w:w="79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continue"/>
            <w:vAlign w:val="center"/>
          </w:tcPr>
          <w:p>
            <w:pPr>
              <w:widowControl/>
              <w:jc w:val="center"/>
              <w:rPr>
                <w:rFonts w:eastAsia="FangSong_GB2312"/>
                <w:color w:val="000000"/>
                <w:kern w:val="0"/>
                <w:szCs w:val="21"/>
              </w:rPr>
            </w:pP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科技活动行政村覆盖率</w:t>
            </w:r>
          </w:p>
        </w:tc>
        <w:tc>
          <w:tcPr>
            <w:tcW w:w="1267" w:type="dxa"/>
            <w:vAlign w:val="center"/>
          </w:tcPr>
          <w:p>
            <w:pPr>
              <w:widowControl/>
              <w:jc w:val="center"/>
              <w:rPr>
                <w:rFonts w:eastAsia="FangSong_GB2312"/>
                <w:color w:val="000000"/>
                <w:kern w:val="0"/>
                <w:szCs w:val="21"/>
              </w:rPr>
            </w:pPr>
            <w:r>
              <w:rPr>
                <w:rFonts w:eastAsia="FangSong_GB2312"/>
                <w:color w:val="000000"/>
                <w:kern w:val="0"/>
                <w:szCs w:val="21"/>
              </w:rPr>
              <w:t>90%</w:t>
            </w:r>
          </w:p>
        </w:tc>
        <w:tc>
          <w:tcPr>
            <w:tcW w:w="982"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79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规定时间内完成</w:t>
            </w:r>
          </w:p>
        </w:tc>
        <w:tc>
          <w:tcPr>
            <w:tcW w:w="1267" w:type="dxa"/>
            <w:vAlign w:val="center"/>
          </w:tcPr>
          <w:p>
            <w:pPr>
              <w:widowControl/>
              <w:jc w:val="center"/>
              <w:rPr>
                <w:rFonts w:eastAsia="FangSong_GB2312"/>
                <w:color w:val="000000"/>
                <w:kern w:val="0"/>
                <w:szCs w:val="21"/>
              </w:rPr>
            </w:pPr>
            <w:r>
              <w:rPr>
                <w:rFonts w:eastAsia="FangSong_GB2312"/>
                <w:color w:val="000000"/>
                <w:kern w:val="0"/>
                <w:szCs w:val="21"/>
              </w:rPr>
              <w:t>2024</w:t>
            </w:r>
            <w:r>
              <w:rPr>
                <w:rFonts w:hint="eastAsia" w:eastAsia="FangSong_GB2312"/>
                <w:color w:val="000000"/>
                <w:kern w:val="0"/>
                <w:szCs w:val="21"/>
              </w:rPr>
              <w:t>年</w:t>
            </w:r>
          </w:p>
        </w:tc>
        <w:tc>
          <w:tcPr>
            <w:tcW w:w="982"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2024</w:t>
            </w:r>
            <w:r>
              <w:rPr>
                <w:rFonts w:hint="eastAsia" w:eastAsia="FangSong_GB2312"/>
                <w:color w:val="000000"/>
                <w:kern w:val="0"/>
                <w:szCs w:val="21"/>
              </w:rPr>
              <w:t>年</w:t>
            </w:r>
          </w:p>
        </w:tc>
        <w:tc>
          <w:tcPr>
            <w:tcW w:w="79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267" w:type="dxa"/>
            <w:vAlign w:val="center"/>
          </w:tcPr>
          <w:p>
            <w:pPr>
              <w:widowControl/>
              <w:jc w:val="left"/>
              <w:rPr>
                <w:rFonts w:eastAsia="FangSong_GB2312"/>
                <w:color w:val="000000"/>
                <w:kern w:val="0"/>
                <w:szCs w:val="21"/>
              </w:rPr>
            </w:pPr>
            <w:r>
              <w:rPr>
                <w:rFonts w:hint="eastAsia" w:eastAsia="FangSong_GB2312"/>
                <w:color w:val="000000"/>
                <w:kern w:val="0"/>
                <w:szCs w:val="21"/>
              </w:rPr>
              <w:t>153.55万元</w:t>
            </w:r>
          </w:p>
        </w:tc>
        <w:tc>
          <w:tcPr>
            <w:tcW w:w="982" w:type="dxa"/>
            <w:vAlign w:val="center"/>
          </w:tcPr>
          <w:p>
            <w:pPr>
              <w:widowControl/>
              <w:jc w:val="left"/>
              <w:rPr>
                <w:rFonts w:eastAsia="FangSong_GB2312"/>
                <w:color w:val="000000"/>
                <w:kern w:val="0"/>
                <w:szCs w:val="21"/>
              </w:rPr>
            </w:pPr>
            <w:r>
              <w:rPr>
                <w:rFonts w:hint="eastAsia" w:eastAsia="FangSong_GB2312"/>
                <w:color w:val="000000"/>
                <w:kern w:val="0"/>
                <w:szCs w:val="21"/>
              </w:rPr>
              <w:t>153.55万元</w:t>
            </w:r>
          </w:p>
        </w:tc>
        <w:tc>
          <w:tcPr>
            <w:tcW w:w="79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widowControl/>
              <w:jc w:val="left"/>
              <w:rPr>
                <w:rFonts w:eastAsia="FangSong_GB2312"/>
                <w:color w:val="000000"/>
                <w:kern w:val="0"/>
                <w:szCs w:val="21"/>
              </w:rPr>
            </w:pPr>
          </w:p>
        </w:tc>
        <w:tc>
          <w:tcPr>
            <w:tcW w:w="1252" w:type="dxa"/>
            <w:vMerge w:val="continue"/>
            <w:vAlign w:val="center"/>
          </w:tcPr>
          <w:p>
            <w:pPr>
              <w:widowControl/>
              <w:jc w:val="left"/>
              <w:rPr>
                <w:rFonts w:eastAsia="FangSong_GB2312"/>
                <w:color w:val="000000"/>
                <w:kern w:val="0"/>
                <w:szCs w:val="21"/>
              </w:rPr>
            </w:pPr>
          </w:p>
        </w:tc>
        <w:tc>
          <w:tcPr>
            <w:tcW w:w="1209" w:type="dxa"/>
            <w:gridSpan w:val="2"/>
            <w:vAlign w:val="center"/>
          </w:tcPr>
          <w:p>
            <w:pPr>
              <w:widowControl/>
              <w:jc w:val="left"/>
              <w:rPr>
                <w:rFonts w:eastAsia="宋体"/>
                <w:color w:val="000000"/>
                <w:kern w:val="0"/>
                <w:szCs w:val="21"/>
              </w:rPr>
            </w:pPr>
            <w:r>
              <w:rPr>
                <w:rFonts w:hint="eastAsia" w:eastAsia="宋体"/>
                <w:color w:val="000000"/>
                <w:kern w:val="0"/>
                <w:szCs w:val="21"/>
              </w:rPr>
              <w:t>项目支出</w:t>
            </w:r>
          </w:p>
        </w:tc>
        <w:tc>
          <w:tcPr>
            <w:tcW w:w="1267" w:type="dxa"/>
            <w:vAlign w:val="center"/>
          </w:tcPr>
          <w:p>
            <w:pPr>
              <w:widowControl/>
              <w:jc w:val="left"/>
              <w:rPr>
                <w:rFonts w:eastAsia="FangSong_GB2312"/>
                <w:color w:val="000000"/>
                <w:kern w:val="0"/>
                <w:szCs w:val="21"/>
              </w:rPr>
            </w:pPr>
            <w:r>
              <w:rPr>
                <w:rFonts w:hint="eastAsia" w:eastAsia="宋体"/>
                <w:color w:val="000000"/>
                <w:kern w:val="0"/>
                <w:szCs w:val="21"/>
              </w:rPr>
              <w:t>58.44</w:t>
            </w:r>
            <w:r>
              <w:rPr>
                <w:rFonts w:hint="eastAsia" w:eastAsia="FangSong_GB2312"/>
                <w:color w:val="000000"/>
                <w:kern w:val="0"/>
                <w:szCs w:val="21"/>
              </w:rPr>
              <w:t>万元</w:t>
            </w:r>
          </w:p>
        </w:tc>
        <w:tc>
          <w:tcPr>
            <w:tcW w:w="982" w:type="dxa"/>
            <w:vAlign w:val="center"/>
          </w:tcPr>
          <w:p>
            <w:pPr>
              <w:widowControl/>
              <w:jc w:val="left"/>
              <w:rPr>
                <w:rFonts w:eastAsia="FangSong_GB2312"/>
                <w:color w:val="000000"/>
                <w:kern w:val="0"/>
                <w:szCs w:val="21"/>
              </w:rPr>
            </w:pPr>
            <w:r>
              <w:rPr>
                <w:rFonts w:hint="eastAsia" w:eastAsia="FangSong_GB2312"/>
                <w:color w:val="000000"/>
                <w:kern w:val="0"/>
                <w:szCs w:val="21"/>
              </w:rPr>
              <w:t>58.44万元</w:t>
            </w:r>
          </w:p>
        </w:tc>
        <w:tc>
          <w:tcPr>
            <w:tcW w:w="794"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52"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9" w:type="dxa"/>
            <w:gridSpan w:val="2"/>
            <w:vAlign w:val="center"/>
          </w:tcPr>
          <w:p>
            <w:pPr>
              <w:widowControl/>
              <w:jc w:val="left"/>
              <w:rPr>
                <w:rFonts w:eastAsia="FangSong_GB2312"/>
                <w:color w:val="000000"/>
                <w:kern w:val="0"/>
                <w:szCs w:val="21"/>
              </w:rPr>
            </w:pPr>
          </w:p>
        </w:tc>
        <w:tc>
          <w:tcPr>
            <w:tcW w:w="1267" w:type="dxa"/>
            <w:vAlign w:val="center"/>
          </w:tcPr>
          <w:p>
            <w:pPr>
              <w:widowControl/>
              <w:jc w:val="left"/>
              <w:rPr>
                <w:rFonts w:eastAsia="FangSong_GB2312"/>
                <w:color w:val="000000"/>
                <w:kern w:val="0"/>
                <w:szCs w:val="21"/>
              </w:rPr>
            </w:pPr>
          </w:p>
        </w:tc>
        <w:tc>
          <w:tcPr>
            <w:tcW w:w="982" w:type="dxa"/>
            <w:vAlign w:val="center"/>
          </w:tcPr>
          <w:p>
            <w:pPr>
              <w:widowControl/>
              <w:jc w:val="left"/>
              <w:rPr>
                <w:rFonts w:eastAsia="FangSong_GB2312"/>
                <w:color w:val="000000"/>
                <w:kern w:val="0"/>
                <w:szCs w:val="21"/>
              </w:rPr>
            </w:pPr>
          </w:p>
        </w:tc>
        <w:tc>
          <w:tcPr>
            <w:tcW w:w="794" w:type="dxa"/>
            <w:vAlign w:val="center"/>
          </w:tcPr>
          <w:p>
            <w:pPr>
              <w:widowControl/>
              <w:ind w:firstLine="210" w:firstLineChars="100"/>
              <w:jc w:val="left"/>
              <w:rPr>
                <w:rFonts w:eastAsia="FangSong_GB2312"/>
                <w:color w:val="000000"/>
                <w:kern w:val="0"/>
                <w:szCs w:val="21"/>
              </w:rPr>
            </w:pPr>
          </w:p>
        </w:tc>
        <w:tc>
          <w:tcPr>
            <w:tcW w:w="898" w:type="dxa"/>
            <w:vAlign w:val="center"/>
          </w:tcPr>
          <w:p>
            <w:pPr>
              <w:widowControl/>
              <w:jc w:val="left"/>
              <w:rPr>
                <w:rFonts w:eastAsia="FangSong_GB2312"/>
                <w:color w:val="000000"/>
                <w:kern w:val="0"/>
                <w:szCs w:val="21"/>
              </w:rPr>
            </w:pPr>
          </w:p>
        </w:tc>
        <w:tc>
          <w:tcPr>
            <w:tcW w:w="1446" w:type="dxa"/>
            <w:vAlign w:val="center"/>
          </w:tcPr>
          <w:p>
            <w:pPr>
              <w:widowControl/>
              <w:jc w:val="left"/>
              <w:rPr>
                <w:rFonts w:eastAsia="FangSong_GB2312"/>
                <w:color w:val="000000"/>
                <w:kern w:val="0"/>
                <w:szCs w:val="21"/>
              </w:rPr>
            </w:pP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提高全民科技素质</w:t>
            </w:r>
          </w:p>
        </w:tc>
        <w:tc>
          <w:tcPr>
            <w:tcW w:w="1267" w:type="dxa"/>
            <w:vAlign w:val="center"/>
          </w:tcPr>
          <w:p>
            <w:pPr>
              <w:widowControl/>
              <w:jc w:val="left"/>
              <w:rPr>
                <w:rFonts w:eastAsia="FangSong_GB2312"/>
                <w:color w:val="000000"/>
                <w:kern w:val="0"/>
                <w:szCs w:val="21"/>
              </w:rPr>
            </w:pPr>
            <w:r>
              <w:rPr>
                <w:rFonts w:hint="eastAsia" w:eastAsia="FangSong_GB2312"/>
                <w:color w:val="000000"/>
                <w:kern w:val="0"/>
                <w:szCs w:val="21"/>
              </w:rPr>
              <w:t>有所提高</w:t>
            </w:r>
          </w:p>
        </w:tc>
        <w:tc>
          <w:tcPr>
            <w:tcW w:w="982" w:type="dxa"/>
            <w:vAlign w:val="center"/>
          </w:tcPr>
          <w:p>
            <w:pPr>
              <w:widowControl/>
              <w:jc w:val="left"/>
              <w:rPr>
                <w:rFonts w:eastAsia="FangSong_GB2312"/>
                <w:color w:val="000000"/>
                <w:kern w:val="0"/>
                <w:szCs w:val="21"/>
              </w:rPr>
            </w:pPr>
            <w:r>
              <w:rPr>
                <w:rFonts w:hint="eastAsia" w:eastAsia="FangSong_GB2312"/>
                <w:color w:val="000000"/>
                <w:kern w:val="0"/>
                <w:szCs w:val="21"/>
              </w:rPr>
              <w:t>有所提高</w:t>
            </w:r>
          </w:p>
        </w:tc>
        <w:tc>
          <w:tcPr>
            <w:tcW w:w="794"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Merge w:val="continue"/>
            <w:vAlign w:val="center"/>
          </w:tcPr>
          <w:p>
            <w:pPr>
              <w:widowControl/>
              <w:jc w:val="center"/>
              <w:rPr>
                <w:rFonts w:eastAsia="FangSong_GB2312"/>
                <w:color w:val="000000"/>
                <w:kern w:val="0"/>
                <w:szCs w:val="21"/>
              </w:rPr>
            </w:pPr>
          </w:p>
        </w:tc>
        <w:tc>
          <w:tcPr>
            <w:tcW w:w="1209"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8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center"/>
              <w:rPr>
                <w:rFonts w:eastAsia="FangSong_GB2312"/>
                <w:color w:val="000000"/>
                <w:kern w:val="0"/>
                <w:szCs w:val="21"/>
              </w:rPr>
            </w:pPr>
          </w:p>
        </w:tc>
        <w:tc>
          <w:tcPr>
            <w:tcW w:w="1395" w:type="dxa"/>
            <w:vMerge w:val="continue"/>
            <w:vAlign w:val="center"/>
          </w:tcPr>
          <w:p>
            <w:pPr>
              <w:jc w:val="left"/>
              <w:rPr>
                <w:rFonts w:eastAsia="FangSong_GB2312"/>
                <w:color w:val="000000"/>
                <w:kern w:val="0"/>
                <w:szCs w:val="21"/>
              </w:rPr>
            </w:pPr>
          </w:p>
        </w:tc>
        <w:tc>
          <w:tcPr>
            <w:tcW w:w="1252" w:type="dxa"/>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9" w:type="dxa"/>
            <w:gridSpan w:val="2"/>
            <w:vAlign w:val="center"/>
          </w:tcPr>
          <w:p>
            <w:pPr>
              <w:widowControl/>
              <w:jc w:val="left"/>
              <w:rPr>
                <w:rFonts w:eastAsia="FangSong_GB2312"/>
                <w:color w:val="000000"/>
                <w:kern w:val="0"/>
                <w:szCs w:val="21"/>
              </w:rPr>
            </w:pPr>
          </w:p>
        </w:tc>
        <w:tc>
          <w:tcPr>
            <w:tcW w:w="1267" w:type="dxa"/>
            <w:vAlign w:val="center"/>
          </w:tcPr>
          <w:p>
            <w:pPr>
              <w:widowControl/>
              <w:jc w:val="left"/>
              <w:rPr>
                <w:rFonts w:eastAsia="FangSong_GB2312"/>
                <w:color w:val="000000"/>
                <w:kern w:val="0"/>
                <w:szCs w:val="21"/>
              </w:rPr>
            </w:pPr>
          </w:p>
        </w:tc>
        <w:tc>
          <w:tcPr>
            <w:tcW w:w="982" w:type="dxa"/>
            <w:vAlign w:val="center"/>
          </w:tcPr>
          <w:p>
            <w:pPr>
              <w:widowControl/>
              <w:jc w:val="left"/>
              <w:rPr>
                <w:rFonts w:eastAsia="FangSong_GB2312"/>
                <w:color w:val="000000"/>
                <w:kern w:val="0"/>
                <w:szCs w:val="21"/>
              </w:rPr>
            </w:pPr>
          </w:p>
        </w:tc>
        <w:tc>
          <w:tcPr>
            <w:tcW w:w="794" w:type="dxa"/>
            <w:vAlign w:val="center"/>
          </w:tcPr>
          <w:p>
            <w:pPr>
              <w:widowControl/>
              <w:jc w:val="left"/>
              <w:rPr>
                <w:rFonts w:eastAsia="FangSong_GB2312"/>
                <w:color w:val="000000"/>
                <w:kern w:val="0"/>
                <w:szCs w:val="21"/>
              </w:rPr>
            </w:pPr>
          </w:p>
        </w:tc>
        <w:tc>
          <w:tcPr>
            <w:tcW w:w="898" w:type="dxa"/>
            <w:vAlign w:val="center"/>
          </w:tcPr>
          <w:p>
            <w:pPr>
              <w:widowControl/>
              <w:jc w:val="left"/>
              <w:rPr>
                <w:rFonts w:eastAsia="FangSong_GB2312"/>
                <w:color w:val="000000"/>
                <w:kern w:val="0"/>
                <w:szCs w:val="21"/>
              </w:rPr>
            </w:pP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395" w:type="dxa"/>
            <w:vMerge w:val="continue"/>
            <w:vAlign w:val="center"/>
          </w:tcPr>
          <w:p>
            <w:pPr>
              <w:widowControl/>
              <w:jc w:val="left"/>
              <w:rPr>
                <w:rFonts w:eastAsia="FangSong_GB2312"/>
                <w:color w:val="000000"/>
                <w:kern w:val="0"/>
                <w:szCs w:val="21"/>
              </w:rPr>
            </w:pPr>
          </w:p>
        </w:tc>
        <w:tc>
          <w:tcPr>
            <w:tcW w:w="1252" w:type="dxa"/>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209" w:type="dxa"/>
            <w:gridSpan w:val="2"/>
            <w:vAlign w:val="center"/>
          </w:tcPr>
          <w:p>
            <w:pPr>
              <w:widowControl/>
              <w:jc w:val="left"/>
              <w:rPr>
                <w:rFonts w:eastAsia="FangSong_GB2312"/>
                <w:color w:val="000000"/>
                <w:kern w:val="0"/>
                <w:szCs w:val="21"/>
              </w:rPr>
            </w:pPr>
          </w:p>
        </w:tc>
        <w:tc>
          <w:tcPr>
            <w:tcW w:w="1267" w:type="dxa"/>
            <w:vAlign w:val="center"/>
          </w:tcPr>
          <w:p>
            <w:pPr>
              <w:widowControl/>
              <w:jc w:val="left"/>
              <w:rPr>
                <w:rFonts w:eastAsia="FangSong_GB2312"/>
                <w:color w:val="000000"/>
                <w:kern w:val="0"/>
                <w:szCs w:val="21"/>
              </w:rPr>
            </w:pPr>
          </w:p>
        </w:tc>
        <w:tc>
          <w:tcPr>
            <w:tcW w:w="982" w:type="dxa"/>
            <w:vAlign w:val="center"/>
          </w:tcPr>
          <w:p>
            <w:pPr>
              <w:widowControl/>
              <w:jc w:val="left"/>
              <w:rPr>
                <w:rFonts w:eastAsia="FangSong_GB2312"/>
                <w:color w:val="000000"/>
                <w:kern w:val="0"/>
                <w:szCs w:val="21"/>
              </w:rPr>
            </w:pPr>
          </w:p>
        </w:tc>
        <w:tc>
          <w:tcPr>
            <w:tcW w:w="794" w:type="dxa"/>
            <w:vAlign w:val="center"/>
          </w:tcPr>
          <w:p>
            <w:pPr>
              <w:widowControl/>
              <w:jc w:val="left"/>
              <w:rPr>
                <w:rFonts w:eastAsia="FangSong_GB2312"/>
                <w:color w:val="000000"/>
                <w:kern w:val="0"/>
                <w:szCs w:val="21"/>
              </w:rPr>
            </w:pPr>
          </w:p>
        </w:tc>
        <w:tc>
          <w:tcPr>
            <w:tcW w:w="898" w:type="dxa"/>
            <w:vAlign w:val="center"/>
          </w:tcPr>
          <w:p>
            <w:pPr>
              <w:widowControl/>
              <w:jc w:val="left"/>
              <w:rPr>
                <w:rFonts w:eastAsia="FangSong_GB2312"/>
                <w:color w:val="000000"/>
                <w:kern w:val="0"/>
                <w:szCs w:val="21"/>
              </w:rPr>
            </w:pPr>
          </w:p>
        </w:tc>
        <w:tc>
          <w:tcPr>
            <w:tcW w:w="1446" w:type="dxa"/>
            <w:vAlign w:val="center"/>
          </w:tcPr>
          <w:p>
            <w:pPr>
              <w:widowControl/>
              <w:jc w:val="left"/>
              <w:rPr>
                <w:rFonts w:eastAsia="FangSong_GB2312"/>
                <w:color w:val="000000"/>
                <w:kern w:val="0"/>
                <w:szCs w:val="21"/>
              </w:rPr>
            </w:pP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39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5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20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67"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982"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79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395" w:type="dxa"/>
            <w:vMerge w:val="continue"/>
            <w:vAlign w:val="center"/>
          </w:tcPr>
          <w:p>
            <w:pPr>
              <w:widowControl/>
              <w:jc w:val="left"/>
              <w:rPr>
                <w:rFonts w:eastAsia="FangSong_GB2312"/>
                <w:color w:val="000000"/>
                <w:kern w:val="0"/>
                <w:szCs w:val="21"/>
              </w:rPr>
            </w:pPr>
          </w:p>
        </w:tc>
        <w:tc>
          <w:tcPr>
            <w:tcW w:w="1252" w:type="dxa"/>
            <w:vMerge w:val="continue"/>
            <w:vAlign w:val="center"/>
          </w:tcPr>
          <w:p>
            <w:pPr>
              <w:widowControl/>
              <w:jc w:val="left"/>
              <w:rPr>
                <w:rFonts w:eastAsia="FangSong_GB2312"/>
                <w:color w:val="000000"/>
                <w:kern w:val="0"/>
                <w:szCs w:val="21"/>
              </w:rPr>
            </w:pPr>
          </w:p>
        </w:tc>
        <w:tc>
          <w:tcPr>
            <w:tcW w:w="1209"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8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7185" w:type="dxa"/>
            <w:gridSpan w:val="7"/>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79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46"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2024</w:t>
      </w:r>
      <w:r>
        <w:rPr>
          <w:rFonts w:hint="eastAsia" w:eastAsia="FangSong_GB2312"/>
          <w:color w:val="000000"/>
          <w:kern w:val="0"/>
          <w:szCs w:val="21"/>
        </w:rPr>
        <w:t>年度）</w:t>
      </w:r>
    </w:p>
    <w:tbl>
      <w:tblPr>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1080"/>
        <w:gridCol w:w="1080"/>
        <w:gridCol w:w="1149"/>
        <w:gridCol w:w="1209"/>
        <w:gridCol w:w="1134"/>
        <w:gridCol w:w="828"/>
        <w:gridCol w:w="873"/>
        <w:gridCol w:w="1418"/>
      </w:tblGrid>
      <w:tr>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科普活动费用</w:t>
            </w:r>
          </w:p>
        </w:tc>
      </w:tr>
      <w:tr>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江永县科学技术协会</w:t>
            </w:r>
          </w:p>
        </w:tc>
      </w:tr>
      <w:tr>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28"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ind w:firstLine="420" w:firstLineChars="200"/>
              <w:jc w:val="center"/>
              <w:rPr>
                <w:rFonts w:eastAsia="FangSong_GB2312"/>
                <w:color w:val="000000"/>
                <w:kern w:val="0"/>
                <w:szCs w:val="21"/>
              </w:rPr>
            </w:pPr>
            <w:r>
              <w:rPr>
                <w:rFonts w:eastAsia="FangSong_GB2312"/>
                <w:color w:val="000000"/>
                <w:kern w:val="0"/>
                <w:szCs w:val="21"/>
              </w:rPr>
              <w:t>51</w:t>
            </w:r>
          </w:p>
        </w:tc>
        <w:tc>
          <w:tcPr>
            <w:tcW w:w="1209"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58.44</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58.44</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ind w:firstLine="420" w:firstLineChars="200"/>
              <w:jc w:val="center"/>
              <w:rPr>
                <w:rFonts w:eastAsia="FangSong_GB2312"/>
                <w:color w:val="000000"/>
                <w:kern w:val="0"/>
                <w:szCs w:val="21"/>
              </w:rPr>
            </w:pPr>
            <w:r>
              <w:rPr>
                <w:rFonts w:eastAsia="FangSong_GB2312"/>
                <w:color w:val="000000"/>
                <w:kern w:val="0"/>
                <w:szCs w:val="21"/>
              </w:rPr>
              <w:t>51</w:t>
            </w:r>
          </w:p>
        </w:tc>
        <w:tc>
          <w:tcPr>
            <w:tcW w:w="1209"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58.44</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58.44</w:t>
            </w:r>
          </w:p>
        </w:tc>
        <w:tc>
          <w:tcPr>
            <w:tcW w:w="828"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大力开展科普活动，积极组织青少年科技创新大赛，努力提高全民科学素养。</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全年开展特色科普活动40场，发放宣传资料30000份，组织中小学生参加科技创新大赛1场</w:t>
            </w:r>
            <w:r>
              <w:rPr>
                <w:rFonts w:hint="eastAsia" w:ascii="FangSong_GB2312" w:hAnsi="FangSong_GB2312" w:eastAsia="FangSong_GB2312" w:cs="FangSong_GB2312"/>
                <w:color w:val="000000"/>
                <w:szCs w:val="21"/>
              </w:rPr>
              <w:t>。</w:t>
            </w:r>
          </w:p>
        </w:tc>
      </w:tr>
      <w:tr>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开展特色科普活动</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24</w:t>
            </w:r>
            <w:r>
              <w:rPr>
                <w:rFonts w:hint="eastAsia" w:eastAsia="FangSong_GB2312"/>
                <w:color w:val="000000"/>
                <w:kern w:val="0"/>
                <w:szCs w:val="21"/>
              </w:rPr>
              <w:t>次</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42次</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组织青少年科技创新大赛</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1场</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1场</w:t>
            </w:r>
          </w:p>
        </w:tc>
        <w:tc>
          <w:tcPr>
            <w:tcW w:w="828"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发放宣传资料</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30000</w:t>
            </w:r>
            <w:r>
              <w:rPr>
                <w:rFonts w:hint="eastAsia" w:eastAsia="FangSong_GB2312"/>
                <w:color w:val="000000"/>
                <w:kern w:val="0"/>
                <w:szCs w:val="21"/>
              </w:rPr>
              <w:t>份</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30000份</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群众科普知识知晓率</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80%</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85%</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科普活动行政村覆盖率</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90%</w:t>
            </w:r>
          </w:p>
        </w:tc>
        <w:tc>
          <w:tcPr>
            <w:tcW w:w="1134"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规定时间内完成</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2024</w:t>
            </w:r>
            <w:r>
              <w:rPr>
                <w:rFonts w:hint="eastAsia" w:eastAsia="FangSong_GB2312"/>
                <w:color w:val="000000"/>
                <w:kern w:val="0"/>
                <w:szCs w:val="21"/>
              </w:rPr>
              <w:t>年完成</w:t>
            </w:r>
          </w:p>
        </w:tc>
        <w:tc>
          <w:tcPr>
            <w:tcW w:w="1134"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2024</w:t>
            </w:r>
            <w:r>
              <w:rPr>
                <w:rFonts w:hint="eastAsia" w:eastAsia="FangSong_GB2312"/>
                <w:color w:val="000000"/>
                <w:kern w:val="0"/>
                <w:szCs w:val="21"/>
              </w:rPr>
              <w:t>年完成</w:t>
            </w:r>
          </w:p>
        </w:tc>
        <w:tc>
          <w:tcPr>
            <w:tcW w:w="828"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58.44万元</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58.44万元</w:t>
            </w:r>
          </w:p>
        </w:tc>
        <w:tc>
          <w:tcPr>
            <w:tcW w:w="828"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提高全民科技素质</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效果显著</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效果显著</w:t>
            </w:r>
          </w:p>
        </w:tc>
        <w:tc>
          <w:tcPr>
            <w:tcW w:w="828"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134" w:type="dxa"/>
            <w:vAlign w:val="center"/>
          </w:tcPr>
          <w:p>
            <w:pPr>
              <w:widowControl/>
              <w:jc w:val="left"/>
              <w:rPr>
                <w:rFonts w:eastAsia="FangSong_GB2312"/>
                <w:color w:val="000000"/>
                <w:kern w:val="0"/>
                <w:szCs w:val="21"/>
              </w:rPr>
            </w:pPr>
          </w:p>
        </w:tc>
        <w:tc>
          <w:tcPr>
            <w:tcW w:w="828" w:type="dxa"/>
            <w:vAlign w:val="center"/>
          </w:tcPr>
          <w:p>
            <w:pPr>
              <w:widowControl/>
              <w:jc w:val="left"/>
              <w:rPr>
                <w:rFonts w:eastAsia="FangSong_GB2312"/>
                <w:color w:val="000000"/>
                <w:kern w:val="0"/>
                <w:szCs w:val="21"/>
              </w:rPr>
            </w:pPr>
          </w:p>
        </w:tc>
        <w:tc>
          <w:tcPr>
            <w:tcW w:w="873" w:type="dxa"/>
            <w:vAlign w:val="center"/>
          </w:tcPr>
          <w:p>
            <w:pPr>
              <w:widowControl/>
              <w:jc w:val="left"/>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科技理念深入人心</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10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5</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ind w:left="93"/>
        <w:jc w:val="center"/>
        <w:rPr>
          <w:rFonts w:eastAsia="方正小标宋_GBK"/>
          <w:kern w:val="0"/>
          <w:sz w:val="32"/>
          <w:szCs w:val="32"/>
        </w:rPr>
      </w:pPr>
      <w:r>
        <w:rPr>
          <w:rFonts w:hint="eastAsia" w:ascii="方正小标宋_GBK" w:hAnsi="方正小标宋_GBK"/>
          <w:kern w:val="0"/>
          <w:sz w:val="32"/>
          <w:szCs w:val="32"/>
        </w:rPr>
        <w:t>江永县科学技术协会</w:t>
      </w:r>
      <w:r>
        <w:rPr>
          <w:rFonts w:hint="eastAsia" w:ascii="方正小标宋_GBK" w:hAnsi="方正小标宋_GBK" w:eastAsia="方正小标宋_GBK"/>
          <w:kern w:val="0"/>
          <w:sz w:val="32"/>
          <w:szCs w:val="32"/>
        </w:rPr>
        <w:t>财政专项</w:t>
      </w:r>
      <w:r>
        <w:rPr>
          <w:rFonts w:hint="eastAsia" w:ascii="方正小标宋_GBK" w:hAnsi="方正小标宋_GBK"/>
          <w:kern w:val="0"/>
          <w:sz w:val="32"/>
          <w:szCs w:val="32"/>
        </w:rPr>
        <w:t>（项目）</w:t>
      </w:r>
      <w:r>
        <w:rPr>
          <w:rFonts w:hint="eastAsia" w:ascii="方正小标宋_GBK" w:hAnsi="方正小标宋_GBK" w:eastAsia="方正小标宋_GBK"/>
          <w:kern w:val="0"/>
          <w:sz w:val="32"/>
          <w:szCs w:val="32"/>
        </w:rPr>
        <w:t>资金绩效评价表</w:t>
      </w:r>
    </w:p>
    <w:tbl>
      <w:tblPr>
        <w:tblW w:w="10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56"/>
        <w:gridCol w:w="710"/>
        <w:gridCol w:w="1275"/>
        <w:gridCol w:w="3080"/>
        <w:gridCol w:w="4502"/>
        <w:gridCol w:w="385"/>
      </w:tblGrid>
      <w:tr>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b/>
                <w:bCs/>
                <w:color w:val="000000"/>
                <w:kern w:val="0"/>
                <w:sz w:val="20"/>
                <w:szCs w:val="20"/>
              </w:rPr>
              <w:t>得分</w:t>
            </w:r>
          </w:p>
        </w:tc>
      </w:tr>
      <w:tr>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FangSong_GB2312"/>
                <w:b/>
                <w:bCs/>
                <w:color w:val="000000"/>
                <w:kern w:val="0"/>
                <w:sz w:val="20"/>
                <w:szCs w:val="20"/>
              </w:rPr>
            </w:pPr>
          </w:p>
        </w:tc>
      </w:tr>
      <w:tr>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4</w:t>
            </w: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4</w:t>
            </w: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4</w:t>
            </w: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4</w:t>
            </w:r>
          </w:p>
        </w:tc>
      </w:tr>
      <w:tr>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4</w:t>
            </w:r>
          </w:p>
        </w:tc>
      </w:tr>
      <w:tr>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3</w:t>
            </w: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spacing w:line="280" w:lineRule="exact"/>
              <w:rPr>
                <w:rFonts w:ascii="宋体"/>
                <w:color w:val="000000"/>
                <w:kern w:val="0"/>
                <w:sz w:val="24"/>
              </w:rPr>
            </w:pPr>
          </w:p>
        </w:tc>
      </w:tr>
      <w:tr>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color w:val="000000"/>
                <w:kern w:val="0"/>
                <w:sz w:val="24"/>
              </w:rPr>
            </w:pPr>
            <w:r>
              <w:rPr>
                <w:rFonts w:ascii="宋体" w:hAnsi="宋体"/>
                <w:color w:val="000000"/>
                <w:kern w:val="0"/>
                <w:sz w:val="24"/>
              </w:rPr>
              <w:t>3</w:t>
            </w: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vAlign w:val="top"/>
          </w:tcPr>
          <w:p>
            <w:pPr>
              <w:widowControl/>
              <w:rPr>
                <w:rFonts w:ascii="宋体"/>
                <w:color w:val="000000"/>
                <w:kern w:val="0"/>
                <w:sz w:val="24"/>
              </w:rPr>
            </w:pPr>
          </w:p>
        </w:tc>
      </w:tr>
      <w:tr>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r>
              <w:rPr>
                <w:rFonts w:ascii="宋体" w:hAnsi="宋体"/>
                <w:color w:val="000000"/>
                <w:kern w:val="0"/>
                <w:sz w:val="24"/>
              </w:rPr>
              <w:t>4</w:t>
            </w: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r>
              <w:rPr>
                <w:rFonts w:ascii="宋体" w:hAnsi="宋体"/>
                <w:color w:val="000000"/>
                <w:kern w:val="0"/>
                <w:sz w:val="24"/>
              </w:rPr>
              <w:t>5</w:t>
            </w:r>
          </w:p>
        </w:tc>
      </w:tr>
      <w:tr>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vAlign w:val="top"/>
          </w:tcPr>
          <w:p>
            <w:pPr>
              <w:widowControl/>
              <w:rPr>
                <w:rFonts w:ascii="宋体"/>
                <w:color w:val="000000"/>
                <w:kern w:val="0"/>
                <w:sz w:val="24"/>
              </w:rPr>
            </w:pPr>
            <w:r>
              <w:rPr>
                <w:rFonts w:ascii="宋体" w:hAnsi="宋体"/>
                <w:color w:val="000000"/>
                <w:kern w:val="0"/>
                <w:sz w:val="24"/>
              </w:rPr>
              <w:t>7</w:t>
            </w:r>
          </w:p>
        </w:tc>
      </w:tr>
      <w:tr>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r>
              <w:rPr>
                <w:rFonts w:ascii="宋体" w:hAnsi="宋体"/>
                <w:color w:val="000000"/>
                <w:kern w:val="0"/>
                <w:sz w:val="24"/>
              </w:rPr>
              <w:t>8</w:t>
            </w:r>
          </w:p>
        </w:tc>
      </w:tr>
      <w:tr>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p>
        </w:tc>
      </w:tr>
      <w:tr>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r>
              <w:rPr>
                <w:rFonts w:ascii="宋体" w:hAnsi="宋体"/>
                <w:color w:val="000000"/>
                <w:kern w:val="0"/>
                <w:sz w:val="24"/>
              </w:rPr>
              <w:t>7</w:t>
            </w:r>
          </w:p>
        </w:tc>
      </w:tr>
      <w:tr>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r>
              <w:rPr>
                <w:rFonts w:ascii="宋体" w:hAnsi="宋体"/>
                <w:color w:val="000000"/>
                <w:kern w:val="0"/>
                <w:sz w:val="24"/>
              </w:rPr>
              <w:t>7</w:t>
            </w:r>
          </w:p>
        </w:tc>
      </w:tr>
      <w:tr>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r>
              <w:rPr>
                <w:rFonts w:ascii="宋体" w:hAnsi="宋体"/>
                <w:color w:val="000000"/>
                <w:kern w:val="0"/>
                <w:sz w:val="24"/>
              </w:rPr>
              <w:t>8</w:t>
            </w:r>
          </w:p>
        </w:tc>
      </w:tr>
      <w:tr>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vAlign w:val="top"/>
          </w:tcPr>
          <w:p>
            <w:pPr>
              <w:widowControl/>
              <w:jc w:val="left"/>
              <w:rPr>
                <w:rFonts w:ascii="宋体"/>
                <w:color w:val="000000"/>
                <w:kern w:val="0"/>
                <w:sz w:val="24"/>
              </w:rPr>
            </w:pPr>
            <w:r>
              <w:rPr>
                <w:rFonts w:ascii="宋体" w:hAnsi="宋体"/>
                <w:color w:val="000000"/>
                <w:kern w:val="0"/>
                <w:sz w:val="24"/>
              </w:rPr>
              <w:t>8</w:t>
            </w:r>
          </w:p>
        </w:tc>
      </w:tr>
      <w:tr>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p>
        </w:tc>
      </w:tr>
      <w:tr>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vAlign w:val="top"/>
          </w:tcPr>
          <w:p>
            <w:pPr>
              <w:widowControl/>
              <w:rPr>
                <w:rFonts w:ascii="宋体"/>
                <w:color w:val="000000"/>
                <w:kern w:val="0"/>
                <w:sz w:val="24"/>
              </w:rPr>
            </w:pPr>
            <w:r>
              <w:rPr>
                <w:rFonts w:ascii="宋体" w:hAnsi="宋体"/>
                <w:color w:val="000000"/>
                <w:kern w:val="0"/>
                <w:sz w:val="24"/>
              </w:rPr>
              <w:t>4</w:t>
            </w:r>
          </w:p>
        </w:tc>
      </w:tr>
      <w:tr>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ascii="宋体"/>
                <w:color w:val="000000"/>
                <w:kern w:val="0"/>
                <w:sz w:val="24"/>
              </w:rPr>
            </w:pPr>
            <w:r>
              <w:rPr>
                <w:rFonts w:ascii="宋体" w:hAnsi="宋体"/>
                <w:color w:val="000000"/>
                <w:kern w:val="0"/>
                <w:sz w:val="24"/>
              </w:rPr>
              <w:t>3</w:t>
            </w:r>
          </w:p>
        </w:tc>
      </w:tr>
      <w:tr>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ascii="宋体"/>
                <w:color w:val="000000"/>
                <w:kern w:val="0"/>
                <w:sz w:val="24"/>
              </w:rPr>
            </w:pPr>
            <w:r>
              <w:rPr>
                <w:rFonts w:ascii="宋体" w:hAnsi="宋体"/>
                <w:color w:val="000000"/>
                <w:kern w:val="0"/>
                <w:sz w:val="24"/>
              </w:rPr>
              <w:t>3</w:t>
            </w:r>
          </w:p>
        </w:tc>
      </w:tr>
      <w:tr>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ascii="宋体"/>
                <w:color w:val="000000"/>
                <w:kern w:val="0"/>
                <w:sz w:val="24"/>
              </w:rPr>
            </w:pPr>
            <w:r>
              <w:rPr>
                <w:rFonts w:ascii="宋体" w:hAnsi="宋体"/>
                <w:color w:val="000000"/>
                <w:kern w:val="0"/>
                <w:sz w:val="24"/>
              </w:rPr>
              <w:t>4</w:t>
            </w:r>
          </w:p>
        </w:tc>
      </w:tr>
      <w:tr>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vAlign w:val="top"/>
          </w:tcPr>
          <w:p>
            <w:pPr>
              <w:widowControl/>
              <w:rPr>
                <w:rFonts w:ascii="宋体"/>
                <w:color w:val="000000"/>
                <w:kern w:val="0"/>
                <w:sz w:val="24"/>
              </w:rPr>
            </w:pPr>
            <w:r>
              <w:rPr>
                <w:rFonts w:ascii="宋体" w:hAnsi="宋体"/>
                <w:color w:val="000000"/>
                <w:kern w:val="0"/>
                <w:sz w:val="24"/>
              </w:rPr>
              <w:t>6</w:t>
            </w:r>
          </w:p>
        </w:tc>
      </w:tr>
      <w:tr>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6"/>
          <w:szCs w:val="36"/>
        </w:rPr>
      </w:pPr>
      <w:r>
        <w:rPr>
          <w:rFonts w:hint="eastAsia" w:ascii="方正小标宋_GBK" w:hAnsi="方正小标宋_GBK"/>
          <w:kern w:val="0"/>
          <w:sz w:val="36"/>
          <w:szCs w:val="36"/>
        </w:rPr>
        <w:t>江永县科学技术协会</w:t>
      </w:r>
      <w:r>
        <w:rPr>
          <w:rFonts w:hint="eastAsia" w:ascii="方正小标宋_GBK" w:hAnsi="方正小标宋_GBK" w:eastAsia="方正小标宋_GBK"/>
          <w:kern w:val="0"/>
          <w:sz w:val="36"/>
          <w:szCs w:val="36"/>
        </w:rPr>
        <w:t>部门整体支出绩效评价表</w:t>
      </w:r>
    </w:p>
    <w:tbl>
      <w:tblPr>
        <w:tblW w:w="10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18"/>
        <w:gridCol w:w="416"/>
        <w:gridCol w:w="432"/>
        <w:gridCol w:w="245"/>
        <w:gridCol w:w="416"/>
        <w:gridCol w:w="1194"/>
        <w:gridCol w:w="478"/>
        <w:gridCol w:w="2977"/>
        <w:gridCol w:w="3402"/>
        <w:gridCol w:w="522"/>
        <w:gridCol w:w="8"/>
      </w:tblGrid>
      <w:tr>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，在职人员数：部门（单位）实际在职人数，以县</w:t>
            </w:r>
            <w:r>
              <w:rPr>
                <w:rFonts w:hint="eastAsia" w:eastAsia="FangSong_GB2312"/>
                <w:kern w:val="0"/>
                <w:sz w:val="20"/>
                <w:szCs w:val="20"/>
              </w:rPr>
              <w:t>财政</w:t>
            </w:r>
            <w:r>
              <w:rPr>
                <w:rFonts w:hint="eastAsia"/>
                <w:kern w:val="0"/>
                <w:sz w:val="20"/>
                <w:szCs w:val="20"/>
              </w:rPr>
              <w:t>局</w:t>
            </w:r>
            <w:r>
              <w:rPr>
                <w:rFonts w:hint="eastAsia" w:eastAsia="FangSong_GB2312"/>
                <w:kern w:val="0"/>
                <w:sz w:val="20"/>
                <w:szCs w:val="20"/>
              </w:rPr>
              <w:t>确定的部门决算编制口径为准。</w:t>
            </w:r>
          </w:p>
          <w:p>
            <w:pPr>
              <w:widowControl/>
              <w:jc w:val="left"/>
              <w:rPr>
                <w:rFonts w:eastAsia="FangSong_GB2312"/>
                <w:kern w:val="0"/>
                <w:sz w:val="20"/>
                <w:szCs w:val="20"/>
              </w:rPr>
            </w:pPr>
            <w:r>
              <w:rPr>
                <w:rFonts w:hint="eastAsia"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2021</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2021</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7</w:t>
            </w:r>
          </w:p>
        </w:tc>
      </w:tr>
      <w:tr>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8</w:t>
            </w:r>
            <w:r>
              <w:rPr>
                <w:rFonts w:hint="eastAsia"/>
                <w:kern w:val="0"/>
                <w:sz w:val="24"/>
              </w:rPr>
              <w:t>　</w:t>
            </w:r>
          </w:p>
        </w:tc>
      </w:tr>
      <w:tr>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6</w:t>
            </w:r>
            <w:r>
              <w:rPr>
                <w:rFonts w:hint="eastAsia"/>
                <w:kern w:val="0"/>
                <w:sz w:val="24"/>
              </w:rPr>
              <w:t>　</w:t>
            </w:r>
          </w:p>
        </w:tc>
      </w:tr>
      <w:tr>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2021</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r>
              <w:rPr>
                <w:kern w:val="0"/>
                <w:sz w:val="24"/>
              </w:rPr>
              <w:t>10</w:t>
            </w:r>
          </w:p>
        </w:tc>
      </w:tr>
      <w:tr>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6</w:t>
            </w:r>
            <w:r>
              <w:rPr>
                <w:rFonts w:hint="eastAsia"/>
                <w:kern w:val="0"/>
                <w:sz w:val="24"/>
              </w:rPr>
              <w:t>　</w:t>
            </w:r>
          </w:p>
        </w:tc>
      </w:tr>
      <w:tr>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widowControl/>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jc w:val="center"/>
        <w:rPr>
          <w:rFonts w:ascii="宋体" w:hAnsi="宋体" w:cs="Arial"/>
          <w:b/>
          <w:bCs/>
          <w:sz w:val="44"/>
          <w:szCs w:val="44"/>
        </w:rPr>
      </w:pPr>
    </w:p>
    <w:p>
      <w:pPr>
        <w:jc w:val="center"/>
        <w:rPr>
          <w:rFonts w:ascii="宋体"/>
          <w:b/>
          <w:bCs/>
          <w:sz w:val="44"/>
          <w:szCs w:val="44"/>
        </w:rPr>
      </w:pPr>
      <w:r>
        <w:rPr>
          <w:rFonts w:hint="eastAsia" w:ascii="宋体" w:hAnsi="宋体" w:cs="Arial"/>
          <w:b/>
          <w:bCs/>
          <w:sz w:val="44"/>
          <w:szCs w:val="44"/>
        </w:rPr>
        <w:t>江永县科学技术协会</w:t>
      </w:r>
      <w:r>
        <w:rPr>
          <w:rFonts w:ascii="宋体" w:hAnsi="宋体" w:cs="Arial"/>
          <w:b/>
          <w:bCs/>
          <w:sz w:val="44"/>
          <w:szCs w:val="44"/>
        </w:rPr>
        <w:t>2024</w:t>
      </w:r>
      <w:r>
        <w:rPr>
          <w:rFonts w:hint="eastAsia" w:ascii="宋体" w:hAnsi="宋体"/>
          <w:b/>
          <w:bCs/>
          <w:sz w:val="44"/>
          <w:szCs w:val="44"/>
        </w:rPr>
        <w:t>年度项目支出</w:t>
      </w:r>
    </w:p>
    <w:p>
      <w:pPr>
        <w:jc w:val="center"/>
        <w:rPr>
          <w:rFonts w:ascii="宋体"/>
          <w:b/>
          <w:bCs/>
          <w:sz w:val="44"/>
          <w:szCs w:val="44"/>
        </w:rPr>
      </w:pPr>
      <w:r>
        <w:rPr>
          <w:rFonts w:hint="eastAsia" w:ascii="宋体" w:hAnsi="宋体"/>
          <w:b/>
          <w:bCs/>
          <w:sz w:val="44"/>
          <w:szCs w:val="44"/>
        </w:rPr>
        <w:t>（科普活动费用）绩效自评报告</w:t>
      </w:r>
    </w:p>
    <w:p>
      <w:pPr>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7"/>
        <w:spacing w:line="560" w:lineRule="exact"/>
        <w:ind w:firstLine="640"/>
        <w:rPr>
          <w:rFonts w:ascii="仿宋" w:hAnsi="仿宋" w:eastAsia="仿宋" w:cs="仿宋"/>
          <w:b/>
          <w:bCs/>
          <w:sz w:val="32"/>
          <w:szCs w:val="32"/>
        </w:rPr>
      </w:pPr>
      <w:r>
        <w:rPr>
          <w:rFonts w:ascii="FangSong_GB2312" w:hAnsi="FangSong_GB2312" w:eastAsia="FangSong_GB2312"/>
          <w:b/>
          <w:bCs/>
          <w:sz w:val="32"/>
        </w:rPr>
        <w:t>1</w:t>
      </w:r>
      <w:r>
        <w:rPr>
          <w:rFonts w:hint="eastAsia" w:ascii="FangSong_GB2312" w:hAnsi="FangSong_GB2312" w:eastAsia="FangSong_GB2312"/>
          <w:b/>
          <w:bCs/>
          <w:sz w:val="32"/>
        </w:rPr>
        <w:t>.</w:t>
      </w:r>
      <w:r>
        <w:rPr>
          <w:rFonts w:hint="eastAsia" w:ascii="仿宋" w:hAnsi="仿宋" w:eastAsia="仿宋" w:cs="仿宋"/>
          <w:b/>
          <w:bCs/>
          <w:sz w:val="32"/>
          <w:szCs w:val="32"/>
        </w:rPr>
        <w:t>职能职责</w:t>
      </w:r>
    </w:p>
    <w:p>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）开展学术交流、活跃学术思想，促进科技的繁荣和发展。</w:t>
      </w:r>
    </w:p>
    <w:p>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）普及科技知识，推广先进技术，开展青少年科技教育活动。</w:t>
      </w:r>
    </w:p>
    <w:p>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）编辑出版科普书、报、刊。促进并开展继续教育和实用技术培训工作。</w:t>
      </w:r>
    </w:p>
    <w:p>
      <w:pPr>
        <w:pStyle w:val="4"/>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）倡导兴办民间科普咨询服务组织，开展民间科技交流活动。</w:t>
      </w:r>
    </w:p>
    <w:p>
      <w:pPr>
        <w:pStyle w:val="4"/>
        <w:shd w:val="clear" w:color="auto" w:fill="FFFFFF"/>
        <w:spacing w:before="0" w:beforeAutospacing="0" w:after="0" w:afterAutospacing="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rPr>
        <w:t>）开展科技决策论证，提出科技政策建议，兴办科技实体，进行科普咨询服务。</w:t>
      </w:r>
    </w:p>
    <w:p>
      <w:pPr>
        <w:pStyle w:val="4"/>
        <w:shd w:val="clear" w:color="auto" w:fill="FFFFFF"/>
        <w:spacing w:before="0" w:beforeAutospacing="0" w:after="0" w:afterAutospacing="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6</w:t>
      </w:r>
      <w:r>
        <w:rPr>
          <w:rFonts w:hint="eastAsia" w:ascii="仿宋" w:hAnsi="仿宋" w:eastAsia="仿宋" w:cs="仿宋"/>
          <w:color w:val="000000"/>
          <w:sz w:val="32"/>
          <w:szCs w:val="32"/>
          <w:shd w:val="clear" w:color="auto" w:fill="FFFFFF"/>
        </w:rPr>
        <w:t>）向县委县政府反映科技工作者的意见，维护科技工作者的合法权益，并举荐表彰奖励优秀科普工作者。</w:t>
      </w:r>
    </w:p>
    <w:p>
      <w:pPr>
        <w:pStyle w:val="7"/>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机构和人员情况</w:t>
      </w:r>
    </w:p>
    <w:p>
      <w:pPr>
        <w:shd w:val="solid" w:color="FFFFFF" w:fill="auto"/>
        <w:autoSpaceDN w:val="0"/>
        <w:spacing w:line="560" w:lineRule="exact"/>
        <w:ind w:left="105" w:firstLine="672"/>
        <w:rPr>
          <w:rFonts w:ascii="仿宋" w:hAnsi="仿宋" w:eastAsia="仿宋" w:cs="仿宋"/>
          <w:bCs/>
          <w:color w:val="000000"/>
          <w:sz w:val="32"/>
          <w:szCs w:val="32"/>
          <w:shd w:val="clear" w:color="auto" w:fill="FFFFFF"/>
        </w:rPr>
      </w:pPr>
      <w:r>
        <w:rPr>
          <w:rFonts w:hint="eastAsia" w:ascii="仿宋" w:hAnsi="仿宋" w:eastAsia="仿宋" w:cs="仿宋"/>
          <w:sz w:val="32"/>
          <w:szCs w:val="32"/>
        </w:rPr>
        <w:t>本单位</w:t>
      </w:r>
      <w:r>
        <w:rPr>
          <w:rFonts w:hint="eastAsia" w:ascii="仿宋" w:hAnsi="仿宋" w:eastAsia="仿宋" w:cs="仿宋"/>
          <w:color w:val="000000"/>
          <w:sz w:val="32"/>
          <w:szCs w:val="32"/>
          <w:shd w:val="clear" w:color="auto" w:fill="FFFFFF"/>
        </w:rPr>
        <w:t>是县政府直属正科级参管单位，内设一办两部（科普部、学会部），现有在职人员</w:t>
      </w:r>
      <w:r>
        <w:rPr>
          <w:rFonts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rPr>
        <w:t>人。</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pStyle w:val="6"/>
        <w:spacing w:line="560" w:lineRule="exact"/>
        <w:ind w:firstLine="640"/>
        <w:rPr>
          <w:rFonts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年，县财政安排我单位</w:t>
      </w:r>
      <w:r>
        <w:rPr>
          <w:rFonts w:hint="eastAsia" w:ascii="仿宋" w:hAnsi="仿宋" w:eastAsia="仿宋" w:cs="仿宋"/>
          <w:bCs/>
          <w:sz w:val="32"/>
          <w:szCs w:val="32"/>
        </w:rPr>
        <w:t>项目支出（科普活动费）58.44万元，主要用于开展科普活动的资料印刷、广告宣传、下乡等方面</w:t>
      </w:r>
      <w:r>
        <w:rPr>
          <w:rFonts w:hint="eastAsia" w:ascii="仿宋" w:hAnsi="仿宋" w:eastAsia="仿宋" w:cs="仿宋"/>
          <w:color w:val="000000"/>
          <w:sz w:val="32"/>
          <w:szCs w:val="32"/>
          <w:shd w:val="clear" w:color="auto" w:fill="FFFFFF"/>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ind w:left="320" w:hanging="320" w:hangingChars="100"/>
        <w:rPr>
          <w:rFonts w:ascii="仿宋" w:hAnsi="仿宋" w:eastAsia="仿宋" w:cs="仿宋"/>
          <w:sz w:val="32"/>
          <w:szCs w:val="32"/>
        </w:rPr>
      </w:pPr>
      <w:r>
        <w:rPr>
          <w:rFonts w:ascii="仿宋" w:hAnsi="仿宋" w:eastAsia="仿宋" w:cs="仿宋"/>
          <w:sz w:val="32"/>
          <w:szCs w:val="32"/>
        </w:rPr>
        <w:t xml:space="preserve">     2024</w:t>
      </w:r>
      <w:r>
        <w:rPr>
          <w:rFonts w:hint="eastAsia" w:ascii="仿宋" w:hAnsi="仿宋" w:eastAsia="仿宋" w:cs="仿宋"/>
          <w:sz w:val="32"/>
          <w:szCs w:val="32"/>
        </w:rPr>
        <w:t>年，县财政拨入我单位科普活动费（含科普大蓬车经费）58.44万元，资金到位率为</w:t>
      </w:r>
      <w:r>
        <w:rPr>
          <w:rFonts w:ascii="仿宋" w:hAnsi="仿宋" w:eastAsia="仿宋" w:cs="仿宋"/>
          <w:sz w:val="32"/>
          <w:szCs w:val="32"/>
        </w:rPr>
        <w:t>100%</w:t>
      </w:r>
      <w:r>
        <w:rPr>
          <w:rFonts w:hint="eastAsia" w:ascii="仿宋" w:hAnsi="仿宋" w:eastAsia="仿宋" w:cs="仿宋"/>
          <w:sz w:val="32"/>
          <w:szCs w:val="32"/>
        </w:rPr>
        <w:t>。</w:t>
      </w:r>
    </w:p>
    <w:p>
      <w:pPr>
        <w:numPr>
          <w:numId w:val="0"/>
        </w:numPr>
        <w:spacing w:line="560" w:lineRule="exact"/>
        <w:rPr>
          <w:rFonts w:ascii="楷体" w:hAnsi="楷体" w:eastAsia="楷体" w:cs="楷体"/>
          <w:b/>
          <w:bCs/>
          <w:sz w:val="32"/>
          <w:szCs w:val="32"/>
        </w:rPr>
      </w:pPr>
      <w:r>
        <w:rPr>
          <w:rFonts w:hint="eastAsia" w:ascii="楷体" w:hAnsi="楷体" w:eastAsia="楷体" w:cs="楷体"/>
          <w:b/>
          <w:bCs/>
          <w:sz w:val="32"/>
          <w:szCs w:val="32"/>
          <w:lang w:val="en-US" w:eastAsia="zh-CN"/>
        </w:rPr>
        <w:t xml:space="preserve">    (二)</w:t>
      </w:r>
      <w:r>
        <w:rPr>
          <w:rFonts w:hint="eastAsia" w:ascii="楷体" w:hAnsi="楷体" w:eastAsia="楷体" w:cs="楷体"/>
          <w:b/>
          <w:bCs/>
          <w:sz w:val="32"/>
          <w:szCs w:val="32"/>
        </w:rPr>
        <w:t>项目资金实际使用情况分析</w:t>
      </w:r>
    </w:p>
    <w:p>
      <w:pPr>
        <w:pStyle w:val="6"/>
        <w:spacing w:line="560" w:lineRule="exact"/>
        <w:ind w:firstLine="640"/>
        <w:rPr>
          <w:rFonts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年，我单位实际科普活动费（含科普大蓬车经费）58.44万元，全部按规定用于</w:t>
      </w:r>
      <w:r>
        <w:rPr>
          <w:rFonts w:hint="eastAsia" w:ascii="仿宋" w:hAnsi="仿宋" w:eastAsia="仿宋" w:cs="仿宋"/>
          <w:bCs/>
          <w:sz w:val="32"/>
          <w:szCs w:val="32"/>
        </w:rPr>
        <w:t>开展科普活动的资料印刷、广告宣传、车辆租赁费等方面</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rPr>
        <w:t>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sz w:val="32"/>
          <w:szCs w:val="32"/>
        </w:rPr>
      </w:pPr>
      <w:r>
        <w:rPr>
          <w:rFonts w:hint="eastAsia" w:ascii="仿宋" w:hAnsi="仿宋" w:eastAsia="仿宋" w:cs="仿宋"/>
          <w:sz w:val="32"/>
          <w:szCs w:val="32"/>
        </w:rPr>
        <w:t>我单位项目支出资金支付，需经单位主要负责人审核，分管财务领导审批方可报账支付。</w:t>
      </w:r>
      <w:r>
        <w:rPr>
          <w:rFonts w:hint="eastAsia" w:ascii="仿宋" w:hAnsi="仿宋" w:eastAsia="仿宋" w:cs="仿宋"/>
          <w:color w:val="333333"/>
          <w:sz w:val="32"/>
          <w:szCs w:val="32"/>
        </w:rPr>
        <w:t>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我单位项目支出属于业务工作经费，按财政安排的资金使用计划使用。单位设立资金支出审批领导小组审批，严格按照财政规章制度使用财政资金，无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4"/>
        <w:spacing w:before="0" w:beforeAutospacing="0" w:after="0" w:afterAutospacing="0" w:line="560" w:lineRule="exact"/>
        <w:rPr>
          <w:rFonts w:ascii="仿宋" w:hAnsi="仿宋" w:eastAsia="仿宋" w:cs="仿宋"/>
          <w:color w:val="333333"/>
          <w:sz w:val="32"/>
          <w:szCs w:val="32"/>
        </w:rPr>
      </w:pPr>
      <w:r>
        <w:rPr>
          <w:rFonts w:hint="eastAsia"/>
          <w:color w:val="333333"/>
          <w:sz w:val="32"/>
          <w:szCs w:val="32"/>
        </w:rPr>
        <w:t>　</w:t>
      </w:r>
      <w:r>
        <w:rPr>
          <w:rFonts w:hint="eastAsia" w:ascii="仿宋" w:hAnsi="仿宋" w:eastAsia="仿宋" w:cs="仿宋"/>
          <w:color w:val="333333"/>
          <w:sz w:val="32"/>
          <w:szCs w:val="32"/>
        </w:rPr>
        <w:t>　</w:t>
      </w:r>
      <w:r>
        <w:rPr>
          <w:rFonts w:ascii="仿宋" w:hAnsi="仿宋" w:eastAsia="仿宋" w:cs="仿宋"/>
          <w:color w:val="333333"/>
          <w:sz w:val="32"/>
          <w:szCs w:val="32"/>
        </w:rPr>
        <w:t>1.</w:t>
      </w:r>
      <w:r>
        <w:rPr>
          <w:rFonts w:hint="eastAsia" w:ascii="仿宋" w:hAnsi="仿宋" w:eastAsia="仿宋" w:cs="仿宋"/>
          <w:color w:val="333333"/>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4"/>
        <w:spacing w:before="0" w:beforeAutospacing="0" w:after="0" w:afterAutospacing="0" w:line="560" w:lineRule="exact"/>
        <w:rPr>
          <w:rFonts w:ascii="仿宋" w:hAnsi="仿宋" w:eastAsia="仿宋" w:cs="仿宋"/>
          <w:color w:val="333333"/>
          <w:sz w:val="32"/>
          <w:szCs w:val="32"/>
        </w:rPr>
      </w:pPr>
      <w:r>
        <w:rPr>
          <w:rFonts w:hint="eastAsia" w:ascii="仿宋" w:hAnsi="仿宋" w:eastAsia="仿宋" w:cs="仿宋"/>
          <w:color w:val="333333"/>
          <w:sz w:val="32"/>
          <w:szCs w:val="32"/>
        </w:rPr>
        <w:t>　　</w:t>
      </w:r>
      <w:r>
        <w:rPr>
          <w:rFonts w:ascii="仿宋" w:hAnsi="仿宋" w:eastAsia="仿宋" w:cs="仿宋"/>
          <w:color w:val="333333"/>
          <w:sz w:val="32"/>
          <w:szCs w:val="32"/>
        </w:rPr>
        <w:t>2.</w:t>
      </w:r>
      <w:r>
        <w:rPr>
          <w:rFonts w:hint="eastAsia" w:ascii="仿宋" w:hAnsi="仿宋" w:eastAsia="仿宋" w:cs="仿宋"/>
          <w:color w:val="333333"/>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4"/>
        <w:spacing w:before="0" w:beforeAutospacing="0" w:after="0" w:afterAutospacing="0" w:line="560" w:lineRule="exact"/>
        <w:rPr>
          <w:rFonts w:ascii="仿宋" w:hAnsi="仿宋" w:eastAsia="仿宋" w:cs="仿宋"/>
          <w:color w:val="333333"/>
          <w:sz w:val="32"/>
          <w:szCs w:val="32"/>
        </w:rPr>
      </w:pPr>
      <w:r>
        <w:rPr>
          <w:rFonts w:hint="eastAsia" w:ascii="仿宋" w:hAnsi="仿宋" w:eastAsia="仿宋" w:cs="仿宋"/>
          <w:color w:val="333333"/>
          <w:sz w:val="32"/>
          <w:szCs w:val="32"/>
        </w:rPr>
        <w:t>　　</w:t>
      </w:r>
      <w:r>
        <w:rPr>
          <w:rFonts w:ascii="仿宋" w:hAnsi="仿宋" w:eastAsia="仿宋" w:cs="仿宋"/>
          <w:color w:val="333333"/>
          <w:sz w:val="32"/>
          <w:szCs w:val="32"/>
        </w:rPr>
        <w:t>3.</w:t>
      </w:r>
      <w:r>
        <w:rPr>
          <w:rFonts w:hint="eastAsia" w:ascii="仿宋" w:hAnsi="仿宋" w:eastAsia="仿宋" w:cs="仿宋"/>
          <w:color w:val="333333"/>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autoSpaceDE w:val="0"/>
        <w:spacing w:line="560" w:lineRule="exact"/>
        <w:ind w:firstLine="643" w:firstLineChars="200"/>
        <w:rPr>
          <w:rFonts w:ascii="仿宋" w:hAnsi="仿宋" w:eastAsia="仿宋"/>
          <w:color w:val="000000"/>
          <w:sz w:val="32"/>
          <w:szCs w:val="32"/>
        </w:rPr>
      </w:pPr>
      <w:r>
        <w:rPr>
          <w:rFonts w:hint="eastAsia" w:ascii="楷体" w:hAnsi="楷体" w:eastAsia="楷体"/>
          <w:b/>
          <w:color w:val="000000"/>
          <w:sz w:val="32"/>
          <w:szCs w:val="32"/>
        </w:rPr>
        <w:t>（一）产出指标完成情况。</w:t>
      </w:r>
      <w:r>
        <w:rPr>
          <w:rFonts w:hint="eastAsia" w:ascii="仿宋" w:hAnsi="仿宋" w:eastAsia="仿宋"/>
          <w:color w:val="000000"/>
          <w:sz w:val="32"/>
          <w:szCs w:val="32"/>
        </w:rPr>
        <w:t>2024年，开展特色科普活动40场，完成目标任务的166.67%，发放宣传资料3万份，完成目标任务的100%，科普活动成功举办率100%；科普活动行政村覆盖率100%。</w:t>
      </w:r>
    </w:p>
    <w:p>
      <w:pPr>
        <w:autoSpaceDE w:val="0"/>
        <w:spacing w:line="56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(二）效益指标完成情况。</w:t>
      </w:r>
      <w:r>
        <w:rPr>
          <w:rFonts w:hint="eastAsia" w:ascii="仿宋" w:hAnsi="仿宋" w:eastAsia="仿宋" w:cs="仿宋"/>
          <w:color w:val="000000"/>
          <w:sz w:val="32"/>
          <w:szCs w:val="32"/>
        </w:rPr>
        <w:t>提高全民科学素养，科技理念深入人心，效果明显。</w:t>
      </w:r>
    </w:p>
    <w:p>
      <w:pPr>
        <w:autoSpaceDE w:val="0"/>
        <w:spacing w:line="56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（三）满意率指标完成情况。</w:t>
      </w:r>
      <w:r>
        <w:rPr>
          <w:rFonts w:hint="eastAsia" w:ascii="仿宋" w:hAnsi="仿宋" w:eastAsia="仿宋" w:cs="仿宋"/>
          <w:color w:val="000000"/>
          <w:sz w:val="32"/>
          <w:szCs w:val="32"/>
        </w:rPr>
        <w:t>社会各界人士对我单位工作满意率100%。</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pStyle w:val="4"/>
        <w:widowControl w:val="0"/>
        <w:spacing w:before="0" w:beforeAutospacing="0" w:after="0" w:afterAutospacing="0" w:line="620" w:lineRule="exact"/>
        <w:ind w:firstLine="640" w:firstLineChars="200"/>
        <w:jc w:val="both"/>
        <w:rPr>
          <w:rFonts w:ascii="仿宋" w:hAnsi="仿宋" w:eastAsia="仿宋" w:cs="FangSong_GB2312"/>
          <w:color w:val="000000"/>
          <w:sz w:val="32"/>
          <w:szCs w:val="32"/>
        </w:rPr>
      </w:pPr>
      <w:r>
        <w:rPr>
          <w:rFonts w:hint="eastAsia" w:ascii="仿宋" w:hAnsi="仿宋" w:eastAsia="仿宋" w:cs="FangSong_GB2312"/>
          <w:color w:val="000000"/>
          <w:sz w:val="32"/>
          <w:szCs w:val="32"/>
        </w:rPr>
        <w:t>认真贯彻落实《江永县全民科学素质行动规划纲要实施方案（2021-2025年）》，面向“五类重点人群”，广泛开展普及科学技术知识、弘扬科学精神、传播科学思想、倡导科学方法的活动，着力提升全民科学素质。加强科普基础设施和科普队伍建设，进一步加强科普中国信息传播，组织开展好青少年科技创新大赛等重大科普活动，持续深化科技“三下乡”、科普大蓬车进校园、</w:t>
      </w:r>
      <w:r>
        <w:rPr>
          <w:rFonts w:hint="eastAsia" w:ascii="仿宋" w:hAnsi="仿宋" w:eastAsia="仿宋" w:cs="FangSong_GB2312"/>
          <w:color w:val="000000"/>
          <w:sz w:val="32"/>
          <w:szCs w:val="32"/>
          <w:shd w:val="clear" w:color="auto" w:fill="FFFFFF"/>
        </w:rPr>
        <w:t>进社区等特色科普活动。</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6"/>
        <w:spacing w:line="560" w:lineRule="exact"/>
        <w:ind w:firstLine="640"/>
        <w:rPr>
          <w:rFonts w:ascii="黑体" w:hAnsi="黑体" w:eastAsia="黑体"/>
          <w:kern w:val="0"/>
          <w:sz w:val="32"/>
          <w:szCs w:val="32"/>
        </w:rPr>
      </w:pPr>
      <w:r>
        <w:rPr>
          <w:rFonts w:hint="eastAsia" w:ascii="仿宋" w:hAnsi="仿宋" w:eastAsia="仿宋" w:cs="仿宋"/>
          <w:sz w:val="32"/>
          <w:szCs w:val="32"/>
        </w:rPr>
        <w:t>近几年来，江永县财政收支矛盾紧张，国库资金调度艰难，国库支付报账进度不均衡，对财政资金使用绩效产生了一定的消极影响。建议县财政加强收支管理，科学合理调度好财政资金，确保行政事业单位正常、高效运转。</w:t>
      </w:r>
    </w:p>
    <w:p>
      <w:pPr>
        <w:widowControl/>
        <w:rPr>
          <w:rFonts w:ascii="黑体" w:hAnsi="黑体" w:eastAsia="黑体"/>
          <w:kern w:val="0"/>
          <w:sz w:val="32"/>
          <w:szCs w:val="32"/>
        </w:rPr>
      </w:pPr>
      <w:r>
        <w:rPr>
          <w:rFonts w:hint="eastAsia" w:ascii="黑体" w:hAnsi="黑体" w:eastAsia="黑体"/>
          <w:kern w:val="0"/>
          <w:sz w:val="32"/>
          <w:szCs w:val="32"/>
        </w:rPr>
        <w:t xml:space="preserve">     六、其他需要说明的问题</w:t>
      </w:r>
    </w:p>
    <w:p>
      <w:pPr>
        <w:widowControl/>
        <w:rPr>
          <w:rFonts w:ascii="仿宋" w:hAnsi="仿宋" w:eastAsia="仿宋"/>
          <w:kern w:val="0"/>
          <w:sz w:val="32"/>
          <w:szCs w:val="32"/>
        </w:rPr>
      </w:pPr>
      <w:r>
        <w:rPr>
          <w:rFonts w:hint="eastAsia" w:ascii="黑体" w:hAnsi="黑体" w:eastAsia="黑体"/>
          <w:kern w:val="0"/>
          <w:sz w:val="32"/>
          <w:szCs w:val="32"/>
        </w:rPr>
        <w:t xml:space="preserve">    </w:t>
      </w:r>
      <w:r>
        <w:rPr>
          <w:rFonts w:hint="eastAsia" w:ascii="仿宋" w:hAnsi="仿宋" w:eastAsia="仿宋"/>
          <w:kern w:val="0"/>
          <w:sz w:val="32"/>
          <w:szCs w:val="32"/>
        </w:rPr>
        <w:t xml:space="preserve"> 无</w:t>
      </w: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bookmarkStart w:id="0" w:name="_GoBack"/>
      <w:bookmarkEnd w:id="0"/>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FangSong_GB2312">
    <w:altName w:val="仿宋_GB2312"/>
    <w:panose1 w:val="02010609060101010101"/>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方正小标宋_GBK">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80250341">
    <w:nsid w:val="465930E5"/>
    <w:multiLevelType w:val="singleLevel"/>
    <w:tmpl w:val="465930E5"/>
    <w:lvl w:ilvl="0" w:tentative="1">
      <w:start w:val="2"/>
      <w:numFmt w:val="chineseCounting"/>
      <w:suff w:val="nothing"/>
      <w:lvlText w:val="%1、"/>
      <w:lvlJc w:val="left"/>
      <w:rPr>
        <w:rFonts w:hint="eastAsia" w:cs="Times New Roman"/>
      </w:rPr>
    </w:lvl>
  </w:abstractNum>
  <w:num w:numId="1">
    <w:abstractNumId w:val="11802503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6">
    <w:name w:val="List Paragraph"/>
    <w:basedOn w:val="1"/>
    <w:qFormat/>
    <w:uiPriority w:val="99"/>
    <w:pPr>
      <w:ind w:firstLine="420" w:firstLineChars="200"/>
    </w:pPr>
    <w:rPr>
      <w:rFonts w:ascii="Calibri" w:hAnsi="Calibri"/>
      <w:szCs w:val="22"/>
    </w:rPr>
  </w:style>
  <w:style w:type="paragraph" w:customStyle="1" w:styleId="7">
    <w:name w:val="p0"/>
    <w:basedOn w:val="1"/>
    <w:uiPriority w:val="99"/>
    <w:pPr>
      <w:widowControl/>
    </w:pPr>
    <w:rPr>
      <w:kern w:val="0"/>
      <w:szCs w:val="21"/>
    </w:rPr>
  </w:style>
  <w:style w:type="character" w:customStyle="1" w:styleId="8">
    <w:name w:val="页脚 Char Char"/>
    <w:basedOn w:val="5"/>
    <w:link w:val="2"/>
    <w:uiPriority w:val="99"/>
    <w:rPr>
      <w:rFonts w:cs="Times New Roman"/>
      <w:sz w:val="18"/>
      <w:szCs w:val="18"/>
    </w:rPr>
  </w:style>
  <w:style w:type="character" w:customStyle="1" w:styleId="9">
    <w:name w:val="页眉 Char Char"/>
    <w:basedOn w:val="5"/>
    <w:link w:val="3"/>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10149</Words>
  <Characters>2327</Characters>
  <Lines>19</Lines>
  <Paragraphs>24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cp:lastPrinted>2025-04-22T00:57:00Z</cp:lastPrinted>
  <dcterms:modified xsi:type="dcterms:W3CDTF">2025-04-22T08:06:48Z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4C9D9072FFF3421E86566F787EE1CC48</vt:lpwstr>
  </property>
</Properties>
</file>