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kern w:val="0"/>
          <w:sz w:val="32"/>
          <w:szCs w:val="32"/>
          <w:lang w:val="en-US" w:eastAsia="zh-CN"/>
        </w:rPr>
      </w:pPr>
      <w:bookmarkStart w:id="0" w:name="_GoBack"/>
      <w:bookmarkEnd w:id="0"/>
      <w:r>
        <w:rPr>
          <w:rFonts w:hint="eastAsia" w:ascii="黑体" w:hAnsi="黑体" w:eastAsia="黑体" w:cs="黑体"/>
          <w:kern w:val="0"/>
          <w:sz w:val="32"/>
          <w:szCs w:val="32"/>
          <w:lang w:val="en-US" w:eastAsia="zh-CN"/>
        </w:rPr>
        <w:t>附件1</w:t>
      </w:r>
    </w:p>
    <w:p>
      <w:pPr>
        <w:widowControl/>
        <w:jc w:val="center"/>
        <w:rPr>
          <w:rFonts w:eastAsia="方正小标宋_GBK"/>
          <w:color w:val="000000"/>
          <w:kern w:val="0"/>
          <w:sz w:val="36"/>
          <w:szCs w:val="36"/>
        </w:rPr>
      </w:pPr>
      <w:r>
        <w:rPr>
          <w:rFonts w:eastAsia="方正小标宋_GBK"/>
          <w:color w:val="000000"/>
          <w:kern w:val="0"/>
          <w:sz w:val="36"/>
          <w:szCs w:val="36"/>
        </w:rPr>
        <w:t>部门整体支出绩效自评表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 xml:space="preserve"> 年度）</w:t>
      </w:r>
    </w:p>
    <w:tbl>
      <w:tblPr>
        <w:tblStyle w:val="7"/>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395"/>
        <w:gridCol w:w="1252"/>
        <w:gridCol w:w="1114"/>
        <w:gridCol w:w="257"/>
        <w:gridCol w:w="1038"/>
        <w:gridCol w:w="1134"/>
        <w:gridCol w:w="709"/>
        <w:gridCol w:w="898"/>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Align w:val="center"/>
          </w:tcPr>
          <w:p>
            <w:pPr>
              <w:widowControl/>
              <w:jc w:val="left"/>
              <w:rPr>
                <w:rFonts w:eastAsia="仿宋_GB2312"/>
                <w:color w:val="000000"/>
                <w:kern w:val="0"/>
                <w:szCs w:val="21"/>
              </w:rPr>
            </w:pPr>
            <w:r>
              <w:rPr>
                <w:rFonts w:eastAsia="仿宋_GB2312"/>
                <w:color w:val="000000"/>
                <w:kern w:val="0"/>
                <w:szCs w:val="21"/>
              </w:rPr>
              <w:t>省级预算部门名称</w:t>
            </w:r>
          </w:p>
        </w:tc>
        <w:tc>
          <w:tcPr>
            <w:tcW w:w="9243" w:type="dxa"/>
            <w:gridSpan w:val="9"/>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江永县统计局</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年度预</w:t>
            </w:r>
          </w:p>
          <w:p>
            <w:pPr>
              <w:widowControl/>
              <w:jc w:val="center"/>
              <w:rPr>
                <w:rFonts w:hint="eastAsia" w:eastAsia="仿宋_GB2312"/>
                <w:color w:val="000000"/>
                <w:kern w:val="0"/>
                <w:szCs w:val="21"/>
                <w:lang w:eastAsia="zh-CN"/>
              </w:rPr>
            </w:pPr>
            <w:r>
              <w:rPr>
                <w:rFonts w:eastAsia="仿宋_GB2312"/>
                <w:color w:val="000000"/>
                <w:kern w:val="0"/>
                <w:szCs w:val="21"/>
              </w:rPr>
              <w:t>算申请</w:t>
            </w:r>
          </w:p>
          <w:p>
            <w:pPr>
              <w:widowControl/>
              <w:jc w:val="center"/>
              <w:rPr>
                <w:rFonts w:eastAsia="仿宋_GB2312"/>
                <w:color w:val="000000"/>
                <w:kern w:val="0"/>
                <w:szCs w:val="21"/>
              </w:rPr>
            </w:pPr>
            <w:r>
              <w:rPr>
                <w:rFonts w:eastAsia="仿宋_GB2312"/>
                <w:color w:val="000000"/>
                <w:kern w:val="0"/>
                <w:szCs w:val="21"/>
              </w:rPr>
              <w:t>（万元）</w:t>
            </w:r>
          </w:p>
        </w:tc>
        <w:tc>
          <w:tcPr>
            <w:tcW w:w="2647" w:type="dxa"/>
            <w:gridSpan w:val="2"/>
            <w:vAlign w:val="center"/>
          </w:tcPr>
          <w:p>
            <w:pPr>
              <w:jc w:val="center"/>
              <w:rPr>
                <w:rFonts w:eastAsia="仿宋_GB2312"/>
                <w:szCs w:val="21"/>
              </w:rPr>
            </w:pPr>
          </w:p>
        </w:tc>
        <w:tc>
          <w:tcPr>
            <w:tcW w:w="1114" w:type="dxa"/>
            <w:vAlign w:val="center"/>
          </w:tcPr>
          <w:p>
            <w:pPr>
              <w:jc w:val="center"/>
              <w:rPr>
                <w:rFonts w:hint="eastAsia" w:eastAsia="仿宋_GB2312"/>
                <w:szCs w:val="21"/>
              </w:rPr>
            </w:pPr>
            <w:r>
              <w:rPr>
                <w:rFonts w:eastAsia="仿宋_GB2312"/>
                <w:szCs w:val="21"/>
              </w:rPr>
              <w:t>年初</w:t>
            </w:r>
          </w:p>
          <w:p>
            <w:pPr>
              <w:jc w:val="center"/>
              <w:rPr>
                <w:rFonts w:eastAsia="仿宋_GB2312"/>
                <w:szCs w:val="21"/>
              </w:rPr>
            </w:pPr>
            <w:r>
              <w:rPr>
                <w:rFonts w:eastAsia="仿宋_GB2312"/>
                <w:szCs w:val="21"/>
              </w:rPr>
              <w:t>预算数</w:t>
            </w:r>
          </w:p>
        </w:tc>
        <w:tc>
          <w:tcPr>
            <w:tcW w:w="1295" w:type="dxa"/>
            <w:gridSpan w:val="2"/>
            <w:vAlign w:val="center"/>
          </w:tcPr>
          <w:p>
            <w:pPr>
              <w:jc w:val="center"/>
              <w:rPr>
                <w:rFonts w:eastAsia="仿宋_GB2312"/>
                <w:szCs w:val="21"/>
              </w:rPr>
            </w:pPr>
            <w:r>
              <w:rPr>
                <w:rFonts w:eastAsia="仿宋_GB2312"/>
                <w:szCs w:val="21"/>
              </w:rPr>
              <w:t>全年预算数</w:t>
            </w:r>
          </w:p>
        </w:tc>
        <w:tc>
          <w:tcPr>
            <w:tcW w:w="1134" w:type="dxa"/>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709" w:type="dxa"/>
            <w:vAlign w:val="center"/>
          </w:tcPr>
          <w:p>
            <w:pPr>
              <w:jc w:val="center"/>
              <w:rPr>
                <w:rFonts w:eastAsia="仿宋_GB2312"/>
                <w:szCs w:val="21"/>
              </w:rPr>
            </w:pPr>
            <w:r>
              <w:rPr>
                <w:rFonts w:eastAsia="仿宋_GB2312"/>
                <w:szCs w:val="21"/>
              </w:rPr>
              <w:t>分值</w:t>
            </w:r>
          </w:p>
        </w:tc>
        <w:tc>
          <w:tcPr>
            <w:tcW w:w="898" w:type="dxa"/>
            <w:vAlign w:val="center"/>
          </w:tcPr>
          <w:p>
            <w:pPr>
              <w:jc w:val="center"/>
              <w:rPr>
                <w:rFonts w:eastAsia="仿宋_GB2312"/>
                <w:szCs w:val="21"/>
              </w:rPr>
            </w:pPr>
            <w:r>
              <w:rPr>
                <w:rFonts w:eastAsia="仿宋_GB2312"/>
                <w:szCs w:val="21"/>
              </w:rPr>
              <w:t>执行率</w:t>
            </w:r>
          </w:p>
        </w:tc>
        <w:tc>
          <w:tcPr>
            <w:tcW w:w="1446" w:type="dxa"/>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center"/>
              <w:rPr>
                <w:rFonts w:eastAsia="仿宋_GB2312"/>
                <w:color w:val="000000"/>
                <w:kern w:val="0"/>
                <w:szCs w:val="21"/>
              </w:rPr>
            </w:pPr>
          </w:p>
        </w:tc>
        <w:tc>
          <w:tcPr>
            <w:tcW w:w="2647" w:type="dxa"/>
            <w:gridSpan w:val="2"/>
            <w:vAlign w:val="center"/>
          </w:tcPr>
          <w:p>
            <w:pPr>
              <w:jc w:val="center"/>
              <w:rPr>
                <w:rFonts w:eastAsia="仿宋_GB2312"/>
                <w:szCs w:val="21"/>
              </w:rPr>
            </w:pPr>
            <w:r>
              <w:rPr>
                <w:rFonts w:eastAsia="仿宋_GB2312"/>
                <w:color w:val="000000"/>
                <w:kern w:val="0"/>
                <w:szCs w:val="21"/>
              </w:rPr>
              <w:t>年度资金总额</w:t>
            </w:r>
          </w:p>
        </w:tc>
        <w:tc>
          <w:tcPr>
            <w:tcW w:w="1114" w:type="dxa"/>
            <w:vAlign w:val="center"/>
          </w:tcPr>
          <w:p>
            <w:pPr>
              <w:jc w:val="center"/>
              <w:rPr>
                <w:rFonts w:eastAsia="仿宋_GB2312"/>
                <w:szCs w:val="21"/>
              </w:rPr>
            </w:pPr>
            <w:r>
              <w:rPr>
                <w:rFonts w:hint="eastAsia" w:ascii="仿宋_GB2312" w:eastAsia="仿宋_GB2312"/>
                <w:kern w:val="0"/>
                <w:szCs w:val="21"/>
                <w:lang w:val="en-US" w:eastAsia="zh-CN"/>
              </w:rPr>
              <w:t>278.15</w:t>
            </w:r>
          </w:p>
        </w:tc>
        <w:tc>
          <w:tcPr>
            <w:tcW w:w="1295" w:type="dxa"/>
            <w:gridSpan w:val="2"/>
            <w:vAlign w:val="center"/>
          </w:tcPr>
          <w:p>
            <w:pPr>
              <w:jc w:val="center"/>
              <w:rPr>
                <w:rFonts w:eastAsia="仿宋_GB2312"/>
                <w:szCs w:val="21"/>
              </w:rPr>
            </w:pPr>
            <w:r>
              <w:rPr>
                <w:rFonts w:hint="eastAsia" w:ascii="仿宋_GB2312" w:eastAsia="仿宋_GB2312"/>
                <w:kern w:val="0"/>
                <w:szCs w:val="21"/>
                <w:lang w:val="en-US" w:eastAsia="zh-CN"/>
              </w:rPr>
              <w:t>278.15</w:t>
            </w:r>
          </w:p>
        </w:tc>
        <w:tc>
          <w:tcPr>
            <w:tcW w:w="1134" w:type="dxa"/>
            <w:vAlign w:val="center"/>
          </w:tcPr>
          <w:p>
            <w:pPr>
              <w:jc w:val="center"/>
              <w:rPr>
                <w:rFonts w:eastAsia="仿宋_GB2312"/>
                <w:szCs w:val="21"/>
              </w:rPr>
            </w:pPr>
          </w:p>
        </w:tc>
        <w:tc>
          <w:tcPr>
            <w:tcW w:w="709" w:type="dxa"/>
            <w:vAlign w:val="center"/>
          </w:tcPr>
          <w:p>
            <w:pPr>
              <w:jc w:val="center"/>
              <w:rPr>
                <w:rFonts w:eastAsia="仿宋_GB2312"/>
                <w:szCs w:val="21"/>
              </w:rPr>
            </w:pPr>
            <w:r>
              <w:rPr>
                <w:rFonts w:eastAsia="仿宋_GB2312"/>
                <w:szCs w:val="21"/>
              </w:rPr>
              <w:t>10</w:t>
            </w:r>
          </w:p>
        </w:tc>
        <w:tc>
          <w:tcPr>
            <w:tcW w:w="898" w:type="dxa"/>
            <w:vAlign w:val="center"/>
          </w:tcPr>
          <w:p>
            <w:pPr>
              <w:jc w:val="center"/>
              <w:rPr>
                <w:rFonts w:hint="default" w:eastAsia="仿宋_GB2312"/>
                <w:szCs w:val="21"/>
                <w:lang w:val="en-US" w:eastAsia="zh-CN"/>
              </w:rPr>
            </w:pPr>
            <w:r>
              <w:rPr>
                <w:rFonts w:hint="eastAsia" w:eastAsia="仿宋_GB2312"/>
                <w:szCs w:val="21"/>
                <w:lang w:val="en-US" w:eastAsia="zh-CN"/>
              </w:rPr>
              <w:t>100%</w:t>
            </w:r>
          </w:p>
        </w:tc>
        <w:tc>
          <w:tcPr>
            <w:tcW w:w="1446" w:type="dxa"/>
            <w:vAlign w:val="center"/>
          </w:tcPr>
          <w:p>
            <w:pPr>
              <w:jc w:val="center"/>
              <w:rPr>
                <w:rFonts w:hint="default" w:eastAsia="仿宋_GB2312"/>
                <w:szCs w:val="21"/>
                <w:lang w:val="en-US" w:eastAsia="zh-CN"/>
              </w:rPr>
            </w:pPr>
            <w:r>
              <w:rPr>
                <w:rFonts w:hint="eastAsia" w:eastAsia="仿宋_GB2312"/>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5056" w:type="dxa"/>
            <w:gridSpan w:val="5"/>
            <w:vAlign w:val="center"/>
          </w:tcPr>
          <w:p>
            <w:pPr>
              <w:widowControl/>
              <w:jc w:val="left"/>
              <w:rPr>
                <w:rFonts w:eastAsia="仿宋_GB2312"/>
                <w:color w:val="000000"/>
                <w:kern w:val="0"/>
                <w:szCs w:val="21"/>
              </w:rPr>
            </w:pPr>
            <w:r>
              <w:rPr>
                <w:rFonts w:eastAsia="仿宋_GB2312"/>
                <w:color w:val="000000"/>
                <w:kern w:val="0"/>
                <w:szCs w:val="21"/>
              </w:rPr>
              <w:t>按收入性质分：</w:t>
            </w:r>
          </w:p>
        </w:tc>
        <w:tc>
          <w:tcPr>
            <w:tcW w:w="4187" w:type="dxa"/>
            <w:gridSpan w:val="4"/>
            <w:vAlign w:val="center"/>
          </w:tcPr>
          <w:p>
            <w:pPr>
              <w:widowControl/>
              <w:jc w:val="left"/>
              <w:rPr>
                <w:rFonts w:eastAsia="仿宋_GB2312"/>
                <w:color w:val="000000"/>
                <w:kern w:val="0"/>
                <w:szCs w:val="21"/>
              </w:rPr>
            </w:pPr>
            <w:r>
              <w:rPr>
                <w:rFonts w:eastAsia="仿宋_GB2312"/>
                <w:color w:val="000000"/>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5056" w:type="dxa"/>
            <w:gridSpan w:val="5"/>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xml:space="preserve">  其中：  一般公共预算：</w:t>
            </w:r>
            <w:r>
              <w:rPr>
                <w:rFonts w:hint="eastAsia" w:eastAsia="仿宋_GB2312"/>
                <w:color w:val="000000"/>
                <w:kern w:val="0"/>
                <w:szCs w:val="21"/>
                <w:lang w:val="en-US" w:eastAsia="zh-CN"/>
              </w:rPr>
              <w:t>278.15</w:t>
            </w:r>
          </w:p>
        </w:tc>
        <w:tc>
          <w:tcPr>
            <w:tcW w:w="4187" w:type="dxa"/>
            <w:gridSpan w:val="4"/>
            <w:vAlign w:val="center"/>
          </w:tcPr>
          <w:p>
            <w:pPr>
              <w:widowControl/>
              <w:jc w:val="left"/>
              <w:rPr>
                <w:rFonts w:hint="default" w:ascii="仿宋_GB2312" w:hAnsi="Calibri" w:eastAsia="仿宋_GB2312" w:cs="Times New Roman"/>
                <w:kern w:val="0"/>
                <w:sz w:val="21"/>
                <w:szCs w:val="21"/>
                <w:lang w:val="en-US" w:eastAsia="zh-CN" w:bidi="ar-SA"/>
              </w:rPr>
            </w:pPr>
            <w:r>
              <w:rPr>
                <w:rFonts w:hint="eastAsia" w:ascii="仿宋_GB2312" w:eastAsia="仿宋_GB2312"/>
                <w:kern w:val="0"/>
                <w:szCs w:val="21"/>
              </w:rPr>
              <w:t>其中： 基本支出：</w:t>
            </w:r>
            <w:r>
              <w:rPr>
                <w:rFonts w:hint="eastAsia" w:ascii="仿宋_GB2312" w:eastAsia="仿宋_GB2312"/>
                <w:kern w:val="0"/>
                <w:szCs w:val="21"/>
                <w:lang w:val="en-US" w:eastAsia="zh-CN"/>
              </w:rPr>
              <w:t xml:space="preserve">  128.15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5056" w:type="dxa"/>
            <w:gridSpan w:val="5"/>
            <w:vAlign w:val="center"/>
          </w:tcPr>
          <w:p>
            <w:pPr>
              <w:widowControl/>
              <w:ind w:firstLine="840" w:firstLineChars="400"/>
              <w:jc w:val="left"/>
              <w:rPr>
                <w:rFonts w:eastAsia="仿宋_GB2312"/>
                <w:color w:val="000000"/>
                <w:kern w:val="0"/>
                <w:szCs w:val="21"/>
              </w:rPr>
            </w:pPr>
            <w:r>
              <w:rPr>
                <w:rFonts w:eastAsia="仿宋_GB2312"/>
                <w:color w:val="000000"/>
                <w:kern w:val="0"/>
                <w:szCs w:val="21"/>
              </w:rPr>
              <w:t>政府性基金拨款：</w:t>
            </w:r>
          </w:p>
        </w:tc>
        <w:tc>
          <w:tcPr>
            <w:tcW w:w="4187" w:type="dxa"/>
            <w:gridSpan w:val="4"/>
            <w:vAlign w:val="center"/>
          </w:tcPr>
          <w:p>
            <w:pPr>
              <w:widowControl/>
              <w:jc w:val="left"/>
              <w:rPr>
                <w:rFonts w:hint="default" w:ascii="仿宋_GB2312" w:hAnsi="Calibri" w:eastAsia="仿宋_GB2312" w:cs="Times New Roman"/>
                <w:kern w:val="0"/>
                <w:sz w:val="21"/>
                <w:szCs w:val="21"/>
                <w:lang w:val="en-US" w:eastAsia="zh-CN" w:bidi="ar-SA"/>
              </w:rPr>
            </w:pPr>
            <w:r>
              <w:rPr>
                <w:rFonts w:hint="eastAsia" w:ascii="仿宋_GB2312" w:eastAsia="仿宋_GB2312"/>
                <w:kern w:val="0"/>
                <w:szCs w:val="21"/>
              </w:rPr>
              <w:t xml:space="preserve">       项目支出：</w:t>
            </w:r>
            <w:r>
              <w:rPr>
                <w:rFonts w:hint="eastAsia" w:ascii="仿宋_GB2312" w:eastAsia="仿宋_GB2312"/>
                <w:kern w:val="0"/>
                <w:szCs w:val="21"/>
                <w:lang w:val="en-US" w:eastAsia="zh-CN"/>
              </w:rPr>
              <w:t xml:space="preserve">  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5056" w:type="dxa"/>
            <w:gridSpan w:val="5"/>
            <w:vAlign w:val="center"/>
          </w:tcPr>
          <w:p>
            <w:pPr>
              <w:widowControl/>
              <w:jc w:val="left"/>
              <w:rPr>
                <w:rFonts w:eastAsia="仿宋_GB2312"/>
                <w:color w:val="000000"/>
                <w:kern w:val="0"/>
                <w:szCs w:val="21"/>
              </w:rPr>
            </w:pPr>
            <w:r>
              <w:rPr>
                <w:rFonts w:eastAsia="仿宋_GB2312"/>
                <w:color w:val="000000"/>
                <w:kern w:val="0"/>
                <w:szCs w:val="21"/>
              </w:rPr>
              <w:t>纳入专户管理的非税收入拨款：</w:t>
            </w:r>
          </w:p>
        </w:tc>
        <w:tc>
          <w:tcPr>
            <w:tcW w:w="4187" w:type="dxa"/>
            <w:gridSpan w:val="4"/>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5056" w:type="dxa"/>
            <w:gridSpan w:val="5"/>
            <w:vAlign w:val="center"/>
          </w:tcPr>
          <w:p>
            <w:pPr>
              <w:widowControl/>
              <w:ind w:firstLine="1470" w:firstLineChars="700"/>
              <w:jc w:val="left"/>
              <w:rPr>
                <w:rFonts w:eastAsia="仿宋_GB2312"/>
                <w:color w:val="000000"/>
                <w:kern w:val="0"/>
                <w:szCs w:val="21"/>
              </w:rPr>
            </w:pPr>
            <w:r>
              <w:rPr>
                <w:rFonts w:eastAsia="仿宋_GB2312"/>
                <w:color w:val="000000"/>
                <w:kern w:val="0"/>
                <w:szCs w:val="21"/>
              </w:rPr>
              <w:t>其他资金：</w:t>
            </w:r>
          </w:p>
        </w:tc>
        <w:tc>
          <w:tcPr>
            <w:tcW w:w="4187" w:type="dxa"/>
            <w:gridSpan w:val="4"/>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5056" w:type="dxa"/>
            <w:gridSpan w:val="5"/>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187" w:type="dxa"/>
            <w:gridSpan w:val="4"/>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Merge w:val="continue"/>
            <w:vAlign w:val="center"/>
          </w:tcPr>
          <w:p>
            <w:pPr>
              <w:widowControl/>
              <w:jc w:val="left"/>
              <w:rPr>
                <w:rFonts w:eastAsia="仿宋_GB2312"/>
                <w:color w:val="000000"/>
                <w:kern w:val="0"/>
                <w:szCs w:val="21"/>
              </w:rPr>
            </w:pPr>
          </w:p>
        </w:tc>
        <w:tc>
          <w:tcPr>
            <w:tcW w:w="5056" w:type="dxa"/>
            <w:gridSpan w:val="5"/>
            <w:vAlign w:val="center"/>
          </w:tcPr>
          <w:p>
            <w:pPr>
              <w:widowControl/>
              <w:jc w:val="left"/>
              <w:rPr>
                <w:rFonts w:hint="eastAsia" w:ascii="仿宋_GB2312" w:eastAsia="仿宋_GB2312"/>
                <w:kern w:val="0"/>
                <w:szCs w:val="21"/>
                <w:lang w:eastAsia="zh-CN"/>
              </w:rPr>
            </w:pPr>
            <w:r>
              <w:rPr>
                <w:rFonts w:hint="eastAsia" w:ascii="仿宋_GB2312" w:eastAsia="仿宋_GB2312"/>
                <w:kern w:val="0"/>
                <w:szCs w:val="21"/>
                <w:lang w:eastAsia="zh-CN"/>
              </w:rPr>
              <w:t>目标1：按时完成“一套表”单位月报、季报、年报任务；</w:t>
            </w:r>
          </w:p>
          <w:p>
            <w:pPr>
              <w:widowControl/>
              <w:jc w:val="left"/>
              <w:rPr>
                <w:rFonts w:hint="eastAsia" w:ascii="仿宋_GB2312" w:eastAsia="仿宋_GB2312"/>
                <w:kern w:val="0"/>
                <w:szCs w:val="21"/>
                <w:lang w:eastAsia="zh-CN"/>
              </w:rPr>
            </w:pPr>
            <w:r>
              <w:rPr>
                <w:rFonts w:hint="eastAsia" w:ascii="仿宋_GB2312" w:eastAsia="仿宋_GB2312"/>
                <w:kern w:val="0"/>
                <w:szCs w:val="21"/>
                <w:lang w:eastAsia="zh-CN"/>
              </w:rPr>
              <w:t>目标2：完成规模以下各专业调查任务；</w:t>
            </w:r>
          </w:p>
          <w:p>
            <w:pPr>
              <w:widowControl/>
              <w:jc w:val="left"/>
              <w:rPr>
                <w:rFonts w:hint="eastAsia" w:ascii="仿宋_GB2312" w:eastAsia="仿宋_GB2312"/>
                <w:kern w:val="0"/>
                <w:szCs w:val="21"/>
                <w:lang w:eastAsia="zh-CN"/>
              </w:rPr>
            </w:pPr>
            <w:r>
              <w:rPr>
                <w:rFonts w:hint="eastAsia" w:ascii="仿宋_GB2312" w:eastAsia="仿宋_GB2312"/>
                <w:kern w:val="0"/>
                <w:szCs w:val="21"/>
                <w:lang w:eastAsia="zh-CN"/>
              </w:rPr>
              <w:t>目标3：进一步强化统计监测责任；</w:t>
            </w:r>
          </w:p>
          <w:p>
            <w:pPr>
              <w:widowControl/>
              <w:jc w:val="left"/>
              <w:rPr>
                <w:rFonts w:hint="eastAsia" w:ascii="仿宋_GB2312" w:eastAsia="仿宋_GB2312"/>
                <w:kern w:val="0"/>
                <w:szCs w:val="21"/>
                <w:lang w:eastAsia="zh-CN"/>
              </w:rPr>
            </w:pPr>
            <w:r>
              <w:rPr>
                <w:rFonts w:hint="eastAsia" w:ascii="仿宋_GB2312" w:eastAsia="仿宋_GB2312"/>
                <w:kern w:val="0"/>
                <w:szCs w:val="21"/>
                <w:lang w:eastAsia="zh-CN"/>
              </w:rPr>
              <w:t>目标4：围绕服务经济社会发展，强化分析，将主要经济指标完成情况及时呈送；</w:t>
            </w:r>
          </w:p>
          <w:p>
            <w:pPr>
              <w:widowControl/>
              <w:jc w:val="center"/>
              <w:rPr>
                <w:rFonts w:eastAsia="仿宋_GB2312"/>
                <w:color w:val="000000"/>
                <w:kern w:val="0"/>
                <w:szCs w:val="21"/>
              </w:rPr>
            </w:pPr>
            <w:r>
              <w:rPr>
                <w:rFonts w:hint="eastAsia" w:ascii="仿宋_GB2312" w:eastAsia="仿宋_GB2312"/>
                <w:kern w:val="0"/>
                <w:szCs w:val="21"/>
                <w:lang w:eastAsia="zh-CN"/>
              </w:rPr>
              <w:t>目标5：适时进行经济运行分析，加强对宏观经济运行态势和各项改革进程的跟踪分析，为实现区域经济稳定增长和可持续发展提供有力的统计支撑。</w:t>
            </w:r>
            <w:r>
              <w:rPr>
                <w:rFonts w:eastAsia="仿宋_GB2312"/>
                <w:color w:val="000000"/>
                <w:kern w:val="0"/>
                <w:szCs w:val="21"/>
              </w:rPr>
              <w:t>　　</w:t>
            </w:r>
          </w:p>
        </w:tc>
        <w:tc>
          <w:tcPr>
            <w:tcW w:w="4187" w:type="dxa"/>
            <w:gridSpan w:val="4"/>
            <w:vAlign w:val="center"/>
          </w:tcPr>
          <w:p>
            <w:pPr>
              <w:widowControl/>
              <w:jc w:val="left"/>
              <w:rPr>
                <w:rFonts w:hint="eastAsia" w:ascii="仿宋_GB2312" w:eastAsia="仿宋_GB2312"/>
                <w:kern w:val="0"/>
                <w:szCs w:val="21"/>
                <w:lang w:eastAsia="zh-CN"/>
              </w:rPr>
            </w:pPr>
            <w:r>
              <w:rPr>
                <w:rFonts w:hint="eastAsia" w:ascii="仿宋_GB2312" w:eastAsia="仿宋_GB2312"/>
                <w:kern w:val="0"/>
                <w:szCs w:val="21"/>
                <w:lang w:val="en-US" w:eastAsia="zh-CN"/>
              </w:rPr>
              <w:t>1：</w:t>
            </w:r>
            <w:r>
              <w:rPr>
                <w:rFonts w:hint="eastAsia" w:ascii="仿宋_GB2312" w:eastAsia="仿宋_GB2312"/>
                <w:kern w:val="0"/>
                <w:szCs w:val="21"/>
                <w:lang w:eastAsia="zh-CN"/>
              </w:rPr>
              <w:t>完成了“一套表”单位月报、季报、年报任务；</w:t>
            </w:r>
          </w:p>
          <w:p>
            <w:pPr>
              <w:widowControl/>
              <w:jc w:val="left"/>
              <w:rPr>
                <w:rFonts w:hint="eastAsia" w:ascii="仿宋_GB2312" w:eastAsia="仿宋_GB2312"/>
                <w:kern w:val="0"/>
                <w:szCs w:val="21"/>
                <w:lang w:eastAsia="zh-CN"/>
              </w:rPr>
            </w:pPr>
            <w:r>
              <w:rPr>
                <w:rFonts w:hint="eastAsia" w:ascii="仿宋_GB2312" w:eastAsia="仿宋_GB2312"/>
                <w:kern w:val="0"/>
                <w:szCs w:val="21"/>
                <w:lang w:eastAsia="zh-CN"/>
              </w:rPr>
              <w:t>2：完成</w:t>
            </w:r>
            <w:r>
              <w:rPr>
                <w:rFonts w:hint="eastAsia" w:ascii="仿宋_GB2312" w:eastAsia="仿宋_GB2312"/>
                <w:kern w:val="0"/>
                <w:szCs w:val="21"/>
                <w:lang w:val="en-US" w:eastAsia="zh-CN"/>
              </w:rPr>
              <w:t>了</w:t>
            </w:r>
            <w:r>
              <w:rPr>
                <w:rFonts w:hint="eastAsia" w:ascii="仿宋_GB2312" w:eastAsia="仿宋_GB2312"/>
                <w:kern w:val="0"/>
                <w:szCs w:val="21"/>
                <w:lang w:eastAsia="zh-CN"/>
              </w:rPr>
              <w:t>规模以下各专业调查任务；</w:t>
            </w:r>
          </w:p>
          <w:p>
            <w:pPr>
              <w:widowControl/>
              <w:jc w:val="left"/>
              <w:rPr>
                <w:rFonts w:hint="eastAsia" w:ascii="仿宋_GB2312" w:eastAsia="仿宋_GB2312"/>
                <w:kern w:val="0"/>
                <w:szCs w:val="21"/>
                <w:lang w:eastAsia="zh-CN"/>
              </w:rPr>
            </w:pPr>
            <w:r>
              <w:rPr>
                <w:rFonts w:hint="eastAsia" w:ascii="仿宋_GB2312" w:eastAsia="仿宋_GB2312"/>
                <w:kern w:val="0"/>
                <w:szCs w:val="21"/>
                <w:lang w:eastAsia="zh-CN"/>
              </w:rPr>
              <w:t>3：进一步强化统计监测责任；</w:t>
            </w:r>
          </w:p>
          <w:p>
            <w:pPr>
              <w:widowControl/>
              <w:jc w:val="left"/>
              <w:rPr>
                <w:rFonts w:hint="eastAsia" w:ascii="仿宋_GB2312" w:eastAsia="仿宋_GB2312"/>
                <w:kern w:val="0"/>
                <w:szCs w:val="21"/>
                <w:lang w:eastAsia="zh-CN"/>
              </w:rPr>
            </w:pPr>
            <w:r>
              <w:rPr>
                <w:rFonts w:hint="eastAsia" w:ascii="仿宋_GB2312" w:eastAsia="仿宋_GB2312"/>
                <w:kern w:val="0"/>
                <w:szCs w:val="21"/>
                <w:lang w:eastAsia="zh-CN"/>
              </w:rPr>
              <w:t>4：围绕服务经济社会发展，强化分析，将主要经济指标完成情况及时呈送。</w:t>
            </w:r>
          </w:p>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395"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252"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371" w:type="dxa"/>
            <w:gridSpan w:val="2"/>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038" w:type="dxa"/>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709"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98"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46" w:type="dxa"/>
            <w:vAlign w:val="top"/>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仿宋_GB2312"/>
                <w:color w:val="000000"/>
                <w:kern w:val="0"/>
                <w:szCs w:val="21"/>
              </w:rPr>
            </w:pPr>
          </w:p>
        </w:tc>
        <w:tc>
          <w:tcPr>
            <w:tcW w:w="1395" w:type="dxa"/>
            <w:vMerge w:val="restart"/>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252" w:type="dxa"/>
            <w:vMerge w:val="restart"/>
            <w:vAlign w:val="center"/>
          </w:tcPr>
          <w:p>
            <w:pPr>
              <w:widowControl/>
              <w:jc w:val="center"/>
              <w:rPr>
                <w:rFonts w:eastAsia="仿宋_GB2312"/>
                <w:color w:val="000000"/>
                <w:kern w:val="0"/>
                <w:szCs w:val="21"/>
              </w:rPr>
            </w:pPr>
            <w:r>
              <w:rPr>
                <w:rFonts w:eastAsia="仿宋_GB2312"/>
                <w:color w:val="000000"/>
                <w:kern w:val="0"/>
                <w:szCs w:val="21"/>
              </w:rPr>
              <w:t>数量</w:t>
            </w:r>
          </w:p>
          <w:p>
            <w:pPr>
              <w:widowControl/>
              <w:jc w:val="center"/>
              <w:rPr>
                <w:rFonts w:eastAsia="仿宋_GB2312"/>
                <w:color w:val="000000"/>
                <w:kern w:val="0"/>
                <w:szCs w:val="21"/>
              </w:rPr>
            </w:pPr>
            <w:r>
              <w:rPr>
                <w:rFonts w:eastAsia="仿宋_GB2312"/>
                <w:color w:val="000000"/>
                <w:kern w:val="0"/>
                <w:szCs w:val="21"/>
              </w:rPr>
              <w:t>指标</w:t>
            </w:r>
          </w:p>
        </w:tc>
        <w:tc>
          <w:tcPr>
            <w:tcW w:w="1371" w:type="dxa"/>
            <w:gridSpan w:val="2"/>
            <w:vAlign w:val="center"/>
          </w:tcPr>
          <w:p>
            <w:pPr>
              <w:jc w:val="left"/>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rPr>
              <w:t>按月对“联网直报企业”进行报表监测</w:t>
            </w:r>
          </w:p>
        </w:tc>
        <w:tc>
          <w:tcPr>
            <w:tcW w:w="1038" w:type="dxa"/>
            <w:vAlign w:val="center"/>
          </w:tcPr>
          <w:p>
            <w:pPr>
              <w:jc w:val="center"/>
              <w:rPr>
                <w:rFonts w:hint="default"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企业184家</w:t>
            </w:r>
          </w:p>
        </w:tc>
        <w:tc>
          <w:tcPr>
            <w:tcW w:w="1134" w:type="dxa"/>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100%</w:t>
            </w:r>
          </w:p>
        </w:tc>
        <w:tc>
          <w:tcPr>
            <w:tcW w:w="709" w:type="dxa"/>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898" w:type="dxa"/>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46"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仿宋_GB2312"/>
                <w:color w:val="000000"/>
                <w:kern w:val="0"/>
                <w:szCs w:val="21"/>
              </w:rPr>
            </w:pPr>
          </w:p>
        </w:tc>
        <w:tc>
          <w:tcPr>
            <w:tcW w:w="1395" w:type="dxa"/>
            <w:vMerge w:val="continue"/>
            <w:vAlign w:val="center"/>
          </w:tcPr>
          <w:p>
            <w:pPr>
              <w:jc w:val="left"/>
              <w:rPr>
                <w:rFonts w:eastAsia="仿宋_GB2312"/>
                <w:color w:val="000000"/>
                <w:kern w:val="0"/>
                <w:szCs w:val="21"/>
              </w:rPr>
            </w:pPr>
          </w:p>
        </w:tc>
        <w:tc>
          <w:tcPr>
            <w:tcW w:w="1252" w:type="dxa"/>
            <w:vMerge w:val="continue"/>
            <w:vAlign w:val="center"/>
          </w:tcPr>
          <w:p>
            <w:pPr>
              <w:widowControl/>
              <w:jc w:val="center"/>
              <w:rPr>
                <w:rFonts w:eastAsia="仿宋_GB2312"/>
                <w:color w:val="000000"/>
                <w:kern w:val="0"/>
                <w:szCs w:val="21"/>
              </w:rPr>
            </w:pPr>
          </w:p>
        </w:tc>
        <w:tc>
          <w:tcPr>
            <w:tcW w:w="1371" w:type="dxa"/>
            <w:gridSpan w:val="2"/>
            <w:vAlign w:val="center"/>
          </w:tcPr>
          <w:p>
            <w:pPr>
              <w:jc w:val="left"/>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rPr>
              <w:t>对统计人员进行业务知识培训</w:t>
            </w:r>
          </w:p>
        </w:tc>
        <w:tc>
          <w:tcPr>
            <w:tcW w:w="1038" w:type="dxa"/>
            <w:vAlign w:val="center"/>
          </w:tcPr>
          <w:p>
            <w:pPr>
              <w:jc w:val="center"/>
              <w:rPr>
                <w:rFonts w:hint="default"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650人次</w:t>
            </w:r>
          </w:p>
        </w:tc>
        <w:tc>
          <w:tcPr>
            <w:tcW w:w="1134" w:type="dxa"/>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100%</w:t>
            </w:r>
          </w:p>
        </w:tc>
        <w:tc>
          <w:tcPr>
            <w:tcW w:w="709" w:type="dxa"/>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898" w:type="dxa"/>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46"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仿宋_GB2312"/>
                <w:color w:val="000000"/>
                <w:kern w:val="0"/>
                <w:szCs w:val="21"/>
              </w:rPr>
            </w:pPr>
          </w:p>
        </w:tc>
        <w:tc>
          <w:tcPr>
            <w:tcW w:w="1395" w:type="dxa"/>
            <w:vMerge w:val="continue"/>
            <w:vAlign w:val="center"/>
          </w:tcPr>
          <w:p>
            <w:pPr>
              <w:jc w:val="left"/>
              <w:rPr>
                <w:rFonts w:eastAsia="仿宋_GB2312"/>
                <w:color w:val="000000"/>
                <w:kern w:val="0"/>
                <w:szCs w:val="21"/>
              </w:rPr>
            </w:pPr>
          </w:p>
        </w:tc>
        <w:tc>
          <w:tcPr>
            <w:tcW w:w="1252" w:type="dxa"/>
            <w:vMerge w:val="continue"/>
            <w:vAlign w:val="center"/>
          </w:tcPr>
          <w:p>
            <w:pPr>
              <w:widowControl/>
              <w:jc w:val="center"/>
              <w:rPr>
                <w:rFonts w:eastAsia="仿宋_GB2312"/>
                <w:color w:val="000000"/>
                <w:kern w:val="0"/>
                <w:szCs w:val="21"/>
              </w:rPr>
            </w:pPr>
          </w:p>
        </w:tc>
        <w:tc>
          <w:tcPr>
            <w:tcW w:w="1371" w:type="dxa"/>
            <w:gridSpan w:val="2"/>
            <w:vAlign w:val="center"/>
          </w:tcPr>
          <w:p>
            <w:pPr>
              <w:jc w:val="left"/>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rPr>
              <w:t>开展法治宣传教育，统计法律法规进区直部门、党校、进企业、进社区</w:t>
            </w:r>
          </w:p>
        </w:tc>
        <w:tc>
          <w:tcPr>
            <w:tcW w:w="1038" w:type="dxa"/>
            <w:vAlign w:val="center"/>
          </w:tcPr>
          <w:p>
            <w:pPr>
              <w:jc w:val="center"/>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6次</w:t>
            </w:r>
          </w:p>
        </w:tc>
        <w:tc>
          <w:tcPr>
            <w:tcW w:w="1134" w:type="dxa"/>
            <w:vAlign w:val="center"/>
          </w:tcPr>
          <w:p>
            <w:pPr>
              <w:widowControl/>
              <w:jc w:val="center"/>
              <w:rPr>
                <w:rFonts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100%</w:t>
            </w:r>
          </w:p>
        </w:tc>
        <w:tc>
          <w:tcPr>
            <w:tcW w:w="709" w:type="dxa"/>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898" w:type="dxa"/>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46" w:type="dxa"/>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仿宋_GB2312"/>
                <w:color w:val="000000"/>
                <w:kern w:val="0"/>
                <w:szCs w:val="21"/>
              </w:rPr>
            </w:pPr>
          </w:p>
        </w:tc>
        <w:tc>
          <w:tcPr>
            <w:tcW w:w="1395" w:type="dxa"/>
            <w:vMerge w:val="continue"/>
            <w:vAlign w:val="center"/>
          </w:tcPr>
          <w:p>
            <w:pPr>
              <w:jc w:val="left"/>
              <w:rPr>
                <w:rFonts w:eastAsia="仿宋_GB2312"/>
                <w:color w:val="000000"/>
                <w:kern w:val="0"/>
                <w:szCs w:val="21"/>
              </w:rPr>
            </w:pPr>
          </w:p>
        </w:tc>
        <w:tc>
          <w:tcPr>
            <w:tcW w:w="1252" w:type="dxa"/>
            <w:vMerge w:val="restart"/>
            <w:vAlign w:val="center"/>
          </w:tcPr>
          <w:p>
            <w:pPr>
              <w:widowControl/>
              <w:jc w:val="center"/>
              <w:rPr>
                <w:rFonts w:eastAsia="仿宋_GB2312"/>
                <w:color w:val="000000"/>
                <w:kern w:val="0"/>
                <w:szCs w:val="21"/>
              </w:rPr>
            </w:pPr>
          </w:p>
          <w:p>
            <w:pPr>
              <w:widowControl/>
              <w:jc w:val="center"/>
              <w:rPr>
                <w:rFonts w:eastAsia="仿宋_GB2312"/>
                <w:color w:val="000000"/>
                <w:kern w:val="0"/>
                <w:szCs w:val="21"/>
              </w:rPr>
            </w:pPr>
          </w:p>
          <w:p>
            <w:pPr>
              <w:widowControl/>
              <w:jc w:val="center"/>
              <w:rPr>
                <w:rFonts w:eastAsia="仿宋_GB2312"/>
                <w:color w:val="000000"/>
                <w:kern w:val="0"/>
                <w:szCs w:val="21"/>
              </w:rPr>
            </w:pPr>
          </w:p>
          <w:p>
            <w:pPr>
              <w:widowControl/>
              <w:jc w:val="center"/>
              <w:rPr>
                <w:rFonts w:eastAsia="仿宋_GB2312"/>
                <w:color w:val="000000"/>
                <w:kern w:val="0"/>
                <w:szCs w:val="21"/>
              </w:rPr>
            </w:pPr>
          </w:p>
          <w:p>
            <w:pPr>
              <w:widowControl/>
              <w:jc w:val="center"/>
              <w:rPr>
                <w:rFonts w:eastAsia="仿宋_GB2312"/>
                <w:color w:val="000000"/>
                <w:kern w:val="0"/>
                <w:szCs w:val="21"/>
              </w:rPr>
            </w:pPr>
          </w:p>
          <w:p>
            <w:pPr>
              <w:widowControl/>
              <w:jc w:val="center"/>
              <w:rPr>
                <w:rFonts w:eastAsia="仿宋_GB2312"/>
                <w:color w:val="000000"/>
                <w:kern w:val="0"/>
                <w:szCs w:val="21"/>
              </w:rPr>
            </w:pPr>
            <w:r>
              <w:rPr>
                <w:rFonts w:eastAsia="仿宋_GB2312"/>
                <w:color w:val="000000"/>
                <w:kern w:val="0"/>
                <w:szCs w:val="21"/>
              </w:rPr>
              <w:t>质量</w:t>
            </w:r>
          </w:p>
          <w:p>
            <w:pPr>
              <w:widowControl/>
              <w:jc w:val="center"/>
              <w:rPr>
                <w:rFonts w:eastAsia="仿宋_GB2312"/>
                <w:color w:val="000000"/>
                <w:kern w:val="0"/>
                <w:szCs w:val="21"/>
              </w:rPr>
            </w:pPr>
            <w:r>
              <w:rPr>
                <w:rFonts w:eastAsia="仿宋_GB2312"/>
                <w:color w:val="000000"/>
                <w:kern w:val="0"/>
                <w:szCs w:val="21"/>
              </w:rPr>
              <w:t>指标</w:t>
            </w:r>
          </w:p>
        </w:tc>
        <w:tc>
          <w:tcPr>
            <w:tcW w:w="1371" w:type="dxa"/>
            <w:gridSpan w:val="2"/>
            <w:vAlign w:val="center"/>
          </w:tcPr>
          <w:p>
            <w:pPr>
              <w:jc w:val="left"/>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rPr>
              <w:t>完成GDP、投资、规上工业、社会消费品零售总额等常规统计调查任务</w:t>
            </w:r>
          </w:p>
        </w:tc>
        <w:tc>
          <w:tcPr>
            <w:tcW w:w="1038" w:type="dxa"/>
            <w:vAlign w:val="center"/>
          </w:tcPr>
          <w:p>
            <w:pPr>
              <w:jc w:val="center"/>
              <w:rPr>
                <w:rFonts w:hint="default"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100%</w:t>
            </w:r>
          </w:p>
        </w:tc>
        <w:tc>
          <w:tcPr>
            <w:tcW w:w="1134" w:type="dxa"/>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100%</w:t>
            </w:r>
          </w:p>
        </w:tc>
        <w:tc>
          <w:tcPr>
            <w:tcW w:w="709" w:type="dxa"/>
            <w:vAlign w:val="center"/>
          </w:tcPr>
          <w:p>
            <w:pPr>
              <w:widowControl/>
              <w:jc w:val="center"/>
              <w:rPr>
                <w:rFonts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898" w:type="dxa"/>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46"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仿宋_GB2312"/>
                <w:color w:val="000000"/>
                <w:kern w:val="0"/>
                <w:szCs w:val="21"/>
              </w:rPr>
            </w:pPr>
          </w:p>
        </w:tc>
        <w:tc>
          <w:tcPr>
            <w:tcW w:w="1395" w:type="dxa"/>
            <w:vMerge w:val="continue"/>
            <w:vAlign w:val="center"/>
          </w:tcPr>
          <w:p>
            <w:pPr>
              <w:jc w:val="left"/>
              <w:rPr>
                <w:rFonts w:eastAsia="仿宋_GB2312"/>
                <w:color w:val="000000"/>
                <w:kern w:val="0"/>
                <w:szCs w:val="21"/>
              </w:rPr>
            </w:pPr>
          </w:p>
        </w:tc>
        <w:tc>
          <w:tcPr>
            <w:tcW w:w="1252" w:type="dxa"/>
            <w:vMerge w:val="continue"/>
            <w:vAlign w:val="center"/>
          </w:tcPr>
          <w:p>
            <w:pPr>
              <w:widowControl/>
              <w:jc w:val="center"/>
              <w:rPr>
                <w:rFonts w:eastAsia="仿宋_GB2312"/>
                <w:color w:val="000000"/>
                <w:kern w:val="0"/>
                <w:szCs w:val="21"/>
              </w:rPr>
            </w:pPr>
          </w:p>
        </w:tc>
        <w:tc>
          <w:tcPr>
            <w:tcW w:w="1371" w:type="dxa"/>
            <w:gridSpan w:val="2"/>
            <w:vAlign w:val="center"/>
          </w:tcPr>
          <w:p>
            <w:pPr>
              <w:jc w:val="left"/>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rPr>
              <w:t>完成规模以下工业、限额以下商业、服务业、小微企业的调查任务。</w:t>
            </w:r>
          </w:p>
        </w:tc>
        <w:tc>
          <w:tcPr>
            <w:tcW w:w="1038" w:type="dxa"/>
            <w:vAlign w:val="center"/>
          </w:tcPr>
          <w:p>
            <w:pPr>
              <w:jc w:val="center"/>
              <w:rPr>
                <w:rFonts w:hint="default"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100%</w:t>
            </w:r>
          </w:p>
        </w:tc>
        <w:tc>
          <w:tcPr>
            <w:tcW w:w="1134" w:type="dxa"/>
            <w:vAlign w:val="center"/>
          </w:tcPr>
          <w:p>
            <w:pPr>
              <w:widowControl/>
              <w:jc w:val="center"/>
              <w:rPr>
                <w:rFonts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100%</w:t>
            </w:r>
          </w:p>
        </w:tc>
        <w:tc>
          <w:tcPr>
            <w:tcW w:w="709" w:type="dxa"/>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w:t>
            </w:r>
          </w:p>
        </w:tc>
        <w:tc>
          <w:tcPr>
            <w:tcW w:w="898" w:type="dxa"/>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w:t>
            </w:r>
          </w:p>
        </w:tc>
        <w:tc>
          <w:tcPr>
            <w:tcW w:w="1446"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仿宋_GB2312"/>
                <w:color w:val="000000"/>
                <w:kern w:val="0"/>
                <w:szCs w:val="21"/>
              </w:rPr>
            </w:pPr>
          </w:p>
        </w:tc>
        <w:tc>
          <w:tcPr>
            <w:tcW w:w="1395" w:type="dxa"/>
            <w:vMerge w:val="continue"/>
            <w:vAlign w:val="center"/>
          </w:tcPr>
          <w:p>
            <w:pPr>
              <w:jc w:val="left"/>
              <w:rPr>
                <w:rFonts w:eastAsia="仿宋_GB2312"/>
                <w:color w:val="000000"/>
                <w:kern w:val="0"/>
                <w:szCs w:val="21"/>
              </w:rPr>
            </w:pPr>
          </w:p>
        </w:tc>
        <w:tc>
          <w:tcPr>
            <w:tcW w:w="1252" w:type="dxa"/>
            <w:vAlign w:val="center"/>
          </w:tcPr>
          <w:p>
            <w:pPr>
              <w:widowControl/>
              <w:jc w:val="center"/>
              <w:rPr>
                <w:rFonts w:eastAsia="仿宋_GB2312"/>
                <w:color w:val="000000"/>
                <w:kern w:val="0"/>
                <w:szCs w:val="21"/>
              </w:rPr>
            </w:pPr>
          </w:p>
        </w:tc>
        <w:tc>
          <w:tcPr>
            <w:tcW w:w="1371" w:type="dxa"/>
            <w:gridSpan w:val="2"/>
            <w:vAlign w:val="center"/>
          </w:tcPr>
          <w:p>
            <w:pPr>
              <w:jc w:val="center"/>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rPr>
              <w:t>按时完成“一套表”单位月报、季报、年报任务</w:t>
            </w:r>
          </w:p>
        </w:tc>
        <w:tc>
          <w:tcPr>
            <w:tcW w:w="1038" w:type="dxa"/>
            <w:vAlign w:val="center"/>
          </w:tcPr>
          <w:p>
            <w:pPr>
              <w:jc w:val="center"/>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100%</w:t>
            </w:r>
          </w:p>
        </w:tc>
        <w:tc>
          <w:tcPr>
            <w:tcW w:w="1134" w:type="dxa"/>
            <w:vAlign w:val="center"/>
          </w:tcPr>
          <w:p>
            <w:pPr>
              <w:widowControl/>
              <w:jc w:val="center"/>
              <w:rPr>
                <w:rFonts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100%</w:t>
            </w:r>
          </w:p>
        </w:tc>
        <w:tc>
          <w:tcPr>
            <w:tcW w:w="709" w:type="dxa"/>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898" w:type="dxa"/>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46" w:type="dxa"/>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仿宋_GB2312"/>
                <w:color w:val="000000"/>
                <w:kern w:val="0"/>
                <w:szCs w:val="21"/>
              </w:rPr>
            </w:pPr>
          </w:p>
        </w:tc>
        <w:tc>
          <w:tcPr>
            <w:tcW w:w="1395" w:type="dxa"/>
            <w:vMerge w:val="continue"/>
            <w:vAlign w:val="center"/>
          </w:tcPr>
          <w:p>
            <w:pPr>
              <w:jc w:val="left"/>
              <w:rPr>
                <w:rFonts w:eastAsia="仿宋_GB2312"/>
                <w:color w:val="000000"/>
                <w:kern w:val="0"/>
                <w:szCs w:val="21"/>
              </w:rPr>
            </w:pPr>
          </w:p>
        </w:tc>
        <w:tc>
          <w:tcPr>
            <w:tcW w:w="1252" w:type="dxa"/>
            <w:vMerge w:val="restart"/>
            <w:vAlign w:val="center"/>
          </w:tcPr>
          <w:p>
            <w:pPr>
              <w:widowControl/>
              <w:jc w:val="center"/>
              <w:rPr>
                <w:rFonts w:eastAsia="仿宋_GB2312"/>
                <w:color w:val="000000"/>
                <w:kern w:val="0"/>
                <w:szCs w:val="21"/>
              </w:rPr>
            </w:pPr>
            <w:r>
              <w:rPr>
                <w:rFonts w:eastAsia="仿宋_GB2312"/>
                <w:color w:val="000000"/>
                <w:kern w:val="0"/>
                <w:szCs w:val="21"/>
              </w:rPr>
              <w:t>时效</w:t>
            </w:r>
          </w:p>
          <w:p>
            <w:pPr>
              <w:widowControl/>
              <w:jc w:val="center"/>
              <w:rPr>
                <w:rFonts w:eastAsia="仿宋_GB2312"/>
                <w:color w:val="000000"/>
                <w:kern w:val="0"/>
                <w:szCs w:val="21"/>
              </w:rPr>
            </w:pPr>
            <w:r>
              <w:rPr>
                <w:rFonts w:eastAsia="仿宋_GB2312"/>
                <w:color w:val="000000"/>
                <w:kern w:val="0"/>
                <w:szCs w:val="21"/>
              </w:rPr>
              <w:t>指标</w:t>
            </w:r>
          </w:p>
        </w:tc>
        <w:tc>
          <w:tcPr>
            <w:tcW w:w="1371" w:type="dxa"/>
            <w:gridSpan w:val="2"/>
            <w:vAlign w:val="center"/>
          </w:tcPr>
          <w:p>
            <w:pPr>
              <w:jc w:val="left"/>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lang w:eastAsia="zh-CN"/>
              </w:rPr>
              <w:t>人员经费</w:t>
            </w:r>
            <w:r>
              <w:rPr>
                <w:rFonts w:hint="eastAsia" w:ascii="仿宋_GB2312" w:eastAsia="仿宋_GB2312"/>
                <w:kern w:val="0"/>
                <w:szCs w:val="21"/>
                <w:lang w:val="en-US" w:eastAsia="zh-CN"/>
              </w:rPr>
              <w:t>115.35万元，公用经费12.8万元。</w:t>
            </w:r>
          </w:p>
        </w:tc>
        <w:tc>
          <w:tcPr>
            <w:tcW w:w="1038" w:type="dxa"/>
            <w:vAlign w:val="center"/>
          </w:tcPr>
          <w:p>
            <w:pPr>
              <w:jc w:val="center"/>
              <w:rPr>
                <w:rFonts w:hint="default"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128.15</w:t>
            </w:r>
          </w:p>
        </w:tc>
        <w:tc>
          <w:tcPr>
            <w:tcW w:w="1134" w:type="dxa"/>
            <w:vAlign w:val="center"/>
          </w:tcPr>
          <w:p>
            <w:pPr>
              <w:widowControl/>
              <w:jc w:val="center"/>
              <w:rPr>
                <w:rFonts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100%</w:t>
            </w:r>
          </w:p>
        </w:tc>
        <w:tc>
          <w:tcPr>
            <w:tcW w:w="709" w:type="dxa"/>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898" w:type="dxa"/>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46"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仿宋_GB2312"/>
                <w:color w:val="000000"/>
                <w:kern w:val="0"/>
                <w:szCs w:val="21"/>
              </w:rPr>
            </w:pPr>
          </w:p>
        </w:tc>
        <w:tc>
          <w:tcPr>
            <w:tcW w:w="1395" w:type="dxa"/>
            <w:vMerge w:val="continue"/>
            <w:vAlign w:val="center"/>
          </w:tcPr>
          <w:p>
            <w:pPr>
              <w:jc w:val="left"/>
              <w:rPr>
                <w:rFonts w:eastAsia="仿宋_GB2312"/>
                <w:color w:val="000000"/>
                <w:kern w:val="0"/>
                <w:szCs w:val="21"/>
              </w:rPr>
            </w:pPr>
          </w:p>
        </w:tc>
        <w:tc>
          <w:tcPr>
            <w:tcW w:w="1252" w:type="dxa"/>
            <w:vMerge w:val="continue"/>
            <w:vAlign w:val="center"/>
          </w:tcPr>
          <w:p>
            <w:pPr>
              <w:widowControl/>
              <w:jc w:val="center"/>
              <w:rPr>
                <w:rFonts w:eastAsia="仿宋_GB2312"/>
                <w:color w:val="000000"/>
                <w:kern w:val="0"/>
                <w:szCs w:val="21"/>
              </w:rPr>
            </w:pPr>
          </w:p>
        </w:tc>
        <w:tc>
          <w:tcPr>
            <w:tcW w:w="1371" w:type="dxa"/>
            <w:gridSpan w:val="2"/>
            <w:vAlign w:val="center"/>
          </w:tcPr>
          <w:p>
            <w:pPr>
              <w:jc w:val="left"/>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lang w:eastAsia="zh-CN"/>
              </w:rPr>
              <w:t>联网直报经费</w:t>
            </w:r>
            <w:r>
              <w:rPr>
                <w:rFonts w:hint="eastAsia" w:ascii="仿宋_GB2312" w:eastAsia="仿宋_GB2312"/>
                <w:kern w:val="0"/>
                <w:szCs w:val="21"/>
                <w:lang w:val="en-US" w:eastAsia="zh-CN"/>
              </w:rPr>
              <w:t>20万元。</w:t>
            </w:r>
          </w:p>
        </w:tc>
        <w:tc>
          <w:tcPr>
            <w:tcW w:w="1038" w:type="dxa"/>
            <w:vAlign w:val="center"/>
          </w:tcPr>
          <w:p>
            <w:pPr>
              <w:jc w:val="center"/>
              <w:rPr>
                <w:rFonts w:hint="default"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20万元</w:t>
            </w:r>
          </w:p>
        </w:tc>
        <w:tc>
          <w:tcPr>
            <w:tcW w:w="1134" w:type="dxa"/>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100%</w:t>
            </w:r>
          </w:p>
        </w:tc>
        <w:tc>
          <w:tcPr>
            <w:tcW w:w="709" w:type="dxa"/>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898" w:type="dxa"/>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46"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仿宋_GB2312"/>
                <w:color w:val="000000"/>
                <w:kern w:val="0"/>
                <w:szCs w:val="21"/>
              </w:rPr>
            </w:pPr>
          </w:p>
        </w:tc>
        <w:tc>
          <w:tcPr>
            <w:tcW w:w="1395" w:type="dxa"/>
            <w:vMerge w:val="continue"/>
            <w:vAlign w:val="center"/>
          </w:tcPr>
          <w:p>
            <w:pPr>
              <w:jc w:val="left"/>
              <w:rPr>
                <w:rFonts w:eastAsia="仿宋_GB2312"/>
                <w:color w:val="000000"/>
                <w:kern w:val="0"/>
                <w:szCs w:val="21"/>
              </w:rPr>
            </w:pPr>
          </w:p>
        </w:tc>
        <w:tc>
          <w:tcPr>
            <w:tcW w:w="1252" w:type="dxa"/>
            <w:vMerge w:val="continue"/>
            <w:vAlign w:val="center"/>
          </w:tcPr>
          <w:p>
            <w:pPr>
              <w:widowControl/>
              <w:jc w:val="center"/>
              <w:rPr>
                <w:rFonts w:eastAsia="仿宋_GB2312"/>
                <w:color w:val="000000"/>
                <w:kern w:val="0"/>
                <w:szCs w:val="21"/>
              </w:rPr>
            </w:pPr>
          </w:p>
        </w:tc>
        <w:tc>
          <w:tcPr>
            <w:tcW w:w="1371" w:type="dxa"/>
            <w:gridSpan w:val="2"/>
            <w:vAlign w:val="center"/>
          </w:tcPr>
          <w:p>
            <w:pPr>
              <w:jc w:val="left"/>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lang w:eastAsia="zh-CN"/>
              </w:rPr>
              <w:t>经济普查</w:t>
            </w:r>
            <w:r>
              <w:rPr>
                <w:rFonts w:hint="eastAsia" w:ascii="仿宋_GB2312" w:eastAsia="仿宋_GB2312"/>
                <w:kern w:val="0"/>
                <w:szCs w:val="21"/>
                <w:lang w:val="en-US" w:eastAsia="zh-CN"/>
              </w:rPr>
              <w:t>工作经费70万元</w:t>
            </w:r>
          </w:p>
        </w:tc>
        <w:tc>
          <w:tcPr>
            <w:tcW w:w="1038" w:type="dxa"/>
            <w:vAlign w:val="center"/>
          </w:tcPr>
          <w:p>
            <w:pPr>
              <w:jc w:val="center"/>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70万元</w:t>
            </w:r>
          </w:p>
        </w:tc>
        <w:tc>
          <w:tcPr>
            <w:tcW w:w="1134" w:type="dxa"/>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100%</w:t>
            </w:r>
          </w:p>
        </w:tc>
        <w:tc>
          <w:tcPr>
            <w:tcW w:w="709" w:type="dxa"/>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898" w:type="dxa"/>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46" w:type="dxa"/>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仿宋_GB2312"/>
                <w:color w:val="000000"/>
                <w:kern w:val="0"/>
                <w:szCs w:val="21"/>
              </w:rPr>
            </w:pPr>
          </w:p>
        </w:tc>
        <w:tc>
          <w:tcPr>
            <w:tcW w:w="1395" w:type="dxa"/>
            <w:vMerge w:val="continue"/>
            <w:vAlign w:val="center"/>
          </w:tcPr>
          <w:p>
            <w:pPr>
              <w:jc w:val="left"/>
              <w:rPr>
                <w:rFonts w:eastAsia="仿宋_GB2312"/>
                <w:color w:val="000000"/>
                <w:kern w:val="0"/>
                <w:szCs w:val="21"/>
              </w:rPr>
            </w:pPr>
          </w:p>
        </w:tc>
        <w:tc>
          <w:tcPr>
            <w:tcW w:w="1252" w:type="dxa"/>
            <w:vMerge w:val="continue"/>
            <w:vAlign w:val="center"/>
          </w:tcPr>
          <w:p>
            <w:pPr>
              <w:widowControl/>
              <w:jc w:val="center"/>
              <w:rPr>
                <w:rFonts w:eastAsia="仿宋_GB2312"/>
                <w:color w:val="000000"/>
                <w:kern w:val="0"/>
                <w:szCs w:val="21"/>
              </w:rPr>
            </w:pPr>
          </w:p>
        </w:tc>
        <w:tc>
          <w:tcPr>
            <w:tcW w:w="1371" w:type="dxa"/>
            <w:gridSpan w:val="2"/>
            <w:vAlign w:val="center"/>
          </w:tcPr>
          <w:p>
            <w:pPr>
              <w:jc w:val="left"/>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企业入统项目经费60万元</w:t>
            </w:r>
          </w:p>
        </w:tc>
        <w:tc>
          <w:tcPr>
            <w:tcW w:w="1038" w:type="dxa"/>
            <w:vAlign w:val="center"/>
          </w:tcPr>
          <w:p>
            <w:pPr>
              <w:jc w:val="center"/>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60万元</w:t>
            </w:r>
          </w:p>
        </w:tc>
        <w:tc>
          <w:tcPr>
            <w:tcW w:w="1134" w:type="dxa"/>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100%</w:t>
            </w:r>
          </w:p>
        </w:tc>
        <w:tc>
          <w:tcPr>
            <w:tcW w:w="709" w:type="dxa"/>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 w:val="21"/>
                <w:szCs w:val="21"/>
                <w:lang w:val="en-US" w:eastAsia="zh-CN" w:bidi="ar-SA"/>
              </w:rPr>
              <w:t>5</w:t>
            </w:r>
          </w:p>
        </w:tc>
        <w:tc>
          <w:tcPr>
            <w:tcW w:w="898" w:type="dxa"/>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46" w:type="dxa"/>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仿宋_GB2312"/>
                <w:color w:val="000000"/>
                <w:kern w:val="0"/>
                <w:szCs w:val="21"/>
              </w:rPr>
            </w:pPr>
          </w:p>
        </w:tc>
        <w:tc>
          <w:tcPr>
            <w:tcW w:w="1395" w:type="dxa"/>
            <w:vMerge w:val="continue"/>
            <w:vAlign w:val="center"/>
          </w:tcPr>
          <w:p>
            <w:pPr>
              <w:jc w:val="left"/>
              <w:rPr>
                <w:rFonts w:eastAsia="仿宋_GB2312"/>
                <w:color w:val="000000"/>
                <w:kern w:val="0"/>
                <w:szCs w:val="21"/>
              </w:rPr>
            </w:pPr>
          </w:p>
        </w:tc>
        <w:tc>
          <w:tcPr>
            <w:tcW w:w="1252" w:type="dxa"/>
            <w:vMerge w:val="restart"/>
            <w:vAlign w:val="center"/>
          </w:tcPr>
          <w:p>
            <w:pPr>
              <w:widowControl/>
              <w:jc w:val="center"/>
              <w:rPr>
                <w:rFonts w:eastAsia="仿宋_GB2312"/>
                <w:color w:val="000000"/>
                <w:kern w:val="0"/>
                <w:szCs w:val="21"/>
              </w:rPr>
            </w:pPr>
            <w:r>
              <w:rPr>
                <w:rFonts w:eastAsia="仿宋_GB2312"/>
                <w:color w:val="000000"/>
                <w:kern w:val="0"/>
                <w:szCs w:val="21"/>
              </w:rPr>
              <w:t>成本</w:t>
            </w:r>
          </w:p>
          <w:p>
            <w:pPr>
              <w:widowControl/>
              <w:jc w:val="center"/>
              <w:rPr>
                <w:rFonts w:eastAsia="仿宋_GB2312"/>
                <w:color w:val="000000"/>
                <w:kern w:val="0"/>
                <w:szCs w:val="21"/>
              </w:rPr>
            </w:pPr>
            <w:r>
              <w:rPr>
                <w:rFonts w:eastAsia="仿宋_GB2312"/>
                <w:color w:val="000000"/>
                <w:kern w:val="0"/>
                <w:szCs w:val="21"/>
              </w:rPr>
              <w:t>指标</w:t>
            </w:r>
          </w:p>
        </w:tc>
        <w:tc>
          <w:tcPr>
            <w:tcW w:w="1371" w:type="dxa"/>
            <w:gridSpan w:val="2"/>
            <w:vAlign w:val="center"/>
          </w:tcPr>
          <w:p>
            <w:pPr>
              <w:jc w:val="left"/>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lang w:eastAsia="zh-CN"/>
              </w:rPr>
              <w:t>按时完成相关统计报表</w:t>
            </w:r>
          </w:p>
        </w:tc>
        <w:tc>
          <w:tcPr>
            <w:tcW w:w="1038" w:type="dxa"/>
            <w:vAlign w:val="center"/>
          </w:tcPr>
          <w:p>
            <w:pPr>
              <w:jc w:val="center"/>
              <w:rPr>
                <w:rFonts w:hint="default" w:ascii="仿宋_GB2312" w:hAnsi="Calibri" w:eastAsia="仿宋_GB2312" w:cs="Times New Roman"/>
                <w:kern w:val="0"/>
                <w:sz w:val="21"/>
                <w:szCs w:val="21"/>
                <w:lang w:val="en-US" w:eastAsia="zh-CN" w:bidi="ar-SA"/>
              </w:rPr>
            </w:pPr>
            <w:r>
              <w:rPr>
                <w:rFonts w:hint="eastAsia" w:ascii="仿宋_GB2312" w:eastAsia="仿宋_GB2312"/>
                <w:kern w:val="0"/>
                <w:szCs w:val="21"/>
                <w:lang w:eastAsia="zh-CN"/>
              </w:rPr>
              <w:t>每月、每季度</w:t>
            </w:r>
          </w:p>
        </w:tc>
        <w:tc>
          <w:tcPr>
            <w:tcW w:w="1134" w:type="dxa"/>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100%</w:t>
            </w:r>
          </w:p>
        </w:tc>
        <w:tc>
          <w:tcPr>
            <w:tcW w:w="709" w:type="dxa"/>
            <w:vAlign w:val="center"/>
          </w:tcPr>
          <w:p>
            <w:pPr>
              <w:widowControl/>
              <w:jc w:val="center"/>
              <w:rPr>
                <w:rFonts w:eastAsia="仿宋_GB2312"/>
                <w:color w:val="000000"/>
                <w:kern w:val="0"/>
                <w:szCs w:val="21"/>
              </w:rPr>
            </w:pPr>
          </w:p>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898" w:type="dxa"/>
            <w:vAlign w:val="center"/>
          </w:tcPr>
          <w:p>
            <w:pPr>
              <w:widowControl/>
              <w:jc w:val="center"/>
              <w:rPr>
                <w:rFonts w:eastAsia="仿宋_GB2312"/>
                <w:color w:val="000000"/>
                <w:kern w:val="0"/>
                <w:szCs w:val="21"/>
              </w:rPr>
            </w:pPr>
          </w:p>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46"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仿宋_GB2312"/>
                <w:color w:val="000000"/>
                <w:kern w:val="0"/>
                <w:szCs w:val="21"/>
              </w:rPr>
            </w:pPr>
          </w:p>
        </w:tc>
        <w:tc>
          <w:tcPr>
            <w:tcW w:w="1395" w:type="dxa"/>
            <w:vMerge w:val="continue"/>
            <w:vAlign w:val="center"/>
          </w:tcPr>
          <w:p>
            <w:pPr>
              <w:widowControl/>
              <w:jc w:val="left"/>
              <w:rPr>
                <w:rFonts w:eastAsia="仿宋_GB2312"/>
                <w:color w:val="000000"/>
                <w:kern w:val="0"/>
                <w:szCs w:val="21"/>
              </w:rPr>
            </w:pPr>
          </w:p>
        </w:tc>
        <w:tc>
          <w:tcPr>
            <w:tcW w:w="1252" w:type="dxa"/>
            <w:vMerge w:val="continue"/>
            <w:vAlign w:val="center"/>
          </w:tcPr>
          <w:p>
            <w:pPr>
              <w:widowControl/>
              <w:jc w:val="left"/>
              <w:rPr>
                <w:rFonts w:eastAsia="仿宋_GB2312"/>
                <w:color w:val="000000"/>
                <w:kern w:val="0"/>
                <w:szCs w:val="21"/>
              </w:rPr>
            </w:pPr>
          </w:p>
        </w:tc>
        <w:tc>
          <w:tcPr>
            <w:tcW w:w="1371" w:type="dxa"/>
            <w:gridSpan w:val="2"/>
            <w:vAlign w:val="center"/>
          </w:tcPr>
          <w:p>
            <w:pPr>
              <w:jc w:val="center"/>
              <w:rPr>
                <w:rFonts w:hint="default" w:ascii="仿宋_GB2312" w:hAnsi="Calibri" w:eastAsia="仿宋_GB2312" w:cs="Times New Roman"/>
                <w:kern w:val="0"/>
                <w:sz w:val="21"/>
                <w:szCs w:val="21"/>
                <w:lang w:val="en-US" w:eastAsia="zh-CN" w:bidi="ar-SA"/>
              </w:rPr>
            </w:pPr>
            <w:r>
              <w:rPr>
                <w:rFonts w:hint="eastAsia" w:ascii="仿宋_GB2312" w:eastAsia="仿宋_GB2312"/>
                <w:kern w:val="0"/>
                <w:szCs w:val="21"/>
              </w:rPr>
              <w:t>按时完成统计调查任务</w:t>
            </w:r>
          </w:p>
        </w:tc>
        <w:tc>
          <w:tcPr>
            <w:tcW w:w="1038" w:type="dxa"/>
            <w:vAlign w:val="center"/>
          </w:tcPr>
          <w:p>
            <w:pPr>
              <w:jc w:val="center"/>
              <w:rPr>
                <w:rFonts w:hint="default" w:ascii="仿宋_GB2312" w:hAnsi="Calibri" w:eastAsia="仿宋_GB2312" w:cs="Times New Roman"/>
                <w:kern w:val="0"/>
                <w:sz w:val="21"/>
                <w:szCs w:val="21"/>
                <w:lang w:val="en-US" w:eastAsia="zh-CN" w:bidi="ar-SA"/>
              </w:rPr>
            </w:pPr>
            <w:r>
              <w:rPr>
                <w:rFonts w:hint="eastAsia" w:ascii="仿宋_GB2312" w:eastAsia="仿宋_GB2312"/>
                <w:kern w:val="0"/>
                <w:szCs w:val="21"/>
                <w:lang w:eastAsia="zh-CN"/>
              </w:rPr>
              <w:t>每月、每季度</w:t>
            </w:r>
          </w:p>
        </w:tc>
        <w:tc>
          <w:tcPr>
            <w:tcW w:w="1134" w:type="dxa"/>
            <w:vAlign w:val="center"/>
          </w:tcPr>
          <w:p>
            <w:pPr>
              <w:widowControl/>
              <w:jc w:val="center"/>
              <w:rPr>
                <w:rFonts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100%</w:t>
            </w:r>
          </w:p>
        </w:tc>
        <w:tc>
          <w:tcPr>
            <w:tcW w:w="709" w:type="dxa"/>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898" w:type="dxa"/>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46"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仿宋_GB2312"/>
                <w:color w:val="000000"/>
                <w:kern w:val="0"/>
                <w:szCs w:val="21"/>
              </w:rPr>
            </w:pPr>
          </w:p>
        </w:tc>
        <w:tc>
          <w:tcPr>
            <w:tcW w:w="1395" w:type="dxa"/>
            <w:vMerge w:val="restart"/>
            <w:vAlign w:val="center"/>
          </w:tcPr>
          <w:p>
            <w:pPr>
              <w:widowControl/>
              <w:jc w:val="center"/>
              <w:rPr>
                <w:rFonts w:eastAsia="仿宋_GB2312"/>
                <w:color w:val="000000"/>
                <w:kern w:val="0"/>
                <w:szCs w:val="21"/>
              </w:rPr>
            </w:pPr>
            <w:r>
              <w:rPr>
                <w:rFonts w:eastAsia="仿宋_GB2312"/>
                <w:color w:val="000000"/>
                <w:kern w:val="0"/>
                <w:szCs w:val="21"/>
              </w:rPr>
              <w:t>效益指标</w:t>
            </w:r>
          </w:p>
          <w:p>
            <w:pPr>
              <w:widowControl/>
              <w:ind w:firstLine="210" w:firstLineChars="100"/>
              <w:jc w:val="left"/>
              <w:rPr>
                <w:rFonts w:eastAsia="仿宋_GB2312"/>
                <w:color w:val="000000"/>
                <w:kern w:val="0"/>
                <w:szCs w:val="21"/>
              </w:rPr>
            </w:pPr>
            <w:r>
              <w:rPr>
                <w:rFonts w:eastAsia="仿宋_GB2312"/>
                <w:color w:val="000000"/>
                <w:kern w:val="0"/>
                <w:szCs w:val="21"/>
              </w:rPr>
              <w:t>（30分）　</w:t>
            </w:r>
          </w:p>
        </w:tc>
        <w:tc>
          <w:tcPr>
            <w:tcW w:w="1252" w:type="dxa"/>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371" w:type="dxa"/>
            <w:gridSpan w:val="2"/>
            <w:vAlign w:val="center"/>
          </w:tcPr>
          <w:p>
            <w:pPr>
              <w:jc w:val="center"/>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rPr>
              <w:t>为国民经济和社会发展规划提供数据</w:t>
            </w:r>
          </w:p>
        </w:tc>
        <w:tc>
          <w:tcPr>
            <w:tcW w:w="1038" w:type="dxa"/>
            <w:vAlign w:val="center"/>
          </w:tcPr>
          <w:p>
            <w:pPr>
              <w:jc w:val="center"/>
              <w:rPr>
                <w:rFonts w:hint="default"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100%</w:t>
            </w:r>
          </w:p>
        </w:tc>
        <w:tc>
          <w:tcPr>
            <w:tcW w:w="1134" w:type="dxa"/>
            <w:vAlign w:val="center"/>
          </w:tcPr>
          <w:p>
            <w:pPr>
              <w:widowControl/>
              <w:jc w:val="center"/>
              <w:rPr>
                <w:rFonts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100%</w:t>
            </w:r>
          </w:p>
        </w:tc>
        <w:tc>
          <w:tcPr>
            <w:tcW w:w="709" w:type="dxa"/>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898" w:type="dxa"/>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46"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vAlign w:val="center"/>
          </w:tcPr>
          <w:p>
            <w:pPr>
              <w:jc w:val="center"/>
              <w:rPr>
                <w:rFonts w:eastAsia="仿宋_GB2312"/>
                <w:color w:val="000000"/>
                <w:kern w:val="0"/>
                <w:szCs w:val="21"/>
              </w:rPr>
            </w:pPr>
          </w:p>
        </w:tc>
        <w:tc>
          <w:tcPr>
            <w:tcW w:w="1395" w:type="dxa"/>
            <w:vMerge w:val="continue"/>
            <w:vAlign w:val="center"/>
          </w:tcPr>
          <w:p>
            <w:pPr>
              <w:jc w:val="left"/>
              <w:rPr>
                <w:rFonts w:eastAsia="仿宋_GB2312"/>
                <w:color w:val="000000"/>
                <w:kern w:val="0"/>
                <w:szCs w:val="21"/>
              </w:rPr>
            </w:pPr>
          </w:p>
        </w:tc>
        <w:tc>
          <w:tcPr>
            <w:tcW w:w="1252" w:type="dxa"/>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371" w:type="dxa"/>
            <w:gridSpan w:val="2"/>
            <w:vAlign w:val="center"/>
          </w:tcPr>
          <w:p>
            <w:pPr>
              <w:jc w:val="center"/>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rPr>
              <w:t>节约开支，降低机构运行费用</w:t>
            </w:r>
          </w:p>
        </w:tc>
        <w:tc>
          <w:tcPr>
            <w:tcW w:w="1038" w:type="dxa"/>
            <w:vAlign w:val="center"/>
          </w:tcPr>
          <w:p>
            <w:pPr>
              <w:jc w:val="center"/>
              <w:rPr>
                <w:rFonts w:hint="default"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100%</w:t>
            </w:r>
          </w:p>
        </w:tc>
        <w:tc>
          <w:tcPr>
            <w:tcW w:w="1134" w:type="dxa"/>
            <w:vAlign w:val="center"/>
          </w:tcPr>
          <w:p>
            <w:pPr>
              <w:widowControl/>
              <w:jc w:val="center"/>
              <w:rPr>
                <w:rFonts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90%</w:t>
            </w:r>
          </w:p>
        </w:tc>
        <w:tc>
          <w:tcPr>
            <w:tcW w:w="709" w:type="dxa"/>
            <w:vAlign w:val="center"/>
          </w:tcPr>
          <w:p>
            <w:pPr>
              <w:widowControl/>
              <w:jc w:val="center"/>
              <w:rPr>
                <w:rFonts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w:t>
            </w:r>
          </w:p>
        </w:tc>
        <w:tc>
          <w:tcPr>
            <w:tcW w:w="898" w:type="dxa"/>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8</w:t>
            </w:r>
          </w:p>
        </w:tc>
        <w:tc>
          <w:tcPr>
            <w:tcW w:w="1446"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仿宋_GB2312"/>
                <w:color w:val="000000"/>
                <w:kern w:val="0"/>
                <w:szCs w:val="21"/>
              </w:rPr>
            </w:pPr>
          </w:p>
        </w:tc>
        <w:tc>
          <w:tcPr>
            <w:tcW w:w="1395" w:type="dxa"/>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jc w:val="left"/>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w:t>
            </w:r>
            <w:r>
              <w:rPr>
                <w:rFonts w:eastAsia="仿宋_GB2312"/>
                <w:color w:val="000000"/>
                <w:kern w:val="0"/>
                <w:szCs w:val="21"/>
              </w:rPr>
              <w:t>0分）</w:t>
            </w:r>
          </w:p>
        </w:tc>
        <w:tc>
          <w:tcPr>
            <w:tcW w:w="1252" w:type="dxa"/>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371" w:type="dxa"/>
            <w:gridSpan w:val="2"/>
            <w:vAlign w:val="center"/>
          </w:tcPr>
          <w:p>
            <w:pPr>
              <w:jc w:val="center"/>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rPr>
              <w:t>主要普查数据得到社会认可</w:t>
            </w:r>
          </w:p>
        </w:tc>
        <w:tc>
          <w:tcPr>
            <w:tcW w:w="1038" w:type="dxa"/>
            <w:vAlign w:val="center"/>
          </w:tcPr>
          <w:p>
            <w:pPr>
              <w:jc w:val="center"/>
              <w:rPr>
                <w:rFonts w:hint="default"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95%</w:t>
            </w:r>
          </w:p>
        </w:tc>
        <w:tc>
          <w:tcPr>
            <w:tcW w:w="1134"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90%</w:t>
            </w:r>
          </w:p>
        </w:tc>
        <w:tc>
          <w:tcPr>
            <w:tcW w:w="709" w:type="dxa"/>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20</w:t>
            </w:r>
            <w:r>
              <w:rPr>
                <w:rFonts w:eastAsia="仿宋_GB2312"/>
                <w:color w:val="000000"/>
                <w:kern w:val="0"/>
                <w:szCs w:val="21"/>
              </w:rPr>
              <w:t>　</w:t>
            </w:r>
          </w:p>
        </w:tc>
        <w:tc>
          <w:tcPr>
            <w:tcW w:w="898"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15</w:t>
            </w:r>
          </w:p>
        </w:tc>
        <w:tc>
          <w:tcPr>
            <w:tcW w:w="1446"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0" w:type="dxa"/>
            <w:gridSpan w:val="7"/>
            <w:vAlign w:val="center"/>
          </w:tcPr>
          <w:p>
            <w:pPr>
              <w:widowControl/>
              <w:jc w:val="center"/>
              <w:rPr>
                <w:rFonts w:eastAsia="仿宋_GB2312"/>
                <w:color w:val="000000"/>
                <w:kern w:val="0"/>
                <w:szCs w:val="21"/>
              </w:rPr>
            </w:pPr>
            <w:r>
              <w:rPr>
                <w:rFonts w:eastAsia="仿宋_GB2312"/>
                <w:color w:val="000000"/>
                <w:kern w:val="0"/>
                <w:szCs w:val="21"/>
              </w:rPr>
              <w:t>总分</w:t>
            </w:r>
          </w:p>
        </w:tc>
        <w:tc>
          <w:tcPr>
            <w:tcW w:w="709" w:type="dxa"/>
            <w:vAlign w:val="center"/>
          </w:tcPr>
          <w:p>
            <w:pPr>
              <w:widowControl/>
              <w:jc w:val="center"/>
              <w:rPr>
                <w:rFonts w:eastAsia="仿宋_GB2312"/>
                <w:color w:val="000000"/>
                <w:kern w:val="0"/>
                <w:szCs w:val="21"/>
              </w:rPr>
            </w:pPr>
            <w:r>
              <w:rPr>
                <w:rFonts w:eastAsia="仿宋_GB2312"/>
                <w:color w:val="000000"/>
                <w:kern w:val="0"/>
                <w:szCs w:val="21"/>
              </w:rPr>
              <w:t>100</w:t>
            </w:r>
          </w:p>
        </w:tc>
        <w:tc>
          <w:tcPr>
            <w:tcW w:w="898"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93</w:t>
            </w:r>
          </w:p>
        </w:tc>
        <w:tc>
          <w:tcPr>
            <w:tcW w:w="1446" w:type="dxa"/>
            <w:vAlign w:val="center"/>
          </w:tcPr>
          <w:p>
            <w:pPr>
              <w:widowControl/>
              <w:jc w:val="left"/>
              <w:rPr>
                <w:rFonts w:eastAsia="仿宋_GB2312"/>
                <w:color w:val="000000"/>
                <w:kern w:val="0"/>
                <w:szCs w:val="21"/>
              </w:rPr>
            </w:pPr>
            <w:r>
              <w:rPr>
                <w:rFonts w:eastAsia="仿宋_GB2312"/>
                <w:color w:val="000000"/>
                <w:kern w:val="0"/>
                <w:szCs w:val="21"/>
              </w:rPr>
              <w:t>　</w:t>
            </w:r>
          </w:p>
        </w:tc>
      </w:tr>
    </w:tbl>
    <w:p>
      <w:pPr>
        <w:widowControl/>
        <w:jc w:val="left"/>
        <w:rPr>
          <w:rFonts w:eastAsia="黑体"/>
          <w:sz w:val="32"/>
          <w:szCs w:val="32"/>
        </w:rPr>
      </w:pPr>
    </w:p>
    <w:p>
      <w:pPr>
        <w:widowControl/>
        <w:jc w:val="both"/>
        <w:rPr>
          <w:rFonts w:eastAsia="方正小标宋_GBK"/>
          <w:color w:val="000000"/>
          <w:kern w:val="0"/>
          <w:sz w:val="36"/>
          <w:szCs w:val="36"/>
        </w:rPr>
      </w:pPr>
    </w:p>
    <w:p>
      <w:pPr>
        <w:spacing w:line="560" w:lineRule="exact"/>
        <w:jc w:val="both"/>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附件2</w:t>
      </w:r>
    </w:p>
    <w:p>
      <w:pPr>
        <w:widowControl/>
        <w:jc w:val="center"/>
        <w:rPr>
          <w:rFonts w:hint="eastAsia" w:ascii="黑体" w:hAnsi="黑体" w:eastAsia="黑体" w:cs="黑体"/>
          <w:b w:val="0"/>
          <w:bCs w:val="0"/>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7"/>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337"/>
        <w:gridCol w:w="1080"/>
        <w:gridCol w:w="1075"/>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0" w:type="dxa"/>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vAlign w:val="center"/>
          </w:tcPr>
          <w:p>
            <w:pPr>
              <w:widowControl/>
              <w:jc w:val="center"/>
              <w:rPr>
                <w:rFonts w:eastAsia="仿宋_GB2312"/>
                <w:color w:val="000000"/>
                <w:kern w:val="0"/>
                <w:szCs w:val="21"/>
              </w:rPr>
            </w:pPr>
            <w:r>
              <w:rPr>
                <w:rFonts w:hint="eastAsia" w:ascii="仿宋_GB2312" w:eastAsia="仿宋_GB2312"/>
                <w:color w:val="000000"/>
                <w:kern w:val="0"/>
                <w:szCs w:val="21"/>
              </w:rPr>
              <w:t>项目入统专项经费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77" w:type="dxa"/>
            <w:gridSpan w:val="4"/>
            <w:vAlign w:val="center"/>
          </w:tcPr>
          <w:p>
            <w:pPr>
              <w:widowControl/>
              <w:jc w:val="left"/>
              <w:rPr>
                <w:rFonts w:eastAsia="仿宋_GB2312"/>
                <w:color w:val="000000"/>
                <w:kern w:val="0"/>
                <w:szCs w:val="21"/>
              </w:rPr>
            </w:pPr>
            <w:r>
              <w:rPr>
                <w:rFonts w:eastAsia="仿宋_GB2312"/>
                <w:color w:val="000000"/>
                <w:kern w:val="0"/>
                <w:szCs w:val="21"/>
              </w:rPr>
              <w:t>　</w:t>
            </w:r>
            <w:r>
              <w:rPr>
                <w:rFonts w:hint="eastAsia" w:ascii="仿宋_GB2312" w:eastAsia="仿宋_GB2312"/>
                <w:color w:val="000000"/>
                <w:kern w:val="0"/>
                <w:szCs w:val="21"/>
              </w:rPr>
              <w:t>江永县统计局　</w:t>
            </w:r>
          </w:p>
        </w:tc>
        <w:tc>
          <w:tcPr>
            <w:tcW w:w="1075" w:type="dxa"/>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vAlign w:val="center"/>
          </w:tcPr>
          <w:p>
            <w:pPr>
              <w:widowControl/>
              <w:jc w:val="left"/>
              <w:rPr>
                <w:rFonts w:eastAsia="仿宋_GB2312"/>
                <w:color w:val="000000"/>
                <w:kern w:val="0"/>
                <w:szCs w:val="21"/>
              </w:rPr>
            </w:pPr>
            <w:r>
              <w:rPr>
                <w:rFonts w:eastAsia="仿宋_GB2312"/>
                <w:color w:val="000000"/>
                <w:kern w:val="0"/>
                <w:szCs w:val="21"/>
              </w:rPr>
              <w:t>　</w:t>
            </w:r>
            <w:r>
              <w:rPr>
                <w:rFonts w:hint="eastAsia" w:ascii="仿宋_GB2312" w:eastAsia="仿宋_GB2312"/>
                <w:color w:val="000000"/>
                <w:kern w:val="0"/>
                <w:szCs w:val="21"/>
              </w:rPr>
              <w:t>江永县统计局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hint="eastAsia" w:eastAsia="仿宋_GB2312"/>
                <w:color w:val="000000"/>
                <w:kern w:val="0"/>
                <w:szCs w:val="21"/>
                <w:lang w:eastAsia="zh-CN"/>
              </w:rPr>
            </w:pPr>
            <w:r>
              <w:rPr>
                <w:rFonts w:eastAsia="仿宋_GB2312"/>
                <w:color w:val="000000"/>
                <w:kern w:val="0"/>
                <w:szCs w:val="21"/>
              </w:rPr>
              <w:t>项目资金</w:t>
            </w:r>
          </w:p>
          <w:p>
            <w:pPr>
              <w:widowControl/>
              <w:jc w:val="center"/>
              <w:rPr>
                <w:rFonts w:eastAsia="仿宋_GB2312"/>
                <w:color w:val="000000"/>
                <w:kern w:val="0"/>
                <w:szCs w:val="21"/>
              </w:rPr>
            </w:pPr>
            <w:r>
              <w:rPr>
                <w:rFonts w:eastAsia="仿宋_GB2312"/>
                <w:color w:val="000000"/>
                <w:kern w:val="0"/>
                <w:szCs w:val="21"/>
              </w:rPr>
              <w:t>（万元）</w:t>
            </w:r>
          </w:p>
        </w:tc>
        <w:tc>
          <w:tcPr>
            <w:tcW w:w="2160" w:type="dxa"/>
            <w:gridSpan w:val="2"/>
            <w:vAlign w:val="center"/>
          </w:tcPr>
          <w:p>
            <w:pPr>
              <w:widowControl/>
              <w:jc w:val="left"/>
              <w:rPr>
                <w:rFonts w:eastAsia="仿宋_GB2312"/>
                <w:color w:val="000000"/>
                <w:kern w:val="0"/>
                <w:szCs w:val="21"/>
              </w:rPr>
            </w:pPr>
            <w:r>
              <w:rPr>
                <w:rFonts w:eastAsia="仿宋_GB2312"/>
                <w:color w:val="000000"/>
                <w:kern w:val="0"/>
                <w:szCs w:val="21"/>
              </w:rPr>
              <w:t>　</w:t>
            </w:r>
          </w:p>
        </w:tc>
        <w:tc>
          <w:tcPr>
            <w:tcW w:w="1337" w:type="dxa"/>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080" w:type="dxa"/>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075" w:type="dxa"/>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vAlign w:val="center"/>
          </w:tcPr>
          <w:p>
            <w:pPr>
              <w:jc w:val="center"/>
              <w:rPr>
                <w:rFonts w:eastAsia="仿宋_GB2312"/>
                <w:szCs w:val="21"/>
              </w:rPr>
            </w:pPr>
            <w:r>
              <w:rPr>
                <w:rFonts w:eastAsia="仿宋_GB2312"/>
                <w:szCs w:val="21"/>
              </w:rPr>
              <w:t>分值</w:t>
            </w:r>
          </w:p>
        </w:tc>
        <w:tc>
          <w:tcPr>
            <w:tcW w:w="873" w:type="dxa"/>
            <w:vAlign w:val="center"/>
          </w:tcPr>
          <w:p>
            <w:pPr>
              <w:jc w:val="center"/>
              <w:rPr>
                <w:rFonts w:eastAsia="仿宋_GB2312"/>
                <w:szCs w:val="21"/>
              </w:rPr>
            </w:pPr>
            <w:r>
              <w:rPr>
                <w:rFonts w:eastAsia="仿宋_GB2312"/>
                <w:szCs w:val="21"/>
              </w:rPr>
              <w:t>执行率</w:t>
            </w:r>
          </w:p>
        </w:tc>
        <w:tc>
          <w:tcPr>
            <w:tcW w:w="1418" w:type="dxa"/>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337"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60</w:t>
            </w:r>
          </w:p>
        </w:tc>
        <w:tc>
          <w:tcPr>
            <w:tcW w:w="1080"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60</w:t>
            </w:r>
          </w:p>
        </w:tc>
        <w:tc>
          <w:tcPr>
            <w:tcW w:w="1075"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60</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337"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60</w:t>
            </w:r>
          </w:p>
        </w:tc>
        <w:tc>
          <w:tcPr>
            <w:tcW w:w="1080"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60</w:t>
            </w:r>
          </w:p>
        </w:tc>
        <w:tc>
          <w:tcPr>
            <w:tcW w:w="1075"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60</w:t>
            </w:r>
          </w:p>
        </w:tc>
        <w:tc>
          <w:tcPr>
            <w:tcW w:w="828"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337"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080"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075"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337"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080"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075"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77" w:type="dxa"/>
            <w:gridSpan w:val="4"/>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194" w:type="dxa"/>
            <w:gridSpan w:val="4"/>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80" w:type="dxa"/>
            <w:vMerge w:val="continue"/>
            <w:vAlign w:val="center"/>
          </w:tcPr>
          <w:p>
            <w:pPr>
              <w:widowControl/>
              <w:jc w:val="left"/>
              <w:rPr>
                <w:rFonts w:eastAsia="仿宋_GB2312"/>
                <w:color w:val="000000"/>
                <w:kern w:val="0"/>
                <w:szCs w:val="21"/>
              </w:rPr>
            </w:pPr>
          </w:p>
        </w:tc>
        <w:tc>
          <w:tcPr>
            <w:tcW w:w="4577"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_GB2312" w:cs="Times New Roman"/>
                <w:color w:val="000000"/>
                <w:kern w:val="0"/>
                <w:sz w:val="21"/>
                <w:szCs w:val="21"/>
                <w:lang w:val="en-US" w:eastAsia="zh-CN" w:bidi="ar-SA"/>
              </w:rPr>
            </w:pPr>
            <w:r>
              <w:rPr>
                <w:rFonts w:eastAsia="仿宋_GB2312"/>
                <w:color w:val="000000"/>
                <w:kern w:val="0"/>
                <w:szCs w:val="21"/>
              </w:rPr>
              <w:t>　</w:t>
            </w:r>
            <w:r>
              <w:rPr>
                <w:rFonts w:hint="eastAsia" w:ascii="仿宋_GB2312" w:eastAsia="仿宋_GB2312"/>
                <w:color w:val="000000"/>
                <w:kern w:val="0"/>
                <w:szCs w:val="21"/>
              </w:rPr>
              <w:t>组织开展业务培训和技术指导，确保培训率达到100%，加强统计基础工作，及时准确报送数据</w:t>
            </w:r>
            <w:r>
              <w:rPr>
                <w:rFonts w:hint="eastAsia" w:ascii="仿宋_GB2312" w:eastAsia="仿宋_GB2312"/>
                <w:color w:val="000000"/>
                <w:kern w:val="0"/>
                <w:szCs w:val="21"/>
                <w:lang w:eastAsia="zh-CN"/>
              </w:rPr>
              <w:t>。</w:t>
            </w:r>
          </w:p>
        </w:tc>
        <w:tc>
          <w:tcPr>
            <w:tcW w:w="4194"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按时每月每季度完场联网直报数据上报。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一级指标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二级指标</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三级指标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仿宋_GB2312"/>
                <w:color w:val="000000"/>
                <w:kern w:val="0"/>
                <w:szCs w:val="21"/>
              </w:rPr>
            </w:pPr>
            <w:r>
              <w:rPr>
                <w:rFonts w:eastAsia="仿宋_GB2312"/>
                <w:color w:val="000000"/>
                <w:kern w:val="0"/>
                <w:szCs w:val="21"/>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指标值</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仿宋_GB2312"/>
                <w:color w:val="000000"/>
                <w:kern w:val="0"/>
                <w:szCs w:val="21"/>
              </w:rPr>
            </w:pPr>
            <w:r>
              <w:rPr>
                <w:rFonts w:eastAsia="仿宋_GB2312"/>
                <w:color w:val="000000"/>
                <w:kern w:val="0"/>
                <w:szCs w:val="21"/>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完成值</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分值</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得分</w:t>
            </w:r>
          </w:p>
        </w:tc>
        <w:tc>
          <w:tcPr>
            <w:tcW w:w="1418" w:type="dxa"/>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eastAsia="仿宋_GB2312"/>
                <w:color w:val="000000"/>
                <w:kern w:val="0"/>
                <w:szCs w:val="21"/>
              </w:rPr>
              <w:t>产出指标</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eastAsia="仿宋_GB2312"/>
                <w:color w:val="000000"/>
                <w:kern w:val="0"/>
                <w:szCs w:val="21"/>
              </w:rPr>
              <w:t>(50分)</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数量指标</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lang w:val="en-US" w:eastAsia="zh-CN"/>
              </w:rPr>
              <w:t>新增“四上”企业数量、</w:t>
            </w:r>
            <w:r>
              <w:rPr>
                <w:rFonts w:hint="eastAsia" w:eastAsia="仿宋_GB2312"/>
                <w:color w:val="000000"/>
                <w:kern w:val="0"/>
                <w:szCs w:val="21"/>
                <w:lang w:val="en-US" w:eastAsia="zh-CN"/>
              </w:rPr>
              <w:t>项目</w:t>
            </w:r>
            <w:r>
              <w:rPr>
                <w:rFonts w:eastAsia="仿宋_GB2312"/>
                <w:color w:val="000000"/>
                <w:kern w:val="0"/>
                <w:szCs w:val="21"/>
                <w:lang w:val="en-US" w:eastAsia="zh-CN"/>
              </w:rPr>
              <w:t>联网直报督导数量</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eastAsia="仿宋_GB2312"/>
                <w:color w:val="000000"/>
                <w:kern w:val="0"/>
                <w:szCs w:val="21"/>
                <w:lang w:val="en-US" w:eastAsia="zh-CN"/>
              </w:rPr>
              <w:t>120家</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rPr>
              <w:t>质量指标</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lang w:val="en-US" w:eastAsia="zh-CN"/>
              </w:rPr>
              <w:t>新增“四上”企业、项目联网直报督导</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lang w:val="en-US" w:eastAsia="zh-CN"/>
              </w:rPr>
              <w:t>按达到“四上”规模入统、按30%的比例督导</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100%</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c>
          <w:tcPr>
            <w:tcW w:w="82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rPr>
              <w:t>时效指标</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lang w:val="en-US" w:eastAsia="zh-CN"/>
              </w:rPr>
              <w:t>增“四上”单位补、助资金下拨及时率、联网直报督导奖励资金下拨及时率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lang w:val="en-US" w:eastAsia="zh-CN"/>
              </w:rPr>
              <w:t>100%</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ascii="仿宋_GB2312" w:eastAsia="仿宋_GB2312"/>
                <w:color w:val="000000"/>
                <w:kern w:val="0"/>
                <w:szCs w:val="21"/>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eastAsia="仿宋_GB2312"/>
                <w:color w:val="000000"/>
                <w:kern w:val="0"/>
                <w:szCs w:val="21"/>
                <w:lang w:val="en-US"/>
              </w:rPr>
            </w:pPr>
            <w:r>
              <w:rPr>
                <w:rFonts w:hint="eastAsia" w:eastAsia="仿宋_GB2312"/>
                <w:color w:val="000000"/>
                <w:kern w:val="0"/>
                <w:szCs w:val="21"/>
                <w:lang w:val="en-US" w:eastAsia="zh-CN"/>
              </w:rPr>
              <w:t>20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20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成本指标</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lang w:val="en-US" w:eastAsia="zh-CN"/>
              </w:rPr>
              <w:t>新增“四上”企业、项目联网直报督导</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lang w:val="en-US" w:eastAsia="zh-CN"/>
              </w:rPr>
              <w:t>60万元</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100%</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c>
          <w:tcPr>
            <w:tcW w:w="82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效益指标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（30分）</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社会效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益指标</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全年经济指标统计，常态化工作</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rPr>
            </w:pPr>
            <w:r>
              <w:rPr>
                <w:rFonts w:hint="eastAsia" w:ascii="仿宋_GB2312" w:eastAsia="仿宋_GB2312"/>
                <w:color w:val="000000"/>
                <w:kern w:val="0"/>
                <w:szCs w:val="21"/>
                <w:lang w:val="en-US" w:eastAsia="zh-CN"/>
              </w:rPr>
              <w:t>100%</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p>
        </w:tc>
        <w:tc>
          <w:tcPr>
            <w:tcW w:w="107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30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30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（20分）</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服务对象满意度指标</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相关部门和单位及群众满意度</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lang w:val="en-US" w:eastAsia="zh-CN"/>
              </w:rPr>
              <w:t>95%</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90%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20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eastAsia="仿宋_GB2312"/>
                <w:color w:val="000000"/>
                <w:kern w:val="0"/>
                <w:szCs w:val="21"/>
              </w:rPr>
              <w:t>总分</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95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r>
              <w:rPr>
                <w:rFonts w:eastAsia="仿宋_GB2312"/>
                <w:color w:val="000000"/>
                <w:kern w:val="0"/>
                <w:szCs w:val="21"/>
              </w:rPr>
              <w:t>　</w:t>
            </w:r>
          </w:p>
        </w:tc>
      </w:tr>
    </w:tbl>
    <w:p>
      <w:pPr>
        <w:widowControl/>
        <w:jc w:val="left"/>
        <w:rPr>
          <w:rFonts w:hint="eastAsia"/>
          <w:lang w:val="en-US" w:eastAsia="zh-CN"/>
        </w:rPr>
      </w:pPr>
      <w:r>
        <w:rPr>
          <w:rFonts w:eastAsia="黑体"/>
          <w:sz w:val="32"/>
          <w:szCs w:val="32"/>
        </w:rPr>
        <w:br w:type="page"/>
      </w:r>
    </w:p>
    <w:p>
      <w:pPr>
        <w:spacing w:line="560" w:lineRule="exact"/>
        <w:jc w:val="both"/>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附件3</w:t>
      </w:r>
    </w:p>
    <w:p>
      <w:pPr>
        <w:widowControl/>
        <w:jc w:val="center"/>
        <w:rPr>
          <w:rFonts w:hint="eastAsia" w:ascii="黑体" w:hAnsi="黑体" w:eastAsia="黑体" w:cs="黑体"/>
          <w:b w:val="0"/>
          <w:bCs w:val="0"/>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7"/>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406"/>
        <w:gridCol w:w="1155"/>
        <w:gridCol w:w="931"/>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80" w:type="dxa"/>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vAlign w:val="center"/>
          </w:tcPr>
          <w:p>
            <w:pPr>
              <w:widowControl/>
              <w:jc w:val="center"/>
              <w:rPr>
                <w:rFonts w:eastAsia="仿宋_GB2312"/>
                <w:color w:val="000000"/>
                <w:kern w:val="0"/>
                <w:szCs w:val="21"/>
              </w:rPr>
            </w:pPr>
            <w:r>
              <w:rPr>
                <w:rFonts w:hint="eastAsia" w:ascii="仿宋_GB2312" w:eastAsia="仿宋_GB2312"/>
                <w:color w:val="000000"/>
                <w:kern w:val="0"/>
                <w:szCs w:val="21"/>
              </w:rPr>
              <w:t>企业一套表联网直报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80" w:type="dxa"/>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721" w:type="dxa"/>
            <w:gridSpan w:val="4"/>
            <w:vAlign w:val="center"/>
          </w:tcPr>
          <w:p>
            <w:pPr>
              <w:widowControl/>
              <w:jc w:val="left"/>
              <w:rPr>
                <w:rFonts w:eastAsia="仿宋_GB2312"/>
                <w:color w:val="000000"/>
                <w:kern w:val="0"/>
                <w:szCs w:val="21"/>
              </w:rPr>
            </w:pPr>
            <w:r>
              <w:rPr>
                <w:rFonts w:eastAsia="仿宋_GB2312"/>
                <w:color w:val="000000"/>
                <w:kern w:val="0"/>
                <w:szCs w:val="21"/>
              </w:rPr>
              <w:t>　</w:t>
            </w:r>
            <w:r>
              <w:rPr>
                <w:rFonts w:hint="eastAsia" w:ascii="仿宋_GB2312" w:eastAsia="仿宋_GB2312"/>
                <w:color w:val="000000"/>
                <w:kern w:val="0"/>
                <w:szCs w:val="21"/>
              </w:rPr>
              <w:t>江永县统计局　</w:t>
            </w:r>
          </w:p>
        </w:tc>
        <w:tc>
          <w:tcPr>
            <w:tcW w:w="931" w:type="dxa"/>
            <w:vAlign w:val="center"/>
          </w:tcPr>
          <w:p>
            <w:pPr>
              <w:widowControl/>
              <w:jc w:val="center"/>
              <w:rPr>
                <w:rFonts w:eastAsia="仿宋_GB2312"/>
                <w:color w:val="000000"/>
                <w:kern w:val="0"/>
                <w:szCs w:val="21"/>
              </w:rPr>
            </w:pPr>
            <w:r>
              <w:rPr>
                <w:rFonts w:eastAsia="仿宋_GB2312"/>
                <w:color w:val="000000"/>
                <w:kern w:val="0"/>
                <w:szCs w:val="21"/>
              </w:rPr>
              <w:t>实施</w:t>
            </w:r>
          </w:p>
          <w:p>
            <w:pPr>
              <w:widowControl/>
              <w:jc w:val="center"/>
              <w:rPr>
                <w:rFonts w:eastAsia="仿宋_GB2312"/>
                <w:color w:val="000000"/>
                <w:kern w:val="0"/>
                <w:szCs w:val="21"/>
              </w:rPr>
            </w:pPr>
            <w:r>
              <w:rPr>
                <w:rFonts w:eastAsia="仿宋_GB2312"/>
                <w:color w:val="000000"/>
                <w:kern w:val="0"/>
                <w:szCs w:val="21"/>
              </w:rPr>
              <w:t>单位</w:t>
            </w:r>
          </w:p>
        </w:tc>
        <w:tc>
          <w:tcPr>
            <w:tcW w:w="3119" w:type="dxa"/>
            <w:gridSpan w:val="3"/>
            <w:vAlign w:val="center"/>
          </w:tcPr>
          <w:p>
            <w:pPr>
              <w:widowControl/>
              <w:jc w:val="left"/>
              <w:rPr>
                <w:rFonts w:eastAsia="仿宋_GB2312"/>
                <w:color w:val="000000"/>
                <w:kern w:val="0"/>
                <w:szCs w:val="21"/>
              </w:rPr>
            </w:pPr>
            <w:r>
              <w:rPr>
                <w:rFonts w:eastAsia="仿宋_GB2312"/>
                <w:color w:val="000000"/>
                <w:kern w:val="0"/>
                <w:szCs w:val="21"/>
              </w:rPr>
              <w:t>　</w:t>
            </w:r>
            <w:r>
              <w:rPr>
                <w:rFonts w:hint="eastAsia" w:ascii="仿宋_GB2312" w:eastAsia="仿宋_GB2312"/>
                <w:color w:val="000000"/>
                <w:kern w:val="0"/>
                <w:szCs w:val="21"/>
              </w:rPr>
              <w:t>江永县统计局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hint="eastAsia" w:eastAsia="仿宋_GB2312"/>
                <w:color w:val="000000"/>
                <w:kern w:val="0"/>
                <w:szCs w:val="21"/>
                <w:lang w:eastAsia="zh-CN"/>
              </w:rPr>
            </w:pPr>
            <w:r>
              <w:rPr>
                <w:rFonts w:eastAsia="仿宋_GB2312"/>
                <w:color w:val="000000"/>
                <w:kern w:val="0"/>
                <w:szCs w:val="21"/>
              </w:rPr>
              <w:t>项目资金</w:t>
            </w:r>
          </w:p>
          <w:p>
            <w:pPr>
              <w:widowControl/>
              <w:jc w:val="center"/>
              <w:rPr>
                <w:rFonts w:eastAsia="仿宋_GB2312"/>
                <w:color w:val="000000"/>
                <w:kern w:val="0"/>
                <w:szCs w:val="21"/>
              </w:rPr>
            </w:pPr>
            <w:r>
              <w:rPr>
                <w:rFonts w:eastAsia="仿宋_GB2312"/>
                <w:color w:val="000000"/>
                <w:kern w:val="0"/>
                <w:szCs w:val="21"/>
              </w:rPr>
              <w:t>（万元）</w:t>
            </w:r>
          </w:p>
        </w:tc>
        <w:tc>
          <w:tcPr>
            <w:tcW w:w="2160" w:type="dxa"/>
            <w:gridSpan w:val="2"/>
            <w:vAlign w:val="center"/>
          </w:tcPr>
          <w:p>
            <w:pPr>
              <w:widowControl/>
              <w:jc w:val="left"/>
              <w:rPr>
                <w:rFonts w:eastAsia="仿宋_GB2312"/>
                <w:color w:val="000000"/>
                <w:kern w:val="0"/>
                <w:szCs w:val="21"/>
              </w:rPr>
            </w:pPr>
            <w:r>
              <w:rPr>
                <w:rFonts w:eastAsia="仿宋_GB2312"/>
                <w:color w:val="000000"/>
                <w:kern w:val="0"/>
                <w:szCs w:val="21"/>
              </w:rPr>
              <w:t>　</w:t>
            </w:r>
          </w:p>
        </w:tc>
        <w:tc>
          <w:tcPr>
            <w:tcW w:w="1406" w:type="dxa"/>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155" w:type="dxa"/>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931" w:type="dxa"/>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vAlign w:val="center"/>
          </w:tcPr>
          <w:p>
            <w:pPr>
              <w:jc w:val="center"/>
              <w:rPr>
                <w:rFonts w:eastAsia="仿宋_GB2312"/>
                <w:szCs w:val="21"/>
              </w:rPr>
            </w:pPr>
            <w:r>
              <w:rPr>
                <w:rFonts w:eastAsia="仿宋_GB2312"/>
                <w:szCs w:val="21"/>
              </w:rPr>
              <w:t>分值</w:t>
            </w:r>
          </w:p>
        </w:tc>
        <w:tc>
          <w:tcPr>
            <w:tcW w:w="873" w:type="dxa"/>
            <w:vAlign w:val="center"/>
          </w:tcPr>
          <w:p>
            <w:pPr>
              <w:jc w:val="center"/>
              <w:rPr>
                <w:rFonts w:eastAsia="仿宋_GB2312"/>
                <w:szCs w:val="21"/>
              </w:rPr>
            </w:pPr>
            <w:r>
              <w:rPr>
                <w:rFonts w:eastAsia="仿宋_GB2312"/>
                <w:szCs w:val="21"/>
              </w:rPr>
              <w:t>执行率</w:t>
            </w:r>
          </w:p>
        </w:tc>
        <w:tc>
          <w:tcPr>
            <w:tcW w:w="1418" w:type="dxa"/>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406"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155"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931"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406"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155"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931"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828"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406"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155" w:type="dxa"/>
            <w:vAlign w:val="center"/>
          </w:tcPr>
          <w:p>
            <w:pPr>
              <w:widowControl/>
              <w:jc w:val="left"/>
              <w:rPr>
                <w:rFonts w:eastAsia="仿宋_GB2312"/>
                <w:color w:val="000000"/>
                <w:kern w:val="0"/>
                <w:szCs w:val="21"/>
              </w:rPr>
            </w:pPr>
            <w:r>
              <w:rPr>
                <w:rFonts w:eastAsia="仿宋_GB2312"/>
                <w:color w:val="000000"/>
                <w:kern w:val="0"/>
                <w:szCs w:val="21"/>
              </w:rPr>
              <w:t>　</w:t>
            </w:r>
          </w:p>
        </w:tc>
        <w:tc>
          <w:tcPr>
            <w:tcW w:w="931"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406"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155" w:type="dxa"/>
            <w:vAlign w:val="center"/>
          </w:tcPr>
          <w:p>
            <w:pPr>
              <w:widowControl/>
              <w:jc w:val="left"/>
              <w:rPr>
                <w:rFonts w:eastAsia="仿宋_GB2312"/>
                <w:color w:val="000000"/>
                <w:kern w:val="0"/>
                <w:szCs w:val="21"/>
              </w:rPr>
            </w:pPr>
            <w:r>
              <w:rPr>
                <w:rFonts w:eastAsia="仿宋_GB2312"/>
                <w:color w:val="000000"/>
                <w:kern w:val="0"/>
                <w:szCs w:val="21"/>
              </w:rPr>
              <w:t>　</w:t>
            </w:r>
          </w:p>
        </w:tc>
        <w:tc>
          <w:tcPr>
            <w:tcW w:w="931"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721" w:type="dxa"/>
            <w:gridSpan w:val="4"/>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050" w:type="dxa"/>
            <w:gridSpan w:val="4"/>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80" w:type="dxa"/>
            <w:vMerge w:val="continue"/>
            <w:vAlign w:val="center"/>
          </w:tcPr>
          <w:p>
            <w:pPr>
              <w:widowControl/>
              <w:jc w:val="left"/>
              <w:rPr>
                <w:rFonts w:eastAsia="仿宋_GB2312"/>
                <w:color w:val="000000"/>
                <w:kern w:val="0"/>
                <w:szCs w:val="21"/>
              </w:rPr>
            </w:pPr>
          </w:p>
        </w:tc>
        <w:tc>
          <w:tcPr>
            <w:tcW w:w="4721"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_GB2312" w:cs="Times New Roman"/>
                <w:color w:val="000000"/>
                <w:kern w:val="0"/>
                <w:sz w:val="21"/>
                <w:szCs w:val="21"/>
                <w:lang w:val="en-US" w:eastAsia="zh-CN" w:bidi="ar-SA"/>
              </w:rPr>
            </w:pPr>
            <w:r>
              <w:rPr>
                <w:rFonts w:eastAsia="仿宋_GB2312"/>
                <w:color w:val="000000"/>
                <w:kern w:val="0"/>
                <w:szCs w:val="21"/>
              </w:rPr>
              <w:t>　</w:t>
            </w:r>
            <w:r>
              <w:rPr>
                <w:rFonts w:hint="eastAsia" w:ascii="仿宋_GB2312" w:eastAsia="仿宋_GB2312"/>
                <w:color w:val="000000"/>
                <w:kern w:val="0"/>
                <w:szCs w:val="21"/>
              </w:rPr>
              <w:t>组织开展业务培训和技术指导，确保培训率达到100%，加强统计基础工作，及时准确报送数据</w:t>
            </w:r>
            <w:r>
              <w:rPr>
                <w:rFonts w:hint="eastAsia" w:ascii="仿宋_GB2312" w:eastAsia="仿宋_GB2312"/>
                <w:color w:val="000000"/>
                <w:kern w:val="0"/>
                <w:szCs w:val="21"/>
                <w:lang w:eastAsia="zh-CN"/>
              </w:rPr>
              <w:t>。</w:t>
            </w:r>
          </w:p>
        </w:tc>
        <w:tc>
          <w:tcPr>
            <w:tcW w:w="4050"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按时每月每季度完场联网直报数据上报。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一级指标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二级指标</w:t>
            </w:r>
          </w:p>
        </w:tc>
        <w:tc>
          <w:tcPr>
            <w:tcW w:w="140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三级指标</w:t>
            </w:r>
          </w:p>
        </w:tc>
        <w:tc>
          <w:tcPr>
            <w:tcW w:w="11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仿宋_GB2312"/>
                <w:color w:val="000000"/>
                <w:kern w:val="0"/>
                <w:szCs w:val="21"/>
              </w:rPr>
            </w:pPr>
            <w:r>
              <w:rPr>
                <w:rFonts w:eastAsia="仿宋_GB2312"/>
                <w:color w:val="000000"/>
                <w:kern w:val="0"/>
                <w:szCs w:val="21"/>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指标值</w:t>
            </w:r>
          </w:p>
        </w:tc>
        <w:tc>
          <w:tcPr>
            <w:tcW w:w="93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仿宋_GB2312"/>
                <w:color w:val="000000"/>
                <w:kern w:val="0"/>
                <w:szCs w:val="21"/>
              </w:rPr>
            </w:pPr>
            <w:r>
              <w:rPr>
                <w:rFonts w:eastAsia="仿宋_GB2312"/>
                <w:color w:val="000000"/>
                <w:kern w:val="0"/>
                <w:szCs w:val="21"/>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完成值</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分值</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得分</w:t>
            </w:r>
          </w:p>
        </w:tc>
        <w:tc>
          <w:tcPr>
            <w:tcW w:w="1418" w:type="dxa"/>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eastAsia="仿宋_GB2312"/>
                <w:color w:val="000000"/>
                <w:kern w:val="0"/>
                <w:szCs w:val="21"/>
              </w:rPr>
              <w:t>产出指标</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eastAsia="仿宋_GB2312"/>
                <w:color w:val="000000"/>
                <w:kern w:val="0"/>
                <w:szCs w:val="21"/>
              </w:rPr>
              <w:t>(50分)</w:t>
            </w: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数量指标</w:t>
            </w:r>
          </w:p>
        </w:tc>
        <w:tc>
          <w:tcPr>
            <w:tcW w:w="140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rPr>
              <w:t>计划进度完</w:t>
            </w:r>
            <w:r>
              <w:rPr>
                <w:rFonts w:hint="eastAsia" w:ascii="仿宋_GB2312" w:eastAsia="仿宋_GB2312"/>
                <w:color w:val="000000"/>
                <w:kern w:val="0"/>
                <w:szCs w:val="21"/>
                <w:lang w:eastAsia="zh-CN"/>
              </w:rPr>
              <w:t>成</w:t>
            </w:r>
            <w:r>
              <w:rPr>
                <w:rFonts w:hint="eastAsia" w:ascii="仿宋_GB2312" w:eastAsia="仿宋_GB2312"/>
                <w:color w:val="000000"/>
                <w:kern w:val="0"/>
                <w:szCs w:val="21"/>
              </w:rPr>
              <w:t>率</w:t>
            </w:r>
          </w:p>
        </w:tc>
        <w:tc>
          <w:tcPr>
            <w:tcW w:w="11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lang w:val="en-US" w:eastAsia="zh-CN"/>
              </w:rPr>
              <w:t>100%</w:t>
            </w:r>
          </w:p>
        </w:tc>
        <w:tc>
          <w:tcPr>
            <w:tcW w:w="931"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eastAsia="仿宋_GB2312"/>
                <w:color w:val="000000"/>
                <w:kern w:val="0"/>
                <w:szCs w:val="21"/>
                <w:lang w:val="en-US"/>
              </w:rPr>
            </w:pPr>
            <w:r>
              <w:rPr>
                <w:rFonts w:hint="eastAsia" w:eastAsia="仿宋_GB2312"/>
                <w:color w:val="000000"/>
                <w:kern w:val="0"/>
                <w:szCs w:val="21"/>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pPr>
          </w:p>
        </w:tc>
        <w:tc>
          <w:tcPr>
            <w:tcW w:w="140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lang w:val="en-US" w:eastAsia="zh-CN"/>
              </w:rPr>
            </w:pPr>
            <w:r>
              <w:rPr>
                <w:rFonts w:hint="eastAsia" w:ascii="仿宋_GB2312" w:eastAsia="仿宋_GB2312"/>
                <w:color w:val="000000"/>
                <w:kern w:val="0"/>
                <w:szCs w:val="21"/>
              </w:rPr>
              <w:t>培训企业统计员</w:t>
            </w:r>
          </w:p>
        </w:tc>
        <w:tc>
          <w:tcPr>
            <w:tcW w:w="11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lang w:val="en-US" w:eastAsia="zh-CN"/>
              </w:rPr>
            </w:pPr>
            <w:r>
              <w:rPr>
                <w:rFonts w:hint="eastAsia" w:ascii="仿宋_GB2312" w:eastAsia="仿宋_GB2312"/>
                <w:color w:val="000000"/>
                <w:kern w:val="0"/>
                <w:szCs w:val="21"/>
                <w:lang w:val="en-US" w:eastAsia="zh-CN"/>
              </w:rPr>
              <w:t>800人次</w:t>
            </w:r>
          </w:p>
        </w:tc>
        <w:tc>
          <w:tcPr>
            <w:tcW w:w="93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rPr>
              <w:t>质量指标</w:t>
            </w:r>
          </w:p>
        </w:tc>
        <w:tc>
          <w:tcPr>
            <w:tcW w:w="1406"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eastAsia="仿宋_GB2312"/>
                <w:color w:val="000000"/>
                <w:kern w:val="0"/>
                <w:szCs w:val="21"/>
              </w:rPr>
            </w:pPr>
            <w:r>
              <w:rPr>
                <w:rFonts w:hint="eastAsia" w:ascii="仿宋_GB2312" w:eastAsia="仿宋_GB2312"/>
                <w:color w:val="000000"/>
                <w:kern w:val="0"/>
                <w:szCs w:val="21"/>
              </w:rPr>
              <w:t>按照国家统计调查制度和上级统一编制的统计调查方案实施</w:t>
            </w:r>
          </w:p>
        </w:tc>
        <w:tc>
          <w:tcPr>
            <w:tcW w:w="11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rPr>
              <w:t>　全面完成国家统计制度和统计调查方案规定的统计调查事项。　</w:t>
            </w:r>
          </w:p>
        </w:tc>
        <w:tc>
          <w:tcPr>
            <w:tcW w:w="931"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100%</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c>
          <w:tcPr>
            <w:tcW w:w="82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rPr>
              <w:t>时效指标</w:t>
            </w:r>
          </w:p>
        </w:tc>
        <w:tc>
          <w:tcPr>
            <w:tcW w:w="1406"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eastAsia="仿宋_GB2312"/>
                <w:color w:val="000000"/>
                <w:kern w:val="0"/>
                <w:szCs w:val="21"/>
              </w:rPr>
            </w:pPr>
            <w:r>
              <w:rPr>
                <w:rFonts w:hint="eastAsia" w:ascii="仿宋_GB2312" w:eastAsia="仿宋_GB2312"/>
                <w:color w:val="000000"/>
                <w:kern w:val="0"/>
                <w:szCs w:val="21"/>
                <w:lang w:eastAsia="zh-CN"/>
              </w:rPr>
              <w:t>按月、按季度完成联网直报</w:t>
            </w:r>
          </w:p>
        </w:tc>
        <w:tc>
          <w:tcPr>
            <w:tcW w:w="11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100%</w:t>
            </w:r>
            <w:r>
              <w:rPr>
                <w:rFonts w:hint="eastAsia" w:ascii="仿宋_GB2312" w:eastAsia="仿宋_GB2312"/>
                <w:color w:val="000000"/>
                <w:kern w:val="0"/>
                <w:szCs w:val="21"/>
              </w:rPr>
              <w:t>　</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rPr>
              <w:t>　</w:t>
            </w:r>
          </w:p>
        </w:tc>
        <w:tc>
          <w:tcPr>
            <w:tcW w:w="931"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ascii="仿宋_GB2312" w:eastAsia="仿宋_GB2312"/>
                <w:color w:val="000000"/>
                <w:kern w:val="0"/>
                <w:szCs w:val="21"/>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成本指标</w:t>
            </w:r>
          </w:p>
        </w:tc>
        <w:tc>
          <w:tcPr>
            <w:tcW w:w="140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rPr>
              <w:t>项目预算控制数　</w:t>
            </w:r>
          </w:p>
        </w:tc>
        <w:tc>
          <w:tcPr>
            <w:tcW w:w="11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rPr>
              <w:t>　</w:t>
            </w:r>
            <w:r>
              <w:rPr>
                <w:rFonts w:hint="eastAsia" w:ascii="仿宋_GB2312" w:eastAsia="仿宋_GB2312"/>
                <w:color w:val="000000"/>
                <w:kern w:val="0"/>
                <w:szCs w:val="21"/>
                <w:lang w:val="en-US" w:eastAsia="zh-CN"/>
              </w:rPr>
              <w:t>20万元</w:t>
            </w:r>
            <w:r>
              <w:rPr>
                <w:rFonts w:hint="eastAsia" w:ascii="仿宋_GB2312" w:eastAsia="仿宋_GB2312"/>
                <w:color w:val="000000"/>
                <w:kern w:val="0"/>
                <w:szCs w:val="21"/>
              </w:rPr>
              <w:t>　</w:t>
            </w:r>
          </w:p>
        </w:tc>
        <w:tc>
          <w:tcPr>
            <w:tcW w:w="931"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100%</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c>
          <w:tcPr>
            <w:tcW w:w="82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效益指标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（30分）</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社会效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益指标</w:t>
            </w:r>
          </w:p>
        </w:tc>
        <w:tc>
          <w:tcPr>
            <w:tcW w:w="1406"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rPr>
              <w:t>减少了中间环节，避免了统计任务的多头布置、调查单位重复填报，统一规范了数据采集、处理、汇总工作程。</w:t>
            </w:r>
          </w:p>
        </w:tc>
        <w:tc>
          <w:tcPr>
            <w:tcW w:w="11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rPr>
            </w:pPr>
            <w:r>
              <w:rPr>
                <w:rFonts w:hint="eastAsia" w:ascii="仿宋_GB2312" w:eastAsia="仿宋_GB2312"/>
                <w:color w:val="000000"/>
                <w:kern w:val="0"/>
                <w:szCs w:val="21"/>
                <w:lang w:eastAsia="zh-CN"/>
              </w:rPr>
              <w:t>企业联网直报数据。</w:t>
            </w:r>
            <w:r>
              <w:rPr>
                <w:rFonts w:hint="eastAsia" w:ascii="仿宋_GB2312" w:eastAsia="仿宋_GB2312"/>
                <w:color w:val="000000"/>
                <w:kern w:val="0"/>
                <w:szCs w:val="21"/>
              </w:rPr>
              <w:t>　</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rPr>
              <w:t>　</w:t>
            </w:r>
          </w:p>
        </w:tc>
        <w:tc>
          <w:tcPr>
            <w:tcW w:w="931"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30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30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（20分）</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服务对象满意度指标</w:t>
            </w:r>
          </w:p>
        </w:tc>
        <w:tc>
          <w:tcPr>
            <w:tcW w:w="140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相关部门和单位及群众满意度</w:t>
            </w:r>
          </w:p>
        </w:tc>
        <w:tc>
          <w:tcPr>
            <w:tcW w:w="11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lang w:val="en-US" w:eastAsia="zh-CN"/>
              </w:rPr>
              <w:t>95%</w:t>
            </w:r>
          </w:p>
        </w:tc>
        <w:tc>
          <w:tcPr>
            <w:tcW w:w="931"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90%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20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eastAsia="仿宋_GB2312"/>
                <w:color w:val="000000"/>
                <w:kern w:val="0"/>
                <w:szCs w:val="21"/>
              </w:rPr>
              <w:t>总分</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95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r>
              <w:rPr>
                <w:rFonts w:eastAsia="仿宋_GB2312"/>
                <w:color w:val="000000"/>
                <w:kern w:val="0"/>
                <w:szCs w:val="21"/>
              </w:rPr>
              <w:t>　</w:t>
            </w:r>
          </w:p>
        </w:tc>
      </w:tr>
    </w:tbl>
    <w:p>
      <w:pPr>
        <w:widowControl/>
        <w:jc w:val="center"/>
        <w:rPr>
          <w:rFonts w:eastAsia="方正小标宋_GBK"/>
          <w:color w:val="000000"/>
          <w:kern w:val="0"/>
          <w:sz w:val="36"/>
          <w:szCs w:val="36"/>
        </w:rPr>
      </w:pPr>
    </w:p>
    <w:p>
      <w:pPr>
        <w:widowControl/>
        <w:jc w:val="center"/>
        <w:rPr>
          <w:rFonts w:hint="eastAsia" w:ascii="黑体" w:hAnsi="黑体" w:eastAsia="黑体" w:cs="黑体"/>
          <w:b w:val="0"/>
          <w:bCs w:val="0"/>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7"/>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067"/>
        <w:gridCol w:w="1590"/>
        <w:gridCol w:w="835"/>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80" w:type="dxa"/>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vAlign w:val="center"/>
          </w:tcPr>
          <w:p>
            <w:pPr>
              <w:widowControl/>
              <w:ind w:firstLine="1890" w:firstLineChars="900"/>
              <w:jc w:val="both"/>
              <w:rPr>
                <w:rFonts w:eastAsia="仿宋_GB2312"/>
                <w:color w:val="000000"/>
                <w:kern w:val="0"/>
                <w:szCs w:val="21"/>
              </w:rPr>
            </w:pPr>
            <w:r>
              <w:rPr>
                <w:rFonts w:hint="eastAsia" w:ascii="仿宋_GB2312" w:eastAsia="仿宋_GB2312"/>
                <w:color w:val="000000"/>
                <w:kern w:val="0"/>
                <w:szCs w:val="21"/>
                <w:lang w:eastAsia="zh-CN"/>
              </w:rPr>
              <w:t>经济普查</w:t>
            </w:r>
            <w:r>
              <w:rPr>
                <w:rFonts w:hint="eastAsia" w:ascii="仿宋_GB2312" w:eastAsia="仿宋_GB2312"/>
                <w:color w:val="000000"/>
                <w:kern w:val="0"/>
                <w:szCs w:val="21"/>
                <w:lang w:val="en-US" w:eastAsia="zh-CN"/>
              </w:rPr>
              <w:t>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80" w:type="dxa"/>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817" w:type="dxa"/>
            <w:gridSpan w:val="4"/>
            <w:vAlign w:val="center"/>
          </w:tcPr>
          <w:p>
            <w:pPr>
              <w:widowControl/>
              <w:jc w:val="left"/>
              <w:rPr>
                <w:rFonts w:eastAsia="仿宋_GB2312"/>
                <w:color w:val="000000"/>
                <w:kern w:val="0"/>
                <w:szCs w:val="21"/>
              </w:rPr>
            </w:pPr>
            <w:r>
              <w:rPr>
                <w:rFonts w:eastAsia="仿宋_GB2312"/>
                <w:color w:val="000000"/>
                <w:kern w:val="0"/>
                <w:szCs w:val="21"/>
              </w:rPr>
              <w:t>　</w:t>
            </w:r>
            <w:r>
              <w:rPr>
                <w:rFonts w:hint="eastAsia" w:ascii="仿宋_GB2312" w:eastAsia="仿宋_GB2312"/>
                <w:color w:val="000000"/>
                <w:kern w:val="0"/>
                <w:szCs w:val="21"/>
              </w:rPr>
              <w:t>江永县统计局　</w:t>
            </w:r>
          </w:p>
        </w:tc>
        <w:tc>
          <w:tcPr>
            <w:tcW w:w="835" w:type="dxa"/>
            <w:vAlign w:val="center"/>
          </w:tcPr>
          <w:p>
            <w:pPr>
              <w:widowControl/>
              <w:jc w:val="center"/>
              <w:rPr>
                <w:rFonts w:eastAsia="仿宋_GB2312"/>
                <w:color w:val="000000"/>
                <w:kern w:val="0"/>
                <w:szCs w:val="21"/>
              </w:rPr>
            </w:pPr>
            <w:r>
              <w:rPr>
                <w:rFonts w:eastAsia="仿宋_GB2312"/>
                <w:color w:val="000000"/>
                <w:kern w:val="0"/>
                <w:szCs w:val="21"/>
              </w:rPr>
              <w:t>实施</w:t>
            </w:r>
          </w:p>
          <w:p>
            <w:pPr>
              <w:widowControl/>
              <w:jc w:val="center"/>
              <w:rPr>
                <w:rFonts w:eastAsia="仿宋_GB2312"/>
                <w:color w:val="000000"/>
                <w:kern w:val="0"/>
                <w:szCs w:val="21"/>
              </w:rPr>
            </w:pPr>
            <w:r>
              <w:rPr>
                <w:rFonts w:eastAsia="仿宋_GB2312"/>
                <w:color w:val="000000"/>
                <w:kern w:val="0"/>
                <w:szCs w:val="21"/>
              </w:rPr>
              <w:t>单位</w:t>
            </w:r>
          </w:p>
        </w:tc>
        <w:tc>
          <w:tcPr>
            <w:tcW w:w="3119" w:type="dxa"/>
            <w:gridSpan w:val="3"/>
            <w:vAlign w:val="center"/>
          </w:tcPr>
          <w:p>
            <w:pPr>
              <w:widowControl/>
              <w:jc w:val="left"/>
              <w:rPr>
                <w:rFonts w:eastAsia="仿宋_GB2312"/>
                <w:color w:val="000000"/>
                <w:kern w:val="0"/>
                <w:szCs w:val="21"/>
              </w:rPr>
            </w:pPr>
            <w:r>
              <w:rPr>
                <w:rFonts w:eastAsia="仿宋_GB2312"/>
                <w:color w:val="000000"/>
                <w:kern w:val="0"/>
                <w:szCs w:val="21"/>
              </w:rPr>
              <w:t>　</w:t>
            </w:r>
            <w:r>
              <w:rPr>
                <w:rFonts w:hint="eastAsia" w:ascii="仿宋_GB2312" w:eastAsia="仿宋_GB2312"/>
                <w:color w:val="000000"/>
                <w:kern w:val="0"/>
                <w:szCs w:val="21"/>
              </w:rPr>
              <w:t>江永县统计局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hint="eastAsia" w:eastAsia="仿宋_GB2312"/>
                <w:color w:val="000000"/>
                <w:kern w:val="0"/>
                <w:szCs w:val="21"/>
                <w:lang w:eastAsia="zh-CN"/>
              </w:rPr>
            </w:pPr>
            <w:r>
              <w:rPr>
                <w:rFonts w:eastAsia="仿宋_GB2312"/>
                <w:color w:val="000000"/>
                <w:kern w:val="0"/>
                <w:szCs w:val="21"/>
              </w:rPr>
              <w:t>项目资金</w:t>
            </w:r>
          </w:p>
          <w:p>
            <w:pPr>
              <w:widowControl/>
              <w:jc w:val="center"/>
              <w:rPr>
                <w:rFonts w:eastAsia="仿宋_GB2312"/>
                <w:color w:val="000000"/>
                <w:kern w:val="0"/>
                <w:szCs w:val="21"/>
              </w:rPr>
            </w:pPr>
            <w:r>
              <w:rPr>
                <w:rFonts w:eastAsia="仿宋_GB2312"/>
                <w:color w:val="000000"/>
                <w:kern w:val="0"/>
                <w:szCs w:val="21"/>
              </w:rPr>
              <w:t>（万元）</w:t>
            </w:r>
          </w:p>
        </w:tc>
        <w:tc>
          <w:tcPr>
            <w:tcW w:w="2160" w:type="dxa"/>
            <w:gridSpan w:val="2"/>
            <w:vAlign w:val="center"/>
          </w:tcPr>
          <w:p>
            <w:pPr>
              <w:widowControl/>
              <w:jc w:val="left"/>
              <w:rPr>
                <w:rFonts w:eastAsia="仿宋_GB2312"/>
                <w:color w:val="000000"/>
                <w:kern w:val="0"/>
                <w:szCs w:val="21"/>
              </w:rPr>
            </w:pPr>
            <w:r>
              <w:rPr>
                <w:rFonts w:eastAsia="仿宋_GB2312"/>
                <w:color w:val="000000"/>
                <w:kern w:val="0"/>
                <w:szCs w:val="21"/>
              </w:rPr>
              <w:t>　</w:t>
            </w:r>
          </w:p>
        </w:tc>
        <w:tc>
          <w:tcPr>
            <w:tcW w:w="1067" w:type="dxa"/>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590" w:type="dxa"/>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835" w:type="dxa"/>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vAlign w:val="center"/>
          </w:tcPr>
          <w:p>
            <w:pPr>
              <w:jc w:val="center"/>
              <w:rPr>
                <w:rFonts w:eastAsia="仿宋_GB2312"/>
                <w:szCs w:val="21"/>
              </w:rPr>
            </w:pPr>
            <w:r>
              <w:rPr>
                <w:rFonts w:eastAsia="仿宋_GB2312"/>
                <w:szCs w:val="21"/>
              </w:rPr>
              <w:t>分值</w:t>
            </w:r>
          </w:p>
        </w:tc>
        <w:tc>
          <w:tcPr>
            <w:tcW w:w="873" w:type="dxa"/>
            <w:vAlign w:val="center"/>
          </w:tcPr>
          <w:p>
            <w:pPr>
              <w:jc w:val="center"/>
              <w:rPr>
                <w:rFonts w:eastAsia="仿宋_GB2312"/>
                <w:szCs w:val="21"/>
              </w:rPr>
            </w:pPr>
            <w:r>
              <w:rPr>
                <w:rFonts w:eastAsia="仿宋_GB2312"/>
                <w:szCs w:val="21"/>
              </w:rPr>
              <w:t>执行率</w:t>
            </w:r>
          </w:p>
        </w:tc>
        <w:tc>
          <w:tcPr>
            <w:tcW w:w="1418" w:type="dxa"/>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067"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70</w:t>
            </w:r>
          </w:p>
        </w:tc>
        <w:tc>
          <w:tcPr>
            <w:tcW w:w="1590"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70</w:t>
            </w:r>
          </w:p>
        </w:tc>
        <w:tc>
          <w:tcPr>
            <w:tcW w:w="835"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70</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067" w:type="dxa"/>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70</w:t>
            </w:r>
          </w:p>
        </w:tc>
        <w:tc>
          <w:tcPr>
            <w:tcW w:w="1590" w:type="dxa"/>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70</w:t>
            </w:r>
          </w:p>
        </w:tc>
        <w:tc>
          <w:tcPr>
            <w:tcW w:w="835"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70</w:t>
            </w:r>
          </w:p>
        </w:tc>
        <w:tc>
          <w:tcPr>
            <w:tcW w:w="828"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067"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590"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35"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067"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590"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35"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817" w:type="dxa"/>
            <w:gridSpan w:val="4"/>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3954" w:type="dxa"/>
            <w:gridSpan w:val="4"/>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80" w:type="dxa"/>
            <w:vMerge w:val="continue"/>
            <w:vAlign w:val="center"/>
          </w:tcPr>
          <w:p>
            <w:pPr>
              <w:widowControl/>
              <w:jc w:val="left"/>
              <w:rPr>
                <w:rFonts w:eastAsia="仿宋_GB2312"/>
                <w:color w:val="000000"/>
                <w:kern w:val="0"/>
                <w:szCs w:val="21"/>
              </w:rPr>
            </w:pPr>
          </w:p>
        </w:tc>
        <w:tc>
          <w:tcPr>
            <w:tcW w:w="4817"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_GB2312" w:cs="Times New Roman"/>
                <w:color w:val="000000"/>
                <w:kern w:val="0"/>
                <w:sz w:val="21"/>
                <w:szCs w:val="21"/>
                <w:lang w:val="en-US" w:eastAsia="zh-CN" w:bidi="ar-SA"/>
              </w:rPr>
            </w:pPr>
            <w:r>
              <w:rPr>
                <w:rFonts w:eastAsia="仿宋_GB2312"/>
                <w:color w:val="000000"/>
                <w:kern w:val="0"/>
                <w:szCs w:val="21"/>
              </w:rPr>
              <w:t>　</w:t>
            </w:r>
            <w:r>
              <w:rPr>
                <w:rFonts w:hint="default" w:ascii="仿宋_GB2312" w:eastAsia="仿宋_GB2312"/>
                <w:color w:val="000000"/>
                <w:kern w:val="0"/>
                <w:szCs w:val="21"/>
                <w:lang w:val="zh-CN"/>
              </w:rPr>
              <w:t>经济普查，主要是为了全面掌握我国第二产业和第三产业的发展规模、结构和效益等信息，建立健项目立项依据、全覆盖国民经济各个行业的基本单位名录库（含编码）及其数据库系统。2022年主要是开支持范围、实展普查前期准备工作，研究普查的总体方案和开展专项试点</w:t>
            </w:r>
            <w:r>
              <w:rPr>
                <w:rFonts w:hint="eastAsia" w:ascii="仿宋_GB2312" w:eastAsia="仿宋_GB2312"/>
                <w:color w:val="000000"/>
                <w:kern w:val="0"/>
                <w:szCs w:val="21"/>
                <w:lang w:val="zh-CN"/>
              </w:rPr>
              <w:t>。</w:t>
            </w:r>
          </w:p>
        </w:tc>
        <w:tc>
          <w:tcPr>
            <w:tcW w:w="3954"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Calibri" w:hAnsi="Calibri" w:eastAsia="仿宋_GB2312" w:cs="Times New Roman"/>
                <w:color w:val="000000"/>
                <w:kern w:val="0"/>
                <w:sz w:val="21"/>
                <w:szCs w:val="21"/>
                <w:lang w:val="en-US" w:eastAsia="zh-CN" w:bidi="ar-SA"/>
              </w:rPr>
            </w:pPr>
            <w:r>
              <w:rPr>
                <w:rFonts w:hint="eastAsia" w:ascii="仿宋_GB2312" w:eastAsia="仿宋_GB2312"/>
                <w:color w:val="000000"/>
                <w:kern w:val="0"/>
                <w:szCs w:val="21"/>
                <w:lang w:val="zh-CN"/>
              </w:rPr>
              <w:t>根据《全国经济普查条例》，2022年主要做好普查前期准备工作，研究普查的总体方案和开展专项试点。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一级指标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二级指标</w:t>
            </w:r>
          </w:p>
        </w:tc>
        <w:tc>
          <w:tcPr>
            <w:tcW w:w="106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三级指标</w:t>
            </w:r>
          </w:p>
        </w:tc>
        <w:tc>
          <w:tcPr>
            <w:tcW w:w="15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仿宋_GB2312"/>
                <w:color w:val="000000"/>
                <w:kern w:val="0"/>
                <w:szCs w:val="21"/>
              </w:rPr>
            </w:pPr>
            <w:r>
              <w:rPr>
                <w:rFonts w:eastAsia="仿宋_GB2312"/>
                <w:color w:val="000000"/>
                <w:kern w:val="0"/>
                <w:szCs w:val="21"/>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指标值</w:t>
            </w:r>
          </w:p>
        </w:tc>
        <w:tc>
          <w:tcPr>
            <w:tcW w:w="8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仿宋_GB2312"/>
                <w:color w:val="000000"/>
                <w:kern w:val="0"/>
                <w:szCs w:val="21"/>
              </w:rPr>
            </w:pPr>
            <w:r>
              <w:rPr>
                <w:rFonts w:eastAsia="仿宋_GB2312"/>
                <w:color w:val="000000"/>
                <w:kern w:val="0"/>
                <w:szCs w:val="21"/>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完成值</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分值</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得分</w:t>
            </w:r>
          </w:p>
        </w:tc>
        <w:tc>
          <w:tcPr>
            <w:tcW w:w="1418" w:type="dxa"/>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eastAsia="仿宋_GB2312"/>
                <w:color w:val="000000"/>
                <w:kern w:val="0"/>
                <w:szCs w:val="21"/>
              </w:rPr>
              <w:t>产出指标</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eastAsia="仿宋_GB2312"/>
                <w:color w:val="000000"/>
                <w:kern w:val="0"/>
                <w:szCs w:val="21"/>
              </w:rPr>
              <w:t>(50分)</w:t>
            </w: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数量指标</w:t>
            </w:r>
          </w:p>
        </w:tc>
        <w:tc>
          <w:tcPr>
            <w:tcW w:w="1067"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eastAsia="仿宋_GB2312"/>
                <w:color w:val="000000"/>
                <w:kern w:val="0"/>
                <w:szCs w:val="21"/>
              </w:rPr>
            </w:pPr>
            <w:r>
              <w:rPr>
                <w:rFonts w:hint="default" w:ascii="仿宋_GB2312" w:eastAsia="仿宋_GB2312"/>
                <w:color w:val="000000"/>
                <w:kern w:val="0"/>
                <w:szCs w:val="21"/>
                <w:lang w:val="zh-CN"/>
              </w:rPr>
              <w:t>普查总体方案</w:t>
            </w:r>
          </w:p>
        </w:tc>
        <w:tc>
          <w:tcPr>
            <w:tcW w:w="1590"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420" w:firstLineChars="200"/>
              <w:jc w:val="left"/>
              <w:textAlignment w:val="auto"/>
              <w:rPr>
                <w:rFonts w:eastAsia="仿宋_GB2312"/>
                <w:color w:val="000000"/>
                <w:kern w:val="0"/>
                <w:szCs w:val="21"/>
              </w:rPr>
            </w:pPr>
            <w:r>
              <w:rPr>
                <w:rFonts w:hint="eastAsia" w:ascii="仿宋_GB2312" w:eastAsia="仿宋_GB2312"/>
                <w:color w:val="000000"/>
                <w:kern w:val="0"/>
                <w:szCs w:val="21"/>
                <w:lang w:val="en-US" w:eastAsia="zh-CN"/>
              </w:rPr>
              <w:t>1份</w:t>
            </w:r>
          </w:p>
        </w:tc>
        <w:tc>
          <w:tcPr>
            <w:tcW w:w="8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eastAsia="仿宋_GB2312"/>
                <w:color w:val="000000"/>
                <w:kern w:val="0"/>
                <w:szCs w:val="21"/>
                <w:lang w:val="en-US"/>
              </w:rPr>
            </w:pPr>
            <w:r>
              <w:rPr>
                <w:rFonts w:hint="eastAsia" w:eastAsia="仿宋_GB2312"/>
                <w:color w:val="000000"/>
                <w:kern w:val="0"/>
                <w:szCs w:val="21"/>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pPr>
          </w:p>
        </w:tc>
        <w:tc>
          <w:tcPr>
            <w:tcW w:w="1067"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eastAsia="仿宋_GB2312"/>
                <w:color w:val="000000"/>
                <w:kern w:val="0"/>
                <w:szCs w:val="21"/>
                <w:lang w:val="en-US" w:eastAsia="zh-CN"/>
              </w:rPr>
            </w:pPr>
            <w:r>
              <w:rPr>
                <w:rFonts w:hint="default" w:ascii="仿宋_GB2312" w:eastAsia="仿宋_GB2312"/>
                <w:color w:val="000000"/>
                <w:kern w:val="0"/>
                <w:szCs w:val="21"/>
                <w:lang w:val="zh-CN"/>
              </w:rPr>
              <w:t>专项试点数量</w:t>
            </w:r>
          </w:p>
        </w:tc>
        <w:tc>
          <w:tcPr>
            <w:tcW w:w="1590"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420" w:firstLineChars="200"/>
              <w:jc w:val="left"/>
              <w:textAlignment w:val="auto"/>
              <w:rPr>
                <w:rFonts w:eastAsia="仿宋_GB2312"/>
                <w:color w:val="000000"/>
                <w:kern w:val="0"/>
                <w:szCs w:val="21"/>
                <w:lang w:val="en-US" w:eastAsia="zh-CN"/>
              </w:rPr>
            </w:pPr>
            <w:r>
              <w:rPr>
                <w:rFonts w:hint="default" w:ascii="仿宋_GB2312" w:eastAsia="仿宋_GB2312"/>
                <w:color w:val="000000"/>
                <w:kern w:val="0"/>
                <w:szCs w:val="21"/>
                <w:lang w:val="en-US" w:eastAsia="zh-CN"/>
              </w:rPr>
              <w:t>≥</w:t>
            </w:r>
            <w:r>
              <w:rPr>
                <w:rFonts w:hint="eastAsia" w:ascii="仿宋_GB2312" w:eastAsia="仿宋_GB2312"/>
                <w:color w:val="000000"/>
                <w:kern w:val="0"/>
                <w:szCs w:val="21"/>
                <w:lang w:val="en-US" w:eastAsia="zh-CN"/>
              </w:rPr>
              <w:t>1个</w:t>
            </w:r>
          </w:p>
        </w:tc>
        <w:tc>
          <w:tcPr>
            <w:tcW w:w="8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rPr>
              <w:t>质量指标</w:t>
            </w:r>
          </w:p>
        </w:tc>
        <w:tc>
          <w:tcPr>
            <w:tcW w:w="1067"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eastAsia="仿宋_GB2312"/>
                <w:color w:val="000000"/>
                <w:kern w:val="0"/>
                <w:szCs w:val="21"/>
              </w:rPr>
            </w:pPr>
            <w:r>
              <w:rPr>
                <w:rFonts w:hint="default" w:ascii="仿宋_GB2312" w:eastAsia="仿宋_GB2312"/>
                <w:color w:val="000000"/>
                <w:kern w:val="0"/>
                <w:szCs w:val="21"/>
                <w:lang w:val="zh-CN"/>
              </w:rPr>
              <w:t>工作质量要求</w:t>
            </w:r>
          </w:p>
        </w:tc>
        <w:tc>
          <w:tcPr>
            <w:tcW w:w="159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eastAsia="仿宋_GB2312"/>
                <w:color w:val="000000"/>
                <w:kern w:val="0"/>
                <w:szCs w:val="21"/>
              </w:rPr>
            </w:pPr>
            <w:r>
              <w:rPr>
                <w:rFonts w:hint="default" w:ascii="仿宋_GB2312" w:eastAsia="仿宋_GB2312"/>
                <w:color w:val="000000"/>
                <w:kern w:val="0"/>
                <w:szCs w:val="21"/>
                <w:lang w:val="zh-CN"/>
              </w:rPr>
              <w:t>严格按照相关要求开展普查总体方案的研究工作，以及专项试点工作，确保完成工作任务</w:t>
            </w:r>
            <w:r>
              <w:rPr>
                <w:rFonts w:hint="eastAsia" w:ascii="仿宋_GB2312" w:eastAsia="仿宋_GB2312"/>
                <w:color w:val="000000"/>
                <w:kern w:val="0"/>
                <w:szCs w:val="21"/>
                <w:lang w:val="zh-CN"/>
              </w:rPr>
              <w:t>。　</w:t>
            </w:r>
          </w:p>
        </w:tc>
        <w:tc>
          <w:tcPr>
            <w:tcW w:w="8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eastAsia="仿宋_GB2312"/>
                <w:color w:val="000000"/>
                <w:kern w:val="0"/>
                <w:szCs w:val="21"/>
                <w:lang w:val="en-US" w:eastAsia="zh-CN"/>
              </w:rPr>
              <w:t>100%</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p>
        </w:tc>
        <w:tc>
          <w:tcPr>
            <w:tcW w:w="82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rPr>
              <w:t>时效指标</w:t>
            </w:r>
          </w:p>
        </w:tc>
        <w:tc>
          <w:tcPr>
            <w:tcW w:w="1067"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eastAsia="仿宋_GB2312"/>
                <w:color w:val="000000"/>
                <w:kern w:val="0"/>
                <w:szCs w:val="21"/>
              </w:rPr>
            </w:pPr>
            <w:r>
              <w:rPr>
                <w:rFonts w:hint="default" w:ascii="仿宋_GB2312" w:eastAsia="仿宋_GB2312"/>
                <w:color w:val="000000"/>
                <w:kern w:val="0"/>
                <w:szCs w:val="21"/>
                <w:lang w:val="zh-CN"/>
              </w:rPr>
              <w:t>完成时间</w:t>
            </w:r>
          </w:p>
        </w:tc>
        <w:tc>
          <w:tcPr>
            <w:tcW w:w="159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eastAsia="仿宋_GB2312"/>
                <w:color w:val="000000"/>
                <w:kern w:val="0"/>
                <w:szCs w:val="21"/>
              </w:rPr>
            </w:pPr>
            <w:r>
              <w:rPr>
                <w:rFonts w:hint="eastAsia" w:ascii="仿宋_GB2312" w:eastAsia="仿宋_GB2312"/>
                <w:color w:val="000000"/>
                <w:kern w:val="0"/>
                <w:szCs w:val="21"/>
                <w:lang w:val="en-US" w:eastAsia="zh-CN"/>
              </w:rPr>
              <w:t>2022年12月31日前</w:t>
            </w:r>
          </w:p>
        </w:tc>
        <w:tc>
          <w:tcPr>
            <w:tcW w:w="8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成本指标</w:t>
            </w:r>
          </w:p>
        </w:tc>
        <w:tc>
          <w:tcPr>
            <w:tcW w:w="1067"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eastAsia="仿宋_GB2312"/>
                <w:color w:val="000000"/>
                <w:kern w:val="0"/>
                <w:szCs w:val="21"/>
              </w:rPr>
            </w:pPr>
            <w:r>
              <w:rPr>
                <w:rFonts w:hint="eastAsia" w:ascii="仿宋_GB2312" w:eastAsia="仿宋_GB2312"/>
                <w:color w:val="000000"/>
                <w:kern w:val="0"/>
                <w:szCs w:val="21"/>
                <w:lang w:val="zh-CN"/>
              </w:rPr>
              <w:t>项目预算控制数　</w:t>
            </w:r>
          </w:p>
        </w:tc>
        <w:tc>
          <w:tcPr>
            <w:tcW w:w="159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eastAsia="仿宋_GB2312"/>
                <w:color w:val="000000"/>
                <w:kern w:val="0"/>
                <w:szCs w:val="21"/>
                <w:lang w:val="zh-CN"/>
              </w:rPr>
            </w:pPr>
            <w:r>
              <w:rPr>
                <w:rFonts w:hint="eastAsia" w:ascii="仿宋_GB2312" w:eastAsia="仿宋_GB2312"/>
                <w:color w:val="000000"/>
                <w:kern w:val="0"/>
                <w:szCs w:val="21"/>
                <w:lang w:val="en-US" w:eastAsia="zh-CN"/>
              </w:rPr>
              <w:t>70万元</w:t>
            </w:r>
          </w:p>
          <w:p>
            <w:pPr>
              <w:keepNext w:val="0"/>
              <w:keepLines w:val="0"/>
              <w:pageBreakBefore w:val="0"/>
              <w:widowControl/>
              <w:kinsoku/>
              <w:wordWrap/>
              <w:overflowPunct/>
              <w:topLinePunct w:val="0"/>
              <w:autoSpaceDE/>
              <w:autoSpaceDN/>
              <w:bidi w:val="0"/>
              <w:adjustRightInd/>
              <w:snapToGrid/>
              <w:spacing w:line="240" w:lineRule="exact"/>
              <w:ind w:firstLine="420" w:firstLineChars="200"/>
              <w:jc w:val="left"/>
              <w:textAlignment w:val="auto"/>
              <w:rPr>
                <w:rFonts w:eastAsia="仿宋_GB2312"/>
                <w:color w:val="000000"/>
                <w:kern w:val="0"/>
                <w:szCs w:val="21"/>
              </w:rPr>
            </w:pPr>
            <w:r>
              <w:rPr>
                <w:rFonts w:hint="eastAsia" w:ascii="仿宋_GB2312" w:eastAsia="仿宋_GB2312"/>
                <w:color w:val="000000"/>
                <w:kern w:val="0"/>
                <w:szCs w:val="21"/>
                <w:lang w:val="zh-CN"/>
              </w:rPr>
              <w:t>　</w:t>
            </w:r>
          </w:p>
        </w:tc>
        <w:tc>
          <w:tcPr>
            <w:tcW w:w="8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100%</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p>
        </w:tc>
        <w:tc>
          <w:tcPr>
            <w:tcW w:w="82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效益指标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（30分）</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社会效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益指标</w:t>
            </w:r>
          </w:p>
        </w:tc>
        <w:tc>
          <w:tcPr>
            <w:tcW w:w="1067"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eastAsia="仿宋_GB2312"/>
                <w:color w:val="000000"/>
                <w:kern w:val="0"/>
                <w:szCs w:val="21"/>
                <w:lang w:val="en-US" w:eastAsia="zh-CN"/>
              </w:rPr>
            </w:pPr>
            <w:r>
              <w:rPr>
                <w:rFonts w:hint="default" w:ascii="仿宋_GB2312" w:eastAsia="仿宋_GB2312"/>
                <w:color w:val="000000"/>
                <w:kern w:val="0"/>
                <w:szCs w:val="21"/>
                <w:lang w:val="zh-CN"/>
              </w:rPr>
              <w:t>做好普查前期工作</w:t>
            </w:r>
          </w:p>
        </w:tc>
        <w:tc>
          <w:tcPr>
            <w:tcW w:w="159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eastAsia="仿宋_GB2312"/>
                <w:color w:val="000000"/>
                <w:kern w:val="0"/>
                <w:szCs w:val="21"/>
              </w:rPr>
            </w:pPr>
            <w:r>
              <w:rPr>
                <w:rFonts w:hint="default" w:ascii="仿宋_GB2312" w:eastAsia="仿宋_GB2312"/>
                <w:color w:val="000000"/>
                <w:kern w:val="0"/>
                <w:szCs w:val="21"/>
                <w:lang w:val="zh-CN"/>
              </w:rPr>
              <w:t>为开展普查工作提供良好的基础</w:t>
            </w:r>
            <w:r>
              <w:rPr>
                <w:rFonts w:hint="eastAsia" w:ascii="仿宋_GB2312" w:eastAsia="仿宋_GB2312"/>
                <w:color w:val="000000"/>
                <w:kern w:val="0"/>
                <w:szCs w:val="21"/>
                <w:lang w:val="zh-CN"/>
              </w:rPr>
              <w:t>。</w:t>
            </w:r>
          </w:p>
        </w:tc>
        <w:tc>
          <w:tcPr>
            <w:tcW w:w="8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eastAsia="仿宋_GB2312"/>
                <w:color w:val="000000"/>
                <w:kern w:val="0"/>
                <w:szCs w:val="21"/>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30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30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（20分）</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服务对象满意度指标</w:t>
            </w:r>
          </w:p>
        </w:tc>
        <w:tc>
          <w:tcPr>
            <w:tcW w:w="106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相关部门和单位及群众满意度</w:t>
            </w:r>
          </w:p>
        </w:tc>
        <w:tc>
          <w:tcPr>
            <w:tcW w:w="15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lang w:val="en-US" w:eastAsia="zh-CN"/>
              </w:rPr>
              <w:t>95%</w:t>
            </w:r>
          </w:p>
        </w:tc>
        <w:tc>
          <w:tcPr>
            <w:tcW w:w="8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eastAsia="仿宋_GB2312"/>
                <w:color w:val="000000"/>
                <w:kern w:val="0"/>
                <w:szCs w:val="21"/>
                <w:lang w:val="en-US" w:eastAsia="zh-CN"/>
              </w:rPr>
              <w:t>92%</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20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18</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eastAsia="仿宋_GB2312"/>
                <w:color w:val="000000"/>
                <w:kern w:val="0"/>
                <w:szCs w:val="21"/>
              </w:rPr>
              <w:t>总分</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98</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r>
              <w:rPr>
                <w:rFonts w:eastAsia="仿宋_GB2312"/>
                <w:color w:val="000000"/>
                <w:kern w:val="0"/>
                <w:szCs w:val="21"/>
              </w:rPr>
              <w:t>　</w:t>
            </w:r>
          </w:p>
        </w:tc>
      </w:tr>
    </w:tbl>
    <w:p>
      <w:pPr>
        <w:spacing w:line="560" w:lineRule="exact"/>
        <w:jc w:val="both"/>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附件4</w:t>
      </w:r>
    </w:p>
    <w:p>
      <w:pPr>
        <w:widowControl/>
        <w:ind w:left="93"/>
        <w:jc w:val="both"/>
        <w:rPr>
          <w:rFonts w:ascii="Times New Roman" w:eastAsia="方正小标宋_GBK"/>
          <w:kern w:val="0"/>
          <w:sz w:val="44"/>
          <w:szCs w:val="44"/>
        </w:rPr>
      </w:pPr>
      <w:r>
        <w:rPr>
          <w:rFonts w:hint="eastAsia" w:ascii="方正小标宋_GBK" w:hAnsi="方正小标宋_GBK" w:eastAsia="方正小标宋_GBK"/>
          <w:kern w:val="0"/>
          <w:sz w:val="44"/>
          <w:szCs w:val="44"/>
          <w:lang w:val="en-US" w:eastAsia="zh-CN"/>
        </w:rPr>
        <w:t>江永县统计局</w:t>
      </w:r>
      <w:r>
        <w:rPr>
          <w:rFonts w:ascii="方正小标宋_GBK" w:hAnsi="方正小标宋_GBK" w:eastAsia="方正小标宋_GBK"/>
          <w:kern w:val="0"/>
          <w:sz w:val="44"/>
          <w:szCs w:val="44"/>
        </w:rPr>
        <w:t>财政</w:t>
      </w:r>
      <w:r>
        <w:rPr>
          <w:rFonts w:hint="eastAsia" w:ascii="方正小标宋_GBK" w:hAnsi="方正小标宋_GBK" w:eastAsia="方正小标宋_GBK"/>
          <w:kern w:val="0"/>
          <w:sz w:val="44"/>
          <w:szCs w:val="44"/>
          <w:lang w:val="en-US" w:eastAsia="zh-CN"/>
        </w:rPr>
        <w:t>专项</w:t>
      </w:r>
      <w:r>
        <w:rPr>
          <w:rFonts w:ascii="方正小标宋_GBK" w:hAnsi="方正小标宋_GBK" w:eastAsia="方正小标宋_GBK"/>
          <w:kern w:val="0"/>
          <w:sz w:val="44"/>
          <w:szCs w:val="44"/>
        </w:rPr>
        <w:t>资金绩效评价表</w:t>
      </w:r>
    </w:p>
    <w:tbl>
      <w:tblPr>
        <w:tblStyle w:val="7"/>
        <w:tblW w:w="10608" w:type="dxa"/>
        <w:jc w:val="center"/>
        <w:tblLayout w:type="fixed"/>
        <w:tblCellMar>
          <w:top w:w="0" w:type="dxa"/>
          <w:left w:w="108" w:type="dxa"/>
          <w:bottom w:w="0" w:type="dxa"/>
          <w:right w:w="108" w:type="dxa"/>
        </w:tblCellMar>
      </w:tblPr>
      <w:tblGrid>
        <w:gridCol w:w="656"/>
        <w:gridCol w:w="710"/>
        <w:gridCol w:w="1275"/>
        <w:gridCol w:w="3080"/>
        <w:gridCol w:w="4502"/>
        <w:gridCol w:w="385"/>
      </w:tblGrid>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nil"/>
              <w:right w:val="single" w:color="auto" w:sz="4" w:space="0"/>
            </w:tcBorders>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一级</w:t>
            </w:r>
          </w:p>
        </w:tc>
        <w:tc>
          <w:tcPr>
            <w:tcW w:w="710" w:type="dxa"/>
            <w:tcBorders>
              <w:top w:val="single" w:color="auto" w:sz="4" w:space="0"/>
              <w:left w:val="nil"/>
              <w:bottom w:val="nil"/>
              <w:right w:val="single" w:color="auto" w:sz="4" w:space="0"/>
            </w:tcBorders>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二级</w:t>
            </w:r>
          </w:p>
        </w:tc>
        <w:tc>
          <w:tcPr>
            <w:tcW w:w="1275" w:type="dxa"/>
            <w:vMerge w:val="restart"/>
            <w:tcBorders>
              <w:top w:val="single" w:color="auto" w:sz="4" w:space="0"/>
              <w:left w:val="nil"/>
              <w:bottom w:val="single" w:color="000000" w:sz="4" w:space="0"/>
              <w:right w:val="single" w:color="auto" w:sz="4" w:space="0"/>
            </w:tcBorders>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三级指标</w:t>
            </w:r>
          </w:p>
        </w:tc>
        <w:tc>
          <w:tcPr>
            <w:tcW w:w="3080" w:type="dxa"/>
            <w:vMerge w:val="restart"/>
            <w:tcBorders>
              <w:top w:val="single" w:color="auto" w:sz="4" w:space="0"/>
              <w:left w:val="nil"/>
              <w:bottom w:val="single" w:color="000000" w:sz="4" w:space="0"/>
              <w:right w:val="single" w:color="auto" w:sz="4" w:space="0"/>
            </w:tcBorders>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指标解释</w:t>
            </w:r>
          </w:p>
        </w:tc>
        <w:tc>
          <w:tcPr>
            <w:tcW w:w="4502" w:type="dxa"/>
            <w:vMerge w:val="restart"/>
            <w:tcBorders>
              <w:top w:val="single" w:color="auto" w:sz="4" w:space="0"/>
              <w:left w:val="nil"/>
              <w:bottom w:val="single" w:color="000000" w:sz="4" w:space="0"/>
              <w:right w:val="single" w:color="auto" w:sz="4" w:space="0"/>
            </w:tcBorders>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指标说明</w:t>
            </w:r>
          </w:p>
        </w:tc>
        <w:tc>
          <w:tcPr>
            <w:tcW w:w="385" w:type="dxa"/>
            <w:vMerge w:val="restart"/>
            <w:tcBorders>
              <w:top w:val="single" w:color="auto" w:sz="4" w:space="0"/>
              <w:left w:val="nil"/>
              <w:bottom w:val="nil"/>
              <w:right w:val="single" w:color="auto" w:sz="4" w:space="0"/>
            </w:tcBorders>
            <w:vAlign w:val="center"/>
          </w:tcPr>
          <w:p>
            <w:pPr>
              <w:widowControl/>
              <w:jc w:val="center"/>
              <w:rPr>
                <w:rFonts w:eastAsia="仿宋_GB2312"/>
                <w:b/>
                <w:bCs/>
                <w:color w:val="000000"/>
                <w:kern w:val="0"/>
                <w:sz w:val="20"/>
                <w:szCs w:val="20"/>
              </w:rPr>
            </w:pPr>
            <w:r>
              <w:rPr>
                <w:b/>
                <w:bCs/>
                <w:color w:val="000000"/>
                <w:kern w:val="0"/>
                <w:sz w:val="20"/>
                <w:szCs w:val="20"/>
              </w:rPr>
              <w:t>得分</w:t>
            </w:r>
          </w:p>
        </w:tc>
      </w:tr>
      <w:tr>
        <w:tblPrEx>
          <w:tblCellMar>
            <w:top w:w="0" w:type="dxa"/>
            <w:left w:w="108" w:type="dxa"/>
            <w:bottom w:w="0" w:type="dxa"/>
            <w:right w:w="108" w:type="dxa"/>
          </w:tblCellMar>
        </w:tblPrEx>
        <w:trPr>
          <w:trHeight w:val="391" w:hRule="atLeast"/>
          <w:jc w:val="center"/>
        </w:trPr>
        <w:tc>
          <w:tcPr>
            <w:tcW w:w="656" w:type="dxa"/>
            <w:tcBorders>
              <w:top w:val="nil"/>
              <w:left w:val="single" w:color="auto" w:sz="4" w:space="0"/>
              <w:bottom w:val="single" w:color="auto" w:sz="4" w:space="0"/>
              <w:right w:val="single" w:color="auto" w:sz="4" w:space="0"/>
            </w:tcBorders>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710" w:type="dxa"/>
            <w:tcBorders>
              <w:top w:val="nil"/>
              <w:left w:val="nil"/>
              <w:bottom w:val="single" w:color="auto" w:sz="4" w:space="0"/>
              <w:right w:val="single" w:color="auto" w:sz="4" w:space="0"/>
            </w:tcBorders>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1275" w:type="dxa"/>
            <w:vMerge w:val="continue"/>
            <w:tcBorders>
              <w:top w:val="single" w:color="auto" w:sz="4" w:space="0"/>
              <w:left w:val="nil"/>
              <w:bottom w:val="single" w:color="000000" w:sz="4" w:space="0"/>
              <w:right w:val="single" w:color="auto" w:sz="4" w:space="0"/>
            </w:tcBorders>
            <w:vAlign w:val="center"/>
          </w:tcPr>
          <w:p>
            <w:pPr>
              <w:widowControl/>
              <w:jc w:val="left"/>
              <w:rPr>
                <w:rFonts w:eastAsia="仿宋_GB2312"/>
                <w:b/>
                <w:bCs/>
                <w:color w:val="000000"/>
                <w:kern w:val="0"/>
                <w:sz w:val="20"/>
                <w:szCs w:val="20"/>
              </w:rPr>
            </w:pPr>
          </w:p>
        </w:tc>
        <w:tc>
          <w:tcPr>
            <w:tcW w:w="3080" w:type="dxa"/>
            <w:vMerge w:val="continue"/>
            <w:tcBorders>
              <w:top w:val="single" w:color="auto" w:sz="4" w:space="0"/>
              <w:left w:val="nil"/>
              <w:bottom w:val="single" w:color="000000" w:sz="4" w:space="0"/>
              <w:right w:val="single" w:color="auto" w:sz="4" w:space="0"/>
            </w:tcBorders>
            <w:vAlign w:val="center"/>
          </w:tcPr>
          <w:p>
            <w:pPr>
              <w:widowControl/>
              <w:jc w:val="left"/>
              <w:rPr>
                <w:rFonts w:eastAsia="仿宋_GB2312"/>
                <w:b/>
                <w:bCs/>
                <w:color w:val="000000"/>
                <w:kern w:val="0"/>
                <w:sz w:val="20"/>
                <w:szCs w:val="20"/>
              </w:rPr>
            </w:pPr>
          </w:p>
        </w:tc>
        <w:tc>
          <w:tcPr>
            <w:tcW w:w="4502" w:type="dxa"/>
            <w:vMerge w:val="continue"/>
            <w:tcBorders>
              <w:top w:val="single" w:color="auto" w:sz="4" w:space="0"/>
              <w:left w:val="nil"/>
              <w:bottom w:val="single" w:color="000000" w:sz="4" w:space="0"/>
              <w:right w:val="single" w:color="auto" w:sz="4" w:space="0"/>
            </w:tcBorders>
            <w:vAlign w:val="center"/>
          </w:tcPr>
          <w:p>
            <w:pPr>
              <w:widowControl/>
              <w:jc w:val="left"/>
              <w:rPr>
                <w:rFonts w:eastAsia="仿宋_GB2312"/>
                <w:b/>
                <w:bCs/>
                <w:color w:val="000000"/>
                <w:kern w:val="0"/>
                <w:sz w:val="20"/>
                <w:szCs w:val="20"/>
              </w:rPr>
            </w:pPr>
          </w:p>
        </w:tc>
        <w:tc>
          <w:tcPr>
            <w:tcW w:w="385" w:type="dxa"/>
            <w:vMerge w:val="continue"/>
            <w:tcBorders>
              <w:top w:val="single" w:color="auto" w:sz="4" w:space="0"/>
              <w:left w:val="nil"/>
              <w:bottom w:val="nil"/>
              <w:right w:val="single" w:color="auto" w:sz="4" w:space="0"/>
            </w:tcBorders>
            <w:vAlign w:val="center"/>
          </w:tcPr>
          <w:p>
            <w:pPr>
              <w:widowControl/>
              <w:jc w:val="left"/>
              <w:rPr>
                <w:rFonts w:eastAsia="仿宋_GB2312"/>
                <w:b/>
                <w:bCs/>
                <w:color w:val="000000"/>
                <w:kern w:val="0"/>
                <w:sz w:val="20"/>
                <w:szCs w:val="20"/>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投入</w:t>
            </w:r>
          </w:p>
          <w:p>
            <w:pPr>
              <w:widowControl/>
              <w:spacing w:line="280" w:lineRule="exact"/>
              <w:jc w:val="center"/>
              <w:rPr>
                <w:rFonts w:ascii="宋体" w:hAnsi="宋体"/>
                <w:color w:val="000000"/>
                <w:kern w:val="0"/>
                <w:sz w:val="24"/>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（12分）</w:t>
            </w: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项目立项规范性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spacing w:line="280" w:lineRule="exact"/>
              <w:rPr>
                <w:rFonts w:ascii="宋体" w:hAnsi="宋体" w:eastAsia="宋体" w:cs="Times New Roman"/>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①项目是否按照规定的程序申请设立；</w:t>
            </w:r>
          </w:p>
        </w:tc>
        <w:tc>
          <w:tcPr>
            <w:tcW w:w="385" w:type="dxa"/>
            <w:tcBorders>
              <w:top w:val="nil"/>
              <w:left w:val="nil"/>
              <w:bottom w:val="nil"/>
              <w:right w:val="single" w:color="auto" w:sz="4" w:space="0"/>
            </w:tcBorders>
            <w:vAlign w:val="top"/>
          </w:tcPr>
          <w:p>
            <w:pPr>
              <w:widowControl/>
              <w:spacing w:line="280" w:lineRule="exact"/>
              <w:rPr>
                <w:rFonts w:hint="default"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②所提交的文件、材料是否符合相关要求；</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trHeight w:val="948"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③事前是否已经过必要的可行性研究、专家论证、风险评估、集体决策等。</w:t>
            </w:r>
          </w:p>
        </w:tc>
        <w:tc>
          <w:tcPr>
            <w:tcW w:w="385" w:type="dxa"/>
            <w:tcBorders>
              <w:top w:val="nil"/>
              <w:left w:val="nil"/>
              <w:bottom w:val="single" w:color="auto" w:sz="4" w:space="0"/>
              <w:right w:val="single" w:color="auto" w:sz="4" w:space="0"/>
            </w:tcBorders>
            <w:vAlign w:val="top"/>
          </w:tcPr>
          <w:p>
            <w:pPr>
              <w:widowControl/>
              <w:spacing w:line="280" w:lineRule="exact"/>
              <w:rPr>
                <w:rFonts w:ascii="宋体" w:hAnsi="宋体" w:eastAsia="宋体" w:cs="Times New Roman"/>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绩效目标合理性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spacing w:line="280" w:lineRule="exact"/>
              <w:rPr>
                <w:rFonts w:ascii="宋体" w:hAnsi="宋体" w:eastAsia="宋体" w:cs="Times New Roman"/>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①是否符合国家相关法律法规，国民经济发展规划和党委政府决策；</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②是否与项目实施单位或委托单位职责密切相关；</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③项目是否为促进事业发展所必需；</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trHeight w:val="82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④项目预期产出效益和效果是否符合正常的业绩水平。</w:t>
            </w:r>
          </w:p>
        </w:tc>
        <w:tc>
          <w:tcPr>
            <w:tcW w:w="385" w:type="dxa"/>
            <w:tcBorders>
              <w:top w:val="nil"/>
              <w:left w:val="nil"/>
              <w:bottom w:val="single" w:color="auto" w:sz="4" w:space="0"/>
              <w:right w:val="single" w:color="auto" w:sz="4" w:space="0"/>
            </w:tcBorders>
            <w:vAlign w:val="top"/>
          </w:tcPr>
          <w:p>
            <w:pPr>
              <w:widowControl/>
              <w:spacing w:line="280" w:lineRule="exac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绩效指标明确性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spacing w:line="280" w:lineRule="exact"/>
              <w:rPr>
                <w:rFonts w:ascii="宋体" w:hAnsi="宋体" w:eastAsia="宋体" w:cs="Times New Roman"/>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①是否将项目绩效目标细化分解为具体的绩效指标；</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②是否通过清晰、可衡量的指标值予以体现；</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③是否与项目年度任务教或计划数相对应；</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trHeight w:val="675"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④是否与预期确定的项目投资额或资金量相匹配。</w:t>
            </w:r>
          </w:p>
        </w:tc>
        <w:tc>
          <w:tcPr>
            <w:tcW w:w="385" w:type="dxa"/>
            <w:tcBorders>
              <w:top w:val="nil"/>
              <w:left w:val="nil"/>
              <w:bottom w:val="single" w:color="auto" w:sz="4" w:space="0"/>
              <w:right w:val="single" w:color="auto" w:sz="4" w:space="0"/>
            </w:tcBorders>
            <w:vAlign w:val="top"/>
          </w:tcPr>
          <w:p>
            <w:pPr>
              <w:widowControl/>
              <w:spacing w:line="280" w:lineRule="exac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资金落实</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（8分）</w:t>
            </w: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资金到位率（4分）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资金到位率=（实际到位资金/计划投入资金）×100%。</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实际到位资金：一定时期（本年度或项目期）内实际落实到具体项目的资金。</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trHeight w:val="1122"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计划投入资金：一定时期（本年度或项目期）内计划投入到具体项目的资金。</w:t>
            </w:r>
          </w:p>
        </w:tc>
        <w:tc>
          <w:tcPr>
            <w:tcW w:w="385" w:type="dxa"/>
            <w:tcBorders>
              <w:top w:val="nil"/>
              <w:left w:val="nil"/>
              <w:bottom w:val="single" w:color="auto" w:sz="4" w:space="0"/>
              <w:right w:val="single" w:color="auto" w:sz="4" w:space="0"/>
            </w:tcBorders>
            <w:vAlign w:val="top"/>
          </w:tcPr>
          <w:p>
            <w:pPr>
              <w:widowControl/>
              <w:spacing w:line="280" w:lineRule="exac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到位及时率（4分）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到位及时率＝（及时到位资金/应到位资金）×100%。</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及时到位资金：截至规定时点实际落实到具体项目的资金。</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trHeight w:val="1091"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应到位资金：按照合同或项目进度要求截至规定时点应落实到具体项目的资金。</w:t>
            </w:r>
          </w:p>
        </w:tc>
        <w:tc>
          <w:tcPr>
            <w:tcW w:w="385" w:type="dxa"/>
            <w:tcBorders>
              <w:top w:val="nil"/>
              <w:left w:val="nil"/>
              <w:bottom w:val="single" w:color="auto" w:sz="4" w:space="0"/>
              <w:right w:val="single" w:color="auto" w:sz="4" w:space="0"/>
            </w:tcBorders>
            <w:vAlign w:val="top"/>
          </w:tcPr>
          <w:p>
            <w:pPr>
              <w:widowControl/>
              <w:spacing w:line="280" w:lineRule="exac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nil"/>
              <w:right w:val="single" w:color="auto" w:sz="4" w:space="0"/>
            </w:tcBorders>
            <w:vAlign w:val="center"/>
          </w:tcPr>
          <w:p>
            <w:pPr>
              <w:jc w:val="center"/>
              <w:rPr>
                <w:rFonts w:ascii="仿宋_GB2312" w:hAnsi="宋体"/>
                <w:color w:val="000000"/>
                <w:kern w:val="0"/>
                <w:sz w:val="20"/>
                <w:szCs w:val="20"/>
              </w:rPr>
            </w:pPr>
            <w:r>
              <w:rPr>
                <w:rFonts w:ascii="仿宋_GB2312" w:hAnsi="宋体"/>
                <w:color w:val="000000"/>
                <w:kern w:val="0"/>
                <w:sz w:val="20"/>
                <w:szCs w:val="20"/>
              </w:rPr>
              <w:t>过程</w:t>
            </w:r>
          </w:p>
          <w:p>
            <w:pPr>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nil"/>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业务管理</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（10分）</w:t>
            </w:r>
          </w:p>
          <w:p>
            <w:pPr>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管理制度健全</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①是否已制定或具有相应的业务管理制度；</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trHeight w:val="633"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②业务管理制度是否合法、合规、完整。</w:t>
            </w:r>
          </w:p>
        </w:tc>
        <w:tc>
          <w:tcPr>
            <w:tcW w:w="385" w:type="dxa"/>
            <w:tcBorders>
              <w:top w:val="nil"/>
              <w:left w:val="nil"/>
              <w:bottom w:val="single" w:color="auto" w:sz="4" w:space="0"/>
              <w:right w:val="single" w:color="auto" w:sz="4" w:space="0"/>
            </w:tcBorders>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制度执行有效性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spacing w:line="280" w:lineRule="exact"/>
              <w:rPr>
                <w:rFonts w:ascii="宋体" w:hAnsi="宋体" w:eastAsia="宋体" w:cs="Times New Roman"/>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①是否遵守相关法律法规和业务管理规定；</w:t>
            </w:r>
          </w:p>
        </w:tc>
        <w:tc>
          <w:tcPr>
            <w:tcW w:w="385" w:type="dxa"/>
            <w:tcBorders>
              <w:top w:val="nil"/>
              <w:left w:val="nil"/>
              <w:bottom w:val="nil"/>
              <w:right w:val="single" w:color="auto" w:sz="4" w:space="0"/>
            </w:tcBorders>
            <w:vAlign w:val="top"/>
          </w:tcPr>
          <w:p>
            <w:pPr>
              <w:widowControl/>
              <w:spacing w:line="280" w:lineRule="exact"/>
              <w:rPr>
                <w:rFonts w:hint="default" w:ascii="宋体" w:hAnsi="宋体" w:eastAsia="宋体" w:cs="Times New Roman"/>
                <w:color w:val="000000"/>
                <w:kern w:val="0"/>
                <w:sz w:val="24"/>
                <w:szCs w:val="24"/>
                <w:lang w:val="en-US" w:eastAsia="zh-CN" w:bidi="ar-SA"/>
              </w:rPr>
            </w:pPr>
            <w:r>
              <w:rPr>
                <w:rFonts w:hint="eastAsia" w:ascii="宋体" w:hAnsi="宋体" w:cs="Times New Roman"/>
                <w:color w:val="000000"/>
                <w:kern w:val="0"/>
                <w:sz w:val="24"/>
                <w:szCs w:val="24"/>
                <w:lang w:val="en-US" w:eastAsia="zh-CN" w:bidi="ar-SA"/>
              </w:rPr>
              <w:t>1</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②项目调整及支出调整手续是否完备；</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③项目合同书、验收报告、技术审定等资料是否齐全并及时归档;</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trHeight w:val="1103"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④项目实施的人员条件、场地设备，信息支撑等是否落实到位。</w:t>
            </w:r>
          </w:p>
        </w:tc>
        <w:tc>
          <w:tcPr>
            <w:tcW w:w="385" w:type="dxa"/>
            <w:tcBorders>
              <w:top w:val="nil"/>
              <w:left w:val="nil"/>
              <w:bottom w:val="single" w:color="auto" w:sz="4" w:space="0"/>
              <w:right w:val="single" w:color="auto" w:sz="4" w:space="0"/>
            </w:tcBorders>
            <w:vAlign w:val="top"/>
          </w:tcPr>
          <w:p>
            <w:pPr>
              <w:widowControl/>
              <w:spacing w:line="280" w:lineRule="exac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项目质量可控性</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rPr>
                <w:rFonts w:ascii="宋体" w:hAnsi="宋体" w:eastAsia="宋体" w:cs="Times New Roman"/>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①是否已制定或其有相应的项目质量要求或标准；</w:t>
            </w:r>
          </w:p>
        </w:tc>
        <w:tc>
          <w:tcPr>
            <w:tcW w:w="385" w:type="dxa"/>
            <w:tcBorders>
              <w:top w:val="nil"/>
              <w:left w:val="nil"/>
              <w:bottom w:val="nil"/>
              <w:right w:val="single" w:color="auto" w:sz="4" w:space="0"/>
            </w:tcBorders>
            <w:vAlign w:val="top"/>
          </w:tcPr>
          <w:p>
            <w:pPr>
              <w:widowControl/>
              <w:rPr>
                <w:rFonts w:hint="default"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trHeight w:val="1194"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②是否采取了相应的项目质量检查、验收等必需的控制措施或手段。</w:t>
            </w:r>
          </w:p>
        </w:tc>
        <w:tc>
          <w:tcPr>
            <w:tcW w:w="385" w:type="dxa"/>
            <w:tcBorders>
              <w:top w:val="nil"/>
              <w:left w:val="nil"/>
              <w:bottom w:val="single" w:color="auto" w:sz="4" w:space="0"/>
              <w:right w:val="single" w:color="auto" w:sz="4" w:space="0"/>
            </w:tcBorders>
            <w:vAlign w:val="top"/>
          </w:tcPr>
          <w:p>
            <w:pPr>
              <w:widowControl/>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财务管理</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管理制度健全性</w:t>
            </w:r>
          </w:p>
          <w:p>
            <w:pPr>
              <w:widowControl/>
              <w:jc w:val="center"/>
              <w:rPr>
                <w:rFonts w:ascii="仿宋_GB2312" w:hAnsi="宋体"/>
                <w:color w:val="000000"/>
                <w:kern w:val="0"/>
                <w:sz w:val="20"/>
                <w:szCs w:val="20"/>
              </w:rPr>
            </w:pPr>
            <w:r>
              <w:rPr>
                <w:rFonts w:ascii="仿宋_GB2312" w:hAnsi="宋体"/>
                <w:color w:val="000000"/>
                <w:kern w:val="0"/>
                <w:sz w:val="20"/>
                <w:szCs w:val="20"/>
              </w:rPr>
              <w:t>（5分）</w:t>
            </w:r>
          </w:p>
        </w:tc>
        <w:tc>
          <w:tcPr>
            <w:tcW w:w="3080" w:type="dxa"/>
            <w:vMerge w:val="restart"/>
            <w:tcBorders>
              <w:top w:val="nil"/>
              <w:left w:val="nil"/>
              <w:bottom w:val="single" w:color="000000"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jc w:val="left"/>
              <w:rPr>
                <w:rFonts w:ascii="宋体" w:hAnsi="宋体" w:eastAsia="宋体" w:cs="Times New Roman"/>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①是否已制定或具有相应的项目资金管理办法；</w:t>
            </w:r>
          </w:p>
        </w:tc>
        <w:tc>
          <w:tcPr>
            <w:tcW w:w="385" w:type="dxa"/>
            <w:tcBorders>
              <w:top w:val="nil"/>
              <w:left w:val="nil"/>
              <w:bottom w:val="nil"/>
              <w:right w:val="single" w:color="auto" w:sz="4" w:space="0"/>
            </w:tcBorders>
            <w:vAlign w:val="top"/>
          </w:tcPr>
          <w:p>
            <w:pPr>
              <w:widowControl/>
              <w:jc w:val="lef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trHeight w:val="866"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②项目资金管理办法是否符合相关财务会计制度的规定。</w:t>
            </w:r>
          </w:p>
        </w:tc>
        <w:tc>
          <w:tcPr>
            <w:tcW w:w="385" w:type="dxa"/>
            <w:tcBorders>
              <w:top w:val="nil"/>
              <w:left w:val="nil"/>
              <w:bottom w:val="single" w:color="auto" w:sz="4" w:space="0"/>
              <w:right w:val="single" w:color="auto" w:sz="4" w:space="0"/>
            </w:tcBorders>
            <w:vAlign w:val="top"/>
          </w:tcPr>
          <w:p>
            <w:pPr>
              <w:widowControl/>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资金使用合规性</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rPr>
                <w:rFonts w:ascii="宋体" w:hAnsi="宋体" w:eastAsia="宋体" w:cs="Times New Roman"/>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①是否符合国家财经法规和财务管理以及有关专项资金管理办法的规定；</w:t>
            </w:r>
          </w:p>
        </w:tc>
        <w:tc>
          <w:tcPr>
            <w:tcW w:w="385" w:type="dxa"/>
            <w:tcBorders>
              <w:top w:val="nil"/>
              <w:left w:val="nil"/>
              <w:bottom w:val="nil"/>
              <w:right w:val="single" w:color="auto" w:sz="4" w:space="0"/>
            </w:tcBorders>
            <w:vAlign w:val="top"/>
          </w:tcPr>
          <w:p>
            <w:pPr>
              <w:widowControl/>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②资金的拨付是否有完整的审批程序和手续；</w:t>
            </w:r>
          </w:p>
        </w:tc>
        <w:tc>
          <w:tcPr>
            <w:tcW w:w="385" w:type="dxa"/>
            <w:tcBorders>
              <w:top w:val="nil"/>
              <w:left w:val="nil"/>
              <w:bottom w:val="nil"/>
              <w:right w:val="single" w:color="auto" w:sz="4" w:space="0"/>
            </w:tcBorders>
            <w:vAlign w:val="top"/>
          </w:tcPr>
          <w:p>
            <w:pPr>
              <w:widowControl/>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③项目的重大开支是否经过评估认证；</w:t>
            </w:r>
          </w:p>
        </w:tc>
        <w:tc>
          <w:tcPr>
            <w:tcW w:w="385" w:type="dxa"/>
            <w:tcBorders>
              <w:top w:val="nil"/>
              <w:left w:val="nil"/>
              <w:bottom w:val="nil"/>
              <w:right w:val="single" w:color="auto" w:sz="4" w:space="0"/>
            </w:tcBorders>
            <w:vAlign w:val="top"/>
          </w:tcPr>
          <w:p>
            <w:pPr>
              <w:widowControl/>
              <w:rPr>
                <w:rFonts w:ascii="宋体" w:hAnsi="宋体" w:eastAsia="宋体" w:cs="Times New Roman"/>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④是否符合项目预算批复或合同规定的用途；</w:t>
            </w:r>
          </w:p>
        </w:tc>
        <w:tc>
          <w:tcPr>
            <w:tcW w:w="385" w:type="dxa"/>
            <w:tcBorders>
              <w:top w:val="nil"/>
              <w:left w:val="nil"/>
              <w:bottom w:val="nil"/>
              <w:right w:val="single" w:color="auto" w:sz="4" w:space="0"/>
            </w:tcBorders>
            <w:vAlign w:val="top"/>
          </w:tcPr>
          <w:p>
            <w:pPr>
              <w:widowControl/>
              <w:rPr>
                <w:rFonts w:ascii="宋体" w:hAnsi="宋体" w:eastAsia="宋体" w:cs="Times New Roman"/>
                <w:color w:val="000000"/>
                <w:kern w:val="0"/>
                <w:sz w:val="24"/>
                <w:szCs w:val="24"/>
                <w:lang w:val="en-US" w:eastAsia="zh-CN" w:bidi="ar-SA"/>
              </w:rPr>
            </w:pPr>
          </w:p>
        </w:tc>
      </w:tr>
      <w:tr>
        <w:tblPrEx>
          <w:tblCellMar>
            <w:top w:w="0" w:type="dxa"/>
            <w:left w:w="108" w:type="dxa"/>
            <w:bottom w:w="0" w:type="dxa"/>
            <w:right w:w="108" w:type="dxa"/>
          </w:tblCellMar>
        </w:tblPrEx>
        <w:trPr>
          <w:trHeight w:val="1027"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⑤是否存在截留、挤占、挪用、虚列支出等情况。</w:t>
            </w:r>
          </w:p>
        </w:tc>
        <w:tc>
          <w:tcPr>
            <w:tcW w:w="385" w:type="dxa"/>
            <w:tcBorders>
              <w:top w:val="nil"/>
              <w:left w:val="nil"/>
              <w:bottom w:val="single" w:color="auto" w:sz="4" w:space="0"/>
              <w:right w:val="single" w:color="auto" w:sz="4" w:space="0"/>
            </w:tcBorders>
            <w:vAlign w:val="top"/>
          </w:tcPr>
          <w:p>
            <w:pPr>
              <w:widowControl/>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trHeight w:val="377"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财务监控有效性</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jc w:val="left"/>
              <w:rPr>
                <w:rFonts w:ascii="宋体" w:hAnsi="宋体" w:eastAsia="宋体" w:cs="Times New Roman"/>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①是否已制定或具有相应的监控机制；</w:t>
            </w:r>
          </w:p>
        </w:tc>
        <w:tc>
          <w:tcPr>
            <w:tcW w:w="385" w:type="dxa"/>
            <w:tcBorders>
              <w:top w:val="nil"/>
              <w:left w:val="nil"/>
              <w:bottom w:val="nil"/>
              <w:right w:val="single" w:color="auto" w:sz="4" w:space="0"/>
            </w:tcBorders>
            <w:vAlign w:val="top"/>
          </w:tcPr>
          <w:p>
            <w:pPr>
              <w:widowControl/>
              <w:jc w:val="lef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1519"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②是否采取了相应的财务检查等必要的监控措施或手段。</w:t>
            </w:r>
          </w:p>
        </w:tc>
        <w:tc>
          <w:tcPr>
            <w:tcW w:w="385" w:type="dxa"/>
            <w:tcBorders>
              <w:top w:val="nil"/>
              <w:left w:val="nil"/>
              <w:bottom w:val="single" w:color="auto" w:sz="4" w:space="0"/>
              <w:right w:val="single" w:color="auto" w:sz="4" w:space="0"/>
            </w:tcBorders>
            <w:vAlign w:val="top"/>
          </w:tcPr>
          <w:p>
            <w:pPr>
              <w:widowControl/>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5</w:t>
            </w: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1275"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实际完成率（7分）</w:t>
            </w:r>
          </w:p>
        </w:tc>
        <w:tc>
          <w:tcPr>
            <w:tcW w:w="3080" w:type="dxa"/>
            <w:vMerge w:val="restart"/>
            <w:tcBorders>
              <w:top w:val="nil"/>
              <w:left w:val="nil"/>
              <w:bottom w:val="single" w:color="000000"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实际完成率＝（实际产出数/计划产出数）×100%。</w:t>
            </w:r>
          </w:p>
        </w:tc>
        <w:tc>
          <w:tcPr>
            <w:tcW w:w="385" w:type="dxa"/>
            <w:tcBorders>
              <w:top w:val="nil"/>
              <w:left w:val="nil"/>
              <w:bottom w:val="nil"/>
              <w:right w:val="single" w:color="auto" w:sz="4" w:space="0"/>
            </w:tcBorders>
            <w:vAlign w:val="top"/>
          </w:tcPr>
          <w:p>
            <w:pPr>
              <w:widowControl/>
              <w:jc w:val="lef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trHeight w:val="568"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实际产出数：一定时期（本年度或项目期）内项目实际产出的产品或提供的服务数。</w:t>
            </w:r>
          </w:p>
        </w:tc>
        <w:tc>
          <w:tcPr>
            <w:tcW w:w="385" w:type="dxa"/>
            <w:tcBorders>
              <w:top w:val="nil"/>
              <w:left w:val="nil"/>
              <w:bottom w:val="nil"/>
              <w:right w:val="single" w:color="auto" w:sz="4" w:space="0"/>
            </w:tcBorders>
            <w:vAlign w:val="top"/>
          </w:tcPr>
          <w:p>
            <w:pPr>
              <w:widowControl/>
              <w:jc w:val="lef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计划产出数：项目绩效目标确定的在一定时期（本年度或项目期）内计划产出的产品或提供的服务数量。</w:t>
            </w:r>
          </w:p>
        </w:tc>
        <w:tc>
          <w:tcPr>
            <w:tcW w:w="385" w:type="dxa"/>
            <w:tcBorders>
              <w:top w:val="nil"/>
              <w:left w:val="nil"/>
              <w:bottom w:val="single" w:color="auto" w:sz="4" w:space="0"/>
              <w:right w:val="single" w:color="auto" w:sz="4" w:space="0"/>
            </w:tcBorders>
            <w:vAlign w:val="top"/>
          </w:tcPr>
          <w:p>
            <w:pPr>
              <w:widowControl/>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完成及时率</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完成及时率[ (计划完成时间-实际完成时间）/计划完成时间]</w:t>
            </w:r>
            <w:r>
              <w:rPr>
                <w:rFonts w:ascii="宋体" w:hAnsi="宋体"/>
                <w:color w:val="000000"/>
                <w:kern w:val="0"/>
                <w:sz w:val="20"/>
                <w:szCs w:val="20"/>
              </w:rPr>
              <w:t> </w:t>
            </w:r>
            <w:r>
              <w:rPr>
                <w:rFonts w:ascii="仿宋_GB2312" w:hAnsi="宋体"/>
                <w:color w:val="000000"/>
                <w:kern w:val="0"/>
                <w:sz w:val="20"/>
                <w:szCs w:val="20"/>
              </w:rPr>
              <w:t>×100%。</w:t>
            </w:r>
          </w:p>
        </w:tc>
        <w:tc>
          <w:tcPr>
            <w:tcW w:w="385" w:type="dxa"/>
            <w:tcBorders>
              <w:top w:val="nil"/>
              <w:left w:val="nil"/>
              <w:bottom w:val="nil"/>
              <w:right w:val="single" w:color="auto" w:sz="4" w:space="0"/>
            </w:tcBorders>
            <w:vAlign w:val="top"/>
          </w:tcPr>
          <w:p>
            <w:pPr>
              <w:widowControl/>
              <w:jc w:val="left"/>
              <w:rPr>
                <w:rFonts w:hint="default"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实际完成时间：项目实施单位完成该项目实际所耗用的时间。</w:t>
            </w:r>
          </w:p>
        </w:tc>
        <w:tc>
          <w:tcPr>
            <w:tcW w:w="385" w:type="dxa"/>
            <w:tcBorders>
              <w:top w:val="nil"/>
              <w:left w:val="nil"/>
              <w:bottom w:val="nil"/>
              <w:right w:val="single" w:color="auto" w:sz="4" w:space="0"/>
            </w:tcBorders>
            <w:vAlign w:val="top"/>
          </w:tcPr>
          <w:p>
            <w:pPr>
              <w:widowControl/>
              <w:jc w:val="lef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计划完成时间：按照项目实施计划或相关规定完成该项目所需的时间。</w:t>
            </w:r>
          </w:p>
        </w:tc>
        <w:tc>
          <w:tcPr>
            <w:tcW w:w="385" w:type="dxa"/>
            <w:tcBorders>
              <w:top w:val="nil"/>
              <w:left w:val="nil"/>
              <w:bottom w:val="single" w:color="auto" w:sz="4" w:space="0"/>
              <w:right w:val="single" w:color="auto" w:sz="4" w:space="0"/>
            </w:tcBorders>
            <w:vAlign w:val="top"/>
          </w:tcPr>
          <w:p>
            <w:pPr>
              <w:widowControl/>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质量达标率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质量达标率＝（质量达标产出数/实际产出数）/100%。</w:t>
            </w:r>
          </w:p>
        </w:tc>
        <w:tc>
          <w:tcPr>
            <w:tcW w:w="385" w:type="dxa"/>
            <w:tcBorders>
              <w:top w:val="nil"/>
              <w:left w:val="nil"/>
              <w:bottom w:val="nil"/>
              <w:right w:val="single" w:color="auto" w:sz="4" w:space="0"/>
            </w:tcBorders>
            <w:vAlign w:val="top"/>
          </w:tcPr>
          <w:p>
            <w:pPr>
              <w:widowControl/>
              <w:jc w:val="lef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color="auto" w:sz="4" w:space="0"/>
            </w:tcBorders>
            <w:vAlign w:val="top"/>
          </w:tcPr>
          <w:p>
            <w:pPr>
              <w:widowControl/>
              <w:jc w:val="lef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100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color="auto" w:sz="4" w:space="0"/>
              <w:right w:val="single" w:color="auto" w:sz="4" w:space="0"/>
            </w:tcBorders>
            <w:vAlign w:val="top"/>
          </w:tcPr>
          <w:p>
            <w:pPr>
              <w:widowControl/>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成本节约率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成本节约率＝(计划成本-实际成本)</w:t>
            </w:r>
            <w:r>
              <w:rPr>
                <w:rFonts w:ascii="宋体" w:hAnsi="宋体"/>
                <w:color w:val="000000"/>
                <w:kern w:val="0"/>
                <w:sz w:val="20"/>
                <w:szCs w:val="20"/>
              </w:rPr>
              <w:t> </w:t>
            </w:r>
            <w:r>
              <w:rPr>
                <w:rFonts w:ascii="仿宋_GB2312" w:hAnsi="宋体"/>
                <w:color w:val="000000"/>
                <w:kern w:val="0"/>
                <w:sz w:val="20"/>
                <w:szCs w:val="20"/>
              </w:rPr>
              <w:t>/计划成本×100%。</w:t>
            </w:r>
          </w:p>
        </w:tc>
        <w:tc>
          <w:tcPr>
            <w:tcW w:w="385" w:type="dxa"/>
            <w:tcBorders>
              <w:top w:val="nil"/>
              <w:left w:val="nil"/>
              <w:bottom w:val="nil"/>
              <w:right w:val="single" w:color="auto" w:sz="4" w:space="0"/>
            </w:tcBorders>
            <w:vAlign w:val="top"/>
          </w:tcPr>
          <w:p>
            <w:pPr>
              <w:widowControl/>
              <w:jc w:val="lef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实际成本：项目实施单位如期、保质、保量完成既定工作目标实际所耗费的支出。</w:t>
            </w:r>
          </w:p>
        </w:tc>
        <w:tc>
          <w:tcPr>
            <w:tcW w:w="385" w:type="dxa"/>
            <w:tcBorders>
              <w:top w:val="nil"/>
              <w:left w:val="nil"/>
              <w:bottom w:val="nil"/>
              <w:right w:val="single" w:color="auto" w:sz="4" w:space="0"/>
            </w:tcBorders>
            <w:vAlign w:val="top"/>
          </w:tcPr>
          <w:p>
            <w:pPr>
              <w:widowControl/>
              <w:jc w:val="lef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计划成本：项目实施单位为完成工作目标计划安排的支出，一般以项目预算为参考。</w:t>
            </w:r>
          </w:p>
        </w:tc>
        <w:tc>
          <w:tcPr>
            <w:tcW w:w="385" w:type="dxa"/>
            <w:tcBorders>
              <w:top w:val="nil"/>
              <w:left w:val="nil"/>
              <w:bottom w:val="single" w:color="auto" w:sz="4" w:space="0"/>
              <w:right w:val="single" w:color="auto" w:sz="4" w:space="0"/>
            </w:tcBorders>
            <w:vAlign w:val="top"/>
          </w:tcPr>
          <w:p>
            <w:pPr>
              <w:widowControl/>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trHeight w:val="667" w:hRule="atLeast"/>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效果</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项目效益</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经济效益</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项目实施对经济发展所带来的直接或间接影响情况。</w:t>
            </w:r>
          </w:p>
        </w:tc>
        <w:tc>
          <w:tcPr>
            <w:tcW w:w="4502" w:type="dxa"/>
            <w:vMerge w:val="restart"/>
            <w:tcBorders>
              <w:top w:val="nil"/>
              <w:left w:val="nil"/>
              <w:bottom w:val="single" w:color="000000"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此四项指标为设置项目支出</w:t>
            </w:r>
            <w:r>
              <w:rPr>
                <w:rFonts w:hint="eastAsia" w:ascii="仿宋_GB2312" w:hAnsi="宋体"/>
                <w:color w:val="000000"/>
                <w:kern w:val="0"/>
                <w:sz w:val="20"/>
                <w:szCs w:val="20"/>
              </w:rPr>
              <w:t>績</w:t>
            </w:r>
            <w:r>
              <w:rPr>
                <w:rFonts w:ascii="仿宋_GB2312" w:hAnsi="宋体"/>
                <w:color w:val="000000"/>
                <w:kern w:val="0"/>
                <w:sz w:val="20"/>
                <w:szCs w:val="20"/>
              </w:rPr>
              <w:t>效评价指标时必须考虑的共性要素，可根据项目实际并结合绩效目标设立情况有选择的进行设置，并将其细化为相应的个性化指标。</w:t>
            </w:r>
          </w:p>
        </w:tc>
        <w:tc>
          <w:tcPr>
            <w:tcW w:w="385" w:type="dxa"/>
            <w:tcBorders>
              <w:top w:val="nil"/>
              <w:left w:val="nil"/>
              <w:bottom w:val="single" w:color="000000" w:sz="4" w:space="0"/>
              <w:right w:val="single" w:color="auto" w:sz="4" w:space="0"/>
            </w:tcBorders>
            <w:vAlign w:val="top"/>
          </w:tcPr>
          <w:p>
            <w:pPr>
              <w:widowControl/>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604"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社会效益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项目实施对社会发展所带来的直接或间接影响情况。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vAlign w:val="top"/>
          </w:tcPr>
          <w:p>
            <w:pPr>
              <w:widowControl/>
              <w:jc w:val="lef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trHeight w:val="755"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生态效益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项目实施对生态环境所带来的直接或间接影响情况。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vAlign w:val="top"/>
          </w:tcPr>
          <w:p>
            <w:pPr>
              <w:widowControl/>
              <w:jc w:val="lef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59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可持续影响（4分）</w:t>
            </w:r>
          </w:p>
        </w:tc>
        <w:tc>
          <w:tcPr>
            <w:tcW w:w="3080"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项目后续运行及成效发挥的可持续影响情况。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vAlign w:val="top"/>
          </w:tcPr>
          <w:p>
            <w:pPr>
              <w:widowControl/>
              <w:jc w:val="lef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90"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color w:val="000000"/>
                <w:kern w:val="0"/>
                <w:sz w:val="18"/>
                <w:szCs w:val="18"/>
              </w:rPr>
            </w:pPr>
            <w:r>
              <w:rPr>
                <w:rFonts w:ascii="仿宋_GB2312" w:hAnsi="宋体"/>
                <w:color w:val="000000"/>
                <w:kern w:val="0"/>
                <w:sz w:val="18"/>
                <w:szCs w:val="18"/>
              </w:rPr>
              <w:t>社会公众或服务对象满意度（6分）</w:t>
            </w:r>
          </w:p>
        </w:tc>
        <w:tc>
          <w:tcPr>
            <w:tcW w:w="3080"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社会公众或服务对象对项目实施效策的满意程度</w:t>
            </w: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18"/>
                <w:szCs w:val="18"/>
              </w:rPr>
            </w:pPr>
            <w:r>
              <w:rPr>
                <w:rFonts w:ascii="仿宋_GB2312" w:hAnsi="宋体"/>
                <w:color w:val="000000"/>
                <w:kern w:val="0"/>
                <w:sz w:val="18"/>
                <w:szCs w:val="18"/>
              </w:rPr>
              <w:t>社会公众或服务对象是指因该项目实施而受到影响的部门(单位)、群体或个人。一般采取社会调查的方式。</w:t>
            </w:r>
          </w:p>
        </w:tc>
        <w:tc>
          <w:tcPr>
            <w:tcW w:w="385" w:type="dxa"/>
            <w:tcBorders>
              <w:top w:val="nil"/>
              <w:left w:val="nil"/>
              <w:bottom w:val="single" w:color="auto" w:sz="4" w:space="0"/>
              <w:right w:val="single" w:color="auto" w:sz="4" w:space="0"/>
            </w:tcBorders>
            <w:vAlign w:val="top"/>
          </w:tcPr>
          <w:p>
            <w:pPr>
              <w:widowControl/>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6</w:t>
            </w:r>
          </w:p>
        </w:tc>
      </w:tr>
      <w:tr>
        <w:tblPrEx>
          <w:tblCellMar>
            <w:top w:w="0" w:type="dxa"/>
            <w:left w:w="108" w:type="dxa"/>
            <w:bottom w:w="0" w:type="dxa"/>
            <w:right w:w="108" w:type="dxa"/>
          </w:tblCellMar>
        </w:tblPrEx>
        <w:trPr>
          <w:trHeight w:val="90" w:hRule="atLeast"/>
          <w:jc w:val="center"/>
        </w:trPr>
        <w:tc>
          <w:tcPr>
            <w:tcW w:w="1366"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4"/>
            <w:tcBorders>
              <w:top w:val="single" w:color="auto" w:sz="4" w:space="0"/>
              <w:left w:val="nil"/>
              <w:bottom w:val="single" w:color="auto" w:sz="4" w:space="0"/>
              <w:right w:val="single" w:color="auto" w:sz="4" w:space="0"/>
            </w:tcBorders>
            <w:vAlign w:val="center"/>
          </w:tcPr>
          <w:p>
            <w:pPr>
              <w:widowControl/>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93</w:t>
            </w:r>
          </w:p>
        </w:tc>
      </w:tr>
    </w:tbl>
    <w:p>
      <w:pPr>
        <w:widowControl/>
        <w:rPr>
          <w:rFonts w:hint="eastAsia" w:ascii="黑体" w:hAnsi="宋体" w:eastAsia="黑体"/>
          <w:kern w:val="0"/>
          <w:sz w:val="32"/>
          <w:szCs w:val="32"/>
          <w:lang w:val="en-US" w:eastAsia="zh-CN"/>
        </w:rPr>
      </w:pPr>
      <w:r>
        <w:rPr>
          <w:rFonts w:ascii="仿宋_GB2312"/>
          <w:color w:val="000000"/>
          <w:sz w:val="32"/>
          <w:szCs w:val="32"/>
        </w:rPr>
        <w:br w:type="page"/>
      </w:r>
    </w:p>
    <w:p>
      <w:pPr>
        <w:spacing w:line="560" w:lineRule="exact"/>
        <w:jc w:val="both"/>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附件5</w:t>
      </w:r>
    </w:p>
    <w:p>
      <w:pPr>
        <w:spacing w:line="560" w:lineRule="exact"/>
        <w:jc w:val="center"/>
        <w:rPr>
          <w:rFonts w:hint="eastAsia" w:ascii="Times New Roman" w:hAnsi="Times New Roman"/>
          <w:kern w:val="0"/>
          <w:sz w:val="44"/>
          <w:szCs w:val="44"/>
        </w:rPr>
      </w:pPr>
      <w:r>
        <w:rPr>
          <w:rFonts w:hint="eastAsia" w:ascii="方正小标宋_GBK" w:hAnsi="方正小标宋_GBK" w:eastAsia="方正小标宋_GBK"/>
          <w:kern w:val="0"/>
          <w:sz w:val="44"/>
          <w:szCs w:val="44"/>
          <w:lang w:val="en-US" w:eastAsia="zh-CN"/>
        </w:rPr>
        <w:t>江永县统计局</w:t>
      </w:r>
      <w:r>
        <w:rPr>
          <w:rFonts w:ascii="方正小标宋_GBK" w:hAnsi="方正小标宋_GBK" w:eastAsia="方正小标宋_GBK"/>
          <w:kern w:val="0"/>
          <w:sz w:val="44"/>
          <w:szCs w:val="44"/>
        </w:rPr>
        <w:t>部门整体支出绩效评价表</w:t>
      </w:r>
    </w:p>
    <w:tbl>
      <w:tblPr>
        <w:tblStyle w:val="7"/>
        <w:tblW w:w="10608" w:type="dxa"/>
        <w:jc w:val="center"/>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tblPrEx>
          <w:tblCellMar>
            <w:top w:w="0" w:type="dxa"/>
            <w:left w:w="108" w:type="dxa"/>
            <w:bottom w:w="0" w:type="dxa"/>
            <w:right w:w="108" w:type="dxa"/>
          </w:tblCellMar>
        </w:tblPrEx>
        <w:trPr>
          <w:gridAfter w:val="1"/>
          <w:wAfter w:w="8" w:type="dxa"/>
          <w:jc w:val="center"/>
        </w:trPr>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一级指标</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分值</w:t>
            </w:r>
          </w:p>
        </w:tc>
        <w:tc>
          <w:tcPr>
            <w:tcW w:w="677"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分值</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三级</w:t>
            </w:r>
          </w:p>
          <w:p>
            <w:pPr>
              <w:widowControl/>
              <w:jc w:val="center"/>
              <w:rPr>
                <w:rFonts w:eastAsia="仿宋_GB2312"/>
                <w:kern w:val="0"/>
                <w:sz w:val="20"/>
                <w:szCs w:val="20"/>
              </w:rPr>
            </w:pPr>
            <w:r>
              <w:rPr>
                <w:rFonts w:eastAsia="仿宋_GB2312"/>
                <w:kern w:val="0"/>
                <w:sz w:val="20"/>
                <w:szCs w:val="20"/>
              </w:rPr>
              <w:t>指标</w:t>
            </w:r>
          </w:p>
        </w:tc>
        <w:tc>
          <w:tcPr>
            <w:tcW w:w="478"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分值</w:t>
            </w:r>
          </w:p>
        </w:tc>
        <w:tc>
          <w:tcPr>
            <w:tcW w:w="2977"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评价标准</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指标说明</w:t>
            </w:r>
          </w:p>
        </w:tc>
        <w:tc>
          <w:tcPr>
            <w:tcW w:w="522"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得分</w:t>
            </w:r>
          </w:p>
        </w:tc>
      </w:tr>
      <w:tr>
        <w:tblPrEx>
          <w:tblCellMar>
            <w:top w:w="0" w:type="dxa"/>
            <w:left w:w="108" w:type="dxa"/>
            <w:bottom w:w="0" w:type="dxa"/>
            <w:right w:w="108" w:type="dxa"/>
          </w:tblCellMar>
        </w:tblPrEx>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投入</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677" w:type="dxa"/>
            <w:gridSpan w:val="2"/>
            <w:vMerge w:val="restart"/>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预算配置</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在职人员控制率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vAlign w:val="center"/>
          </w:tcPr>
          <w:p>
            <w:pPr>
              <w:widowControl/>
              <w:jc w:val="left"/>
              <w:rPr>
                <w:rFonts w:eastAsia="仿宋_GB2312"/>
                <w:kern w:val="0"/>
                <w:sz w:val="20"/>
                <w:szCs w:val="20"/>
              </w:rPr>
            </w:pPr>
            <w:r>
              <w:rPr>
                <w:rFonts w:eastAsia="仿宋_GB2312"/>
                <w:kern w:val="0"/>
                <w:sz w:val="20"/>
                <w:szCs w:val="20"/>
              </w:rPr>
              <w:t>以100%</w:t>
            </w:r>
            <w:r>
              <w:rPr>
                <w:rFonts w:ascii="仿宋_GB2312" w:hAnsi="仿宋_GB2312" w:eastAsia="仿宋_GB2312"/>
                <w:kern w:val="0"/>
                <w:sz w:val="20"/>
                <w:szCs w:val="20"/>
              </w:rPr>
              <w:t>为标准。在职人员控制率</w:t>
            </w:r>
            <w:r>
              <w:rPr>
                <w:rFonts w:hint="eastAsia" w:ascii="宋体" w:hAnsi="宋体"/>
                <w:kern w:val="0"/>
                <w:sz w:val="20"/>
                <w:szCs w:val="20"/>
              </w:rPr>
              <w:t>≦</w:t>
            </w:r>
            <w:r>
              <w:rPr>
                <w:rFonts w:eastAsia="仿宋_GB2312"/>
                <w:kern w:val="0"/>
                <w:sz w:val="20"/>
                <w:szCs w:val="20"/>
              </w:rPr>
              <w:t>100%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分；每超过一个百分点扣</w:t>
            </w:r>
            <w:r>
              <w:rPr>
                <w:rFonts w:eastAsia="仿宋_GB2312"/>
                <w:kern w:val="0"/>
                <w:sz w:val="20"/>
                <w:szCs w:val="20"/>
              </w:rPr>
              <w:t>0.5</w:t>
            </w:r>
            <w:r>
              <w:rPr>
                <w:rFonts w:ascii="仿宋_GB2312" w:hAnsi="仿宋_GB2312" w:eastAsia="仿宋_GB2312"/>
                <w:kern w:val="0"/>
                <w:sz w:val="20"/>
                <w:szCs w:val="20"/>
              </w:rPr>
              <w:t>分，扣完为止。</w:t>
            </w:r>
          </w:p>
        </w:tc>
        <w:tc>
          <w:tcPr>
            <w:tcW w:w="3402" w:type="dxa"/>
            <w:tcBorders>
              <w:top w:val="nil"/>
              <w:left w:val="single" w:color="auto" w:sz="4" w:space="0"/>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eastAsia="仿宋_GB2312"/>
                <w:kern w:val="0"/>
                <w:sz w:val="20"/>
                <w:szCs w:val="20"/>
              </w:rPr>
              <w:t>在职人员控制率=</w:t>
            </w:r>
            <w:r>
              <w:rPr>
                <w:rFonts w:ascii="仿宋_GB2312" w:hAnsi="仿宋_GB2312" w:eastAsia="仿宋_GB2312"/>
                <w:kern w:val="0"/>
                <w:sz w:val="20"/>
                <w:szCs w:val="20"/>
              </w:rPr>
              <w:t>（在职人员数</w:t>
            </w:r>
            <w:r>
              <w:rPr>
                <w:rFonts w:eastAsia="仿宋_GB2312"/>
                <w:kern w:val="0"/>
                <w:sz w:val="20"/>
                <w:szCs w:val="20"/>
              </w:rPr>
              <w:t>/</w:t>
            </w:r>
            <w:r>
              <w:rPr>
                <w:rFonts w:ascii="仿宋_GB2312" w:hAnsi="仿宋_GB2312" w:eastAsia="仿宋_GB2312"/>
                <w:kern w:val="0"/>
                <w:sz w:val="20"/>
                <w:szCs w:val="20"/>
              </w:rPr>
              <w:t>编制数）</w:t>
            </w:r>
            <w:r>
              <w:rPr>
                <w:rFonts w:eastAsia="仿宋_GB2312"/>
                <w:kern w:val="0"/>
                <w:sz w:val="20"/>
                <w:szCs w:val="20"/>
              </w:rPr>
              <w:t>×100%</w:t>
            </w:r>
            <w:r>
              <w:rPr>
                <w:rFonts w:ascii="仿宋_GB2312" w:hAnsi="仿宋_GB2312" w:eastAsia="仿宋_GB2312"/>
                <w:kern w:val="0"/>
                <w:sz w:val="20"/>
                <w:szCs w:val="20"/>
              </w:rPr>
              <w:t>，在职人员数：部门（单位）实际在职人数，以</w:t>
            </w:r>
            <w:r>
              <w:rPr>
                <w:kern w:val="0"/>
                <w:sz w:val="20"/>
                <w:szCs w:val="20"/>
              </w:rPr>
              <w:t>市</w:t>
            </w:r>
            <w:r>
              <w:rPr>
                <w:rFonts w:eastAsia="仿宋_GB2312"/>
                <w:kern w:val="0"/>
                <w:sz w:val="20"/>
                <w:szCs w:val="20"/>
              </w:rPr>
              <w:t>财政</w:t>
            </w:r>
            <w:r>
              <w:rPr>
                <w:kern w:val="0"/>
                <w:sz w:val="20"/>
                <w:szCs w:val="20"/>
              </w:rPr>
              <w:t>局</w:t>
            </w:r>
            <w:r>
              <w:rPr>
                <w:rFonts w:eastAsia="仿宋_GB2312"/>
                <w:kern w:val="0"/>
                <w:sz w:val="20"/>
                <w:szCs w:val="20"/>
              </w:rPr>
              <w:t>确定的部门决算编制口径为准。</w:t>
            </w:r>
          </w:p>
          <w:p>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vAlign w:val="center"/>
          </w:tcPr>
          <w:p>
            <w:pPr>
              <w:widowControl/>
              <w:jc w:val="left"/>
              <w:rPr>
                <w:rFonts w:hint="eastAsia" w:ascii="Calibri" w:hAnsi="Calibri" w:eastAsia="宋体" w:cs="Times New Roman"/>
                <w:kern w:val="0"/>
                <w:sz w:val="24"/>
                <w:szCs w:val="24"/>
                <w:lang w:val="en-US" w:eastAsia="zh-CN" w:bidi="ar-SA"/>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lang w:eastAsia="zh-CN"/>
              </w:rPr>
              <w:t>“三公”经费</w:t>
            </w:r>
            <w:r>
              <w:rPr>
                <w:rFonts w:ascii="仿宋_GB2312" w:hAnsi="仿宋_GB2312" w:eastAsia="仿宋_GB2312"/>
                <w:kern w:val="0"/>
                <w:sz w:val="20"/>
                <w:szCs w:val="20"/>
              </w:rPr>
              <w:t>变动率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lang w:eastAsia="zh-CN"/>
              </w:rPr>
              <w:t>“三公”经费</w:t>
            </w:r>
            <w:r>
              <w:rPr>
                <w:rFonts w:ascii="仿宋_GB2312" w:hAnsi="仿宋_GB2312" w:eastAsia="仿宋_GB2312"/>
                <w:kern w:val="0"/>
                <w:sz w:val="20"/>
                <w:szCs w:val="20"/>
              </w:rPr>
              <w:t>变动率</w:t>
            </w:r>
            <w:r>
              <w:rPr>
                <w:rFonts w:hint="eastAsia" w:ascii="宋体" w:hAnsi="宋体"/>
                <w:kern w:val="0"/>
                <w:sz w:val="20"/>
                <w:szCs w:val="20"/>
              </w:rPr>
              <w:t>≦</w:t>
            </w:r>
            <w:r>
              <w:rPr>
                <w:rFonts w:eastAsia="仿宋_GB2312"/>
                <w:kern w:val="0"/>
                <w:sz w:val="20"/>
                <w:szCs w:val="20"/>
              </w:rPr>
              <w:t>0,</w:t>
            </w:r>
            <w:r>
              <w:rPr>
                <w:rFonts w:ascii="仿宋_GB2312" w:hAnsi="仿宋_GB2312" w:eastAsia="仿宋_GB2312"/>
                <w:kern w:val="0"/>
                <w:sz w:val="20"/>
                <w:szCs w:val="20"/>
              </w:rPr>
              <w:t>计</w:t>
            </w:r>
            <w:r>
              <w:rPr>
                <w:kern w:val="0"/>
                <w:sz w:val="20"/>
                <w:szCs w:val="20"/>
              </w:rPr>
              <w:t>5</w:t>
            </w:r>
            <w:r>
              <w:rPr>
                <w:rFonts w:eastAsia="仿宋_GB2312"/>
                <w:kern w:val="0"/>
                <w:sz w:val="20"/>
                <w:szCs w:val="20"/>
              </w:rPr>
              <w:t>分；</w:t>
            </w:r>
            <w:r>
              <w:rPr>
                <w:rFonts w:hint="eastAsia" w:eastAsia="仿宋_GB2312"/>
                <w:kern w:val="0"/>
                <w:sz w:val="20"/>
                <w:szCs w:val="20"/>
                <w:lang w:eastAsia="zh-CN"/>
              </w:rPr>
              <w:t>“三公”经费</w:t>
            </w:r>
            <w:r>
              <w:rPr>
                <w:rFonts w:ascii="仿宋_GB2312" w:hAnsi="仿宋_GB2312" w:eastAsia="仿宋_GB2312"/>
                <w:kern w:val="0"/>
                <w:sz w:val="20"/>
                <w:szCs w:val="20"/>
              </w:rPr>
              <w:t>＞</w:t>
            </w:r>
            <w:r>
              <w:rPr>
                <w:rFonts w:eastAsia="仿宋_GB2312"/>
                <w:kern w:val="0"/>
                <w:sz w:val="20"/>
                <w:szCs w:val="20"/>
              </w:rPr>
              <w:t>0</w:t>
            </w:r>
            <w:r>
              <w:rPr>
                <w:rFonts w:ascii="仿宋_GB2312" w:hAnsi="仿宋_GB2312" w:eastAsia="仿宋_GB2312"/>
                <w:kern w:val="0"/>
                <w:sz w:val="20"/>
                <w:szCs w:val="20"/>
              </w:rPr>
              <w:t>，每超过一个百分点扣</w:t>
            </w:r>
            <w:r>
              <w:rPr>
                <w:rFonts w:eastAsia="仿宋_GB2312"/>
                <w:kern w:val="0"/>
                <w:sz w:val="20"/>
                <w:szCs w:val="20"/>
              </w:rPr>
              <w:t>0.8</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lang w:eastAsia="zh-CN"/>
              </w:rPr>
              <w:t>“三公”经费</w:t>
            </w:r>
            <w:r>
              <w:rPr>
                <w:rFonts w:ascii="仿宋_GB2312" w:hAnsi="仿宋_GB2312" w:eastAsia="仿宋_GB2312"/>
                <w:kern w:val="0"/>
                <w:sz w:val="20"/>
                <w:szCs w:val="20"/>
              </w:rPr>
              <w:t>变动率</w:t>
            </w:r>
            <w:r>
              <w:rPr>
                <w:rFonts w:eastAsia="仿宋_GB2312"/>
                <w:kern w:val="0"/>
                <w:sz w:val="20"/>
                <w:szCs w:val="20"/>
              </w:rPr>
              <w:t>=[</w:t>
            </w:r>
            <w:r>
              <w:rPr>
                <w:rFonts w:ascii="仿宋_GB2312" w:hAnsi="仿宋_GB2312" w:eastAsia="仿宋_GB2312"/>
                <w:kern w:val="0"/>
                <w:sz w:val="20"/>
                <w:szCs w:val="20"/>
              </w:rPr>
              <w:t>（本年度</w:t>
            </w:r>
            <w:r>
              <w:rPr>
                <w:rFonts w:hint="eastAsia" w:eastAsia="仿宋_GB2312"/>
                <w:kern w:val="0"/>
                <w:sz w:val="20"/>
                <w:szCs w:val="20"/>
                <w:lang w:eastAsia="zh-CN"/>
              </w:rPr>
              <w:t>“三公”经费</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hint="eastAsia" w:eastAsia="仿宋_GB2312"/>
                <w:kern w:val="0"/>
                <w:sz w:val="20"/>
                <w:szCs w:val="20"/>
                <w:lang w:eastAsia="zh-CN"/>
              </w:rPr>
              <w:t>“三公”经费</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hint="eastAsia" w:eastAsia="仿宋_GB2312"/>
                <w:kern w:val="0"/>
                <w:sz w:val="20"/>
                <w:szCs w:val="20"/>
                <w:lang w:eastAsia="zh-CN"/>
              </w:rPr>
              <w:t>“三公”经费</w:t>
            </w:r>
            <w:r>
              <w:rPr>
                <w:rFonts w:ascii="仿宋_GB2312" w:hAnsi="仿宋_GB2312" w:eastAsia="仿宋_GB2312"/>
                <w:kern w:val="0"/>
                <w:sz w:val="20"/>
                <w:szCs w:val="20"/>
              </w:rPr>
              <w:t>预算数</w:t>
            </w:r>
            <w:r>
              <w:rPr>
                <w:rFonts w:eastAsia="仿宋_GB2312"/>
                <w:kern w:val="0"/>
                <w:sz w:val="20"/>
                <w:szCs w:val="20"/>
              </w:rPr>
              <w:t>]×100%</w:t>
            </w:r>
          </w:p>
        </w:tc>
        <w:tc>
          <w:tcPr>
            <w:tcW w:w="522" w:type="dxa"/>
            <w:tcBorders>
              <w:top w:val="nil"/>
              <w:left w:val="nil"/>
              <w:bottom w:val="single" w:color="auto" w:sz="4" w:space="0"/>
              <w:right w:val="single" w:color="auto" w:sz="4" w:space="0"/>
            </w:tcBorders>
            <w:vAlign w:val="center"/>
          </w:tcPr>
          <w:p>
            <w:pPr>
              <w:widowControl/>
              <w:jc w:val="left"/>
              <w:rPr>
                <w:rFonts w:ascii="Calibri" w:hAnsi="Calibri" w:eastAsia="宋体" w:cs="Times New Roman"/>
                <w:kern w:val="0"/>
                <w:sz w:val="24"/>
                <w:szCs w:val="24"/>
                <w:lang w:val="en-US" w:eastAsia="zh-CN" w:bidi="ar-SA"/>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60</w:t>
            </w:r>
          </w:p>
        </w:tc>
        <w:tc>
          <w:tcPr>
            <w:tcW w:w="677" w:type="dxa"/>
            <w:gridSpan w:val="2"/>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预算执行</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预算完成率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计满分，每低于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预算完成率=</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年末结余）</w:t>
            </w:r>
            <w:r>
              <w:rPr>
                <w:rFonts w:eastAsia="仿宋_GB2312"/>
                <w:kern w:val="0"/>
                <w:sz w:val="20"/>
                <w:szCs w:val="20"/>
              </w:rPr>
              <w:t>/</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left"/>
              <w:rPr>
                <w:rFonts w:hint="eastAsia" w:ascii="Calibri" w:hAnsi="Calibri" w:eastAsia="宋体" w:cs="Times New Roman"/>
                <w:kern w:val="0"/>
                <w:sz w:val="24"/>
                <w:szCs w:val="24"/>
                <w:lang w:val="en-US" w:eastAsia="zh-CN" w:bidi="ar-SA"/>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预算控制率=0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w:t>
            </w:r>
            <w:r>
              <w:rPr>
                <w:rFonts w:eastAsia="仿宋_GB2312"/>
                <w:kern w:val="0"/>
                <w:sz w:val="20"/>
                <w:szCs w:val="20"/>
              </w:rPr>
              <w:t>0-10%</w:t>
            </w:r>
            <w:r>
              <w:rPr>
                <w:rFonts w:ascii="仿宋_GB2312" w:hAnsi="仿宋_GB2312" w:eastAsia="仿宋_GB2312"/>
                <w:kern w:val="0"/>
                <w:sz w:val="20"/>
                <w:szCs w:val="20"/>
              </w:rPr>
              <w:t>（含），计</w:t>
            </w:r>
            <w:r>
              <w:rPr>
                <w:rFonts w:eastAsia="仿宋_GB2312"/>
                <w:kern w:val="0"/>
                <w:sz w:val="20"/>
                <w:szCs w:val="20"/>
              </w:rPr>
              <w:t>4</w:t>
            </w:r>
            <w:r>
              <w:rPr>
                <w:rFonts w:ascii="仿宋_GB2312" w:hAnsi="仿宋_GB2312" w:eastAsia="仿宋_GB2312"/>
                <w:kern w:val="0"/>
                <w:sz w:val="20"/>
                <w:szCs w:val="20"/>
              </w:rPr>
              <w:t>分；</w:t>
            </w:r>
            <w:r>
              <w:rPr>
                <w:rFonts w:eastAsia="仿宋_GB2312"/>
                <w:kern w:val="0"/>
                <w:sz w:val="20"/>
                <w:szCs w:val="20"/>
              </w:rPr>
              <w:t>10-20%</w:t>
            </w:r>
            <w:r>
              <w:rPr>
                <w:rFonts w:ascii="仿宋_GB2312" w:hAnsi="仿宋_GB2312" w:eastAsia="仿宋_GB2312"/>
                <w:kern w:val="0"/>
                <w:sz w:val="20"/>
                <w:szCs w:val="20"/>
              </w:rPr>
              <w:t>（含），计</w:t>
            </w:r>
            <w:r>
              <w:rPr>
                <w:rFonts w:eastAsia="仿宋_GB2312"/>
                <w:kern w:val="0"/>
                <w:sz w:val="20"/>
                <w:szCs w:val="20"/>
              </w:rPr>
              <w:t>3</w:t>
            </w:r>
            <w:r>
              <w:rPr>
                <w:rFonts w:ascii="仿宋_GB2312" w:hAnsi="仿宋_GB2312" w:eastAsia="仿宋_GB2312"/>
                <w:kern w:val="0"/>
                <w:sz w:val="20"/>
                <w:szCs w:val="20"/>
              </w:rPr>
              <w:t>分；</w:t>
            </w:r>
            <w:r>
              <w:rPr>
                <w:rFonts w:eastAsia="仿宋_GB2312"/>
                <w:kern w:val="0"/>
                <w:sz w:val="20"/>
                <w:szCs w:val="20"/>
              </w:rPr>
              <w:t>20-30%</w:t>
            </w:r>
            <w:r>
              <w:rPr>
                <w:rFonts w:ascii="仿宋_GB2312" w:hAnsi="仿宋_GB2312" w:eastAsia="仿宋_GB2312"/>
                <w:kern w:val="0"/>
                <w:sz w:val="20"/>
                <w:szCs w:val="20"/>
              </w:rPr>
              <w:t>（含），计</w:t>
            </w:r>
            <w:r>
              <w:rPr>
                <w:rFonts w:eastAsia="仿宋_GB2312"/>
                <w:kern w:val="0"/>
                <w:sz w:val="20"/>
                <w:szCs w:val="20"/>
              </w:rPr>
              <w:t>2</w:t>
            </w:r>
            <w:r>
              <w:rPr>
                <w:rFonts w:ascii="仿宋_GB2312" w:hAnsi="仿宋_GB2312" w:eastAsia="仿宋_GB2312"/>
                <w:kern w:val="0"/>
                <w:sz w:val="20"/>
                <w:szCs w:val="20"/>
              </w:rPr>
              <w:t>分；大于</w:t>
            </w:r>
            <w:r>
              <w:rPr>
                <w:rFonts w:eastAsia="仿宋_GB2312"/>
                <w:kern w:val="0"/>
                <w:sz w:val="20"/>
                <w:szCs w:val="20"/>
              </w:rPr>
              <w:t>30%</w:t>
            </w:r>
            <w:r>
              <w:rPr>
                <w:rFonts w:ascii="仿宋_GB2312" w:hAnsi="仿宋_GB2312" w:eastAsia="仿宋_GB2312"/>
                <w:kern w:val="0"/>
                <w:sz w:val="20"/>
                <w:szCs w:val="20"/>
              </w:rPr>
              <w:t>不得分。</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预算控制率=</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left"/>
              <w:rPr>
                <w:rFonts w:hint="eastAsia" w:ascii="Calibri" w:hAnsi="Calibri" w:eastAsia="宋体" w:cs="Times New Roman"/>
                <w:kern w:val="0"/>
                <w:sz w:val="24"/>
                <w:szCs w:val="24"/>
                <w:lang w:val="en-US" w:eastAsia="zh-CN" w:bidi="ar-SA"/>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新建楼堂馆所面积控制率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楼堂馆所面积控制率=</w:t>
            </w:r>
            <w:r>
              <w:rPr>
                <w:rFonts w:ascii="仿宋_GB2312" w:hAnsi="仿宋_GB2312" w:eastAsia="仿宋_GB2312"/>
                <w:kern w:val="0"/>
                <w:sz w:val="20"/>
                <w:szCs w:val="20"/>
              </w:rPr>
              <w:t>实际建设面积</w:t>
            </w:r>
            <w:r>
              <w:rPr>
                <w:rFonts w:eastAsia="仿宋_GB2312"/>
                <w:kern w:val="0"/>
                <w:sz w:val="20"/>
                <w:szCs w:val="20"/>
              </w:rPr>
              <w:t>/</w:t>
            </w:r>
            <w:r>
              <w:rPr>
                <w:rFonts w:ascii="仿宋_GB2312" w:hAnsi="仿宋_GB2312" w:eastAsia="仿宋_GB2312"/>
                <w:kern w:val="0"/>
                <w:sz w:val="20"/>
                <w:szCs w:val="20"/>
              </w:rPr>
              <w:t>批准建设面积</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lang w:val="en-US" w:eastAsia="zh-CN"/>
              </w:rPr>
              <w:t>22</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vAlign w:val="center"/>
          </w:tcPr>
          <w:p>
            <w:pPr>
              <w:widowControl/>
              <w:jc w:val="left"/>
              <w:rPr>
                <w:rFonts w:hint="eastAsia" w:ascii="Calibri" w:hAnsi="Calibri" w:eastAsia="宋体" w:cs="Times New Roman"/>
                <w:kern w:val="0"/>
                <w:sz w:val="24"/>
                <w:szCs w:val="24"/>
                <w:lang w:val="en-US" w:eastAsia="zh-CN" w:bidi="ar-SA"/>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54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新建楼堂馆所投资概算控制率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楼堂馆所投资预算控制率=</w:t>
            </w:r>
            <w:r>
              <w:rPr>
                <w:rFonts w:ascii="仿宋_GB2312" w:hAnsi="仿宋_GB2312" w:eastAsia="仿宋_GB2312"/>
                <w:kern w:val="0"/>
                <w:sz w:val="20"/>
                <w:szCs w:val="20"/>
              </w:rPr>
              <w:t>实际投资金额</w:t>
            </w:r>
            <w:r>
              <w:rPr>
                <w:rFonts w:eastAsia="仿宋_GB2312"/>
                <w:kern w:val="0"/>
                <w:sz w:val="20"/>
                <w:szCs w:val="20"/>
              </w:rPr>
              <w:t>/</w:t>
            </w:r>
            <w:r>
              <w:rPr>
                <w:rFonts w:ascii="仿宋_GB2312" w:hAnsi="仿宋_GB2312" w:eastAsia="仿宋_GB2312"/>
                <w:kern w:val="0"/>
                <w:sz w:val="20"/>
                <w:szCs w:val="20"/>
              </w:rPr>
              <w:t>批准投资金额</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lang w:val="en-US" w:eastAsia="zh-CN"/>
              </w:rPr>
              <w:t>22</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vAlign w:val="center"/>
          </w:tcPr>
          <w:p>
            <w:pPr>
              <w:widowControl/>
              <w:jc w:val="left"/>
              <w:rPr>
                <w:rFonts w:hint="eastAsia" w:ascii="Calibri" w:hAnsi="Calibri" w:eastAsia="宋体" w:cs="Times New Roman"/>
                <w:kern w:val="0"/>
                <w:sz w:val="24"/>
                <w:szCs w:val="24"/>
                <w:lang w:val="en-US" w:eastAsia="zh-CN" w:bidi="ar-SA"/>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预算管理</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公用经费控制率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公用经费控制率=</w:t>
            </w:r>
            <w:r>
              <w:rPr>
                <w:rFonts w:ascii="仿宋_GB2312" w:hAnsi="仿宋_GB2312" w:eastAsia="仿宋_GB2312"/>
                <w:kern w:val="0"/>
                <w:sz w:val="20"/>
                <w:szCs w:val="20"/>
              </w:rPr>
              <w:t>（实际支出公用经费总额</w:t>
            </w:r>
            <w:r>
              <w:rPr>
                <w:rFonts w:eastAsia="仿宋_GB2312"/>
                <w:kern w:val="0"/>
                <w:sz w:val="20"/>
                <w:szCs w:val="20"/>
              </w:rPr>
              <w:t>/</w:t>
            </w:r>
            <w:r>
              <w:rPr>
                <w:rFonts w:ascii="仿宋_GB2312" w:hAnsi="仿宋_GB2312" w:eastAsia="仿宋_GB2312"/>
                <w:kern w:val="0"/>
                <w:sz w:val="20"/>
                <w:szCs w:val="20"/>
              </w:rPr>
              <w:t>预算安排公用经费总额）</w:t>
            </w:r>
            <w:r>
              <w:rPr>
                <w:rFonts w:eastAsia="仿宋_GB2312"/>
                <w:kern w:val="0"/>
                <w:sz w:val="20"/>
                <w:szCs w:val="20"/>
              </w:rPr>
              <w:t>×100%</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vAlign w:val="center"/>
          </w:tcPr>
          <w:p>
            <w:pPr>
              <w:widowControl/>
              <w:jc w:val="left"/>
              <w:rPr>
                <w:rFonts w:hint="eastAsia" w:ascii="Calibri" w:hAnsi="Calibri" w:eastAsia="宋体" w:cs="Times New Roman"/>
                <w:kern w:val="0"/>
                <w:sz w:val="24"/>
                <w:szCs w:val="24"/>
                <w:lang w:val="en-US" w:eastAsia="zh-CN" w:bidi="ar-SA"/>
              </w:rPr>
            </w:pPr>
            <w:r>
              <w:rPr>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lang w:eastAsia="zh-CN"/>
              </w:rPr>
              <w:t>“三公”经费</w:t>
            </w:r>
            <w:r>
              <w:rPr>
                <w:rFonts w:ascii="仿宋_GB2312" w:hAnsi="仿宋_GB2312" w:eastAsia="仿宋_GB2312"/>
                <w:kern w:val="0"/>
                <w:sz w:val="20"/>
                <w:szCs w:val="20"/>
              </w:rPr>
              <w:t>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lang w:eastAsia="zh-CN"/>
              </w:rPr>
              <w:t>“三公”经费</w:t>
            </w:r>
            <w:r>
              <w:rPr>
                <w:rFonts w:ascii="仿宋_GB2312" w:hAnsi="仿宋_GB2312" w:eastAsia="仿宋_GB2312"/>
                <w:kern w:val="0"/>
                <w:sz w:val="20"/>
                <w:szCs w:val="20"/>
              </w:rPr>
              <w:t>控制率</w:t>
            </w:r>
            <w:r>
              <w:rPr>
                <w:rFonts w:eastAsia="仿宋_GB2312"/>
                <w:kern w:val="0"/>
                <w:sz w:val="20"/>
                <w:szCs w:val="20"/>
              </w:rPr>
              <w:t>-</w:t>
            </w:r>
            <w:r>
              <w:rPr>
                <w:rFonts w:ascii="仿宋_GB2312" w:hAnsi="仿宋_GB2312" w:eastAsia="仿宋_GB2312"/>
                <w:kern w:val="0"/>
                <w:sz w:val="20"/>
                <w:szCs w:val="20"/>
              </w:rPr>
              <w:t>（</w:t>
            </w:r>
            <w:r>
              <w:rPr>
                <w:rFonts w:hint="eastAsia" w:eastAsia="仿宋_GB2312"/>
                <w:kern w:val="0"/>
                <w:sz w:val="20"/>
                <w:szCs w:val="20"/>
                <w:lang w:eastAsia="zh-CN"/>
              </w:rPr>
              <w:t>“三公”经费</w:t>
            </w:r>
            <w:r>
              <w:rPr>
                <w:rFonts w:ascii="仿宋_GB2312" w:hAnsi="仿宋_GB2312" w:eastAsia="仿宋_GB2312"/>
                <w:kern w:val="0"/>
                <w:sz w:val="20"/>
                <w:szCs w:val="20"/>
              </w:rPr>
              <w:t>实际支出数</w:t>
            </w:r>
            <w:r>
              <w:rPr>
                <w:rFonts w:eastAsia="仿宋_GB2312"/>
                <w:kern w:val="0"/>
                <w:sz w:val="20"/>
                <w:szCs w:val="20"/>
              </w:rPr>
              <w:t>/</w:t>
            </w:r>
            <w:r>
              <w:rPr>
                <w:rFonts w:hint="eastAsia" w:eastAsia="仿宋_GB2312"/>
                <w:kern w:val="0"/>
                <w:sz w:val="20"/>
                <w:szCs w:val="20"/>
                <w:lang w:eastAsia="zh-CN"/>
              </w:rPr>
              <w:t>“三公”经费</w:t>
            </w:r>
            <w:r>
              <w:rPr>
                <w:rFonts w:ascii="仿宋_GB2312" w:hAnsi="仿宋_GB2312" w:eastAsia="仿宋_GB2312"/>
                <w:kern w:val="0"/>
                <w:sz w:val="20"/>
                <w:szCs w:val="20"/>
              </w:rPr>
              <w:t>预算安排数）</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left"/>
              <w:rPr>
                <w:rFonts w:hint="eastAsia" w:ascii="Calibri" w:hAnsi="Calibri" w:eastAsia="宋体" w:cs="Times New Roman"/>
                <w:kern w:val="0"/>
                <w:sz w:val="24"/>
                <w:szCs w:val="24"/>
                <w:lang w:val="en-US" w:eastAsia="zh-CN" w:bidi="ar-SA"/>
              </w:rPr>
            </w:pPr>
            <w:r>
              <w:rPr>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政府采购执行率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计满分，每超过（降低）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政府采购执行率=</w:t>
            </w:r>
            <w:r>
              <w:rPr>
                <w:rFonts w:ascii="仿宋_GB2312" w:hAnsi="仿宋_GB2312" w:eastAsia="仿宋_GB2312"/>
                <w:kern w:val="0"/>
                <w:sz w:val="20"/>
                <w:szCs w:val="20"/>
              </w:rPr>
              <w:t>（实际政府采购金额</w:t>
            </w:r>
            <w:r>
              <w:rPr>
                <w:rFonts w:eastAsia="仿宋_GB2312"/>
                <w:kern w:val="0"/>
                <w:sz w:val="20"/>
                <w:szCs w:val="20"/>
              </w:rPr>
              <w:t>/</w:t>
            </w:r>
            <w:r>
              <w:rPr>
                <w:rFonts w:ascii="仿宋_GB2312" w:hAnsi="仿宋_GB2312" w:eastAsia="仿宋_GB2312"/>
                <w:kern w:val="0"/>
                <w:sz w:val="20"/>
                <w:szCs w:val="20"/>
              </w:rPr>
              <w:t>政府采购预算数）</w:t>
            </w:r>
            <w:r>
              <w:rPr>
                <w:rFonts w:eastAsia="仿宋_GB2312"/>
                <w:kern w:val="0"/>
                <w:sz w:val="20"/>
                <w:szCs w:val="20"/>
              </w:rPr>
              <w:t>×100%</w:t>
            </w:r>
          </w:p>
        </w:tc>
        <w:tc>
          <w:tcPr>
            <w:tcW w:w="522"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vAlign w:val="center"/>
          </w:tcPr>
          <w:p>
            <w:pPr>
              <w:jc w:val="left"/>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vAlign w:val="center"/>
          </w:tcPr>
          <w:p>
            <w:pPr>
              <w:jc w:val="left"/>
              <w:rPr>
                <w:rFonts w:eastAsia="仿宋_GB2312"/>
                <w:kern w:val="0"/>
                <w:sz w:val="20"/>
                <w:szCs w:val="20"/>
              </w:rPr>
            </w:pPr>
          </w:p>
        </w:tc>
        <w:tc>
          <w:tcPr>
            <w:tcW w:w="677" w:type="dxa"/>
            <w:gridSpan w:val="2"/>
            <w:vMerge w:val="restart"/>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预算管理</w:t>
            </w: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管理制度健全性</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6379" w:type="dxa"/>
            <w:gridSpan w:val="2"/>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①</w:t>
            </w:r>
            <w:r>
              <w:rPr>
                <w:rFonts w:ascii="仿宋_GB2312" w:hAnsi="仿宋_GB2312" w:eastAsia="仿宋_GB2312"/>
                <w:kern w:val="0"/>
                <w:sz w:val="20"/>
                <w:szCs w:val="20"/>
              </w:rPr>
              <w:t>有内部财务管理制度、会计核算制度等管理制度，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②</w:t>
            </w:r>
            <w:r>
              <w:rPr>
                <w:rFonts w:ascii="仿宋_GB2312" w:hAnsi="仿宋_GB2312" w:eastAsia="仿宋_GB2312"/>
                <w:kern w:val="0"/>
                <w:sz w:val="20"/>
                <w:szCs w:val="20"/>
              </w:rPr>
              <w:t>有本部门厉行节约制度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hint="eastAsia" w:ascii="宋体" w:hAnsi="宋体"/>
                <w:kern w:val="0"/>
                <w:sz w:val="20"/>
                <w:szCs w:val="20"/>
              </w:rPr>
              <w:t>③</w:t>
            </w:r>
            <w:r>
              <w:rPr>
                <w:rFonts w:ascii="仿宋_GB2312" w:hAnsi="仿宋_GB2312" w:eastAsia="仿宋_GB2312"/>
                <w:kern w:val="0"/>
                <w:sz w:val="20"/>
                <w:szCs w:val="20"/>
              </w:rPr>
              <w:t>相关管理制度合法、合规、完整，</w:t>
            </w:r>
            <w:r>
              <w:rPr>
                <w:rFonts w:eastAsia="仿宋_GB2312"/>
                <w:kern w:val="0"/>
                <w:sz w:val="20"/>
                <w:szCs w:val="20"/>
              </w:rPr>
              <w:t>2</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相关管理制度得到有效执行，</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left"/>
              <w:rPr>
                <w:rFonts w:hint="eastAsia" w:ascii="Calibri" w:hAnsi="Calibri" w:eastAsia="宋体" w:cs="Times New Roman"/>
                <w:kern w:val="0"/>
                <w:sz w:val="24"/>
                <w:szCs w:val="24"/>
                <w:lang w:val="en-US" w:eastAsia="zh-CN" w:bidi="ar-SA"/>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资金使用合规性</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6379" w:type="dxa"/>
            <w:gridSpan w:val="2"/>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①</w:t>
            </w:r>
            <w:r>
              <w:rPr>
                <w:rFonts w:ascii="仿宋_GB2312" w:hAnsi="仿宋_GB2312" w:eastAsia="仿宋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ascii="仿宋_GB2312" w:hAnsi="仿宋_GB2312" w:eastAsia="仿宋_GB2312"/>
                <w:kern w:val="0"/>
                <w:sz w:val="20"/>
                <w:szCs w:val="20"/>
              </w:rPr>
              <w:t>资金拨付有完整的审批程序和手续；</w:t>
            </w:r>
            <w:r>
              <w:rPr>
                <w:rFonts w:hint="eastAsia" w:ascii="宋体" w:hAnsi="宋体"/>
                <w:kern w:val="0"/>
                <w:sz w:val="20"/>
                <w:szCs w:val="20"/>
              </w:rPr>
              <w:t>③</w:t>
            </w:r>
            <w:r>
              <w:rPr>
                <w:rFonts w:ascii="仿宋_GB2312" w:hAnsi="仿宋_GB2312" w:eastAsia="仿宋_GB2312"/>
                <w:kern w:val="0"/>
                <w:sz w:val="20"/>
                <w:szCs w:val="20"/>
              </w:rPr>
              <w:t>项目支出按规定经过评估论证；</w:t>
            </w:r>
            <w:r>
              <w:rPr>
                <w:rFonts w:hint="eastAsia" w:ascii="宋体" w:hAnsi="宋体"/>
                <w:kern w:val="0"/>
                <w:sz w:val="20"/>
                <w:szCs w:val="20"/>
              </w:rPr>
              <w:t>④</w:t>
            </w:r>
            <w:r>
              <w:rPr>
                <w:rFonts w:ascii="仿宋_GB2312" w:hAnsi="仿宋_GB2312" w:eastAsia="仿宋_GB2312"/>
                <w:kern w:val="0"/>
                <w:sz w:val="20"/>
                <w:szCs w:val="20"/>
              </w:rPr>
              <w:t>支出符合部门预算批复的用途；</w:t>
            </w:r>
            <w:r>
              <w:rPr>
                <w:rFonts w:hint="eastAsia" w:ascii="宋体" w:hAnsi="宋体"/>
                <w:kern w:val="0"/>
                <w:sz w:val="20"/>
                <w:szCs w:val="20"/>
              </w:rPr>
              <w:t>⑤</w:t>
            </w:r>
            <w:r>
              <w:rPr>
                <w:rFonts w:ascii="仿宋_GB2312" w:hAnsi="仿宋_GB2312" w:eastAsia="仿宋_GB2312"/>
                <w:kern w:val="0"/>
                <w:sz w:val="20"/>
                <w:szCs w:val="20"/>
              </w:rPr>
              <w:t>资金使用无截留、挤占、挪用、虚列支出等情况。</w:t>
            </w:r>
          </w:p>
          <w:p>
            <w:pPr>
              <w:widowControl/>
              <w:jc w:val="left"/>
              <w:rPr>
                <w:rFonts w:eastAsia="仿宋_GB2312"/>
                <w:kern w:val="0"/>
                <w:sz w:val="20"/>
                <w:szCs w:val="20"/>
              </w:rPr>
            </w:pPr>
            <w:r>
              <w:rPr>
                <w:rFonts w:eastAsia="仿宋_GB2312"/>
                <w:kern w:val="0"/>
                <w:sz w:val="20"/>
                <w:szCs w:val="20"/>
              </w:rPr>
              <w:t>以上情况每出现一例不符合要求的扣1</w:t>
            </w:r>
            <w:r>
              <w:rPr>
                <w:rFonts w:ascii="仿宋_GB2312" w:hAnsi="仿宋_GB2312" w:eastAsia="仿宋_GB2312"/>
                <w:kern w:val="0"/>
                <w:sz w:val="20"/>
                <w:szCs w:val="20"/>
              </w:rPr>
              <w:t>分，扣完为止。</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left"/>
              <w:rPr>
                <w:rFonts w:ascii="Calibri" w:hAnsi="Calibri" w:eastAsia="宋体" w:cs="Times New Roman"/>
                <w:kern w:val="0"/>
                <w:sz w:val="24"/>
                <w:szCs w:val="24"/>
                <w:lang w:val="en-US" w:eastAsia="zh-CN" w:bidi="ar-SA"/>
              </w:rPr>
            </w:pPr>
            <w:r>
              <w:rPr>
                <w:rFonts w:hint="eastAsia"/>
                <w:kern w:val="0"/>
                <w:sz w:val="24"/>
                <w:lang w:val="en-US" w:eastAsia="zh-CN"/>
              </w:rPr>
              <w:t>6</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预决算信息公开性</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按规定内容公开预决算信息，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②</w:t>
            </w:r>
            <w:r>
              <w:rPr>
                <w:rFonts w:ascii="仿宋_GB2312" w:hAnsi="仿宋_GB2312" w:eastAsia="仿宋_GB2312"/>
                <w:kern w:val="0"/>
                <w:sz w:val="20"/>
                <w:szCs w:val="20"/>
              </w:rPr>
              <w:t>按规定时限公开预决算信息，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③</w:t>
            </w:r>
            <w:r>
              <w:rPr>
                <w:rFonts w:ascii="仿宋_GB2312" w:hAnsi="仿宋_GB2312" w:eastAsia="仿宋_GB2312"/>
                <w:kern w:val="0"/>
                <w:sz w:val="20"/>
                <w:szCs w:val="20"/>
              </w:rPr>
              <w:t>基础数据信息和会计信息资料真实，</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基础数据信息和会计信息资料完整，</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⑤</w:t>
            </w:r>
            <w:r>
              <w:rPr>
                <w:rFonts w:ascii="仿宋_GB2312" w:hAnsi="仿宋_GB2312" w:eastAsia="仿宋_GB2312"/>
                <w:kern w:val="0"/>
                <w:sz w:val="20"/>
                <w:szCs w:val="20"/>
              </w:rPr>
              <w:t>基础数据信息和汇集信息资料准确，</w:t>
            </w:r>
            <w:r>
              <w:rPr>
                <w:rFonts w:eastAsia="仿宋_GB2312"/>
                <w:kern w:val="0"/>
                <w:sz w:val="20"/>
                <w:szCs w:val="20"/>
              </w:rPr>
              <w:t>1</w:t>
            </w:r>
            <w:r>
              <w:rPr>
                <w:rFonts w:ascii="仿宋_GB2312" w:hAnsi="仿宋_GB2312" w:eastAsia="仿宋_GB2312"/>
                <w:kern w:val="0"/>
                <w:sz w:val="20"/>
                <w:szCs w:val="20"/>
              </w:rPr>
              <w:t xml:space="preserve">分。  </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vAlign w:val="center"/>
          </w:tcPr>
          <w:p>
            <w:pPr>
              <w:widowControl/>
              <w:jc w:val="left"/>
              <w:rPr>
                <w:rFonts w:hint="eastAsia" w:ascii="Calibri" w:hAnsi="Calibri" w:eastAsia="宋体" w:cs="Times New Roman"/>
                <w:kern w:val="0"/>
                <w:sz w:val="24"/>
                <w:szCs w:val="24"/>
                <w:lang w:val="en-US" w:eastAsia="zh-CN" w:bidi="ar-SA"/>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产出及效率</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30</w:t>
            </w:r>
          </w:p>
        </w:tc>
        <w:tc>
          <w:tcPr>
            <w:tcW w:w="677" w:type="dxa"/>
            <w:gridSpan w:val="2"/>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职责履行</w:t>
            </w:r>
          </w:p>
        </w:tc>
        <w:tc>
          <w:tcPr>
            <w:tcW w:w="416"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color="auto" w:sz="4" w:space="0"/>
            </w:tcBorders>
            <w:vAlign w:val="center"/>
          </w:tcPr>
          <w:p>
            <w:pPr>
              <w:widowControl/>
              <w:jc w:val="left"/>
              <w:rPr>
                <w:rFonts w:eastAsia="仿宋_GB2312"/>
                <w:kern w:val="0"/>
                <w:sz w:val="20"/>
                <w:szCs w:val="20"/>
              </w:rPr>
            </w:pPr>
            <w:r>
              <w:rPr>
                <w:rFonts w:eastAsia="仿宋_GB2312"/>
                <w:kern w:val="0"/>
                <w:sz w:val="20"/>
                <w:szCs w:val="20"/>
              </w:rPr>
              <w:t>重点工作实际完成率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eastAsia="仿宋_GB2312"/>
                <w:kern w:val="0"/>
                <w:sz w:val="20"/>
                <w:szCs w:val="20"/>
              </w:rPr>
              <w:t>根据绩效办20</w:t>
            </w:r>
            <w:r>
              <w:rPr>
                <w:rFonts w:hint="eastAsia" w:eastAsia="仿宋_GB2312"/>
                <w:kern w:val="0"/>
                <w:sz w:val="20"/>
                <w:szCs w:val="20"/>
                <w:lang w:val="en-US" w:eastAsia="zh-CN"/>
              </w:rPr>
              <w:t>22</w:t>
            </w:r>
            <w:r>
              <w:rPr>
                <w:rFonts w:eastAsia="仿宋_GB2312"/>
                <w:kern w:val="0"/>
                <w:sz w:val="20"/>
                <w:szCs w:val="20"/>
              </w:rPr>
              <w:t>年对各部门为民办实事和部门重点工程与重点工作考核分数折算。</w:t>
            </w:r>
          </w:p>
          <w:p>
            <w:pPr>
              <w:widowControl/>
              <w:jc w:val="left"/>
              <w:rPr>
                <w:rFonts w:eastAsia="仿宋_GB2312"/>
                <w:kern w:val="0"/>
                <w:sz w:val="20"/>
                <w:szCs w:val="20"/>
              </w:rPr>
            </w:pPr>
            <w:r>
              <w:rPr>
                <w:rFonts w:eastAsia="仿宋_GB2312"/>
                <w:kern w:val="0"/>
                <w:sz w:val="20"/>
                <w:szCs w:val="20"/>
              </w:rPr>
              <w:t>该项得分=</w:t>
            </w:r>
            <w:r>
              <w:rPr>
                <w:rFonts w:ascii="仿宋_GB2312" w:hAnsi="仿宋_GB2312" w:eastAsia="仿宋_GB2312"/>
                <w:kern w:val="0"/>
                <w:sz w:val="20"/>
                <w:szCs w:val="20"/>
              </w:rPr>
              <w:t>（绩效办对应部分考核得分</w:t>
            </w:r>
            <w:r>
              <w:rPr>
                <w:rFonts w:eastAsia="仿宋_GB2312"/>
                <w:kern w:val="0"/>
                <w:sz w:val="20"/>
                <w:szCs w:val="20"/>
              </w:rPr>
              <w:t>/350</w:t>
            </w:r>
            <w:r>
              <w:rPr>
                <w:rFonts w:ascii="仿宋_GB2312" w:hAnsi="仿宋_GB2312" w:eastAsia="仿宋_GB2312"/>
                <w:kern w:val="0"/>
                <w:sz w:val="20"/>
                <w:szCs w:val="20"/>
              </w:rPr>
              <w:t>）</w:t>
            </w:r>
            <w:r>
              <w:rPr>
                <w:rFonts w:eastAsia="仿宋_GB2312"/>
                <w:kern w:val="0"/>
                <w:sz w:val="20"/>
                <w:szCs w:val="20"/>
              </w:rPr>
              <w:t>*8</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left"/>
              <w:rPr>
                <w:rFonts w:hint="eastAsia" w:ascii="Calibri" w:hAnsi="Calibri" w:eastAsia="宋体" w:cs="Times New Roman"/>
                <w:kern w:val="0"/>
                <w:sz w:val="24"/>
                <w:szCs w:val="24"/>
                <w:lang w:val="en-US" w:eastAsia="zh-CN" w:bidi="ar-SA"/>
              </w:rPr>
            </w:pPr>
            <w:r>
              <w:rPr>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履职 效益</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经济效益</w:t>
            </w:r>
          </w:p>
        </w:tc>
        <w:tc>
          <w:tcPr>
            <w:tcW w:w="478" w:type="dxa"/>
            <w:vMerge w:val="restart"/>
            <w:tcBorders>
              <w:top w:val="nil"/>
              <w:left w:val="nil"/>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nil"/>
              <w:left w:val="nil"/>
              <w:bottom w:val="nil"/>
              <w:right w:val="single" w:color="000000" w:sz="4" w:space="0"/>
            </w:tcBorders>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vAlign w:val="center"/>
          </w:tcPr>
          <w:p>
            <w:pPr>
              <w:widowControl/>
              <w:jc w:val="left"/>
              <w:rPr>
                <w:kern w:val="0"/>
                <w:sz w:val="24"/>
              </w:rPr>
            </w:pPr>
            <w:r>
              <w:rPr>
                <w:rFonts w:hint="eastAsia"/>
                <w:kern w:val="0"/>
                <w:sz w:val="24"/>
                <w:lang w:val="en-US" w:eastAsia="zh-CN"/>
              </w:rPr>
              <w:t>4</w:t>
            </w:r>
            <w:r>
              <w:rPr>
                <w:kern w:val="0"/>
                <w:sz w:val="24"/>
              </w:rPr>
              <w:t>　</w:t>
            </w:r>
          </w:p>
        </w:tc>
      </w:tr>
      <w:tr>
        <w:tblPrEx>
          <w:tblCellMar>
            <w:top w:w="0" w:type="dxa"/>
            <w:left w:w="108" w:type="dxa"/>
            <w:bottom w:w="0" w:type="dxa"/>
            <w:right w:w="108" w:type="dxa"/>
          </w:tblCellMar>
        </w:tblPrEx>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社会效益</w:t>
            </w:r>
          </w:p>
        </w:tc>
        <w:tc>
          <w:tcPr>
            <w:tcW w:w="478" w:type="dxa"/>
            <w:vMerge w:val="continue"/>
            <w:tcBorders>
              <w:top w:val="nil"/>
              <w:left w:val="nil"/>
              <w:bottom w:val="nil"/>
              <w:right w:val="single" w:color="auto" w:sz="4" w:space="0"/>
            </w:tcBorders>
            <w:vAlign w:val="center"/>
          </w:tcPr>
          <w:p>
            <w:pPr>
              <w:widowControl/>
              <w:jc w:val="left"/>
              <w:rPr>
                <w:rFonts w:eastAsia="仿宋_GB2312"/>
                <w:kern w:val="0"/>
                <w:sz w:val="20"/>
                <w:szCs w:val="20"/>
              </w:rPr>
            </w:pPr>
          </w:p>
        </w:tc>
        <w:tc>
          <w:tcPr>
            <w:tcW w:w="6379" w:type="dxa"/>
            <w:gridSpan w:val="2"/>
            <w:vMerge w:val="continue"/>
            <w:tcBorders>
              <w:top w:val="nil"/>
              <w:left w:val="nil"/>
              <w:bottom w:val="nil"/>
              <w:right w:val="single" w:color="000000" w:sz="4" w:space="0"/>
            </w:tcBorders>
            <w:vAlign w:val="center"/>
          </w:tcPr>
          <w:p>
            <w:pPr>
              <w:widowControl/>
              <w:jc w:val="left"/>
              <w:rPr>
                <w:rFonts w:eastAsia="仿宋_GB2312"/>
                <w:kern w:val="0"/>
                <w:sz w:val="20"/>
                <w:szCs w:val="20"/>
              </w:rPr>
            </w:pPr>
          </w:p>
        </w:tc>
        <w:tc>
          <w:tcPr>
            <w:tcW w:w="522" w:type="dxa"/>
            <w:tcBorders>
              <w:top w:val="nil"/>
              <w:left w:val="nil"/>
              <w:bottom w:val="nil"/>
              <w:right w:val="single" w:color="auto" w:sz="4" w:space="0"/>
            </w:tcBorders>
            <w:vAlign w:val="center"/>
          </w:tcPr>
          <w:p>
            <w:pPr>
              <w:widowControl/>
              <w:jc w:val="left"/>
              <w:rPr>
                <w:kern w:val="0"/>
                <w:sz w:val="24"/>
              </w:rPr>
            </w:pPr>
            <w:r>
              <w:rPr>
                <w:rFonts w:hint="eastAsia"/>
                <w:kern w:val="0"/>
                <w:sz w:val="24"/>
                <w:lang w:val="en-US" w:eastAsia="zh-CN"/>
              </w:rPr>
              <w:t>6</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行政效能</w:t>
            </w:r>
          </w:p>
        </w:tc>
        <w:tc>
          <w:tcPr>
            <w:tcW w:w="478"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w:t>
            </w:r>
            <w:r>
              <w:rPr>
                <w:rFonts w:ascii="仿宋_GB2312" w:hAnsi="仿宋_GB2312" w:eastAsia="仿宋_GB2312"/>
                <w:kern w:val="0"/>
                <w:sz w:val="20"/>
                <w:szCs w:val="20"/>
              </w:rPr>
              <w:t>分；一般</w:t>
            </w:r>
            <w:r>
              <w:rPr>
                <w:rFonts w:eastAsia="仿宋_GB2312"/>
                <w:kern w:val="0"/>
                <w:sz w:val="20"/>
                <w:szCs w:val="20"/>
              </w:rPr>
              <w:t>3</w:t>
            </w:r>
            <w:r>
              <w:rPr>
                <w:rFonts w:ascii="仿宋_GB2312" w:hAnsi="仿宋_GB2312" w:eastAsia="仿宋_GB2312"/>
                <w:kern w:val="0"/>
                <w:sz w:val="20"/>
                <w:szCs w:val="20"/>
              </w:rPr>
              <w:t>分；无效果或者效果不明显</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vAlign w:val="center"/>
          </w:tcPr>
          <w:p>
            <w:pPr>
              <w:widowControl/>
              <w:jc w:val="left"/>
              <w:rPr>
                <w:rFonts w:hint="eastAsia" w:ascii="Calibri" w:hAnsi="Calibri" w:eastAsia="宋体" w:cs="Times New Roman"/>
                <w:kern w:val="0"/>
                <w:sz w:val="24"/>
                <w:szCs w:val="24"/>
                <w:lang w:val="en-US" w:eastAsia="zh-CN" w:bidi="ar-SA"/>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gridAfter w:val="1"/>
          <w:wAfter w:w="8" w:type="dxa"/>
          <w:trHeight w:val="1241" w:hRule="atLeast"/>
          <w:jc w:val="center"/>
        </w:trPr>
        <w:tc>
          <w:tcPr>
            <w:tcW w:w="518"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nil"/>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nil"/>
              <w:right w:val="single" w:color="auto" w:sz="4" w:space="0"/>
            </w:tcBorders>
            <w:vAlign w:val="center"/>
          </w:tcPr>
          <w:p>
            <w:pPr>
              <w:widowControl/>
              <w:jc w:val="left"/>
              <w:rPr>
                <w:rFonts w:eastAsia="仿宋_GB2312"/>
                <w:kern w:val="0"/>
                <w:sz w:val="20"/>
                <w:szCs w:val="20"/>
              </w:rPr>
            </w:pPr>
            <w:r>
              <w:rPr>
                <w:rFonts w:eastAsia="仿宋_GB2312"/>
                <w:kern w:val="0"/>
                <w:sz w:val="20"/>
                <w:szCs w:val="20"/>
              </w:rPr>
              <w:t>社会公众或服务对象满意度</w:t>
            </w:r>
          </w:p>
        </w:tc>
        <w:tc>
          <w:tcPr>
            <w:tcW w:w="478" w:type="dxa"/>
            <w:tcBorders>
              <w:top w:val="nil"/>
              <w:left w:val="nil"/>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nil"/>
              <w:right w:val="single" w:color="auto" w:sz="4" w:space="0"/>
            </w:tcBorders>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90%</w:t>
            </w:r>
            <w:r>
              <w:rPr>
                <w:rFonts w:ascii="仿宋_GB2312" w:hAnsi="仿宋_GB2312" w:eastAsia="仿宋_GB2312"/>
                <w:kern w:val="0"/>
                <w:sz w:val="20"/>
                <w:szCs w:val="20"/>
              </w:rPr>
              <w:t>（含）以上计</w:t>
            </w:r>
            <w:r>
              <w:rPr>
                <w:rFonts w:eastAsia="仿宋_GB2312"/>
                <w:kern w:val="0"/>
                <w:sz w:val="20"/>
                <w:szCs w:val="20"/>
              </w:rPr>
              <w:t>6</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eastAsia="仿宋_GB2312"/>
                <w:kern w:val="0"/>
                <w:sz w:val="20"/>
                <w:szCs w:val="20"/>
              </w:rPr>
              <w:t>80%</w:t>
            </w:r>
            <w:r>
              <w:rPr>
                <w:rFonts w:ascii="仿宋_GB2312" w:hAnsi="仿宋_GB2312" w:eastAsia="仿宋_GB2312"/>
                <w:kern w:val="0"/>
                <w:sz w:val="20"/>
                <w:szCs w:val="20"/>
              </w:rPr>
              <w:t>（含）</w:t>
            </w:r>
            <w:r>
              <w:rPr>
                <w:rFonts w:eastAsia="仿宋_GB2312"/>
                <w:kern w:val="0"/>
                <w:sz w:val="20"/>
                <w:szCs w:val="20"/>
              </w:rPr>
              <w:t>-90%</w:t>
            </w:r>
            <w:r>
              <w:rPr>
                <w:rFonts w:ascii="仿宋_GB2312" w:hAnsi="仿宋_GB2312" w:eastAsia="仿宋_GB2312"/>
                <w:kern w:val="0"/>
                <w:sz w:val="20"/>
                <w:szCs w:val="20"/>
              </w:rPr>
              <w:t>，计</w:t>
            </w:r>
            <w:r>
              <w:rPr>
                <w:rFonts w:eastAsia="仿宋_GB2312"/>
                <w:kern w:val="0"/>
                <w:sz w:val="20"/>
                <w:szCs w:val="20"/>
              </w:rPr>
              <w:t>4</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eastAsia="仿宋_GB2312"/>
                <w:kern w:val="0"/>
                <w:sz w:val="20"/>
                <w:szCs w:val="20"/>
              </w:rPr>
              <w:t>70%</w:t>
            </w:r>
            <w:r>
              <w:rPr>
                <w:rFonts w:ascii="仿宋_GB2312" w:hAnsi="仿宋_GB2312" w:eastAsia="仿宋_GB2312"/>
                <w:kern w:val="0"/>
                <w:sz w:val="20"/>
                <w:szCs w:val="20"/>
              </w:rPr>
              <w:t>（含）</w:t>
            </w:r>
            <w:r>
              <w:rPr>
                <w:rFonts w:eastAsia="仿宋_GB2312"/>
                <w:kern w:val="0"/>
                <w:sz w:val="20"/>
                <w:szCs w:val="20"/>
              </w:rPr>
              <w:t>-80%</w:t>
            </w:r>
            <w:r>
              <w:rPr>
                <w:rFonts w:ascii="仿宋_GB2312" w:hAnsi="仿宋_GB2312" w:eastAsia="仿宋_GB2312"/>
                <w:kern w:val="0"/>
                <w:sz w:val="20"/>
                <w:szCs w:val="20"/>
              </w:rPr>
              <w:t>，计</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低于70%</w:t>
            </w:r>
            <w:r>
              <w:rPr>
                <w:rFonts w:ascii="仿宋_GB2312" w:hAnsi="仿宋_GB2312" w:eastAsia="仿宋_GB2312"/>
                <w:kern w:val="0"/>
                <w:sz w:val="20"/>
                <w:szCs w:val="20"/>
              </w:rPr>
              <w:t>计</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nil"/>
              <w:left w:val="nil"/>
              <w:bottom w:val="nil"/>
              <w:right w:val="single" w:color="auto" w:sz="4" w:space="0"/>
            </w:tcBorders>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vAlign w:val="center"/>
          </w:tcPr>
          <w:p>
            <w:pPr>
              <w:widowControl/>
              <w:jc w:val="left"/>
              <w:rPr>
                <w:rFonts w:hint="eastAsia" w:ascii="Calibri" w:hAnsi="Calibri" w:eastAsia="宋体" w:cs="Times New Roman"/>
                <w:kern w:val="0"/>
                <w:sz w:val="24"/>
                <w:szCs w:val="24"/>
                <w:lang w:val="en-US" w:eastAsia="zh-CN" w:bidi="ar-SA"/>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8"/>
            <w:tcBorders>
              <w:top w:val="single" w:color="auto" w:sz="4" w:space="0"/>
              <w:left w:val="nil"/>
              <w:bottom w:val="single" w:color="auto" w:sz="4" w:space="0"/>
              <w:right w:val="single" w:color="auto" w:sz="4" w:space="0"/>
            </w:tcBorders>
            <w:vAlign w:val="center"/>
          </w:tcPr>
          <w:p>
            <w:pPr>
              <w:widowControl/>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97</w:t>
            </w:r>
          </w:p>
        </w:tc>
      </w:tr>
    </w:tbl>
    <w:p>
      <w:pPr>
        <w:spacing w:line="600" w:lineRule="exact"/>
        <w:rPr>
          <w:rFonts w:hint="eastAsia"/>
          <w:lang w:val="en-US" w:eastAsia="zh-CN"/>
        </w:rPr>
      </w:pPr>
    </w:p>
    <w:p>
      <w:pPr>
        <w:pStyle w:val="2"/>
        <w:rPr>
          <w:rFonts w:hint="eastAsia"/>
          <w:lang w:val="en-US" w:eastAsia="zh-CN"/>
        </w:rPr>
      </w:pPr>
    </w:p>
    <w:p>
      <w:pPr>
        <w:rPr>
          <w:rFonts w:hint="eastAsia"/>
          <w:lang w:val="en-US" w:eastAsia="zh-CN"/>
        </w:rPr>
      </w:pPr>
    </w:p>
    <w:p>
      <w:pPr>
        <w:spacing w:line="200" w:lineRule="exact"/>
        <w:jc w:val="right"/>
      </w:pPr>
      <w:r>
        <w:rPr>
          <w:rFonts w:eastAsia="仿宋_GB2312"/>
          <w:sz w:val="32"/>
          <w:szCs w:val="32"/>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3022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945" cy="30226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3.8pt;width:5.35pt;mso-position-horizontal:center;mso-position-horizontal-relative:margin;mso-wrap-style:none;z-index:251659264;mso-width-relative:page;mso-height-relative:page;" filled="f" stroked="f" coordsize="21600,21600" o:gfxdata="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hcxM40AAAAAMBAAAPAAAAAAAAAAEAIAAAACIAAABkcnMvZG93bnJl&#10;di54bWxQSwECFAAUAAAACACHTuJAQKDDVMwBAACWAwAADgAAAAAAAAABACAAAAAfAQAAZHJzL2Uy&#10;b0RvYy54bWxQSwUGAAAAAAYABgBZAQAAXQ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OWJiMDgxYTE2ZWNlZDBkM2Y1MjhlNjI0MzA0NzUifQ=="/>
  </w:docVars>
  <w:rsids>
    <w:rsidRoot w:val="689B5CAD"/>
    <w:rsid w:val="03A42803"/>
    <w:rsid w:val="08E35F56"/>
    <w:rsid w:val="345A2AA6"/>
    <w:rsid w:val="39641C0E"/>
    <w:rsid w:val="62D6481A"/>
    <w:rsid w:val="659E5B24"/>
    <w:rsid w:val="689B5CAD"/>
    <w:rsid w:val="6D6D4043"/>
    <w:rsid w:val="730248AE"/>
    <w:rsid w:val="76872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hint="eastAsia"/>
      <w:b/>
      <w:kern w:val="44"/>
      <w:sz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next w:val="4"/>
    <w:qFormat/>
    <w:uiPriority w:val="0"/>
    <w:pPr>
      <w:widowControl w:val="0"/>
      <w:jc w:val="both"/>
    </w:pPr>
    <w:rPr>
      <w:rFonts w:ascii="宋体" w:cs="Courier New" w:hAnsiTheme="minorHAnsi" w:eastAsiaTheme="minorEastAsia"/>
      <w:kern w:val="2"/>
      <w:sz w:val="21"/>
      <w:szCs w:val="21"/>
      <w:lang w:val="en-US" w:eastAsia="zh-CN" w:bidi="ar-SA"/>
    </w:rPr>
  </w:style>
  <w:style w:type="paragraph" w:styleId="4">
    <w:name w:val="Normal (Web)"/>
    <w:basedOn w:val="1"/>
    <w:qFormat/>
    <w:uiPriority w:val="0"/>
    <w:pPr>
      <w:widowControl/>
      <w:jc w:val="left"/>
    </w:pPr>
    <w:rPr>
      <w:rFonts w:ascii="宋体" w:hAnsi="宋体" w:cs="宋体"/>
      <w:kern w:val="0"/>
      <w:sz w:val="24"/>
    </w:rPr>
  </w:style>
  <w:style w:type="paragraph" w:styleId="5">
    <w:name w:val="footer"/>
    <w:basedOn w:val="1"/>
    <w:unhideWhenUsed/>
    <w:qFormat/>
    <w:uiPriority w:val="0"/>
    <w:pPr>
      <w:tabs>
        <w:tab w:val="center" w:pos="4153"/>
        <w:tab w:val="right" w:pos="8306"/>
      </w:tabs>
      <w:snapToGrid w:val="0"/>
      <w:jc w:val="left"/>
    </w:pPr>
    <w:rPr>
      <w:sz w:val="18"/>
    </w:rPr>
  </w:style>
  <w:style w:type="paragraph" w:styleId="6">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9">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9174</Words>
  <Characters>9743</Characters>
  <Lines>0</Lines>
  <Paragraphs>0</Paragraphs>
  <TotalTime>0</TotalTime>
  <ScaleCrop>false</ScaleCrop>
  <LinksUpToDate>false</LinksUpToDate>
  <CharactersWithSpaces>10234</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2023-03-14T03:01:00Z</dcterms:created>
  <dc:creator>去留无意1399901097</dc:creator>
  <cp:lastModifiedBy>Administrator</cp:lastModifiedBy>
  <dcterms:modified xsi:type="dcterms:W3CDTF">2024-12-30T01:58:52Z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BC05D24C89014AC9A00A70FBABF35935</vt:lpwstr>
  </property>
</Properties>
</file>