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eastAsia="黑体"/>
          <w:kern w:val="0"/>
          <w:sz w:val="32"/>
          <w:szCs w:val="32"/>
          <w:lang w:eastAsia="zh-CN"/>
        </w:rPr>
      </w:pPr>
      <w:bookmarkStart w:id="0" w:name="_GoBack"/>
      <w:bookmarkEnd w:id="0"/>
      <w:r>
        <w:rPr>
          <w:rFonts w:hint="eastAsia" w:eastAsia="黑体"/>
          <w:kern w:val="0"/>
          <w:sz w:val="32"/>
          <w:szCs w:val="32"/>
        </w:rPr>
        <w:t>附件</w:t>
      </w:r>
      <w:r>
        <w:rPr>
          <w:rFonts w:hint="eastAsia" w:eastAsia="黑体"/>
          <w:kern w:val="0"/>
          <w:sz w:val="32"/>
          <w:szCs w:val="32"/>
          <w:lang w:val="en-US" w:eastAsia="zh-CN"/>
        </w:rPr>
        <w:t>2</w:t>
      </w:r>
    </w:p>
    <w:p>
      <w:pPr>
        <w:spacing w:line="600" w:lineRule="exact"/>
        <w:rPr>
          <w:rFonts w:eastAsia="黑体"/>
          <w:kern w:val="0"/>
          <w:sz w:val="32"/>
          <w:szCs w:val="32"/>
        </w:rPr>
      </w:pPr>
    </w:p>
    <w:p>
      <w:pPr>
        <w:jc w:val="center"/>
        <w:rPr>
          <w:rFonts w:ascii="宋体" w:cs="宋体"/>
          <w:sz w:val="48"/>
          <w:szCs w:val="48"/>
        </w:rPr>
      </w:pPr>
      <w:r>
        <w:rPr>
          <w:rFonts w:ascii="宋体" w:hAnsi="宋体" w:cs="宋体"/>
          <w:sz w:val="48"/>
          <w:szCs w:val="48"/>
        </w:rPr>
        <w:t>202</w:t>
      </w:r>
      <w:r>
        <w:rPr>
          <w:rFonts w:hint="eastAsia" w:ascii="宋体" w:hAnsi="宋体" w:cs="宋体"/>
          <w:sz w:val="48"/>
          <w:szCs w:val="48"/>
        </w:rPr>
        <w:t>3年度江永县接待服务中心</w:t>
      </w:r>
    </w:p>
    <w:p>
      <w:pPr>
        <w:jc w:val="center"/>
        <w:rPr>
          <w:rFonts w:ascii="宋体" w:cs="宋体"/>
          <w:sz w:val="48"/>
          <w:szCs w:val="48"/>
        </w:rPr>
      </w:pPr>
      <w:r>
        <w:rPr>
          <w:rFonts w:hint="eastAsia" w:ascii="宋体" w:hAnsi="宋体" w:cs="宋体"/>
          <w:sz w:val="48"/>
          <w:szCs w:val="48"/>
        </w:rPr>
        <w:t>整体支出绩效自评报告</w:t>
      </w:r>
    </w:p>
    <w:p>
      <w:pPr>
        <w:jc w:val="center"/>
        <w:rPr>
          <w:rFonts w:eastAsia="黑体"/>
          <w:sz w:val="32"/>
          <w:szCs w:val="32"/>
        </w:rPr>
      </w:pPr>
    </w:p>
    <w:p>
      <w:pPr>
        <w:jc w:val="center"/>
        <w:rPr>
          <w:rFonts w:eastAsia="黑体"/>
          <w:sz w:val="32"/>
          <w:szCs w:val="32"/>
        </w:rPr>
      </w:pPr>
    </w:p>
    <w:p>
      <w:pPr>
        <w:jc w:val="center"/>
        <w:rPr>
          <w:rFonts w:eastAsia="黑体"/>
          <w:sz w:val="32"/>
          <w:szCs w:val="32"/>
        </w:rPr>
      </w:pPr>
    </w:p>
    <w:p>
      <w:pPr>
        <w:jc w:val="center"/>
        <w:rPr>
          <w:rFonts w:eastAsia="黑体"/>
          <w:sz w:val="32"/>
          <w:szCs w:val="32"/>
        </w:rPr>
      </w:pPr>
    </w:p>
    <w:p>
      <w:pPr>
        <w:jc w:val="center"/>
        <w:rPr>
          <w:rFonts w:eastAsia="黑体"/>
          <w:sz w:val="32"/>
          <w:szCs w:val="32"/>
        </w:rPr>
      </w:pPr>
    </w:p>
    <w:p>
      <w:pPr>
        <w:jc w:val="center"/>
        <w:rPr>
          <w:rFonts w:eastAsia="黑体"/>
          <w:sz w:val="32"/>
          <w:szCs w:val="32"/>
        </w:rPr>
      </w:pPr>
    </w:p>
    <w:p>
      <w:pPr>
        <w:jc w:val="center"/>
        <w:rPr>
          <w:rFonts w:eastAsia="黑体"/>
          <w:sz w:val="32"/>
          <w:szCs w:val="32"/>
        </w:rPr>
      </w:pPr>
    </w:p>
    <w:p>
      <w:pPr>
        <w:ind w:firstLine="880" w:firstLineChars="200"/>
        <w:jc w:val="center"/>
        <w:rPr>
          <w:rFonts w:eastAsia="黑体"/>
          <w:sz w:val="44"/>
          <w:szCs w:val="44"/>
        </w:rPr>
      </w:pPr>
    </w:p>
    <w:p>
      <w:pPr>
        <w:ind w:firstLine="880" w:firstLineChars="200"/>
        <w:jc w:val="center"/>
        <w:rPr>
          <w:rFonts w:eastAsia="黑体"/>
          <w:sz w:val="44"/>
          <w:szCs w:val="44"/>
        </w:rPr>
      </w:pPr>
    </w:p>
    <w:p>
      <w:pPr>
        <w:ind w:firstLine="880" w:firstLineChars="200"/>
        <w:jc w:val="center"/>
        <w:rPr>
          <w:rFonts w:eastAsia="黑体"/>
          <w:sz w:val="44"/>
          <w:szCs w:val="44"/>
        </w:rPr>
      </w:pPr>
    </w:p>
    <w:p>
      <w:pPr>
        <w:ind w:firstLine="720" w:firstLineChars="200"/>
        <w:jc w:val="center"/>
        <w:rPr>
          <w:rFonts w:eastAsia="黑体"/>
          <w:sz w:val="36"/>
          <w:szCs w:val="36"/>
        </w:rPr>
      </w:pPr>
    </w:p>
    <w:p>
      <w:pPr>
        <w:ind w:firstLine="720" w:firstLineChars="200"/>
        <w:rPr>
          <w:rFonts w:eastAsia="黑体"/>
          <w:sz w:val="36"/>
          <w:szCs w:val="36"/>
        </w:rPr>
      </w:pPr>
    </w:p>
    <w:p>
      <w:pPr>
        <w:ind w:firstLine="720" w:firstLineChars="200"/>
        <w:rPr>
          <w:rFonts w:eastAsia="黑体"/>
          <w:sz w:val="36"/>
          <w:szCs w:val="36"/>
        </w:rPr>
      </w:pPr>
    </w:p>
    <w:p>
      <w:pPr>
        <w:ind w:firstLine="720" w:firstLineChars="200"/>
        <w:rPr>
          <w:rFonts w:eastAsia="黑体"/>
          <w:sz w:val="36"/>
          <w:szCs w:val="36"/>
        </w:rPr>
      </w:pPr>
    </w:p>
    <w:p>
      <w:pPr>
        <w:ind w:firstLine="720" w:firstLineChars="200"/>
        <w:rPr>
          <w:rFonts w:eastAsia="黑体"/>
          <w:sz w:val="36"/>
          <w:szCs w:val="36"/>
        </w:rPr>
      </w:pPr>
    </w:p>
    <w:p>
      <w:pPr>
        <w:ind w:firstLine="1440" w:firstLineChars="400"/>
        <w:rPr>
          <w:rFonts w:eastAsia="黑体"/>
          <w:sz w:val="36"/>
          <w:szCs w:val="36"/>
        </w:rPr>
      </w:pPr>
      <w:r>
        <w:rPr>
          <w:rFonts w:hint="eastAsia" w:eastAsia="黑体"/>
          <w:sz w:val="36"/>
          <w:szCs w:val="36"/>
        </w:rPr>
        <w:t>单位名称（盖章）：江永县接待服务中心</w:t>
      </w:r>
    </w:p>
    <w:p>
      <w:pPr>
        <w:pStyle w:val="9"/>
      </w:pPr>
    </w:p>
    <w:p>
      <w:pPr>
        <w:pStyle w:val="9"/>
      </w:pPr>
    </w:p>
    <w:p>
      <w:pPr>
        <w:spacing w:line="600" w:lineRule="exact"/>
        <w:ind w:firstLine="640" w:firstLineChars="200"/>
        <w:rPr>
          <w:sz w:val="32"/>
          <w:szCs w:val="32"/>
        </w:rPr>
      </w:pPr>
    </w:p>
    <w:p>
      <w:pPr>
        <w:spacing w:line="600" w:lineRule="exact"/>
        <w:ind w:firstLine="640" w:firstLineChars="200"/>
        <w:rPr>
          <w:rFonts w:eastAsia="黑体"/>
          <w:sz w:val="32"/>
          <w:szCs w:val="32"/>
        </w:rPr>
      </w:pPr>
      <w:r>
        <w:rPr>
          <w:rFonts w:hint="eastAsia" w:eastAsia="黑体"/>
          <w:sz w:val="32"/>
          <w:szCs w:val="32"/>
        </w:rPr>
        <w:t>一、基本情况</w:t>
      </w:r>
    </w:p>
    <w:p>
      <w:pPr>
        <w:spacing w:line="560" w:lineRule="exact"/>
        <w:ind w:firstLine="643" w:firstLineChars="200"/>
        <w:rPr>
          <w:rFonts w:eastAsia="楷体_GB2312"/>
          <w:b/>
          <w:sz w:val="32"/>
          <w:szCs w:val="32"/>
        </w:rPr>
      </w:pPr>
      <w:r>
        <w:rPr>
          <w:rFonts w:hint="eastAsia" w:eastAsia="楷体_GB2312"/>
          <w:b/>
          <w:sz w:val="32"/>
          <w:szCs w:val="32"/>
        </w:rPr>
        <w:t>（一）部门（单位）基本情况</w:t>
      </w:r>
    </w:p>
    <w:p>
      <w:pPr>
        <w:pStyle w:val="15"/>
        <w:spacing w:line="560" w:lineRule="exact"/>
        <w:ind w:firstLine="640"/>
        <w:rPr>
          <w:rFonts w:ascii="仿宋" w:hAnsi="仿宋" w:eastAsia="仿宋" w:cs="仿宋"/>
          <w:b/>
          <w:bCs/>
          <w:sz w:val="32"/>
          <w:szCs w:val="32"/>
        </w:rPr>
      </w:pPr>
      <w:r>
        <w:rPr>
          <w:rFonts w:ascii="FangSong_GB2312" w:eastAsia="FangSong_GB2312"/>
          <w:b/>
          <w:bCs/>
          <w:sz w:val="32"/>
        </w:rPr>
        <w:t>1</w:t>
      </w:r>
      <w:r>
        <w:rPr>
          <w:rFonts w:hint="eastAsia" w:asciiTheme="minorEastAsia" w:hAnsiTheme="minorEastAsia" w:eastAsiaTheme="minorEastAsia"/>
          <w:b/>
          <w:bCs/>
          <w:sz w:val="32"/>
        </w:rPr>
        <w:t>.</w:t>
      </w:r>
      <w:r>
        <w:rPr>
          <w:rFonts w:hint="eastAsia" w:ascii="仿宋" w:hAnsi="仿宋" w:eastAsia="仿宋" w:cs="仿宋"/>
          <w:b/>
          <w:bCs/>
          <w:sz w:val="32"/>
          <w:szCs w:val="32"/>
        </w:rPr>
        <w:t>职能职责</w:t>
      </w:r>
    </w:p>
    <w:p>
      <w:pPr>
        <w:ind w:firstLine="640" w:firstLineChars="200"/>
        <w:rPr>
          <w:rFonts w:ascii="仿宋" w:hAnsi="仿宋" w:eastAsia="仿宋" w:cs="仿宋"/>
          <w:sz w:val="32"/>
          <w:szCs w:val="32"/>
        </w:rPr>
      </w:pPr>
      <w:r>
        <w:rPr>
          <w:rFonts w:hint="eastAsia" w:ascii="仿宋" w:hAnsi="仿宋" w:eastAsia="仿宋" w:cs="仿宋"/>
          <w:sz w:val="32"/>
          <w:szCs w:val="32"/>
        </w:rPr>
        <w:t>（</w:t>
      </w:r>
      <w:r>
        <w:rPr>
          <w:rFonts w:ascii="仿宋" w:hAnsi="仿宋" w:eastAsia="仿宋" w:cs="仿宋"/>
          <w:sz w:val="32"/>
          <w:szCs w:val="32"/>
        </w:rPr>
        <w:t>1</w:t>
      </w:r>
      <w:r>
        <w:rPr>
          <w:rFonts w:hint="eastAsia" w:ascii="仿宋" w:hAnsi="仿宋" w:eastAsia="仿宋" w:cs="仿宋"/>
          <w:sz w:val="32"/>
          <w:szCs w:val="32"/>
        </w:rPr>
        <w:t>）负责来江永视察、检查工作的中央国家机关和省、市副厅级以上干部，外地来江永考察的副处级以上干部的接待服务工作，负责中央、省、市有关专项督察考核、考察、巡视组等领导莅江永的接待服务工作，承担县委、县政府商务、外事活动的接待服务工作</w:t>
      </w:r>
      <w:r>
        <w:rPr>
          <w:rFonts w:ascii="仿宋" w:hAnsi="仿宋" w:eastAsia="仿宋" w:cs="仿宋"/>
          <w:sz w:val="32"/>
          <w:szCs w:val="32"/>
        </w:rPr>
        <w:t>;</w:t>
      </w:r>
      <w:r>
        <w:rPr>
          <w:rFonts w:hint="eastAsia" w:ascii="仿宋" w:hAnsi="仿宋" w:eastAsia="仿宋" w:cs="仿宋"/>
          <w:sz w:val="32"/>
          <w:szCs w:val="32"/>
        </w:rPr>
        <w:t>承担县委、县政府商务、外事活动的接待服务工作</w:t>
      </w:r>
      <w:r>
        <w:rPr>
          <w:rFonts w:ascii="仿宋" w:hAnsi="仿宋" w:eastAsia="仿宋" w:cs="仿宋"/>
          <w:sz w:val="32"/>
          <w:szCs w:val="32"/>
        </w:rPr>
        <w:t>;</w:t>
      </w:r>
      <w:r>
        <w:rPr>
          <w:rFonts w:hint="eastAsia" w:ascii="仿宋" w:hAnsi="仿宋" w:eastAsia="仿宋" w:cs="仿宋"/>
          <w:sz w:val="32"/>
          <w:szCs w:val="32"/>
        </w:rPr>
        <w:t>以及县委、县政府特邀客人的接待服务工作。</w:t>
      </w:r>
    </w:p>
    <w:p>
      <w:pPr>
        <w:ind w:firstLine="640" w:firstLineChars="200"/>
        <w:rPr>
          <w:rFonts w:ascii="仿宋" w:hAnsi="仿宋" w:eastAsia="仿宋" w:cs="仿宋"/>
          <w:sz w:val="32"/>
          <w:szCs w:val="32"/>
        </w:rPr>
      </w:pPr>
      <w:r>
        <w:rPr>
          <w:rFonts w:hint="eastAsia" w:ascii="仿宋" w:hAnsi="仿宋" w:eastAsia="仿宋" w:cs="仿宋"/>
          <w:sz w:val="32"/>
          <w:szCs w:val="32"/>
        </w:rPr>
        <w:t>（</w:t>
      </w:r>
      <w:r>
        <w:rPr>
          <w:rFonts w:ascii="仿宋" w:hAnsi="仿宋" w:eastAsia="仿宋" w:cs="仿宋"/>
          <w:sz w:val="32"/>
          <w:szCs w:val="32"/>
        </w:rPr>
        <w:t>2</w:t>
      </w:r>
      <w:r>
        <w:rPr>
          <w:rFonts w:hint="eastAsia" w:ascii="仿宋" w:hAnsi="仿宋" w:eastAsia="仿宋" w:cs="仿宋"/>
          <w:sz w:val="32"/>
          <w:szCs w:val="32"/>
        </w:rPr>
        <w:t>）负责县委、县政府领导赴外地参观、学习、考察的联络和服务工作。</w:t>
      </w:r>
    </w:p>
    <w:p>
      <w:pPr>
        <w:ind w:firstLine="640" w:firstLineChars="200"/>
        <w:rPr>
          <w:rFonts w:ascii="仿宋" w:hAnsi="仿宋" w:eastAsia="仿宋" w:cs="仿宋"/>
          <w:sz w:val="32"/>
          <w:szCs w:val="32"/>
        </w:rPr>
      </w:pPr>
      <w:r>
        <w:rPr>
          <w:rFonts w:hint="eastAsia" w:ascii="仿宋" w:hAnsi="仿宋" w:eastAsia="仿宋" w:cs="仿宋"/>
          <w:sz w:val="32"/>
          <w:szCs w:val="32"/>
        </w:rPr>
        <w:t>（</w:t>
      </w:r>
      <w:r>
        <w:rPr>
          <w:rFonts w:ascii="仿宋" w:hAnsi="仿宋" w:eastAsia="仿宋" w:cs="仿宋"/>
          <w:sz w:val="32"/>
          <w:szCs w:val="32"/>
        </w:rPr>
        <w:t>3</w:t>
      </w:r>
      <w:r>
        <w:rPr>
          <w:rFonts w:hint="eastAsia" w:ascii="仿宋" w:hAnsi="仿宋" w:eastAsia="仿宋" w:cs="仿宋"/>
          <w:sz w:val="32"/>
          <w:szCs w:val="32"/>
        </w:rPr>
        <w:t>）负责县级一类会议、二类会议，以及中央、省、市在江永召开的二类及以上会议的接待服务工作。</w:t>
      </w:r>
    </w:p>
    <w:p>
      <w:pPr>
        <w:ind w:firstLine="640" w:firstLineChars="200"/>
        <w:rPr>
          <w:rFonts w:ascii="仿宋" w:hAnsi="仿宋" w:eastAsia="仿宋" w:cs="仿宋"/>
          <w:sz w:val="32"/>
          <w:szCs w:val="32"/>
        </w:rPr>
      </w:pPr>
      <w:r>
        <w:rPr>
          <w:rFonts w:hint="eastAsia" w:ascii="仿宋" w:hAnsi="仿宋" w:eastAsia="仿宋" w:cs="仿宋"/>
          <w:sz w:val="32"/>
          <w:szCs w:val="32"/>
        </w:rPr>
        <w:t>（</w:t>
      </w:r>
      <w:r>
        <w:rPr>
          <w:rFonts w:ascii="仿宋" w:hAnsi="仿宋" w:eastAsia="仿宋" w:cs="仿宋"/>
          <w:sz w:val="32"/>
          <w:szCs w:val="32"/>
        </w:rPr>
        <w:t>4</w:t>
      </w:r>
      <w:r>
        <w:rPr>
          <w:rFonts w:hint="eastAsia" w:ascii="仿宋" w:hAnsi="仿宋" w:eastAsia="仿宋" w:cs="仿宋"/>
          <w:sz w:val="32"/>
          <w:szCs w:val="32"/>
        </w:rPr>
        <w:t>）配合县委、县人大、县政府、县政协有关部门做好重大活动的接待服务工作。</w:t>
      </w:r>
    </w:p>
    <w:p>
      <w:pPr>
        <w:ind w:firstLine="640" w:firstLineChars="200"/>
        <w:rPr>
          <w:rFonts w:ascii="仿宋" w:hAnsi="仿宋" w:eastAsia="仿宋" w:cs="仿宋"/>
          <w:sz w:val="32"/>
          <w:szCs w:val="32"/>
        </w:rPr>
      </w:pPr>
      <w:r>
        <w:rPr>
          <w:rFonts w:hint="eastAsia" w:ascii="仿宋" w:hAnsi="仿宋" w:eastAsia="仿宋" w:cs="仿宋"/>
          <w:sz w:val="32"/>
          <w:szCs w:val="32"/>
        </w:rPr>
        <w:t>（</w:t>
      </w:r>
      <w:r>
        <w:rPr>
          <w:rFonts w:ascii="仿宋" w:hAnsi="仿宋" w:eastAsia="仿宋" w:cs="仿宋"/>
          <w:sz w:val="32"/>
          <w:szCs w:val="32"/>
        </w:rPr>
        <w:t>5</w:t>
      </w:r>
      <w:r>
        <w:rPr>
          <w:rFonts w:hint="eastAsia" w:ascii="仿宋" w:hAnsi="仿宋" w:eastAsia="仿宋" w:cs="仿宋"/>
          <w:sz w:val="32"/>
          <w:szCs w:val="32"/>
        </w:rPr>
        <w:t>）做好与接待任务有关单位的协调联络工作，为领导提供接待工作信息。</w:t>
      </w:r>
    </w:p>
    <w:p>
      <w:pPr>
        <w:ind w:firstLine="640" w:firstLineChars="200"/>
      </w:pPr>
      <w:r>
        <w:rPr>
          <w:rFonts w:hint="eastAsia" w:ascii="仿宋" w:hAnsi="仿宋" w:eastAsia="仿宋" w:cs="仿宋"/>
          <w:sz w:val="32"/>
          <w:szCs w:val="32"/>
        </w:rPr>
        <w:t>（</w:t>
      </w:r>
      <w:r>
        <w:rPr>
          <w:rFonts w:ascii="仿宋" w:hAnsi="仿宋" w:eastAsia="仿宋" w:cs="仿宋"/>
          <w:sz w:val="32"/>
          <w:szCs w:val="32"/>
        </w:rPr>
        <w:t>6</w:t>
      </w:r>
      <w:r>
        <w:rPr>
          <w:rFonts w:hint="eastAsia" w:ascii="仿宋" w:hAnsi="仿宋" w:eastAsia="仿宋" w:cs="仿宋"/>
          <w:sz w:val="32"/>
          <w:szCs w:val="32"/>
        </w:rPr>
        <w:t>）完成县委、县政府交办的其他接待任务。</w:t>
      </w:r>
    </w:p>
    <w:p>
      <w:pPr>
        <w:pStyle w:val="15"/>
        <w:spacing w:line="560" w:lineRule="exact"/>
        <w:ind w:firstLine="643" w:firstLineChars="200"/>
        <w:rPr>
          <w:rFonts w:ascii="仿宋" w:hAnsi="仿宋" w:eastAsia="仿宋" w:cs="仿宋"/>
          <w:b/>
          <w:bCs/>
          <w:sz w:val="32"/>
          <w:szCs w:val="32"/>
        </w:rPr>
      </w:pPr>
      <w:r>
        <w:rPr>
          <w:rFonts w:ascii="仿宋" w:hAnsi="仿宋" w:eastAsia="仿宋" w:cs="仿宋"/>
          <w:b/>
          <w:bCs/>
          <w:sz w:val="32"/>
          <w:szCs w:val="32"/>
        </w:rPr>
        <w:t>2.</w:t>
      </w:r>
      <w:r>
        <w:rPr>
          <w:rFonts w:hint="eastAsia" w:ascii="仿宋" w:hAnsi="仿宋" w:eastAsia="仿宋" w:cs="仿宋"/>
          <w:b/>
          <w:bCs/>
          <w:sz w:val="32"/>
          <w:szCs w:val="32"/>
        </w:rPr>
        <w:t>机构和人员情况</w:t>
      </w:r>
    </w:p>
    <w:p>
      <w:pPr>
        <w:spacing w:line="520" w:lineRule="exact"/>
        <w:ind w:firstLine="640" w:firstLineChars="200"/>
        <w:rPr>
          <w:rFonts w:eastAsia="Times New Roman"/>
          <w:sz w:val="32"/>
        </w:rPr>
      </w:pPr>
      <w:r>
        <w:rPr>
          <w:rFonts w:hint="eastAsia" w:ascii="仿宋" w:hAnsi="仿宋" w:eastAsia="仿宋"/>
          <w:sz w:val="32"/>
        </w:rPr>
        <w:t>县接</w:t>
      </w:r>
      <w:r>
        <w:rPr>
          <w:rFonts w:hint="eastAsia" w:ascii="仿宋" w:hAnsi="仿宋" w:eastAsia="仿宋" w:cs="仿宋"/>
          <w:sz w:val="32"/>
          <w:szCs w:val="32"/>
        </w:rPr>
        <w:t>待服务中心是县委直属正科级公益一类事业单位，内设办公室（财务室）、业务室。核定编制6人，</w:t>
      </w:r>
      <w:r>
        <w:rPr>
          <w:rFonts w:ascii="仿宋" w:hAnsi="仿宋" w:eastAsia="仿宋" w:cs="仿宋"/>
          <w:sz w:val="32"/>
          <w:szCs w:val="32"/>
        </w:rPr>
        <w:t>202</w:t>
      </w:r>
      <w:r>
        <w:rPr>
          <w:rFonts w:hint="eastAsia" w:ascii="仿宋" w:hAnsi="仿宋" w:eastAsia="仿宋" w:cs="仿宋"/>
          <w:sz w:val="32"/>
          <w:szCs w:val="32"/>
        </w:rPr>
        <w:t>3年末实有在职工作人员</w:t>
      </w:r>
      <w:r>
        <w:rPr>
          <w:rFonts w:hint="eastAsia" w:ascii="仿宋" w:hAnsi="仿宋" w:eastAsia="仿宋" w:cs="仿宋"/>
          <w:sz w:val="32"/>
          <w:szCs w:val="32"/>
          <w:lang w:val="en-US" w:eastAsia="zh-CN"/>
        </w:rPr>
        <w:t>5</w:t>
      </w:r>
      <w:r>
        <w:rPr>
          <w:rFonts w:hint="eastAsia" w:ascii="仿宋" w:hAnsi="仿宋" w:eastAsia="仿宋" w:cs="仿宋"/>
          <w:sz w:val="32"/>
          <w:szCs w:val="32"/>
        </w:rPr>
        <w:t>人。</w:t>
      </w:r>
    </w:p>
    <w:p>
      <w:pPr>
        <w:numPr>
          <w:ilvl w:val="0"/>
          <w:numId w:val="1"/>
        </w:numPr>
        <w:spacing w:line="560" w:lineRule="exact"/>
        <w:ind w:firstLine="643" w:firstLineChars="200"/>
        <w:rPr>
          <w:rFonts w:eastAsia="楷体_GB2312"/>
          <w:b/>
          <w:sz w:val="32"/>
          <w:szCs w:val="32"/>
        </w:rPr>
      </w:pPr>
      <w:r>
        <w:rPr>
          <w:rFonts w:hint="eastAsia" w:eastAsia="楷体_GB2312"/>
          <w:b/>
          <w:sz w:val="32"/>
          <w:szCs w:val="32"/>
        </w:rPr>
        <w:t>部门（单位）年度整体支出绩效目标，省级专项资金绩效目标、其他项目支出（除省级专项资金以外）绩效目标</w:t>
      </w:r>
    </w:p>
    <w:p>
      <w:pPr>
        <w:pStyle w:val="12"/>
        <w:spacing w:line="560" w:lineRule="exact"/>
        <w:ind w:firstLine="640"/>
        <w:rPr>
          <w:rFonts w:ascii="仿宋" w:hAnsi="仿宋" w:eastAsia="仿宋"/>
          <w:color w:val="000000"/>
          <w:kern w:val="0"/>
          <w:sz w:val="32"/>
          <w:szCs w:val="32"/>
        </w:rPr>
      </w:pPr>
      <w:r>
        <w:rPr>
          <w:rFonts w:ascii="仿宋" w:hAnsi="仿宋" w:eastAsia="仿宋"/>
          <w:color w:val="000000"/>
          <w:kern w:val="0"/>
          <w:sz w:val="32"/>
          <w:szCs w:val="32"/>
        </w:rPr>
        <w:t>1</w:t>
      </w:r>
      <w:r>
        <w:rPr>
          <w:rFonts w:hint="eastAsia" w:ascii="仿宋" w:hAnsi="仿宋" w:eastAsia="仿宋" w:cs="宋体"/>
          <w:color w:val="000000"/>
          <w:kern w:val="0"/>
          <w:sz w:val="32"/>
          <w:szCs w:val="32"/>
        </w:rPr>
        <w:t>、保障单位人员工资福利以及社保费；</w:t>
      </w:r>
    </w:p>
    <w:p>
      <w:pPr>
        <w:pStyle w:val="12"/>
        <w:spacing w:line="560" w:lineRule="exact"/>
        <w:ind w:firstLine="640"/>
        <w:rPr>
          <w:rFonts w:ascii="仿宋" w:hAnsi="仿宋" w:eastAsia="仿宋"/>
          <w:color w:val="000000"/>
          <w:kern w:val="0"/>
          <w:sz w:val="32"/>
          <w:szCs w:val="32"/>
        </w:rPr>
      </w:pPr>
      <w:r>
        <w:rPr>
          <w:rFonts w:ascii="仿宋" w:hAnsi="仿宋" w:eastAsia="仿宋"/>
          <w:color w:val="000000"/>
          <w:kern w:val="0"/>
          <w:sz w:val="32"/>
          <w:szCs w:val="32"/>
        </w:rPr>
        <w:t>2</w:t>
      </w:r>
      <w:r>
        <w:rPr>
          <w:rFonts w:hint="eastAsia" w:ascii="仿宋" w:hAnsi="仿宋" w:eastAsia="仿宋" w:cs="宋体"/>
          <w:color w:val="000000"/>
          <w:kern w:val="0"/>
          <w:sz w:val="32"/>
          <w:szCs w:val="32"/>
        </w:rPr>
        <w:t>、保障单位正常运转；</w:t>
      </w:r>
    </w:p>
    <w:p>
      <w:pPr>
        <w:pStyle w:val="12"/>
        <w:spacing w:line="560" w:lineRule="exact"/>
        <w:ind w:firstLine="640"/>
        <w:rPr>
          <w:rFonts w:ascii="仿宋" w:hAnsi="仿宋" w:eastAsia="仿宋"/>
          <w:color w:val="000000"/>
          <w:kern w:val="0"/>
          <w:sz w:val="32"/>
          <w:szCs w:val="32"/>
        </w:rPr>
      </w:pPr>
      <w:r>
        <w:rPr>
          <w:rFonts w:ascii="仿宋" w:hAnsi="仿宋" w:eastAsia="仿宋"/>
          <w:color w:val="000000"/>
          <w:kern w:val="0"/>
          <w:sz w:val="32"/>
          <w:szCs w:val="32"/>
        </w:rPr>
        <w:t>3</w:t>
      </w:r>
      <w:r>
        <w:rPr>
          <w:rFonts w:hint="eastAsia" w:ascii="仿宋" w:hAnsi="仿宋" w:eastAsia="仿宋" w:cs="宋体"/>
          <w:color w:val="000000"/>
          <w:kern w:val="0"/>
          <w:sz w:val="32"/>
          <w:szCs w:val="32"/>
        </w:rPr>
        <w:t>、完成县委县政府交给的接待任务；</w:t>
      </w:r>
    </w:p>
    <w:p>
      <w:pPr>
        <w:pStyle w:val="12"/>
        <w:spacing w:line="560" w:lineRule="exact"/>
        <w:ind w:firstLine="640"/>
        <w:rPr>
          <w:rFonts w:ascii="仿宋" w:hAnsi="仿宋" w:eastAsia="仿宋"/>
          <w:color w:val="000000"/>
          <w:kern w:val="0"/>
          <w:sz w:val="32"/>
          <w:szCs w:val="32"/>
        </w:rPr>
      </w:pPr>
      <w:r>
        <w:rPr>
          <w:rFonts w:ascii="仿宋" w:hAnsi="仿宋" w:eastAsia="仿宋"/>
          <w:color w:val="000000"/>
          <w:kern w:val="0"/>
          <w:sz w:val="32"/>
          <w:szCs w:val="32"/>
        </w:rPr>
        <w:t>4</w:t>
      </w:r>
      <w:r>
        <w:rPr>
          <w:rFonts w:hint="eastAsia" w:ascii="仿宋" w:hAnsi="仿宋" w:eastAsia="仿宋" w:cs="宋体"/>
          <w:color w:val="000000"/>
          <w:kern w:val="0"/>
          <w:sz w:val="32"/>
          <w:szCs w:val="32"/>
        </w:rPr>
        <w:t>、协助办好县委县政府举办的各种招商引资活动。</w:t>
      </w:r>
    </w:p>
    <w:p>
      <w:pPr>
        <w:pStyle w:val="12"/>
        <w:spacing w:line="560" w:lineRule="exact"/>
        <w:ind w:firstLine="640"/>
        <w:rPr>
          <w:rFonts w:ascii="Times New Roman" w:hAnsi="Times New Roman" w:eastAsia="黑体"/>
          <w:sz w:val="32"/>
          <w:szCs w:val="32"/>
        </w:rPr>
      </w:pPr>
      <w:r>
        <w:rPr>
          <w:rFonts w:hint="eastAsia" w:ascii="Times New Roman" w:hAnsi="Times New Roman" w:eastAsia="黑体"/>
          <w:sz w:val="32"/>
          <w:szCs w:val="32"/>
        </w:rPr>
        <w:t>二、一般公共预算支出情况</w:t>
      </w:r>
    </w:p>
    <w:p>
      <w:pPr>
        <w:pStyle w:val="12"/>
        <w:spacing w:line="560" w:lineRule="exact"/>
        <w:ind w:firstLine="640"/>
        <w:rPr>
          <w:rFonts w:ascii="仿宋" w:hAnsi="仿宋" w:eastAsia="仿宋" w:cs="仿宋"/>
          <w:sz w:val="32"/>
          <w:szCs w:val="32"/>
        </w:rPr>
      </w:pPr>
      <w:r>
        <w:rPr>
          <w:rFonts w:hint="eastAsia" w:ascii="仿宋" w:hAnsi="仿宋" w:eastAsia="仿宋" w:cs="仿宋"/>
          <w:sz w:val="32"/>
          <w:szCs w:val="32"/>
        </w:rPr>
        <w:t>本单位</w:t>
      </w:r>
      <w:r>
        <w:rPr>
          <w:rFonts w:ascii="仿宋" w:hAnsi="仿宋" w:eastAsia="仿宋" w:cs="仿宋"/>
          <w:sz w:val="32"/>
          <w:szCs w:val="32"/>
        </w:rPr>
        <w:t>202</w:t>
      </w:r>
      <w:r>
        <w:rPr>
          <w:rFonts w:hint="eastAsia" w:ascii="仿宋" w:hAnsi="仿宋" w:eastAsia="仿宋" w:cs="仿宋"/>
          <w:sz w:val="32"/>
          <w:szCs w:val="32"/>
        </w:rPr>
        <w:t>3年支出决算数为393.63万元，详细情况如下：</w:t>
      </w:r>
    </w:p>
    <w:p>
      <w:pPr>
        <w:pStyle w:val="12"/>
        <w:spacing w:line="560" w:lineRule="exact"/>
        <w:ind w:firstLine="643"/>
        <w:rPr>
          <w:rFonts w:ascii="Times New Roman" w:hAnsi="Times New Roman" w:eastAsia="楷体_GB2312"/>
          <w:b/>
          <w:sz w:val="32"/>
          <w:szCs w:val="32"/>
        </w:rPr>
      </w:pPr>
      <w:r>
        <w:rPr>
          <w:rFonts w:hint="eastAsia" w:ascii="Times New Roman" w:hAnsi="Times New Roman" w:eastAsia="楷体_GB2312"/>
          <w:b/>
          <w:sz w:val="32"/>
          <w:szCs w:val="32"/>
        </w:rPr>
        <w:t>（一）基本支出情况</w:t>
      </w:r>
    </w:p>
    <w:p>
      <w:pPr>
        <w:pStyle w:val="12"/>
        <w:spacing w:line="560" w:lineRule="exact"/>
        <w:ind w:firstLine="640"/>
        <w:rPr>
          <w:rFonts w:ascii="仿宋" w:hAnsi="仿宋" w:eastAsia="仿宋" w:cs="仿宋"/>
          <w:bCs/>
          <w:sz w:val="32"/>
          <w:szCs w:val="32"/>
        </w:rPr>
      </w:pPr>
      <w:r>
        <w:rPr>
          <w:rFonts w:hint="eastAsia" w:ascii="仿宋" w:hAnsi="仿宋" w:eastAsia="仿宋" w:cs="仿宋"/>
          <w:bCs/>
          <w:sz w:val="32"/>
          <w:szCs w:val="32"/>
        </w:rPr>
        <w:t>本单位</w:t>
      </w:r>
      <w:r>
        <w:rPr>
          <w:rFonts w:ascii="仿宋" w:hAnsi="仿宋" w:eastAsia="仿宋" w:cs="仿宋"/>
          <w:bCs/>
          <w:sz w:val="32"/>
          <w:szCs w:val="32"/>
        </w:rPr>
        <w:t>202</w:t>
      </w:r>
      <w:r>
        <w:rPr>
          <w:rFonts w:hint="eastAsia" w:ascii="仿宋" w:hAnsi="仿宋" w:eastAsia="仿宋" w:cs="仿宋"/>
          <w:bCs/>
          <w:sz w:val="32"/>
          <w:szCs w:val="32"/>
        </w:rPr>
        <w:t>3年基本支出34.19万元，主要用于单位人员工资、社保费以及办公费、水电费、差旅等费用</w:t>
      </w:r>
      <w:r>
        <w:rPr>
          <w:rFonts w:hint="eastAsia" w:ascii="仿宋" w:hAnsi="仿宋" w:eastAsia="仿宋" w:cs="仿宋"/>
          <w:color w:val="000000"/>
          <w:sz w:val="32"/>
          <w:szCs w:val="32"/>
          <w:shd w:val="clear" w:color="auto" w:fill="FFFFFF"/>
        </w:rPr>
        <w:t>。</w:t>
      </w:r>
    </w:p>
    <w:p>
      <w:pPr>
        <w:pStyle w:val="12"/>
        <w:numPr>
          <w:ilvl w:val="0"/>
          <w:numId w:val="2"/>
        </w:numPr>
        <w:spacing w:line="560" w:lineRule="exact"/>
        <w:ind w:firstLine="643"/>
        <w:rPr>
          <w:rFonts w:ascii="Times New Roman" w:hAnsi="Times New Roman" w:eastAsia="楷体_GB2312"/>
          <w:b/>
          <w:sz w:val="32"/>
          <w:szCs w:val="32"/>
        </w:rPr>
      </w:pPr>
      <w:r>
        <w:rPr>
          <w:rFonts w:hint="eastAsia" w:ascii="Times New Roman" w:hAnsi="Times New Roman" w:eastAsia="楷体_GB2312"/>
          <w:b/>
          <w:sz w:val="32"/>
          <w:szCs w:val="32"/>
        </w:rPr>
        <w:t>项目支出情况</w:t>
      </w:r>
      <w:r>
        <w:rPr>
          <w:rFonts w:hint="eastAsia" w:ascii="Times New Roman" w:hAnsi="Times New Roman" w:eastAsia="楷体_GB2312"/>
          <w:b/>
          <w:sz w:val="32"/>
          <w:szCs w:val="32"/>
        </w:rPr>
        <w:br w:type="textWrapping"/>
      </w:r>
      <w:r>
        <w:rPr>
          <w:rFonts w:hint="eastAsia" w:ascii="Times New Roman" w:hAnsi="Times New Roman" w:eastAsia="楷体_GB2312"/>
          <w:b/>
          <w:sz w:val="32"/>
          <w:szCs w:val="32"/>
        </w:rPr>
        <w:t xml:space="preserve">    </w:t>
      </w:r>
      <w:r>
        <w:rPr>
          <w:rFonts w:hint="eastAsia" w:ascii="仿宋" w:hAnsi="仿宋" w:eastAsia="仿宋" w:cs="仿宋"/>
          <w:bCs/>
          <w:sz w:val="32"/>
          <w:szCs w:val="32"/>
        </w:rPr>
        <w:t>本单位</w:t>
      </w:r>
      <w:r>
        <w:rPr>
          <w:rFonts w:ascii="仿宋" w:hAnsi="仿宋" w:eastAsia="仿宋" w:cs="仿宋"/>
          <w:bCs/>
          <w:sz w:val="32"/>
          <w:szCs w:val="32"/>
        </w:rPr>
        <w:t>202</w:t>
      </w:r>
      <w:r>
        <w:rPr>
          <w:rFonts w:hint="eastAsia" w:ascii="仿宋" w:hAnsi="仿宋" w:eastAsia="仿宋" w:cs="仿宋"/>
          <w:bCs/>
          <w:sz w:val="32"/>
          <w:szCs w:val="32"/>
        </w:rPr>
        <w:t>3年项目支出359.44万元</w:t>
      </w:r>
      <w:r>
        <w:rPr>
          <w:rFonts w:hint="eastAsia" w:ascii="仿宋" w:hAnsi="仿宋" w:eastAsia="仿宋" w:cs="仿宋"/>
          <w:color w:val="000000"/>
          <w:sz w:val="32"/>
          <w:szCs w:val="32"/>
          <w:shd w:val="clear" w:color="auto" w:fill="FFFFFF"/>
        </w:rPr>
        <w:t>，主要用于举办大型招商活动的接待支出及日常公务、商务接待支出。</w:t>
      </w:r>
    </w:p>
    <w:p>
      <w:pPr>
        <w:pStyle w:val="12"/>
        <w:spacing w:line="560" w:lineRule="exact"/>
        <w:ind w:left="630" w:firstLine="0" w:firstLineChars="0"/>
        <w:rPr>
          <w:rFonts w:ascii="Times New Roman" w:hAnsi="Times New Roman" w:eastAsia="黑体"/>
          <w:sz w:val="32"/>
          <w:szCs w:val="32"/>
        </w:rPr>
      </w:pPr>
      <w:r>
        <w:rPr>
          <w:rFonts w:hint="eastAsia" w:ascii="Times New Roman" w:hAnsi="Times New Roman" w:eastAsia="黑体"/>
          <w:sz w:val="32"/>
          <w:szCs w:val="32"/>
        </w:rPr>
        <w:t>三、政府性基金预算支出情况</w:t>
      </w:r>
    </w:p>
    <w:p>
      <w:pPr>
        <w:pStyle w:val="12"/>
        <w:spacing w:line="560" w:lineRule="exact"/>
        <w:ind w:firstLine="640"/>
        <w:rPr>
          <w:rFonts w:ascii="仿宋" w:hAnsi="仿宋" w:eastAsia="仿宋" w:cs="仿宋"/>
          <w:sz w:val="32"/>
          <w:szCs w:val="32"/>
        </w:rPr>
      </w:pPr>
      <w:r>
        <w:rPr>
          <w:rFonts w:ascii="仿宋" w:hAnsi="仿宋" w:eastAsia="仿宋" w:cs="仿宋"/>
          <w:sz w:val="32"/>
          <w:szCs w:val="32"/>
        </w:rPr>
        <w:t>202</w:t>
      </w:r>
      <w:r>
        <w:rPr>
          <w:rFonts w:hint="eastAsia" w:ascii="仿宋" w:hAnsi="仿宋" w:eastAsia="仿宋" w:cs="仿宋"/>
          <w:sz w:val="32"/>
          <w:szCs w:val="32"/>
        </w:rPr>
        <w:t>3年度无政府性基金预算支出。</w:t>
      </w:r>
    </w:p>
    <w:p>
      <w:pPr>
        <w:pStyle w:val="12"/>
        <w:spacing w:line="560" w:lineRule="exact"/>
        <w:ind w:left="630" w:firstLine="0" w:firstLineChars="0"/>
        <w:rPr>
          <w:rFonts w:ascii="Times New Roman" w:hAnsi="Times New Roman" w:eastAsia="黑体"/>
          <w:sz w:val="32"/>
          <w:szCs w:val="32"/>
        </w:rPr>
      </w:pPr>
      <w:r>
        <w:rPr>
          <w:rFonts w:hint="eastAsia" w:ascii="Times New Roman" w:hAnsi="Times New Roman" w:eastAsia="黑体"/>
          <w:sz w:val="32"/>
          <w:szCs w:val="32"/>
        </w:rPr>
        <w:t>四、国有资本经营预算支出情况</w:t>
      </w:r>
    </w:p>
    <w:p>
      <w:pPr>
        <w:pStyle w:val="12"/>
        <w:spacing w:line="560" w:lineRule="exact"/>
        <w:ind w:left="630" w:firstLine="0" w:firstLineChars="0"/>
        <w:rPr>
          <w:rFonts w:ascii="仿宋" w:hAnsi="仿宋" w:eastAsia="仿宋" w:cs="仿宋"/>
          <w:sz w:val="32"/>
          <w:szCs w:val="32"/>
        </w:rPr>
      </w:pPr>
      <w:r>
        <w:rPr>
          <w:rFonts w:ascii="仿宋" w:hAnsi="仿宋" w:eastAsia="仿宋" w:cs="仿宋"/>
          <w:sz w:val="32"/>
          <w:szCs w:val="32"/>
        </w:rPr>
        <w:t>202</w:t>
      </w:r>
      <w:r>
        <w:rPr>
          <w:rFonts w:hint="eastAsia" w:ascii="仿宋" w:hAnsi="仿宋" w:eastAsia="仿宋" w:cs="仿宋"/>
          <w:sz w:val="32"/>
          <w:szCs w:val="32"/>
        </w:rPr>
        <w:t>3年度无国有资本经营预算支出。</w:t>
      </w:r>
    </w:p>
    <w:p>
      <w:pPr>
        <w:pStyle w:val="12"/>
        <w:spacing w:line="560" w:lineRule="exact"/>
        <w:ind w:left="630" w:firstLine="0" w:firstLineChars="0"/>
        <w:rPr>
          <w:rFonts w:ascii="Times New Roman" w:hAnsi="Times New Roman" w:eastAsia="黑体"/>
          <w:sz w:val="32"/>
          <w:szCs w:val="32"/>
        </w:rPr>
      </w:pPr>
      <w:r>
        <w:rPr>
          <w:rFonts w:hint="eastAsia" w:ascii="Times New Roman" w:hAnsi="Times New Roman" w:eastAsia="黑体"/>
          <w:sz w:val="32"/>
          <w:szCs w:val="32"/>
        </w:rPr>
        <w:t>五、社会保险基金预算支出情况</w:t>
      </w:r>
    </w:p>
    <w:p>
      <w:pPr>
        <w:pStyle w:val="12"/>
        <w:spacing w:line="560" w:lineRule="exact"/>
        <w:ind w:left="630" w:firstLine="0" w:firstLineChars="0"/>
        <w:rPr>
          <w:rFonts w:ascii="仿宋" w:hAnsi="仿宋" w:eastAsia="仿宋" w:cs="仿宋"/>
          <w:sz w:val="32"/>
          <w:szCs w:val="32"/>
        </w:rPr>
      </w:pPr>
      <w:r>
        <w:rPr>
          <w:rFonts w:ascii="仿宋" w:hAnsi="仿宋" w:eastAsia="仿宋" w:cs="仿宋"/>
          <w:sz w:val="32"/>
          <w:szCs w:val="32"/>
        </w:rPr>
        <w:t>202</w:t>
      </w:r>
      <w:r>
        <w:rPr>
          <w:rFonts w:hint="eastAsia" w:ascii="仿宋" w:hAnsi="仿宋" w:eastAsia="仿宋" w:cs="仿宋"/>
          <w:sz w:val="32"/>
          <w:szCs w:val="32"/>
        </w:rPr>
        <w:t>3年度无社会保险基金预算支出。</w:t>
      </w:r>
    </w:p>
    <w:p>
      <w:pPr>
        <w:spacing w:line="560" w:lineRule="exact"/>
        <w:ind w:firstLine="640" w:firstLineChars="200"/>
        <w:rPr>
          <w:rFonts w:eastAsia="黑体"/>
          <w:sz w:val="32"/>
          <w:szCs w:val="32"/>
        </w:rPr>
      </w:pPr>
      <w:r>
        <w:rPr>
          <w:rFonts w:hint="eastAsia" w:eastAsia="黑体"/>
          <w:sz w:val="32"/>
          <w:szCs w:val="32"/>
        </w:rPr>
        <w:t>六、部门整体支出绩效情况</w:t>
      </w:r>
    </w:p>
    <w:p>
      <w:pPr>
        <w:spacing w:line="56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（一）运行成本方面</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我单位严格按照财政批复的预算支出，无超预算项目支出。</w:t>
      </w:r>
    </w:p>
    <w:p>
      <w:pPr>
        <w:spacing w:line="560" w:lineRule="exact"/>
        <w:ind w:left="638" w:leftChars="304"/>
        <w:rPr>
          <w:rFonts w:ascii="楷体" w:hAnsi="楷体" w:eastAsia="楷体" w:cs="楷体"/>
          <w:b/>
          <w:bCs/>
          <w:sz w:val="32"/>
          <w:szCs w:val="32"/>
        </w:rPr>
      </w:pPr>
      <w:r>
        <w:rPr>
          <w:rFonts w:hint="eastAsia" w:ascii="楷体" w:hAnsi="楷体" w:eastAsia="楷体" w:cs="楷体"/>
          <w:b/>
          <w:bCs/>
          <w:sz w:val="32"/>
          <w:szCs w:val="32"/>
        </w:rPr>
        <w:t>（二）管理效率方面</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我单位按照县财政批复的用款计划支付报账资金，积极与县财政国库协调资金支付业务，极力优先保障单位重点资金支付。</w:t>
      </w:r>
    </w:p>
    <w:p>
      <w:pPr>
        <w:spacing w:line="56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（三）履职效能方面</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1.加强制度建设，公务接待进一步规范化、制度化</w:t>
      </w:r>
    </w:p>
    <w:p>
      <w:pPr>
        <w:ind w:firstLine="640" w:firstLineChars="200"/>
        <w:rPr>
          <w:rFonts w:ascii="仿宋" w:hAnsi="仿宋" w:eastAsia="仿宋" w:cs="仿宋"/>
          <w:sz w:val="32"/>
          <w:szCs w:val="32"/>
        </w:rPr>
      </w:pPr>
      <w:r>
        <w:rPr>
          <w:rFonts w:hint="eastAsia" w:ascii="仿宋" w:hAnsi="仿宋" w:eastAsia="仿宋" w:cs="仿宋"/>
          <w:sz w:val="32"/>
          <w:szCs w:val="32"/>
        </w:rPr>
        <w:t>在县委、县政府的正确领导下，我们进一步完善了考勤管理制度、财务管理制度，完善了分类接待标准及相应接待操作指南，《一般公务接待工作流程》和《重宾接待工作流程》，对各类接待进一步实行流程化管理，强调工作的制度化、流程化、规范化，减少因人为因素导致接待出现失误的可能性。同时明确职能、增强工作人员责任意识、制度意识，江永县接待服务事业迈上了新的平台。</w:t>
      </w:r>
    </w:p>
    <w:p>
      <w:pPr>
        <w:pStyle w:val="2"/>
        <w:ind w:firstLine="0" w:firstLineChars="0"/>
        <w:rPr>
          <w:rFonts w:ascii="仿宋" w:hAnsi="仿宋" w:eastAsia="仿宋" w:cs="仿宋"/>
          <w:b/>
          <w:bCs/>
          <w:szCs w:val="32"/>
        </w:rPr>
      </w:pPr>
      <w:r>
        <w:rPr>
          <w:rFonts w:hint="eastAsia" w:ascii="仿宋" w:hAnsi="仿宋" w:eastAsia="仿宋" w:cs="仿宋"/>
          <w:b/>
          <w:bCs/>
          <w:szCs w:val="32"/>
        </w:rPr>
        <w:t xml:space="preserve"> 2.强化学习，不断提升全体干部职工综合素质</w:t>
      </w:r>
    </w:p>
    <w:p>
      <w:pPr>
        <w:pStyle w:val="2"/>
        <w:ind w:firstLine="640"/>
        <w:rPr>
          <w:rFonts w:ascii="仿宋" w:hAnsi="仿宋" w:eastAsia="仿宋" w:cs="仿宋"/>
          <w:szCs w:val="32"/>
        </w:rPr>
      </w:pPr>
      <w:r>
        <w:rPr>
          <w:rFonts w:hint="eastAsia" w:ascii="仿宋" w:hAnsi="仿宋" w:eastAsia="仿宋" w:cs="仿宋"/>
          <w:szCs w:val="32"/>
        </w:rPr>
        <w:t>本着立足高起点，明确高目标，提升接待服务的理念，有针对性的学习党的方针政策、规章制度，学习中央、省、市县等有关接待工作会议精神。一是学习范围多层次、广覆盖。我中心坚持开展政治学习、业务学习和其他知识的学习相结合，既学习理论和业务知识，也注重学习其他各方面的知识。二是学习方式多样化。通过在办公室上墙宣传、在工作群分享、组织开会、主题党日活动、线上多媒体平台等多种形式，多点开花，让大家能更充分地利用‘碎片时间’，好好‘充电蓄能’。三是注重总结。在日常接待工作中，要求接待人员在接待任务结束后及时进行总结，扬长避短，并做好总结材料的归档，供今后学习参考，不断总结反思。</w:t>
      </w:r>
    </w:p>
    <w:p>
      <w:pPr>
        <w:pStyle w:val="2"/>
        <w:ind w:firstLine="643"/>
        <w:rPr>
          <w:rFonts w:ascii="仿宋" w:hAnsi="仿宋" w:eastAsia="仿宋" w:cs="仿宋"/>
          <w:b/>
          <w:bCs/>
          <w:szCs w:val="32"/>
        </w:rPr>
      </w:pPr>
      <w:r>
        <w:rPr>
          <w:rFonts w:hint="eastAsia" w:ascii="仿宋" w:hAnsi="仿宋" w:eastAsia="仿宋" w:cs="仿宋"/>
          <w:b/>
          <w:bCs/>
          <w:szCs w:val="32"/>
        </w:rPr>
        <w:t>3.超前谋划，有序推进接待服务工作</w:t>
      </w:r>
    </w:p>
    <w:p>
      <w:pPr>
        <w:pStyle w:val="2"/>
        <w:ind w:firstLine="640"/>
        <w:rPr>
          <w:rFonts w:ascii="仿宋" w:hAnsi="仿宋" w:eastAsia="仿宋" w:cs="仿宋"/>
          <w:szCs w:val="32"/>
        </w:rPr>
      </w:pPr>
      <w:r>
        <w:rPr>
          <w:rFonts w:hint="eastAsia" w:ascii="仿宋" w:hAnsi="仿宋" w:eastAsia="仿宋" w:cs="仿宋"/>
          <w:szCs w:val="32"/>
        </w:rPr>
        <w:t>始终坚持接待工作为县域经济建设和发展服务的原则，早计划、早准备，有序开展接待服务工作。一是提前对接，理清接待需求。根据接待方案，积极与相关职能部门衔接，明确相关的接待要求、标准、来宾数量等，及时跟进来宾信息情况，提前谋划，认真编制接待手册，做到任务明确、心中有数。二是规范接待，运用接待工作纵向负责闭环制。按照公务接待管理规定，严格标准抓质量，在保证实现客人满意的前提下，坚持一切从实际出发，不摆阔气，不讲排场，规范接待餐标，既兼顾客人的饮食习惯，又突出地方特色菜品。制定江永县接待工作管理办法和流程，自觉将公务接待、商务接待工作步入规定、条例的轨道中，使接待工作经得起检验。更新规范了接待审批流程、公务接待流程，对接待清单、手册制作、物品出入、接待档案都进行了系统规范的管理。明确一批接待一名主要负责人，实时开展有效对接，把控接待服务全部流程，及时收集整理接待手册、接待须知等资料，将接待通知单、接待方案、接待审批单、接待物资图片及台账归类存档成册，一接待一总结，形成接待工作闭环流程。三是注重细节，提供优质服务。关注接待服务细节是我们接待工作中的核心，在接待工作中，我们不仅做到高标准、严要求，慎思慎行、细致周到，而且充分挖掘女书文化、瑶族文化、知青文化等地方特色，利用我县丰富文旅资源，做优接待服务，将江永特色贯穿于接待全过程。在接待工作中适时推广宣传我县特色农副产品，通过土饭精做、粗菜细制，把“江永味道”为主的一批特色餐饮打造成为江永接待的主打品牌，让来宾吃出地方特色，吃出健康文明。2023年，接待服务工作实现“零事故”。四是主动作为，开创接待工作新局面。要转变观念，适应新形势，主动作为，勇于担当，依法依规、用心用情做好接待工作。2023年，共计接待178批次，其中重宾接待6批次，公务接待86批次，商务接待92批次,主要接待了省政府主要领导调研组一行；省政协主要领导同志调研组一行；省委常委、政法委书记调研组一行；省政协党组成员、副主席肖百灵同志调研组一行；政协副主席何寄华同志调研组一行；政协原副主席张大方同志调研组一行；省科技厅厅长李志坚同志调研组一行；省交通厅厅长马捷同志调研组一行；市委书记朱洪武同志调研组一行；市委副书记、市长陈爱林同志调研组一行；市委副书记、统战部长侯文同志调研组一行；市委常委、宣传部长刘厚同志调研组一行；市人民政府副市长肖扬同志调研组一行，市人民政府副市长吴恢才同志调研组一行；顺利完成了全市医保现场会、女书国际音乐周、中国农民丰收节永州主题活动暨江永香芋推广活动、江永香柚文化节、“寻根千家峒，铸牢共同体”2023年瑶源文化交流暨盘王节活动等十几个大型活动的后勤保障工作；接待了省内外各地客商等，受到各级领导、来宾的高度赞扬和充分肯定。五是心存纪律，严守廉洁纪律。组织全体干部职工深入学习习近平总书记一系列重要讲话精神，认真贯彻执行《党政机关国内公务接待管理规定》、《党政机关厉行节约反对浪费条例》等规定；贯彻执行中央、省、市、县公务接待的相关规定、严格审批程序、严格接待标准，不铺张、不浪费，遵守廉洁纪律。</w:t>
      </w:r>
    </w:p>
    <w:p>
      <w:pPr>
        <w:pStyle w:val="2"/>
        <w:ind w:firstLine="0" w:firstLineChars="0"/>
        <w:rPr>
          <w:rFonts w:ascii="仿宋" w:hAnsi="仿宋" w:eastAsia="仿宋" w:cs="仿宋"/>
          <w:b/>
          <w:bCs/>
          <w:szCs w:val="32"/>
        </w:rPr>
      </w:pPr>
      <w:r>
        <w:rPr>
          <w:rFonts w:hint="eastAsia" w:ascii="仿宋" w:hAnsi="仿宋" w:eastAsia="仿宋" w:cs="仿宋"/>
          <w:b/>
          <w:bCs/>
          <w:szCs w:val="32"/>
        </w:rPr>
        <w:t xml:space="preserve"> 4.统筹安排，合理部署，扎实推进我中心各项工作</w:t>
      </w:r>
    </w:p>
    <w:p>
      <w:pPr>
        <w:pStyle w:val="2"/>
        <w:ind w:firstLine="0" w:firstLineChars="0"/>
        <w:rPr>
          <w:rFonts w:ascii="仿宋" w:hAnsi="仿宋" w:eastAsia="仿宋" w:cs="仿宋"/>
          <w:szCs w:val="32"/>
        </w:rPr>
      </w:pPr>
      <w:r>
        <w:rPr>
          <w:rFonts w:hint="eastAsia" w:ascii="仿宋" w:hAnsi="仿宋" w:eastAsia="仿宋" w:cs="仿宋"/>
          <w:szCs w:val="32"/>
        </w:rPr>
        <w:t xml:space="preserve">    2023年以来，我中心在圆满完成接待服务工作的基础</w:t>
      </w:r>
    </w:p>
    <w:p>
      <w:pPr>
        <w:pStyle w:val="2"/>
        <w:ind w:firstLine="0" w:firstLineChars="0"/>
        <w:rPr>
          <w:rFonts w:ascii="仿宋" w:hAnsi="仿宋" w:eastAsia="仿宋" w:cs="仿宋"/>
          <w:szCs w:val="32"/>
        </w:rPr>
      </w:pPr>
      <w:r>
        <w:rPr>
          <w:rFonts w:hint="eastAsia" w:ascii="仿宋" w:hAnsi="仿宋" w:eastAsia="仿宋" w:cs="仿宋"/>
          <w:szCs w:val="32"/>
        </w:rPr>
        <w:t>上，统筹安排，科学部署，意识形态工作、党建工作、文明创建工作等各项工作有序推进。</w:t>
      </w:r>
    </w:p>
    <w:p>
      <w:pPr>
        <w:pStyle w:val="2"/>
        <w:ind w:firstLine="640"/>
        <w:rPr>
          <w:rFonts w:ascii="仿宋" w:hAnsi="仿宋" w:eastAsia="仿宋" w:cs="仿宋"/>
          <w:szCs w:val="32"/>
        </w:rPr>
      </w:pPr>
      <w:r>
        <w:rPr>
          <w:rFonts w:hint="eastAsia" w:ascii="仿宋" w:hAnsi="仿宋" w:eastAsia="仿宋" w:cs="仿宋"/>
          <w:szCs w:val="32"/>
        </w:rPr>
        <w:t>（1）意识形态工作。将意识形态工作纳入党建工作目标责任制，强化了意识形态工作责任。一是紧抓理论学习。坚持集体学习和个人自学相结合，全面系统学习习近平新时代中国特色社会主义思想以及习近平总书记系列重要讲话精神，进一步树牢“四个意识”、坚定“四个自信”、做到“两个维护”。二是紧抓责任落实。严格执行意识形态工作责任制，坚决履行“一岗双责”，明确了由单位一把手总管意识形态工作，办公室牵头全面落实意识形态各项任务，将意识形态工作与业务工作同部署、同落实、同检查，形成了齐抓共管的意识形态工作格局。</w:t>
      </w:r>
    </w:p>
    <w:p>
      <w:pPr>
        <w:pStyle w:val="2"/>
        <w:ind w:firstLine="640"/>
        <w:rPr>
          <w:rFonts w:ascii="仿宋" w:hAnsi="仿宋" w:eastAsia="仿宋" w:cs="仿宋"/>
          <w:szCs w:val="32"/>
        </w:rPr>
      </w:pPr>
      <w:r>
        <w:rPr>
          <w:rFonts w:hint="eastAsia" w:ascii="仿宋" w:hAnsi="仿宋" w:eastAsia="仿宋" w:cs="仿宋"/>
          <w:szCs w:val="32"/>
        </w:rPr>
        <w:t>（2）党建工作。 我中心严格按照基层党建工作任务清单积极开展党建工作，紧紧围绕学习</w:t>
      </w:r>
      <w:r>
        <w:rPr>
          <w:rFonts w:hint="eastAsia" w:ascii="仿宋" w:hAnsi="仿宋" w:eastAsia="仿宋" w:cs="仿宋"/>
          <w:szCs w:val="32"/>
          <w:lang w:eastAsia="zh-CN"/>
        </w:rPr>
        <w:t>贯彻</w:t>
      </w:r>
      <w:r>
        <w:rPr>
          <w:rFonts w:hint="eastAsia" w:ascii="仿宋" w:hAnsi="仿宋" w:eastAsia="仿宋" w:cs="仿宋"/>
          <w:szCs w:val="32"/>
        </w:rPr>
        <w:t>习近平新时代中国特色社会主义思想主题教育，一是狠抓政治理论学习，深学笃用新思想走深走实。强化政治理论学习。抓实</w:t>
      </w:r>
      <w:r>
        <w:rPr>
          <w:rFonts w:hint="eastAsia" w:ascii="仿宋" w:hAnsi="仿宋" w:eastAsia="仿宋" w:cs="仿宋"/>
          <w:szCs w:val="32"/>
          <w:lang w:eastAsia="zh-CN"/>
        </w:rPr>
        <w:t>“三会一课”</w:t>
      </w:r>
      <w:r>
        <w:rPr>
          <w:rFonts w:hint="eastAsia" w:ascii="仿宋" w:hAnsi="仿宋" w:eastAsia="仿宋" w:cs="仿宋"/>
          <w:szCs w:val="32"/>
        </w:rPr>
        <w:t>，把学习贯彻习近平新时代中国特色社会主义思想、习近平总书记视察湖南重要讲话精神和党的二十大精神作为支部首要政治任务，坚决贯彻落实上级党组织的决策部署。二是深入开展“一课一片一实践”活动，组织全体党员上台讲微党课、组织党员观看党员教育片、开展乡村振兴社会实践活动，有效地提高了组织生活质量。三是在全单位开展大兴调查研究之风，解决了一批困扰江永县接待服务工作高质量发展长期存在未解决的问题。四是在全单位开展干部队伍建设“破满提能促争先、破卷提效促实干、破躺提神促奋进”(简称“三破三提三促”)专项行动，通过大抓学习、大抓思想、大抓攻坚、大抓典型等“四抓行动”，推动干部振奋精神、改进作风、拼搏实干，打造忠诚干净担当干部队伍。五是是深化规范标准建设、实现“强”起来、“廉”起来、“学”起来和“靓”起来的目标。采取集中学习和专题党课等形式，学党章党规、学习习近平新时代中国特色社会主义思想，以及党的理论和路线方针政策，党史国史，党的优良传统和作风教育。四是推动党建与业务整合，助力接待服务工作新发展。今年以来，党支部将党的建设与接待业务工作一起谋划、一起部署、一起落实、一起检查，带领并督促党员支部进一步加强政治理论学习，不断提高政治理论素养，提高政治站位。一方面，党支部坚持融入中心抓党建、抓好党建促发展。号召党员干部示范引领，围绕业务技能人才提升导向，推动实施“标兵带新兵、能手带新手”的方式提高接待业务能力。党支部切实加强政治理论学习，教育引导党员干部职工把业务工作放在“围绕中心、服务大局”这个目标中去谋化、去思考、去落实，推动机关党建与接待业务工作深度融合。</w:t>
      </w:r>
    </w:p>
    <w:p>
      <w:pPr>
        <w:pStyle w:val="2"/>
        <w:ind w:firstLine="640"/>
        <w:rPr>
          <w:rFonts w:ascii="仿宋" w:hAnsi="仿宋" w:eastAsia="仿宋" w:cs="仿宋"/>
          <w:szCs w:val="32"/>
        </w:rPr>
      </w:pPr>
      <w:r>
        <w:rPr>
          <w:rFonts w:hint="eastAsia" w:ascii="仿宋" w:hAnsi="仿宋" w:eastAsia="仿宋" w:cs="仿宋"/>
          <w:szCs w:val="32"/>
        </w:rPr>
        <w:t>（3）文明创建工作。我中心领导班子高度重视，亲自安排部署，以创建精神文明单位为载体，全面推动文明创建工作。一是抓强组织领导。按照文明创建工作要求，及时开会研究部署，明确主要领导和具体责任人员，形成一把手全面抓、责任人员具体做、全体人员共同参与的创建工作机制。认真梳理创建内容，按照创建目标进行任务分解，落实创建任务，夯实创建责任，做到职责分明，责任到人，年初有布置，年中有检查，年终有考评，保证文明创建工作健康有序开展。二是强化阵地建设。设立了新时代文明实践点，建设精神文明宣传栏、党员活动室，认真打造文明建设主阵地，夯实文明创建基础。健全活动阵地制度，做到文明标语上墙、上宣传栏，在办公场所张贴“禁烟”“节能”等标签，营造了浓郁清新的文明创建氛围。三是积极参与各项文明创建活动。利用个人微博、微信、QQ等在互联网上传播文明事迹，弘扬新风尚，传递正能量；积极参与扶贫帮困关爱活动，开展慈善一日捐活动，以实际行动发扬无私奉献、助人为乐的优良传统；按时按要求完成公共文化服务体系公众满意度测评，做好综治民调工作；按时参加创文执勤工作及每周五下午集中文明劝导活动等。</w:t>
      </w:r>
    </w:p>
    <w:p>
      <w:pPr>
        <w:spacing w:line="56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（四）社会效应方面</w:t>
      </w:r>
    </w:p>
    <w:p>
      <w:pPr>
        <w:pStyle w:val="6"/>
        <w:widowControl w:val="0"/>
        <w:spacing w:before="0" w:beforeAutospacing="0" w:after="0" w:afterAutospacing="0" w:line="560" w:lineRule="exact"/>
        <w:ind w:firstLine="640" w:firstLineChars="200"/>
        <w:jc w:val="both"/>
        <w:rPr>
          <w:rFonts w:ascii="仿宋" w:hAnsi="仿宋" w:eastAsia="仿宋" w:cs="仿宋"/>
          <w:color w:val="000000"/>
          <w:sz w:val="32"/>
          <w:szCs w:val="32"/>
        </w:rPr>
      </w:pPr>
      <w:r>
        <w:rPr>
          <w:rFonts w:ascii="仿宋" w:hAnsi="仿宋" w:eastAsia="仿宋" w:cs="仿宋"/>
          <w:sz w:val="32"/>
          <w:szCs w:val="32"/>
        </w:rPr>
        <w:t>202</w:t>
      </w:r>
      <w:r>
        <w:rPr>
          <w:rFonts w:hint="eastAsia" w:ascii="仿宋" w:hAnsi="仿宋" w:eastAsia="仿宋" w:cs="仿宋"/>
          <w:sz w:val="32"/>
          <w:szCs w:val="32"/>
        </w:rPr>
        <w:t>3年，在县委、县政府的正确领导下，县接待服务中心始终坚持服务大局，服务领导、服务中心的原则，以习近平新时代中国特色社会主义思想为指导，紧紧围绕贯彻落实党的十九大和十九届历次全会精神，中心干部职工各司其职、分工协作，顺利完成各项接待工作任务</w:t>
      </w:r>
      <w:r>
        <w:rPr>
          <w:rFonts w:hint="eastAsia" w:ascii="仿宋" w:hAnsi="仿宋" w:eastAsia="仿宋" w:cs="仿宋"/>
          <w:color w:val="000000"/>
          <w:sz w:val="32"/>
          <w:szCs w:val="32"/>
        </w:rPr>
        <w:t>，受到了县委县政府的充分肯定。积极协助办好文化旅游节等各项招商引资活动，扩大了江永的知名度，提升了江永的美誉度。</w:t>
      </w:r>
    </w:p>
    <w:p>
      <w:pPr>
        <w:spacing w:line="560" w:lineRule="exact"/>
        <w:ind w:left="420" w:leftChars="200" w:firstLine="321" w:firstLineChars="100"/>
        <w:rPr>
          <w:rFonts w:ascii="楷体" w:hAnsi="楷体" w:eastAsia="楷体" w:cs="楷体"/>
          <w:b/>
          <w:bCs/>
          <w:sz w:val="32"/>
          <w:szCs w:val="32"/>
        </w:rPr>
      </w:pPr>
      <w:r>
        <w:rPr>
          <w:rFonts w:hint="eastAsia" w:ascii="楷体" w:hAnsi="楷体" w:eastAsia="楷体" w:cs="楷体"/>
          <w:b/>
          <w:bCs/>
          <w:sz w:val="32"/>
          <w:szCs w:val="32"/>
        </w:rPr>
        <w:t>（五）可持续发展能力方面</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我单位通过开展招商引资活动，引进了一批重点项目，对推动我县经济高质量发展起到了积极作用。</w:t>
      </w:r>
    </w:p>
    <w:p>
      <w:pPr>
        <w:spacing w:line="56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（六）服务对象满意度方面</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我单位开展接待活动，以“热情周到，勤俭节约”为原则，接待对象满意度为</w:t>
      </w:r>
      <w:r>
        <w:rPr>
          <w:rFonts w:ascii="仿宋" w:hAnsi="仿宋" w:eastAsia="仿宋" w:cs="仿宋"/>
          <w:sz w:val="32"/>
          <w:szCs w:val="32"/>
        </w:rPr>
        <w:t>100%</w:t>
      </w:r>
      <w:r>
        <w:rPr>
          <w:rFonts w:hint="eastAsia" w:ascii="仿宋" w:hAnsi="仿宋" w:eastAsia="仿宋" w:cs="仿宋"/>
          <w:sz w:val="32"/>
          <w:szCs w:val="32"/>
        </w:rPr>
        <w:t>。</w:t>
      </w:r>
    </w:p>
    <w:p>
      <w:pPr>
        <w:pStyle w:val="12"/>
        <w:numPr>
          <w:ilvl w:val="0"/>
          <w:numId w:val="3"/>
        </w:numPr>
        <w:spacing w:line="560" w:lineRule="exact"/>
        <w:ind w:firstLine="640"/>
        <w:rPr>
          <w:rFonts w:ascii="Times New Roman" w:hAnsi="Times New Roman" w:eastAsia="黑体"/>
          <w:sz w:val="32"/>
          <w:szCs w:val="32"/>
        </w:rPr>
      </w:pPr>
      <w:r>
        <w:rPr>
          <w:rFonts w:hint="eastAsia" w:ascii="Times New Roman" w:hAnsi="Times New Roman" w:eastAsia="黑体"/>
          <w:sz w:val="32"/>
          <w:szCs w:val="32"/>
        </w:rPr>
        <w:t>存在的问题及原因分析</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江永财政困难，国库资金调度紧张，导致支出进度不均衡，对我单位开展工作产生了一定的影响。</w:t>
      </w:r>
    </w:p>
    <w:p>
      <w:pPr>
        <w:spacing w:line="560" w:lineRule="exact"/>
        <w:ind w:left="420" w:leftChars="200" w:firstLine="320" w:firstLineChars="100"/>
        <w:rPr>
          <w:rFonts w:ascii="仿宋" w:hAnsi="仿宋" w:eastAsia="仿宋" w:cs="仿宋"/>
          <w:sz w:val="32"/>
          <w:szCs w:val="32"/>
        </w:rPr>
      </w:pPr>
      <w:r>
        <w:rPr>
          <w:rFonts w:hint="eastAsia" w:eastAsia="黑体"/>
          <w:sz w:val="32"/>
          <w:szCs w:val="32"/>
        </w:rPr>
        <w:t>八、下一步改进措施</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建议县财政加强收入征管，壮大财政实力，科学调度好国库资金，提高财政支出的均衡性。</w:t>
      </w:r>
    </w:p>
    <w:p>
      <w:pPr>
        <w:spacing w:line="560" w:lineRule="exact"/>
        <w:ind w:left="420" w:leftChars="200" w:firstLine="320" w:firstLineChars="100"/>
        <w:rPr>
          <w:rFonts w:eastAsia="黑体"/>
          <w:sz w:val="32"/>
          <w:szCs w:val="32"/>
        </w:rPr>
      </w:pPr>
      <w:r>
        <w:rPr>
          <w:rFonts w:hint="eastAsia" w:eastAsia="黑体"/>
          <w:sz w:val="32"/>
          <w:szCs w:val="32"/>
        </w:rPr>
        <w:t>九、绩效自评结果拟应用和公开情况</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根据财政部门规定，我单位将在江永县人民政府网公布</w:t>
      </w:r>
      <w:r>
        <w:rPr>
          <w:rFonts w:ascii="仿宋" w:hAnsi="仿宋" w:eastAsia="仿宋" w:cs="仿宋"/>
          <w:sz w:val="32"/>
          <w:szCs w:val="32"/>
        </w:rPr>
        <w:t>202</w:t>
      </w:r>
      <w:r>
        <w:rPr>
          <w:rFonts w:hint="eastAsia" w:ascii="仿宋" w:hAnsi="仿宋" w:eastAsia="仿宋" w:cs="仿宋"/>
          <w:sz w:val="32"/>
          <w:szCs w:val="32"/>
        </w:rPr>
        <w:t>3年度绩效自评结果。</w:t>
      </w:r>
    </w:p>
    <w:p>
      <w:pPr>
        <w:spacing w:line="560" w:lineRule="exact"/>
        <w:ind w:left="420" w:leftChars="200" w:firstLine="320" w:firstLineChars="100"/>
        <w:rPr>
          <w:rFonts w:eastAsia="黑体"/>
          <w:sz w:val="32"/>
          <w:szCs w:val="32"/>
        </w:rPr>
      </w:pPr>
      <w:r>
        <w:rPr>
          <w:rFonts w:hint="eastAsia" w:eastAsia="黑体"/>
          <w:sz w:val="32"/>
          <w:szCs w:val="32"/>
        </w:rPr>
        <w:t>十、其他需要说明的情况</w:t>
      </w:r>
    </w:p>
    <w:p>
      <w:pPr>
        <w:spacing w:line="560" w:lineRule="exact"/>
        <w:ind w:left="420" w:leftChars="200"/>
        <w:rPr>
          <w:rFonts w:ascii="仿宋" w:hAnsi="仿宋" w:eastAsia="仿宋" w:cs="仿宋"/>
          <w:sz w:val="32"/>
          <w:szCs w:val="32"/>
        </w:rPr>
      </w:pPr>
      <w:r>
        <w:rPr>
          <w:rFonts w:hint="eastAsia" w:ascii="仿宋" w:hAnsi="仿宋" w:eastAsia="仿宋" w:cs="仿宋"/>
          <w:sz w:val="32"/>
          <w:szCs w:val="32"/>
        </w:rPr>
        <w:t>无。</w:t>
      </w:r>
    </w:p>
    <w:p>
      <w:pPr>
        <w:spacing w:line="560" w:lineRule="exact"/>
      </w:pPr>
    </w:p>
    <w:p>
      <w:pPr>
        <w:widowControl/>
        <w:rPr>
          <w:rFonts w:ascii="黑体" w:hAnsi="黑体" w:eastAsia="黑体"/>
          <w:kern w:val="0"/>
          <w:sz w:val="32"/>
          <w:szCs w:val="32"/>
        </w:rPr>
      </w:pPr>
    </w:p>
    <w:p>
      <w:pPr>
        <w:widowControl/>
        <w:rPr>
          <w:rFonts w:ascii="黑体" w:hAnsi="黑体" w:eastAsia="黑体"/>
          <w:kern w:val="0"/>
          <w:sz w:val="32"/>
          <w:szCs w:val="32"/>
        </w:rPr>
      </w:pPr>
    </w:p>
    <w:p>
      <w:pPr>
        <w:widowControl/>
        <w:rPr>
          <w:rFonts w:ascii="黑体" w:hAnsi="黑体" w:eastAsia="黑体"/>
          <w:kern w:val="0"/>
          <w:sz w:val="32"/>
          <w:szCs w:val="32"/>
        </w:rPr>
      </w:pPr>
    </w:p>
    <w:p>
      <w:pPr>
        <w:widowControl/>
        <w:rPr>
          <w:rFonts w:ascii="黑体" w:hAnsi="黑体" w:eastAsia="黑体"/>
          <w:kern w:val="0"/>
          <w:sz w:val="32"/>
          <w:szCs w:val="32"/>
        </w:rPr>
      </w:pPr>
    </w:p>
    <w:p>
      <w:pPr>
        <w:widowControl/>
        <w:rPr>
          <w:rFonts w:ascii="黑体" w:hAnsi="黑体" w:eastAsia="黑体"/>
          <w:kern w:val="0"/>
          <w:sz w:val="32"/>
          <w:szCs w:val="32"/>
        </w:rPr>
      </w:pPr>
    </w:p>
    <w:p>
      <w:pPr>
        <w:widowControl/>
        <w:rPr>
          <w:rFonts w:ascii="黑体" w:hAnsi="黑体" w:eastAsia="黑体"/>
          <w:kern w:val="0"/>
          <w:sz w:val="32"/>
          <w:szCs w:val="32"/>
        </w:rPr>
      </w:pPr>
    </w:p>
    <w:p>
      <w:pPr>
        <w:widowControl/>
        <w:rPr>
          <w:rFonts w:ascii="黑体" w:hAnsi="黑体" w:eastAsia="黑体"/>
          <w:kern w:val="0"/>
          <w:sz w:val="32"/>
          <w:szCs w:val="32"/>
        </w:rPr>
      </w:pPr>
    </w:p>
    <w:p>
      <w:pPr>
        <w:widowControl/>
        <w:rPr>
          <w:rFonts w:ascii="黑体" w:hAnsi="黑体" w:eastAsia="黑体"/>
          <w:kern w:val="0"/>
          <w:sz w:val="32"/>
          <w:szCs w:val="32"/>
        </w:rPr>
      </w:pPr>
    </w:p>
    <w:p>
      <w:pPr>
        <w:widowControl/>
        <w:rPr>
          <w:rFonts w:ascii="黑体" w:hAnsi="黑体" w:eastAsia="黑体"/>
          <w:kern w:val="0"/>
          <w:sz w:val="32"/>
          <w:szCs w:val="32"/>
        </w:rPr>
      </w:pPr>
    </w:p>
    <w:p>
      <w:pPr>
        <w:widowControl/>
        <w:rPr>
          <w:rFonts w:ascii="黑体" w:hAnsi="黑体" w:eastAsia="黑体"/>
          <w:kern w:val="0"/>
          <w:sz w:val="32"/>
          <w:szCs w:val="32"/>
        </w:rPr>
      </w:pPr>
    </w:p>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FangSong_GB2312">
    <w:altName w:val="仿宋_GB2312"/>
    <w:panose1 w:val="02010609030101010101"/>
    <w:charset w:val="86"/>
    <w:family w:val="roma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914C53"/>
    <w:multiLevelType w:val="singleLevel"/>
    <w:tmpl w:val="82914C53"/>
    <w:lvl w:ilvl="0" w:tentative="0">
      <w:start w:val="2"/>
      <w:numFmt w:val="chineseCounting"/>
      <w:suff w:val="nothing"/>
      <w:lvlText w:val="（%1）"/>
      <w:lvlJc w:val="left"/>
      <w:rPr>
        <w:rFonts w:hint="eastAsia" w:cs="Times New Roman"/>
      </w:rPr>
    </w:lvl>
  </w:abstractNum>
  <w:abstractNum w:abstractNumId="1">
    <w:nsid w:val="9869A3D0"/>
    <w:multiLevelType w:val="singleLevel"/>
    <w:tmpl w:val="9869A3D0"/>
    <w:lvl w:ilvl="0" w:tentative="0">
      <w:start w:val="7"/>
      <w:numFmt w:val="chineseCounting"/>
      <w:suff w:val="nothing"/>
      <w:lvlText w:val="%1、"/>
      <w:lvlJc w:val="left"/>
      <w:rPr>
        <w:rFonts w:hint="eastAsia" w:cs="Times New Roman"/>
      </w:rPr>
    </w:lvl>
  </w:abstractNum>
  <w:abstractNum w:abstractNumId="2">
    <w:nsid w:val="0AFA0B51"/>
    <w:multiLevelType w:val="singleLevel"/>
    <w:tmpl w:val="0AFA0B51"/>
    <w:lvl w:ilvl="0" w:tentative="0">
      <w:start w:val="2"/>
      <w:numFmt w:val="chineseCounting"/>
      <w:suff w:val="nothing"/>
      <w:lvlText w:val="（%1）"/>
      <w:lvlJc w:val="left"/>
      <w:rPr>
        <w:rFonts w:hint="eastAsia"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2M0MTk5ZGMxN2RiM2MwOWM0NzJjYjQ5NzUwYjc2YWIifQ=="/>
  </w:docVars>
  <w:rsids>
    <w:rsidRoot w:val="1DE26AFC"/>
    <w:rsid w:val="000A72ED"/>
    <w:rsid w:val="000F55CF"/>
    <w:rsid w:val="00145F83"/>
    <w:rsid w:val="00181903"/>
    <w:rsid w:val="00207DDB"/>
    <w:rsid w:val="002200EB"/>
    <w:rsid w:val="00270DDB"/>
    <w:rsid w:val="002C5857"/>
    <w:rsid w:val="00335DB9"/>
    <w:rsid w:val="003C3E15"/>
    <w:rsid w:val="003F30EC"/>
    <w:rsid w:val="00435658"/>
    <w:rsid w:val="0044118F"/>
    <w:rsid w:val="00460171"/>
    <w:rsid w:val="00461E47"/>
    <w:rsid w:val="004645FA"/>
    <w:rsid w:val="00491C64"/>
    <w:rsid w:val="004B767F"/>
    <w:rsid w:val="00522942"/>
    <w:rsid w:val="005230AF"/>
    <w:rsid w:val="00532A0F"/>
    <w:rsid w:val="00557436"/>
    <w:rsid w:val="005F2C06"/>
    <w:rsid w:val="006068AC"/>
    <w:rsid w:val="00625011"/>
    <w:rsid w:val="00696584"/>
    <w:rsid w:val="006C0DB2"/>
    <w:rsid w:val="006E2180"/>
    <w:rsid w:val="006E63B7"/>
    <w:rsid w:val="006F1402"/>
    <w:rsid w:val="00775AD8"/>
    <w:rsid w:val="0079510F"/>
    <w:rsid w:val="0079575F"/>
    <w:rsid w:val="0080665E"/>
    <w:rsid w:val="00852723"/>
    <w:rsid w:val="008A7014"/>
    <w:rsid w:val="009317AD"/>
    <w:rsid w:val="009F238F"/>
    <w:rsid w:val="00A5380D"/>
    <w:rsid w:val="00AA216B"/>
    <w:rsid w:val="00AB3F46"/>
    <w:rsid w:val="00AC060D"/>
    <w:rsid w:val="00AF2175"/>
    <w:rsid w:val="00B5246D"/>
    <w:rsid w:val="00BA1155"/>
    <w:rsid w:val="00BB65EC"/>
    <w:rsid w:val="00C933AE"/>
    <w:rsid w:val="00CB37FD"/>
    <w:rsid w:val="00D1473B"/>
    <w:rsid w:val="00D21F88"/>
    <w:rsid w:val="00D30ED6"/>
    <w:rsid w:val="00D41971"/>
    <w:rsid w:val="00D52CB0"/>
    <w:rsid w:val="00D95016"/>
    <w:rsid w:val="00E17566"/>
    <w:rsid w:val="00E21EDF"/>
    <w:rsid w:val="00E27C77"/>
    <w:rsid w:val="00E57D19"/>
    <w:rsid w:val="00EB03C2"/>
    <w:rsid w:val="00F00CEB"/>
    <w:rsid w:val="00F54EB8"/>
    <w:rsid w:val="00F64BCF"/>
    <w:rsid w:val="16D32355"/>
    <w:rsid w:val="1DA25CC2"/>
    <w:rsid w:val="1DE26AFC"/>
    <w:rsid w:val="277450D6"/>
    <w:rsid w:val="2A673F48"/>
    <w:rsid w:val="2BA036CC"/>
    <w:rsid w:val="2D316830"/>
    <w:rsid w:val="31A57A34"/>
    <w:rsid w:val="42551063"/>
    <w:rsid w:val="4C7D30C4"/>
    <w:rsid w:val="51E04896"/>
    <w:rsid w:val="56486D1B"/>
    <w:rsid w:val="58240FC6"/>
    <w:rsid w:val="5BE85275"/>
    <w:rsid w:val="611E5D9A"/>
    <w:rsid w:val="66F64E15"/>
    <w:rsid w:val="6A5A7ED5"/>
    <w:rsid w:val="767F4589"/>
    <w:rsid w:val="76F701A0"/>
    <w:rsid w:val="78430058"/>
    <w:rsid w:val="7B9B01EE"/>
    <w:rsid w:val="7C281C55"/>
    <w:rsid w:val="7F58120E"/>
    <w:rsid w:val="BBE360DE"/>
  </w:rsids>
  <m:mathPr>
    <m:mathFont m:val="Cambria Math"/>
    <m:brkBin m:val="before"/>
    <m:brkBinSub m:val="--"/>
    <m:smallFrac m:val="1"/>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99" w:semiHidden="0" w:name="Normal Indent"/>
    <w:lsdException w:uiPriority="99" w:name="footnote text"/>
    <w:lsdException w:uiPriority="99" w:name="annotation text"/>
    <w:lsdException w:qFormat="1" w:uiPriority="99"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iPriority w:val="99"/>
    <w:pPr>
      <w:ind w:firstLine="420" w:firstLineChars="200"/>
    </w:pPr>
    <w:rPr>
      <w:rFonts w:ascii="Calibri" w:hAnsi="Calibri"/>
      <w:sz w:val="32"/>
    </w:rPr>
  </w:style>
  <w:style w:type="paragraph" w:styleId="3">
    <w:name w:val="footer"/>
    <w:basedOn w:val="1"/>
    <w:link w:val="10"/>
    <w:uiPriority w:val="99"/>
    <w:pPr>
      <w:tabs>
        <w:tab w:val="center" w:pos="4153"/>
        <w:tab w:val="right" w:pos="8306"/>
      </w:tabs>
      <w:snapToGrid w:val="0"/>
      <w:jc w:val="left"/>
    </w:pPr>
    <w:rPr>
      <w:sz w:val="18"/>
    </w:rPr>
  </w:style>
  <w:style w:type="paragraph" w:styleId="4">
    <w:name w:val="header"/>
    <w:basedOn w:val="1"/>
    <w:link w:val="1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link w:val="1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6">
    <w:name w:val="Normal (Web)"/>
    <w:basedOn w:val="1"/>
    <w:qFormat/>
    <w:uiPriority w:val="99"/>
    <w:pPr>
      <w:widowControl/>
      <w:spacing w:before="100" w:beforeAutospacing="1" w:after="100" w:afterAutospacing="1"/>
      <w:jc w:val="left"/>
    </w:pPr>
    <w:rPr>
      <w:rFonts w:ascii="宋体" w:hAnsi="宋体" w:cs="宋体"/>
      <w:kern w:val="0"/>
      <w:sz w:val="24"/>
    </w:rPr>
  </w:style>
  <w:style w:type="paragraph" w:customStyle="1" w:styleId="9">
    <w:name w:val="BodyText"/>
    <w:basedOn w:val="1"/>
    <w:qFormat/>
    <w:uiPriority w:val="99"/>
    <w:pPr>
      <w:spacing w:line="320" w:lineRule="exact"/>
      <w:jc w:val="center"/>
    </w:pPr>
  </w:style>
  <w:style w:type="character" w:customStyle="1" w:styleId="10">
    <w:name w:val="页脚 Char"/>
    <w:basedOn w:val="8"/>
    <w:link w:val="3"/>
    <w:semiHidden/>
    <w:qFormat/>
    <w:locked/>
    <w:uiPriority w:val="99"/>
    <w:rPr>
      <w:rFonts w:cs="Times New Roman"/>
      <w:sz w:val="18"/>
      <w:szCs w:val="18"/>
    </w:rPr>
  </w:style>
  <w:style w:type="character" w:customStyle="1" w:styleId="11">
    <w:name w:val="HTML 预设格式 Char"/>
    <w:basedOn w:val="8"/>
    <w:link w:val="5"/>
    <w:semiHidden/>
    <w:qFormat/>
    <w:locked/>
    <w:uiPriority w:val="99"/>
    <w:rPr>
      <w:rFonts w:ascii="Courier New" w:hAnsi="Courier New" w:cs="Courier New"/>
      <w:sz w:val="20"/>
      <w:szCs w:val="20"/>
    </w:rPr>
  </w:style>
  <w:style w:type="paragraph" w:styleId="12">
    <w:name w:val="List Paragraph"/>
    <w:basedOn w:val="1"/>
    <w:qFormat/>
    <w:uiPriority w:val="99"/>
    <w:pPr>
      <w:ind w:firstLine="420" w:firstLineChars="200"/>
    </w:pPr>
    <w:rPr>
      <w:rFonts w:ascii="Calibri" w:hAnsi="Calibri"/>
      <w:szCs w:val="22"/>
    </w:rPr>
  </w:style>
  <w:style w:type="paragraph" w:customStyle="1" w:styleId="13">
    <w:name w:val="Normal1"/>
    <w:qFormat/>
    <w:uiPriority w:val="99"/>
    <w:pPr>
      <w:jc w:val="both"/>
    </w:pPr>
    <w:rPr>
      <w:rFonts w:ascii="Times New Roman" w:hAnsi="Times New Roman" w:eastAsia="宋体" w:cs="Times New Roman"/>
      <w:kern w:val="2"/>
      <w:sz w:val="21"/>
      <w:szCs w:val="21"/>
      <w:lang w:val="en-US" w:eastAsia="zh-CN" w:bidi="ar-SA"/>
    </w:rPr>
  </w:style>
  <w:style w:type="character" w:customStyle="1" w:styleId="14">
    <w:name w:val="ca-2"/>
    <w:basedOn w:val="8"/>
    <w:qFormat/>
    <w:uiPriority w:val="99"/>
    <w:rPr>
      <w:rFonts w:cs="Times New Roman"/>
    </w:rPr>
  </w:style>
  <w:style w:type="paragraph" w:customStyle="1" w:styleId="15">
    <w:name w:val="p0"/>
    <w:basedOn w:val="1"/>
    <w:qFormat/>
    <w:uiPriority w:val="99"/>
    <w:pPr>
      <w:widowControl/>
    </w:pPr>
    <w:rPr>
      <w:kern w:val="0"/>
      <w:szCs w:val="21"/>
    </w:rPr>
  </w:style>
  <w:style w:type="character" w:customStyle="1" w:styleId="16">
    <w:name w:val="NormalCharacter"/>
    <w:qFormat/>
    <w:uiPriority w:val="99"/>
  </w:style>
  <w:style w:type="character" w:customStyle="1" w:styleId="17">
    <w:name w:val="页眉 Char"/>
    <w:basedOn w:val="8"/>
    <w:link w:val="4"/>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4744</Words>
  <Characters>4814</Characters>
  <Lines>130</Lines>
  <Paragraphs>36</Paragraphs>
  <TotalTime>56</TotalTime>
  <ScaleCrop>false</ScaleCrop>
  <LinksUpToDate>false</LinksUpToDate>
  <CharactersWithSpaces>4825</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2021-04-23T07:12:00Z</dcterms:created>
  <dc:creator>cx6</dc:creator>
  <cp:lastModifiedBy>小燕子</cp:lastModifiedBy>
  <dcterms:modified xsi:type="dcterms:W3CDTF">2026-08-27T05:47:31Z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400D1E9070AC46D58A084B33181D9130</vt:lpwstr>
  </property>
</Properties>
</file>