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</w:rPr>
      </w:pPr>
      <w:bookmarkStart w:id="0" w:name="_GoBack"/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bookmarkEnd w:id="0"/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专项巡察经费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中共江永县委巡察工作领导小组办公室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中共江永县委巡察工作领导小组办公室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63.26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63.26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84.35%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63.26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63.26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2022年度，按照十三届县委任期内巡察工作全覆盖的总体目标要求，2022年计划完成对18个县级党政机关、人民团体和重点二级机构常规巡察。同时，根据市委巡察工作领导小组工作部署和县委工作要求，安排部署市县交叉巡察。适时开展一轮巡察整改“回头看”工作。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2022年度，按照十三届县委任期内巡察工作全覆盖的总体目标要求，根据县委统一安排，2022年对8个县级党政机关、重点二级机构和8个乡镇党委及所辖93个村（社区）开展常规巡察。同时，根据市委巡察工作领导小组工作部署和县委工作要求，配合市委开展了一轮提级巡察。开展了一轮巡视巡察整改“回头看”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常规巡察、市县区交叉巡察轮数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　≥3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巡察督查、督办整改落实情况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≥9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常规巡察及市县区交叉巡察工作完成时间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eastAsia="zh-CN"/>
              </w:rPr>
              <w:t>2022年全年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根据市委和县委统一部署，完成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本年度巡察工作任务。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对社会产生积极正面的影响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有正面影响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对社会产生积极正面影响。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巡察反馈意见整改落实率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相关人员满意度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≥95%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95%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OWM0Mzk2ZjljNWZiMzQ3ZDBjMWIzMzRmNmVmMDEifQ=="/>
  </w:docVars>
  <w:rsids>
    <w:rsidRoot w:val="67A76C42"/>
    <w:rsid w:val="4AC57F2E"/>
    <w:rsid w:val="67A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732</Characters>
  <Lines>0</Lines>
  <Paragraphs>0</Paragraphs>
  <TotalTime>0</TotalTime>
  <ScaleCrop>false</ScaleCrop>
  <LinksUpToDate>false</LinksUpToDate>
  <CharactersWithSpaces>808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2023-03-17T06:45:00Z</dcterms:created>
  <dc:creator>Administrator</dc:creator>
  <cp:lastModifiedBy>Administrator</cp:lastModifiedBy>
  <dcterms:modified xsi:type="dcterms:W3CDTF">2023-03-17T06:48:47Z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0BF04D0BF23A42338F51D691D504E037</vt:lpwstr>
  </property>
</Properties>
</file>