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2021</w:t>
      </w:r>
      <w:r>
        <w:rPr>
          <w:rFonts w:hint="eastAsia" w:ascii="方正小标宋简体" w:hAnsi="方正小标宋简体" w:eastAsia="方正小标宋简体" w:cs="方正小标宋简体"/>
          <w:b w:val="0"/>
          <w:bCs w:val="0"/>
          <w:sz w:val="44"/>
          <w:szCs w:val="44"/>
        </w:rPr>
        <w:t>年度</w:t>
      </w:r>
      <w:r>
        <w:rPr>
          <w:rFonts w:hint="eastAsia" w:ascii="方正小标宋简体" w:hAnsi="方正小标宋简体" w:eastAsia="方正小标宋简体" w:cs="方正小标宋简体"/>
          <w:b w:val="0"/>
          <w:bCs w:val="0"/>
          <w:sz w:val="44"/>
          <w:szCs w:val="44"/>
          <w:lang w:val="en-US" w:eastAsia="zh-CN"/>
        </w:rPr>
        <w:t>县委巡察办</w:t>
      </w:r>
      <w:r>
        <w:rPr>
          <w:rFonts w:hint="eastAsia" w:ascii="方正小标宋简体" w:hAnsi="方正小标宋简体" w:eastAsia="方正小标宋简体" w:cs="方正小标宋简体"/>
          <w:b w:val="0"/>
          <w:bCs w:val="0"/>
          <w:sz w:val="44"/>
          <w:szCs w:val="44"/>
        </w:rPr>
        <w:t>部门（单位）整体支出绩效自评报告</w:t>
      </w:r>
    </w:p>
    <w:p>
      <w:pPr>
        <w:jc w:val="left"/>
        <w:rPr>
          <w:rFonts w:eastAsia="黑体"/>
          <w:sz w:val="32"/>
          <w:szCs w:val="32"/>
        </w:rPr>
      </w:pPr>
      <w:r>
        <w:rPr>
          <w:rFonts w:hint="eastAsia" w:eastAsia="黑体"/>
          <w:sz w:val="32"/>
          <w:szCs w:val="32"/>
          <w:lang w:val="en-US" w:eastAsia="zh-CN"/>
        </w:rPr>
        <w:t xml:space="preserve">    </w:t>
      </w:r>
      <w:r>
        <w:rPr>
          <w:rFonts w:eastAsia="黑体"/>
          <w:sz w:val="32"/>
          <w:szCs w:val="32"/>
        </w:rPr>
        <w:t>一、基本情况</w:t>
      </w:r>
    </w:p>
    <w:p>
      <w:pPr>
        <w:widowControl w:val="0"/>
        <w:numPr>
          <w:ilvl w:val="0"/>
          <w:numId w:val="1"/>
        </w:numPr>
        <w:wordWrap/>
        <w:adjustRightInd/>
        <w:spacing w:before="0" w:after="0" w:line="620" w:lineRule="exact"/>
        <w:ind w:left="0" w:leftChars="0" w:right="0" w:firstLine="643" w:firstLineChars="200"/>
        <w:jc w:val="both"/>
        <w:textAlignment w:val="auto"/>
        <w:outlineLvl w:val="9"/>
        <w:rPr>
          <w:rFonts w:eastAsia="楷体_GB2312"/>
          <w:b/>
          <w:sz w:val="32"/>
          <w:szCs w:val="32"/>
        </w:rPr>
      </w:pPr>
      <w:r>
        <w:rPr>
          <w:rFonts w:eastAsia="楷体_GB2312"/>
          <w:b/>
          <w:sz w:val="32"/>
          <w:szCs w:val="32"/>
        </w:rPr>
        <w:t>部门（单位）基本情况</w:t>
      </w:r>
    </w:p>
    <w:p>
      <w:pPr>
        <w:widowControl w:val="0"/>
        <w:numPr>
          <w:numId w:val="0"/>
        </w:numPr>
        <w:shd w:val="solid" w:color="FFFFFF" w:fill="auto"/>
        <w:wordWrap/>
        <w:autoSpaceDN w:val="0"/>
        <w:adjustRightInd/>
        <w:snapToGrid/>
        <w:spacing w:before="0" w:after="0" w:line="620" w:lineRule="exact"/>
        <w:ind w:left="0" w:leftChars="0" w:right="0" w:firstLine="640" w:firstLineChars="200"/>
        <w:jc w:val="both"/>
        <w:textAlignment w:val="auto"/>
        <w:outlineLvl w:val="9"/>
        <w:rPr>
          <w:rFonts w:hint="eastAsia" w:eastAsia="楷体_GB2312"/>
          <w:b/>
          <w:sz w:val="32"/>
          <w:szCs w:val="32"/>
          <w:lang w:val="en-US" w:eastAsia="zh-CN"/>
        </w:rPr>
      </w:pPr>
      <w:r>
        <w:rPr>
          <w:rFonts w:hint="eastAsia" w:ascii="仿宋_GB2312" w:hAnsi="仿宋_GB2312" w:eastAsia="仿宋_GB2312" w:cs="仿宋_GB2312"/>
          <w:b/>
          <w:sz w:val="32"/>
          <w:szCs w:val="32"/>
          <w:lang w:val="en-US" w:eastAsia="zh-CN"/>
        </w:rPr>
        <w:t xml:space="preserve"> 1.机构情况</w:t>
      </w:r>
    </w:p>
    <w:p>
      <w:pPr>
        <w:widowControl w:val="0"/>
        <w:numPr>
          <w:numId w:val="0"/>
        </w:numPr>
        <w:shd w:val="solid" w:color="FFFFFF" w:fill="auto"/>
        <w:wordWrap/>
        <w:autoSpaceDN w:val="0"/>
        <w:adjustRightInd/>
        <w:snapToGrid/>
        <w:spacing w:before="0" w:after="0" w:line="620" w:lineRule="exact"/>
        <w:ind w:left="0" w:leftChars="0" w:right="0" w:firstLine="640" w:firstLineChars="200"/>
        <w:jc w:val="both"/>
        <w:textAlignment w:val="auto"/>
        <w:outlineLvl w:val="9"/>
        <w:rPr>
          <w:rFonts w:hint="eastAsia" w:ascii="仿宋_GB2312" w:hAnsi="仿宋" w:eastAsia="仿宋_GB2312"/>
          <w:sz w:val="32"/>
          <w:szCs w:val="32"/>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中共江永县委巡察工作领导小组办公室，作为县委巡察工作领导小组的日常办事机构，列入县委工作机构序列机构规格为正科级，核定编制8名，其中：主任1名，副主任2名。设立4个巡察组，每一个巡察组核定编制3名，其中：各设组长1名，副组长1名，分别为正、副科级领导职数。巡察办下辖一个全额拨款事业单位：江永县委巡察信息中心。今年机构情况无变化。</w:t>
      </w:r>
    </w:p>
    <w:p>
      <w:pPr>
        <w:widowControl w:val="0"/>
        <w:numPr>
          <w:numId w:val="0"/>
        </w:numPr>
        <w:wordWrap/>
        <w:adjustRightInd/>
        <w:snapToGrid w:val="0"/>
        <w:spacing w:before="0" w:after="0" w:line="620" w:lineRule="exact"/>
        <w:ind w:left="0" w:leftChars="0" w:right="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b/>
          <w:bCs/>
          <w:sz w:val="32"/>
          <w:szCs w:val="32"/>
          <w:lang w:val="en-US" w:eastAsia="zh-CN"/>
        </w:rPr>
        <w:t xml:space="preserve"> 2.</w:t>
      </w:r>
      <w:r>
        <w:rPr>
          <w:rFonts w:hint="eastAsia" w:ascii="仿宋_GB2312" w:hAnsi="仿宋" w:eastAsia="仿宋_GB2312"/>
          <w:b/>
          <w:bCs/>
          <w:sz w:val="32"/>
          <w:szCs w:val="32"/>
        </w:rPr>
        <w:t>人员情况</w:t>
      </w:r>
    </w:p>
    <w:p>
      <w:pPr>
        <w:widowControl w:val="0"/>
        <w:wordWrap/>
        <w:adjustRightInd/>
        <w:spacing w:before="0" w:after="0" w:line="620" w:lineRule="exact"/>
        <w:ind w:left="0" w:leftChars="0" w:right="0" w:firstLine="643" w:firstLineChars="200"/>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2021年单位现有行政编制20名，全额拨款事业编制4名，实有在职人员22人，其中行政编制18人，全额拨款事业编制工作人员4名。</w:t>
      </w:r>
    </w:p>
    <w:p>
      <w:pPr>
        <w:widowControl w:val="0"/>
        <w:numPr>
          <w:ilvl w:val="0"/>
          <w:numId w:val="2"/>
        </w:numPr>
        <w:wordWrap/>
        <w:adjustRightInd/>
        <w:spacing w:before="0" w:after="0" w:line="620" w:lineRule="exact"/>
        <w:ind w:left="0" w:leftChars="0" w:right="0" w:firstLine="643" w:firstLineChars="200"/>
        <w:jc w:val="both"/>
        <w:textAlignment w:val="auto"/>
        <w:outlineLvl w:val="9"/>
        <w:rPr>
          <w:rFonts w:eastAsia="楷体_GB2312"/>
          <w:b/>
          <w:sz w:val="32"/>
          <w:szCs w:val="32"/>
        </w:rPr>
      </w:pPr>
      <w:r>
        <w:rPr>
          <w:rFonts w:eastAsia="楷体_GB2312"/>
          <w:b/>
          <w:sz w:val="32"/>
          <w:szCs w:val="32"/>
        </w:rPr>
        <w:t>部门（单位）年度整体支出绩效目标，省级专项资金绩效目标、其他项目支出（除省级专项资金以外）绩效目标</w:t>
      </w:r>
    </w:p>
    <w:p>
      <w:pPr>
        <w:widowControl w:val="0"/>
        <w:numPr>
          <w:numId w:val="0"/>
        </w:numPr>
        <w:wordWrap/>
        <w:adjustRightInd/>
        <w:spacing w:before="0" w:after="0" w:line="620" w:lineRule="exact"/>
        <w:ind w:left="0" w:leftChars="0" w:right="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按照十二届县委任期内巡察工作全覆盖的总体目标要求，2021年计划完成对18个县级党政机关、人民团体和重点二级机构常规巡察。同时，根据市委巡察工作领导小组工作部署和县委工作要求，安排部署市县交叉巡察。　</w:t>
      </w:r>
    </w:p>
    <w:p>
      <w:pPr>
        <w:pStyle w:val="4"/>
        <w:widowControl w:val="0"/>
        <w:wordWrap/>
        <w:adjustRightInd/>
        <w:spacing w:before="0" w:after="0" w:line="620" w:lineRule="exact"/>
        <w:ind w:left="0" w:leftChars="0" w:right="0" w:firstLine="640"/>
        <w:jc w:val="both"/>
        <w:textAlignment w:val="auto"/>
        <w:outlineLvl w:val="9"/>
        <w:rPr>
          <w:rFonts w:ascii="Times New Roman" w:hAnsi="Times New Roman" w:eastAsia="黑体"/>
          <w:sz w:val="32"/>
          <w:szCs w:val="32"/>
        </w:rPr>
      </w:pPr>
      <w:r>
        <w:rPr>
          <w:rFonts w:ascii="Times New Roman" w:hAnsi="Times New Roman" w:eastAsia="黑体"/>
          <w:sz w:val="32"/>
          <w:szCs w:val="32"/>
        </w:rPr>
        <w:t>二、一般公共预算支出情况</w:t>
      </w:r>
    </w:p>
    <w:p>
      <w:pPr>
        <w:pStyle w:val="4"/>
        <w:widowControl w:val="0"/>
        <w:wordWrap/>
        <w:adjustRightInd/>
        <w:spacing w:before="0" w:after="0" w:line="620" w:lineRule="exact"/>
        <w:ind w:left="0" w:leftChars="0" w:right="0" w:firstLine="643"/>
        <w:jc w:val="both"/>
        <w:textAlignment w:val="auto"/>
        <w:outlineLvl w:val="9"/>
        <w:rPr>
          <w:rFonts w:ascii="Times New Roman" w:hAnsi="Times New Roman" w:eastAsia="楷体_GB2312"/>
          <w:b/>
          <w:sz w:val="32"/>
          <w:szCs w:val="32"/>
        </w:rPr>
      </w:pPr>
      <w:r>
        <w:rPr>
          <w:rFonts w:ascii="Times New Roman" w:hAnsi="Times New Roman" w:eastAsia="楷体_GB2312"/>
          <w:b/>
          <w:sz w:val="32"/>
          <w:szCs w:val="32"/>
        </w:rPr>
        <w:t>（一）基本支出情况</w:t>
      </w:r>
    </w:p>
    <w:p>
      <w:pPr>
        <w:pStyle w:val="4"/>
        <w:widowControl w:val="0"/>
        <w:wordWrap/>
        <w:adjustRightInd/>
        <w:spacing w:before="0" w:after="0" w:line="620" w:lineRule="exact"/>
        <w:ind w:left="0" w:leftChars="0" w:right="0" w:firstLine="643"/>
        <w:jc w:val="both"/>
        <w:textAlignment w:val="auto"/>
        <w:outlineLvl w:val="9"/>
        <w:rPr>
          <w:rFonts w:hint="eastAsia" w:ascii="Times New Roman" w:hAnsi="Times New Roman" w:eastAsia="楷体_GB2312"/>
          <w:b/>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021年度财政拨款基本支出263.13万元，其中人员经费176.88万元，主要包括基本工资、津贴补贴、奖金、机关事业单位基本养老保险缴费、职工基本医疗保险缴费等；公用经费86.25万元，主要包括办公费、印刷费、邮电费、差旅费、维修（护）费、会议费、培训费、公务接待费、公务用车运行维护费、其他商品和服务支出。</w:t>
      </w:r>
    </w:p>
    <w:p>
      <w:pPr>
        <w:pStyle w:val="4"/>
        <w:widowControl w:val="0"/>
        <w:wordWrap/>
        <w:adjustRightInd/>
        <w:spacing w:before="0" w:after="0" w:line="620" w:lineRule="exact"/>
        <w:ind w:left="0" w:leftChars="0" w:right="0" w:firstLine="643"/>
        <w:jc w:val="both"/>
        <w:textAlignment w:val="auto"/>
        <w:outlineLvl w:val="9"/>
        <w:rPr>
          <w:rFonts w:ascii="Times New Roman" w:hAnsi="Times New Roman" w:eastAsia="楷体_GB2312"/>
          <w:b/>
          <w:sz w:val="32"/>
          <w:szCs w:val="32"/>
        </w:rPr>
      </w:pPr>
      <w:r>
        <w:rPr>
          <w:rFonts w:ascii="Times New Roman" w:hAnsi="Times New Roman" w:eastAsia="楷体_GB2312"/>
          <w:b/>
          <w:sz w:val="32"/>
          <w:szCs w:val="32"/>
        </w:rPr>
        <w:t>（二）项目支出情况</w:t>
      </w:r>
    </w:p>
    <w:p>
      <w:pPr>
        <w:pStyle w:val="4"/>
        <w:widowControl w:val="0"/>
        <w:wordWrap/>
        <w:adjustRightInd/>
        <w:spacing w:before="0" w:after="0" w:line="620" w:lineRule="exact"/>
        <w:ind w:left="0" w:leftChars="0" w:right="0" w:firstLine="640"/>
        <w:jc w:val="both"/>
        <w:textAlignment w:val="auto"/>
        <w:outlineLvl w:val="9"/>
        <w:rPr>
          <w:rFonts w:hint="eastAsia" w:eastAsia="仿宋_GB2312"/>
          <w:sz w:val="32"/>
          <w:szCs w:val="32"/>
        </w:rPr>
      </w:pPr>
      <w:r>
        <w:rPr>
          <w:rFonts w:hint="eastAsia" w:eastAsia="仿宋_GB2312"/>
          <w:sz w:val="32"/>
          <w:szCs w:val="32"/>
        </w:rPr>
        <w:t>财政拨款项目支出75万元，其中包括办公费、邮电费、差旅费、维修（护）费、会议费、培训费、其他商品和服务支出等。</w:t>
      </w:r>
    </w:p>
    <w:p>
      <w:pPr>
        <w:pStyle w:val="4"/>
        <w:widowControl w:val="0"/>
        <w:numPr>
          <w:ilvl w:val="0"/>
          <w:numId w:val="3"/>
        </w:numPr>
        <w:wordWrap/>
        <w:adjustRightInd/>
        <w:spacing w:before="0" w:after="0" w:line="620" w:lineRule="exact"/>
        <w:ind w:left="0" w:leftChars="0" w:right="0" w:firstLine="640"/>
        <w:jc w:val="both"/>
        <w:textAlignment w:val="auto"/>
        <w:outlineLvl w:val="9"/>
        <w:rPr>
          <w:rFonts w:ascii="Times New Roman" w:hAnsi="Times New Roman" w:eastAsia="黑体"/>
          <w:sz w:val="32"/>
          <w:szCs w:val="32"/>
        </w:rPr>
      </w:pPr>
      <w:r>
        <w:rPr>
          <w:rFonts w:ascii="Times New Roman" w:hAnsi="Times New Roman" w:eastAsia="黑体"/>
          <w:sz w:val="32"/>
          <w:szCs w:val="32"/>
        </w:rPr>
        <w:t>政府性基金预算支出情况</w:t>
      </w:r>
    </w:p>
    <w:p>
      <w:pPr>
        <w:pStyle w:val="4"/>
        <w:widowControl w:val="0"/>
        <w:numPr>
          <w:numId w:val="0"/>
        </w:numPr>
        <w:wordWrap/>
        <w:adjustRightInd/>
        <w:spacing w:before="0" w:after="0" w:line="620" w:lineRule="exact"/>
        <w:ind w:left="0" w:leftChars="0"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无</w:t>
      </w:r>
    </w:p>
    <w:p>
      <w:pPr>
        <w:pStyle w:val="4"/>
        <w:widowControl w:val="0"/>
        <w:numPr>
          <w:ilvl w:val="0"/>
          <w:numId w:val="4"/>
        </w:numPr>
        <w:wordWrap/>
        <w:adjustRightInd/>
        <w:spacing w:before="0" w:after="0" w:line="620" w:lineRule="exact"/>
        <w:ind w:left="0" w:leftChars="0" w:right="0" w:firstLine="640"/>
        <w:jc w:val="both"/>
        <w:textAlignment w:val="auto"/>
        <w:outlineLvl w:val="9"/>
        <w:rPr>
          <w:rFonts w:ascii="Times New Roman" w:hAnsi="Times New Roman" w:eastAsia="黑体"/>
          <w:sz w:val="32"/>
          <w:szCs w:val="32"/>
        </w:rPr>
      </w:pPr>
      <w:r>
        <w:rPr>
          <w:rFonts w:ascii="Times New Roman" w:hAnsi="Times New Roman" w:eastAsia="黑体"/>
          <w:sz w:val="32"/>
          <w:szCs w:val="32"/>
        </w:rPr>
        <w:t>国有资本经营预算支出情况</w:t>
      </w:r>
    </w:p>
    <w:p>
      <w:pPr>
        <w:pStyle w:val="4"/>
        <w:widowControl w:val="0"/>
        <w:numPr>
          <w:numId w:val="0"/>
        </w:numPr>
        <w:wordWrap/>
        <w:adjustRightInd/>
        <w:spacing w:before="0" w:after="0" w:line="620" w:lineRule="exact"/>
        <w:ind w:left="0" w:leftChars="0" w:right="0"/>
        <w:jc w:val="both"/>
        <w:textAlignment w:val="auto"/>
        <w:outlineLvl w:val="9"/>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 xml:space="preserve">    </w:t>
      </w:r>
      <w:r>
        <w:rPr>
          <w:rFonts w:hint="eastAsia" w:ascii="仿宋_GB2312" w:hAnsi="仿宋_GB2312" w:eastAsia="仿宋_GB2312" w:cs="仿宋_GB2312"/>
          <w:sz w:val="32"/>
          <w:szCs w:val="32"/>
          <w:lang w:val="en-US" w:eastAsia="zh-CN"/>
        </w:rPr>
        <w:t>无</w:t>
      </w:r>
    </w:p>
    <w:p>
      <w:pPr>
        <w:pStyle w:val="4"/>
        <w:widowControl w:val="0"/>
        <w:numPr>
          <w:ilvl w:val="0"/>
          <w:numId w:val="5"/>
        </w:numPr>
        <w:wordWrap/>
        <w:adjustRightInd/>
        <w:spacing w:before="0" w:after="0" w:line="620" w:lineRule="exact"/>
        <w:ind w:left="0" w:leftChars="0" w:right="0" w:firstLine="640"/>
        <w:jc w:val="both"/>
        <w:textAlignment w:val="auto"/>
        <w:outlineLvl w:val="9"/>
        <w:rPr>
          <w:rFonts w:ascii="Times New Roman" w:hAnsi="Times New Roman" w:eastAsia="黑体"/>
          <w:sz w:val="32"/>
          <w:szCs w:val="32"/>
        </w:rPr>
      </w:pPr>
      <w:r>
        <w:rPr>
          <w:rFonts w:ascii="Times New Roman" w:hAnsi="Times New Roman" w:eastAsia="黑体"/>
          <w:sz w:val="32"/>
          <w:szCs w:val="32"/>
        </w:rPr>
        <w:t>社会保险基金预算支出情况</w:t>
      </w:r>
    </w:p>
    <w:p>
      <w:pPr>
        <w:pStyle w:val="4"/>
        <w:widowControl w:val="0"/>
        <w:numPr>
          <w:numId w:val="0"/>
        </w:numPr>
        <w:wordWrap/>
        <w:adjustRightInd/>
        <w:spacing w:before="0" w:after="0" w:line="620" w:lineRule="exact"/>
        <w:ind w:left="0" w:leftChars="0" w:right="0"/>
        <w:jc w:val="both"/>
        <w:textAlignment w:val="auto"/>
        <w:outlineLvl w:val="9"/>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 xml:space="preserve">    </w:t>
      </w:r>
      <w:r>
        <w:rPr>
          <w:rFonts w:hint="eastAsia" w:ascii="仿宋_GB2312" w:hAnsi="仿宋_GB2312" w:eastAsia="仿宋_GB2312" w:cs="仿宋_GB2312"/>
          <w:sz w:val="32"/>
          <w:szCs w:val="32"/>
          <w:lang w:val="en-US" w:eastAsia="zh-CN"/>
        </w:rPr>
        <w:t>无</w:t>
      </w:r>
    </w:p>
    <w:p>
      <w:pPr>
        <w:widowControl w:val="0"/>
        <w:wordWrap/>
        <w:adjustRightInd/>
        <w:spacing w:before="0" w:after="0" w:line="620" w:lineRule="exact"/>
        <w:ind w:left="0" w:leftChars="0" w:right="0" w:firstLine="640" w:firstLineChars="200"/>
        <w:jc w:val="both"/>
        <w:textAlignment w:val="auto"/>
        <w:outlineLvl w:val="9"/>
        <w:rPr>
          <w:rFonts w:eastAsia="黑体"/>
          <w:sz w:val="32"/>
          <w:szCs w:val="32"/>
        </w:rPr>
      </w:pPr>
      <w:r>
        <w:rPr>
          <w:rFonts w:eastAsia="黑体"/>
          <w:sz w:val="32"/>
          <w:szCs w:val="32"/>
        </w:rPr>
        <w:t>六、部门整体支出绩效情况</w:t>
      </w:r>
    </w:p>
    <w:p>
      <w:pPr>
        <w:widowControl w:val="0"/>
        <w:numPr>
          <w:numId w:val="0"/>
        </w:numPr>
        <w:wordWrap/>
        <w:adjustRightInd/>
        <w:spacing w:before="0" w:after="0" w:line="620" w:lineRule="exact"/>
        <w:ind w:left="0" w:leftChars="0" w:right="0"/>
        <w:jc w:val="both"/>
        <w:textAlignment w:val="auto"/>
        <w:outlineLvl w:val="9"/>
        <w:rPr>
          <w:rFonts w:hint="eastAsia" w:eastAsia="仿宋_GB2312"/>
          <w:color w:val="auto"/>
          <w:sz w:val="32"/>
          <w:szCs w:val="32"/>
          <w:lang w:val="en-US" w:eastAsia="zh-CN"/>
        </w:rPr>
      </w:pPr>
      <w:r>
        <w:rPr>
          <w:rFonts w:hint="eastAsia" w:eastAsia="黑体"/>
          <w:color w:val="auto"/>
          <w:sz w:val="32"/>
          <w:szCs w:val="32"/>
          <w:lang w:val="en-US" w:eastAsia="zh-CN"/>
        </w:rPr>
        <w:t xml:space="preserve">   </w:t>
      </w:r>
      <w:r>
        <w:rPr>
          <w:rFonts w:hint="eastAsia" w:ascii="楷体" w:hAnsi="楷体" w:eastAsia="楷体" w:cs="楷体"/>
          <w:b/>
          <w:bCs/>
          <w:color w:val="auto"/>
          <w:sz w:val="32"/>
          <w:szCs w:val="32"/>
          <w:lang w:val="en-US" w:eastAsia="zh-CN"/>
        </w:rPr>
        <w:t>1.履职效能分析</w:t>
      </w:r>
    </w:p>
    <w:p>
      <w:pPr>
        <w:widowControl w:val="0"/>
        <w:wordWrap/>
        <w:adjustRightInd/>
        <w:spacing w:before="0" w:after="0" w:line="620" w:lineRule="exact"/>
        <w:ind w:left="0" w:leftChars="0" w:right="0" w:firstLine="640" w:firstLineChars="200"/>
        <w:jc w:val="both"/>
        <w:textAlignment w:val="auto"/>
        <w:outlineLvl w:val="9"/>
        <w:rPr>
          <w:rFonts w:hint="default" w:ascii="仿宋_GB2312" w:hAnsi="仿宋_GB2312" w:eastAsia="仿宋_GB2312"/>
          <w:b w:val="0"/>
          <w:i w:val="0"/>
          <w:color w:val="auto"/>
          <w:sz w:val="32"/>
          <w:shd w:val="clear" w:color="auto" w:fill="FFFFFF"/>
          <w:lang w:eastAsia="zh-CN"/>
        </w:rPr>
      </w:pPr>
      <w:r>
        <w:rPr>
          <w:rFonts w:hint="eastAsia" w:eastAsia="仿宋_GB2312"/>
          <w:color w:val="auto"/>
          <w:sz w:val="32"/>
          <w:szCs w:val="32"/>
          <w:lang w:val="en-US" w:eastAsia="zh-CN"/>
        </w:rPr>
        <w:t>2021年，认真履职尽责，圆满完成工作任务。</w:t>
      </w:r>
      <w:r>
        <w:rPr>
          <w:rFonts w:hint="default" w:ascii="仿宋_GB2312" w:hAnsi="仿宋_GB2312" w:eastAsia="仿宋_GB2312"/>
          <w:b w:val="0"/>
          <w:i w:val="0"/>
          <w:color w:val="auto"/>
          <w:sz w:val="32"/>
          <w:shd w:val="clear" w:color="auto" w:fill="FFFFFF"/>
          <w:lang w:eastAsia="zh-CN"/>
        </w:rPr>
        <w:t>充分发挥</w:t>
      </w:r>
      <w:r>
        <w:rPr>
          <w:rFonts w:hint="eastAsia" w:ascii="仿宋_GB2312" w:hAnsi="仿宋_GB2312" w:eastAsia="仿宋_GB2312"/>
          <w:b w:val="0"/>
          <w:i w:val="0"/>
          <w:color w:val="auto"/>
          <w:sz w:val="32"/>
          <w:shd w:val="clear" w:color="auto" w:fill="FFFFFF"/>
          <w:lang w:val="en-US" w:eastAsia="zh-CN"/>
        </w:rPr>
        <w:t>了</w:t>
      </w:r>
      <w:r>
        <w:rPr>
          <w:rFonts w:hint="default" w:ascii="仿宋_GB2312" w:hAnsi="仿宋_GB2312" w:eastAsia="仿宋_GB2312"/>
          <w:b w:val="0"/>
          <w:i w:val="0"/>
          <w:color w:val="auto"/>
          <w:sz w:val="32"/>
          <w:shd w:val="clear" w:color="auto" w:fill="FFFFFF"/>
          <w:lang w:eastAsia="zh-CN"/>
        </w:rPr>
        <w:t>巡察利剑作用，不断深化政治巡察，坚持发现问题不放松，形成震慑不动摇，全力推动巡视巡察上下联动，高质量推进巡察全覆盖，工作取得了较好成效。</w:t>
      </w:r>
    </w:p>
    <w:p>
      <w:pPr>
        <w:widowControl w:val="0"/>
        <w:numPr>
          <w:numId w:val="0"/>
        </w:numPr>
        <w:wordWrap/>
        <w:adjustRightInd/>
        <w:spacing w:before="0" w:after="0" w:line="620" w:lineRule="exact"/>
        <w:ind w:left="0" w:leftChars="0" w:right="0"/>
        <w:jc w:val="both"/>
        <w:textAlignment w:val="auto"/>
        <w:outlineLvl w:val="9"/>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 xml:space="preserve">    2.管理效能分析</w:t>
      </w:r>
    </w:p>
    <w:p>
      <w:pPr>
        <w:widowControl w:val="0"/>
        <w:wordWrap/>
        <w:adjustRightInd/>
        <w:spacing w:before="0" w:after="0" w:line="620" w:lineRule="exact"/>
        <w:ind w:left="0" w:leftChars="0" w:right="0" w:firstLine="640" w:firstLineChars="200"/>
        <w:jc w:val="both"/>
        <w:textAlignment w:val="auto"/>
        <w:outlineLvl w:val="9"/>
        <w:rPr>
          <w:rFonts w:hint="default" w:ascii="仿宋_GB2312" w:hAnsi="仿宋_GB2312" w:eastAsia="仿宋_GB2312"/>
          <w:b w:val="0"/>
          <w:i w:val="0"/>
          <w:color w:val="auto"/>
          <w:sz w:val="32"/>
          <w:shd w:val="clear" w:color="auto" w:fill="FFFFFF"/>
          <w:lang w:eastAsia="zh-CN"/>
        </w:rPr>
      </w:pPr>
      <w:r>
        <w:rPr>
          <w:rFonts w:hint="eastAsia" w:ascii="仿宋_GB2312" w:hAnsi="仿宋_GB2312" w:eastAsia="仿宋_GB2312"/>
          <w:b w:val="0"/>
          <w:i w:val="0"/>
          <w:color w:val="auto"/>
          <w:sz w:val="32"/>
          <w:shd w:val="clear" w:color="auto" w:fill="FFFFFF"/>
          <w:lang w:val="en-US" w:eastAsia="zh-CN"/>
        </w:rPr>
        <w:t>2021年度，不断完善行政管理办法，加强制度体系建设，严格资产管理和经费使用，完成了部门职能目标，实现了较高的工作效率和支出绩效。</w:t>
      </w:r>
    </w:p>
    <w:p>
      <w:pPr>
        <w:widowControl w:val="0"/>
        <w:numPr>
          <w:numId w:val="0"/>
        </w:numPr>
        <w:wordWrap/>
        <w:adjustRightInd/>
        <w:spacing w:before="0" w:after="0" w:line="620" w:lineRule="exact"/>
        <w:ind w:left="0" w:leftChars="0" w:right="0"/>
        <w:jc w:val="both"/>
        <w:textAlignment w:val="auto"/>
        <w:outlineLvl w:val="9"/>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 xml:space="preserve">    3.社会效应、可持续发展能力和服务对象满意度分析</w:t>
      </w:r>
    </w:p>
    <w:p>
      <w:pPr>
        <w:widowControl w:val="0"/>
        <w:wordWrap/>
        <w:adjustRightInd/>
        <w:spacing w:before="0" w:after="0" w:line="620" w:lineRule="exact"/>
        <w:ind w:left="0" w:leftChars="0" w:right="0" w:firstLine="640" w:firstLineChars="200"/>
        <w:jc w:val="both"/>
        <w:textAlignment w:val="auto"/>
        <w:outlineLvl w:val="9"/>
        <w:rPr>
          <w:rFonts w:eastAsia="仿宋_GB2312"/>
          <w:color w:val="000000"/>
          <w:sz w:val="32"/>
          <w:szCs w:val="32"/>
        </w:rPr>
      </w:pPr>
      <w:r>
        <w:rPr>
          <w:rFonts w:hint="eastAsia" w:ascii="仿宋_GB2312" w:hAnsi="仿宋_GB2312" w:eastAsia="仿宋_GB2312"/>
          <w:b w:val="0"/>
          <w:i w:val="0"/>
          <w:color w:val="auto"/>
          <w:sz w:val="32"/>
          <w:shd w:val="clear" w:color="auto" w:fill="FFFFFF"/>
          <w:lang w:val="en-US" w:eastAsia="zh-CN"/>
        </w:rPr>
        <w:t>圆满完成十二届县委巡察任务，精准谋划十三届县委巡察工作。</w:t>
      </w:r>
      <w:r>
        <w:rPr>
          <w:rFonts w:hint="eastAsia" w:ascii="仿宋_GB2312" w:hAnsi="仿宋_GB2312" w:eastAsia="仿宋_GB2312"/>
          <w:b/>
          <w:bCs/>
          <w:i w:val="0"/>
          <w:color w:val="auto"/>
          <w:sz w:val="32"/>
          <w:shd w:val="clear" w:color="auto" w:fill="FFFFFF"/>
          <w:lang w:val="en-US" w:eastAsia="zh-CN"/>
        </w:rPr>
        <w:t>一是</w:t>
      </w:r>
      <w:r>
        <w:rPr>
          <w:rFonts w:hint="eastAsia" w:ascii="仿宋_GB2312" w:hAnsi="仿宋_GB2312" w:eastAsia="仿宋_GB2312"/>
          <w:b w:val="0"/>
          <w:i w:val="0"/>
          <w:color w:val="auto"/>
          <w:sz w:val="32"/>
          <w:shd w:val="clear" w:color="auto" w:fill="FFFFFF"/>
          <w:lang w:val="en-US" w:eastAsia="zh-CN"/>
        </w:rPr>
        <w:t>巡察全覆盖任务顺利完成。5月份全面完成全县82个单位、112个村（社区）党组织的政治体检，顺利实现了十二届县委巡察全覆盖任务。</w:t>
      </w:r>
      <w:r>
        <w:rPr>
          <w:rFonts w:hint="eastAsia" w:ascii="仿宋_GB2312" w:hAnsi="仿宋_GB2312" w:eastAsia="仿宋_GB2312"/>
          <w:b/>
          <w:bCs/>
          <w:i w:val="0"/>
          <w:color w:val="auto"/>
          <w:sz w:val="32"/>
          <w:shd w:val="clear" w:color="auto" w:fill="FFFFFF"/>
          <w:lang w:val="en-US" w:eastAsia="zh-CN"/>
        </w:rPr>
        <w:t>二是</w:t>
      </w:r>
      <w:r>
        <w:rPr>
          <w:rFonts w:hint="eastAsia" w:ascii="仿宋_GB2312" w:hAnsi="仿宋_GB2312" w:eastAsia="仿宋_GB2312"/>
          <w:b w:val="0"/>
          <w:i w:val="0"/>
          <w:color w:val="auto"/>
          <w:sz w:val="32"/>
          <w:shd w:val="clear" w:color="auto" w:fill="FFFFFF"/>
          <w:lang w:val="en-US" w:eastAsia="zh-CN"/>
        </w:rPr>
        <w:t>十三届县委巡察工作顺利开展。9月，十三届县委授权3个巡察组对6个县直单位开展第一轮常规巡察，向被巡察单位反馈问题90个，移交问题线索4条，为十三届县委巡察工作开好了局、起好了步。</w:t>
      </w:r>
      <w:r>
        <w:rPr>
          <w:rFonts w:hint="eastAsia" w:ascii="仿宋_GB2312" w:hAnsi="仿宋_GB2312" w:eastAsia="仿宋_GB2312"/>
          <w:b/>
          <w:bCs/>
          <w:i w:val="0"/>
          <w:color w:val="auto"/>
          <w:sz w:val="32"/>
          <w:shd w:val="clear" w:color="auto" w:fill="FFFFFF"/>
          <w:lang w:val="en-US" w:eastAsia="zh-CN"/>
        </w:rPr>
        <w:t>三是</w:t>
      </w:r>
      <w:r>
        <w:rPr>
          <w:rFonts w:hint="eastAsia" w:ascii="仿宋_GB2312" w:hAnsi="仿宋_GB2312" w:eastAsia="仿宋_GB2312"/>
          <w:b w:val="0"/>
          <w:i w:val="0"/>
          <w:color w:val="auto"/>
          <w:sz w:val="32"/>
          <w:shd w:val="clear" w:color="auto" w:fill="FFFFFF"/>
          <w:lang w:val="en-US" w:eastAsia="zh-CN"/>
        </w:rPr>
        <w:t>上下联动紧密结合。4月，我们派出巡察组参加市委第十轮常规巡察，10月派出巡察组参加涉粮专项巡察，圆满完成了市委交给的巡察工作任务。</w:t>
      </w:r>
      <w:r>
        <w:rPr>
          <w:rFonts w:hint="eastAsia" w:ascii="仿宋_GB2312" w:hAnsi="仿宋_GB2312" w:eastAsia="仿宋_GB2312"/>
          <w:b/>
          <w:bCs/>
          <w:i w:val="0"/>
          <w:color w:val="auto"/>
          <w:sz w:val="32"/>
          <w:shd w:val="clear" w:color="auto" w:fill="FFFFFF"/>
          <w:lang w:val="en-US" w:eastAsia="zh-CN"/>
        </w:rPr>
        <w:t>四是</w:t>
      </w:r>
      <w:r>
        <w:rPr>
          <w:rFonts w:hint="eastAsia" w:ascii="仿宋_GB2312" w:hAnsi="仿宋_GB2312" w:eastAsia="仿宋_GB2312"/>
          <w:b w:val="0"/>
          <w:i w:val="0"/>
          <w:color w:val="auto"/>
          <w:sz w:val="32"/>
          <w:shd w:val="clear" w:color="auto" w:fill="FFFFFF"/>
          <w:lang w:val="en-US" w:eastAsia="zh-CN"/>
        </w:rPr>
        <w:t>不断推动相关部门协作。根据省委巡视办关于建立健全省委巡视机构与省纪委监委有关部门、省委组织部、省委宣传部、省直政法机关等协调协作机制的意见，参照市委巡察办有关工作落实任务清单，积极推动县纪委监委、县委组织部、县委宣传部、县政法委等有关单位与巡察机构的协调联动，形成监督合力。</w:t>
      </w:r>
    </w:p>
    <w:p>
      <w:pPr>
        <w:pStyle w:val="4"/>
        <w:widowControl w:val="0"/>
        <w:wordWrap/>
        <w:adjustRightInd/>
        <w:spacing w:before="0" w:after="0" w:line="620" w:lineRule="exact"/>
        <w:ind w:left="0" w:leftChars="0" w:right="0" w:firstLine="640"/>
        <w:jc w:val="both"/>
        <w:textAlignment w:val="auto"/>
        <w:outlineLvl w:val="9"/>
        <w:rPr>
          <w:rFonts w:ascii="Times New Roman" w:hAnsi="Times New Roman" w:eastAsia="黑体"/>
          <w:sz w:val="32"/>
          <w:szCs w:val="32"/>
        </w:rPr>
      </w:pPr>
      <w:r>
        <w:rPr>
          <w:rFonts w:ascii="Times New Roman" w:hAnsi="Times New Roman" w:eastAsia="黑体"/>
          <w:sz w:val="32"/>
          <w:szCs w:val="32"/>
        </w:rPr>
        <w:t>七、存在的问题及原因分析</w:t>
      </w:r>
    </w:p>
    <w:p>
      <w:pPr>
        <w:widowControl w:val="0"/>
        <w:wordWrap/>
        <w:adjustRightInd/>
        <w:spacing w:before="0" w:after="0" w:line="620" w:lineRule="exact"/>
        <w:ind w:left="0" w:leftChars="0" w:right="0" w:firstLine="640" w:firstLineChars="200"/>
        <w:jc w:val="both"/>
        <w:textAlignment w:val="auto"/>
        <w:outlineLvl w:val="9"/>
        <w:rPr>
          <w:rFonts w:hint="eastAsia" w:eastAsia="仿宋_GB2312"/>
          <w:sz w:val="32"/>
          <w:szCs w:val="32"/>
        </w:rPr>
      </w:pPr>
      <w:r>
        <w:rPr>
          <w:rFonts w:hint="eastAsia" w:eastAsia="仿宋_GB2312"/>
          <w:sz w:val="32"/>
          <w:szCs w:val="32"/>
        </w:rPr>
        <w:t>在预算编制过程中，没有很好地结合单位的工作任务和目标，科学合理的编制当年的预算；部分预算指标下达时间晚，影响资金的支付进度。</w:t>
      </w:r>
    </w:p>
    <w:p>
      <w:pPr>
        <w:widowControl w:val="0"/>
        <w:numPr>
          <w:ilvl w:val="0"/>
          <w:numId w:val="6"/>
        </w:numPr>
        <w:wordWrap/>
        <w:adjustRightInd/>
        <w:spacing w:before="0" w:after="0" w:line="620" w:lineRule="exact"/>
        <w:ind w:left="0" w:leftChars="0" w:right="0" w:firstLine="640" w:firstLineChars="200"/>
        <w:jc w:val="both"/>
        <w:textAlignment w:val="auto"/>
        <w:outlineLvl w:val="9"/>
        <w:rPr>
          <w:rFonts w:eastAsia="黑体"/>
          <w:sz w:val="32"/>
          <w:szCs w:val="32"/>
        </w:rPr>
      </w:pPr>
      <w:r>
        <w:rPr>
          <w:rFonts w:eastAsia="黑体"/>
          <w:sz w:val="32"/>
          <w:szCs w:val="32"/>
        </w:rPr>
        <w:t>下一步改进措施</w:t>
      </w:r>
    </w:p>
    <w:p>
      <w:pPr>
        <w:widowControl w:val="0"/>
        <w:numPr>
          <w:ilvl w:val="0"/>
          <w:numId w:val="7"/>
        </w:numPr>
        <w:wordWrap/>
        <w:adjustRightInd/>
        <w:spacing w:before="0" w:after="0" w:line="62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科学编制预算。进一步加强全办的预算意识，严格按照预算编制的相关制度和要求以及下一年度的工作计划，细化编制部门预算，提高预算编制的科学性、合理性、严谨性。</w:t>
      </w:r>
    </w:p>
    <w:p>
      <w:pPr>
        <w:widowControl w:val="0"/>
        <w:numPr>
          <w:ilvl w:val="0"/>
          <w:numId w:val="7"/>
        </w:numPr>
        <w:wordWrap/>
        <w:adjustRightInd/>
        <w:spacing w:before="0" w:after="0" w:line="62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重视预算绩效评价结果应用和公开。对预算绩效自评发现的问题，及时改进。按照县财政的统一时点公开绩效自评报告，接受社会监督。</w:t>
      </w:r>
    </w:p>
    <w:p>
      <w:pPr>
        <w:widowControl w:val="0"/>
        <w:numPr>
          <w:ilvl w:val="0"/>
          <w:numId w:val="7"/>
        </w:numPr>
        <w:wordWrap/>
        <w:adjustRightInd/>
        <w:spacing w:before="0" w:after="0" w:line="62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完善管理制度，建立健全财政财务收支方面的管理制度，以及岗位责任制度、内部控制制度、监督检查制度等财务管理体系，做到用制度管人、管事，规范财务管理。</w:t>
      </w:r>
    </w:p>
    <w:p>
      <w:pPr>
        <w:widowControl w:val="0"/>
        <w:numPr>
          <w:ilvl w:val="0"/>
          <w:numId w:val="8"/>
        </w:numPr>
        <w:wordWrap/>
        <w:adjustRightInd/>
        <w:spacing w:before="0" w:after="0" w:line="620" w:lineRule="exact"/>
        <w:ind w:left="0" w:leftChars="0" w:right="0" w:firstLine="640" w:firstLineChars="200"/>
        <w:jc w:val="both"/>
        <w:textAlignment w:val="auto"/>
        <w:outlineLvl w:val="9"/>
        <w:rPr>
          <w:rFonts w:eastAsia="黑体"/>
          <w:sz w:val="32"/>
          <w:szCs w:val="32"/>
        </w:rPr>
      </w:pPr>
      <w:r>
        <w:rPr>
          <w:rFonts w:eastAsia="黑体"/>
          <w:sz w:val="32"/>
          <w:szCs w:val="32"/>
        </w:rPr>
        <w:t>绩效自评结果拟应用和公开情况</w:t>
      </w:r>
    </w:p>
    <w:p>
      <w:pPr>
        <w:widowControl w:val="0"/>
        <w:numPr>
          <w:numId w:val="0"/>
        </w:numPr>
        <w:wordWrap/>
        <w:adjustRightInd/>
        <w:spacing w:before="0" w:after="0" w:line="620" w:lineRule="exact"/>
        <w:ind w:left="0" w:leftChars="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我单位根据部门整体支出绩效评价指标对各项目量化评价，自评指标得分</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分。将项目支出后的实际状况与项目申报的绩效目标进行对比分析，按项目实际支出和项目申报绩效目标进行对比分析自评得分</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分。将在县政府门户网站进行公开。</w:t>
      </w:r>
    </w:p>
    <w:p>
      <w:pPr>
        <w:widowControl w:val="0"/>
        <w:wordWrap/>
        <w:adjustRightInd/>
        <w:spacing w:before="0" w:after="0" w:line="620" w:lineRule="exact"/>
        <w:ind w:left="0" w:leftChars="0" w:right="0" w:firstLine="640" w:firstLineChars="200"/>
        <w:jc w:val="both"/>
        <w:textAlignment w:val="auto"/>
        <w:outlineLvl w:val="9"/>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ordWrap/>
        <w:adjustRightInd/>
        <w:snapToGrid/>
        <w:spacing w:before="0" w:after="0" w:line="620" w:lineRule="exact"/>
        <w:ind w:left="0" w:leftChars="0" w:right="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巡察工作</w:t>
      </w:r>
      <w:r>
        <w:rPr>
          <w:rFonts w:hint="eastAsia" w:ascii="方正小标宋简体" w:hAnsi="方正小标宋简体" w:eastAsia="方正小标宋简体" w:cs="方正小标宋简体"/>
          <w:b w:val="0"/>
          <w:bCs w:val="0"/>
          <w:sz w:val="44"/>
          <w:szCs w:val="44"/>
        </w:rPr>
        <w:t>专项（项目）</w:t>
      </w:r>
    </w:p>
    <w:p>
      <w:pPr>
        <w:wordWrap/>
        <w:adjustRightInd/>
        <w:snapToGrid/>
        <w:spacing w:before="0" w:after="0" w:line="620" w:lineRule="exact"/>
        <w:ind w:left="0" w:leftChars="0" w:right="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w:t>
      </w:r>
      <w:r>
        <w:rPr>
          <w:rFonts w:hint="eastAsia" w:ascii="方正小标宋简体" w:hAnsi="方正小标宋简体" w:eastAsia="方正小标宋简体" w:cs="方正小标宋简体"/>
          <w:b w:val="0"/>
          <w:bCs w:val="0"/>
          <w:sz w:val="44"/>
          <w:szCs w:val="44"/>
          <w:lang w:val="en-US" w:eastAsia="zh-CN"/>
        </w:rPr>
        <w:t>21</w:t>
      </w:r>
      <w:r>
        <w:rPr>
          <w:rFonts w:hint="eastAsia" w:ascii="方正小标宋简体" w:hAnsi="方正小标宋简体" w:eastAsia="方正小标宋简体" w:cs="方正小标宋简体"/>
          <w:b w:val="0"/>
          <w:bCs w:val="0"/>
          <w:sz w:val="44"/>
          <w:szCs w:val="44"/>
        </w:rPr>
        <w:t>年度绩效自评报告</w:t>
      </w:r>
    </w:p>
    <w:p>
      <w:pPr>
        <w:wordWrap/>
        <w:adjustRightInd/>
        <w:snapToGrid/>
        <w:spacing w:before="0" w:after="0" w:line="620" w:lineRule="exact"/>
        <w:ind w:left="0" w:leftChars="0" w:right="0"/>
        <w:jc w:val="center"/>
        <w:textAlignment w:val="auto"/>
        <w:outlineLvl w:val="9"/>
        <w:rPr>
          <w:rFonts w:hint="eastAsia" w:ascii="方正小标宋简体" w:hAnsi="方正小标宋简体" w:eastAsia="方正小标宋简体" w:cs="方正小标宋简体"/>
          <w:b w:val="0"/>
          <w:bCs w:val="0"/>
          <w:sz w:val="44"/>
          <w:szCs w:val="44"/>
        </w:rPr>
      </w:pPr>
    </w:p>
    <w:p>
      <w:pPr>
        <w:numPr>
          <w:numId w:val="0"/>
        </w:numPr>
        <w:wordWrap/>
        <w:adjustRightInd/>
        <w:snapToGrid/>
        <w:spacing w:before="0" w:after="0" w:line="620" w:lineRule="exact"/>
        <w:ind w:left="0" w:leftChars="0" w:right="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一、</w:t>
      </w:r>
      <w:r>
        <w:rPr>
          <w:rFonts w:hint="eastAsia" w:ascii="黑体" w:hAnsi="黑体" w:eastAsia="黑体" w:cs="黑体"/>
          <w:sz w:val="32"/>
          <w:szCs w:val="32"/>
        </w:rPr>
        <w:t>项目概况</w:t>
      </w:r>
    </w:p>
    <w:p>
      <w:pPr>
        <w:numPr>
          <w:numId w:val="0"/>
        </w:numPr>
        <w:wordWrap/>
        <w:adjustRightInd/>
        <w:snapToGrid/>
        <w:spacing w:before="0" w:after="0" w:line="620" w:lineRule="exact"/>
        <w:ind w:right="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（一）</w:t>
      </w:r>
      <w:r>
        <w:rPr>
          <w:rFonts w:hint="eastAsia" w:ascii="楷体_GB2312" w:hAnsi="楷体_GB2312" w:eastAsia="楷体_GB2312" w:cs="楷体_GB2312"/>
          <w:sz w:val="32"/>
          <w:szCs w:val="32"/>
        </w:rPr>
        <w:t>项目单位基本情况</w:t>
      </w:r>
    </w:p>
    <w:p>
      <w:pPr>
        <w:numPr>
          <w:numId w:val="0"/>
        </w:numPr>
        <w:wordWrap/>
        <w:adjustRightInd/>
        <w:snapToGrid/>
        <w:spacing w:before="0" w:after="0" w:line="62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共江永县委巡察工作领导小组办公室，作为县委巡察工作领导小组的日常办事机构，列入县委工作机构序列，机构规格为正科级，核定编制8名，其中：主任1名，副主任2名。设立4个巡察组，每一个巡察组核定编制3名，其中：各设组长1名，副组长1名，分别为正、副科级领导职数。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年末实有在编人数22人。</w:t>
      </w:r>
    </w:p>
    <w:p>
      <w:pPr>
        <w:numPr>
          <w:numId w:val="0"/>
        </w:numPr>
        <w:wordWrap/>
        <w:adjustRightInd/>
        <w:snapToGrid/>
        <w:spacing w:before="0" w:after="0" w:line="620" w:lineRule="exact"/>
        <w:ind w:right="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（二）</w:t>
      </w:r>
      <w:r>
        <w:rPr>
          <w:rFonts w:hint="eastAsia" w:ascii="楷体_GB2312" w:hAnsi="楷体_GB2312" w:eastAsia="楷体_GB2312" w:cs="楷体_GB2312"/>
          <w:sz w:val="32"/>
          <w:szCs w:val="32"/>
        </w:rPr>
        <w:t>项目基本情况简介</w:t>
      </w:r>
    </w:p>
    <w:p>
      <w:pPr>
        <w:numPr>
          <w:numId w:val="0"/>
        </w:numPr>
        <w:wordWrap/>
        <w:adjustRightInd/>
        <w:snapToGrid/>
        <w:spacing w:before="0" w:after="0" w:line="620" w:lineRule="exact"/>
        <w:ind w:left="0" w:leftChars="0" w:right="0"/>
        <w:textAlignment w:val="auto"/>
        <w:outlineLvl w:val="9"/>
        <w:rPr>
          <w:rFonts w:hint="eastAsia" w:ascii="仿宋_GB2312" w:hAnsi="仿宋_GB2312" w:eastAsia="仿宋_GB2312" w:cs="仿宋_GB2312"/>
          <w:sz w:val="32"/>
          <w:szCs w:val="32"/>
          <w:lang w:val="en-US" w:eastAsia="zh-CN"/>
        </w:rPr>
      </w:pPr>
      <w:r>
        <w:rPr>
          <w:rFonts w:hint="eastAsia"/>
          <w:sz w:val="32"/>
          <w:szCs w:val="32"/>
          <w:lang w:val="en-US" w:eastAsia="zh-CN"/>
        </w:rPr>
        <w:t xml:space="preserve">    </w:t>
      </w:r>
      <w:r>
        <w:rPr>
          <w:rFonts w:hint="eastAsia" w:ascii="仿宋_GB2312" w:hAnsi="仿宋_GB2312" w:eastAsia="仿宋_GB2312" w:cs="仿宋_GB2312"/>
          <w:sz w:val="32"/>
          <w:szCs w:val="32"/>
          <w:lang w:val="en-US" w:eastAsia="zh-CN"/>
        </w:rPr>
        <w:t>巡察工作是党内监督和群众监督相结合的重要方式，是上级党组织对下级党组织监督的重要手段，承担着“发现问题、形成震慑，推动改革、促进发展”的重任，发挥着标本兼治的作用。此项目资金主要用于巡察过程中发生的各项费用，主要包括常规巡察、交叉巡察、专项巡察期间发生的</w:t>
      </w:r>
      <w:r>
        <w:rPr>
          <w:rFonts w:hint="eastAsia" w:ascii="仿宋_GB2312" w:hAnsi="仿宋_GB2312" w:eastAsia="仿宋_GB2312" w:cs="仿宋_GB2312"/>
          <w:b w:val="0"/>
          <w:bCs/>
          <w:sz w:val="32"/>
          <w:szCs w:val="32"/>
        </w:rPr>
        <w:t>办公费、印刷费、邮电费、差旅费、维修（护）费、会议费、培训费、公务接待费、公务用车运行维护费、其他商品和服务支出</w:t>
      </w:r>
      <w:r>
        <w:rPr>
          <w:rFonts w:hint="eastAsia" w:ascii="仿宋_GB2312" w:hAnsi="仿宋_GB2312" w:eastAsia="仿宋_GB2312" w:cs="仿宋_GB2312"/>
          <w:b w:val="0"/>
          <w:bCs/>
          <w:sz w:val="32"/>
          <w:szCs w:val="32"/>
          <w:lang w:val="en-US" w:eastAsia="zh-CN"/>
        </w:rPr>
        <w:t>等</w:t>
      </w:r>
      <w:r>
        <w:rPr>
          <w:rFonts w:hint="eastAsia" w:ascii="仿宋_GB2312" w:hAnsi="仿宋_GB2312" w:eastAsia="仿宋_GB2312" w:cs="仿宋_GB2312"/>
          <w:sz w:val="32"/>
          <w:szCs w:val="32"/>
          <w:lang w:val="en-US" w:eastAsia="zh-CN"/>
        </w:rPr>
        <w:t>费用。</w:t>
      </w:r>
    </w:p>
    <w:p>
      <w:pPr>
        <w:numPr>
          <w:numId w:val="0"/>
        </w:numPr>
        <w:wordWrap/>
        <w:adjustRightInd/>
        <w:snapToGrid/>
        <w:spacing w:before="0" w:after="0" w:line="620" w:lineRule="exact"/>
        <w:ind w:right="0"/>
        <w:textAlignment w:val="auto"/>
        <w:outlineLvl w:val="9"/>
        <w:rPr>
          <w:rFonts w:hint="eastAsia" w:ascii="黑体" w:hAnsi="黑体" w:eastAsia="黑体" w:cs="黑体"/>
          <w:sz w:val="32"/>
          <w:szCs w:val="32"/>
        </w:rPr>
      </w:pPr>
      <w:r>
        <w:rPr>
          <w:rFonts w:hint="eastAsia"/>
          <w:sz w:val="32"/>
          <w:szCs w:val="32"/>
          <w:lang w:val="en-US" w:eastAsia="zh-CN"/>
        </w:rPr>
        <w:t xml:space="preserve">  </w:t>
      </w:r>
      <w:r>
        <w:rPr>
          <w:rFonts w:hint="eastAsia" w:ascii="黑体" w:hAnsi="黑体" w:eastAsia="黑体" w:cs="黑体"/>
          <w:sz w:val="32"/>
          <w:szCs w:val="32"/>
          <w:lang w:val="en-US" w:eastAsia="zh-CN"/>
        </w:rPr>
        <w:t xml:space="preserve">  二、</w:t>
      </w:r>
      <w:r>
        <w:rPr>
          <w:rFonts w:hint="eastAsia" w:ascii="黑体" w:hAnsi="黑体" w:eastAsia="黑体" w:cs="黑体"/>
          <w:sz w:val="32"/>
          <w:szCs w:val="32"/>
        </w:rPr>
        <w:t>项目资金使用及管理情况</w:t>
      </w:r>
    </w:p>
    <w:p>
      <w:pPr>
        <w:numPr>
          <w:numId w:val="0"/>
        </w:numPr>
        <w:wordWrap/>
        <w:adjustRightInd/>
        <w:snapToGrid/>
        <w:spacing w:before="0" w:after="0" w:line="620" w:lineRule="exact"/>
        <w:ind w:right="0" w:firstLine="640"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项目资金安排落实、总投入等情况分析</w:t>
      </w:r>
    </w:p>
    <w:p>
      <w:pPr>
        <w:numPr>
          <w:numId w:val="0"/>
        </w:numPr>
        <w:wordWrap/>
        <w:adjustRightInd/>
        <w:snapToGrid/>
        <w:spacing w:before="0" w:after="0" w:line="620" w:lineRule="exact"/>
        <w:ind w:right="0" w:firstLine="640" w:firstLineChars="200"/>
        <w:textAlignment w:val="auto"/>
        <w:outlineLvl w:val="9"/>
        <w:rPr>
          <w:rFonts w:hint="eastAsia" w:ascii="仿宋_GB2312" w:hAnsi="仿宋_GB2312" w:eastAsia="仿宋_GB2312"/>
          <w:b w:val="0"/>
          <w:i w:val="0"/>
          <w:color w:val="auto"/>
          <w:sz w:val="32"/>
          <w:shd w:val="clear" w:color="auto" w:fill="FFFFFF"/>
          <w:lang w:val="en-US" w:eastAsia="zh-CN"/>
        </w:rPr>
      </w:pPr>
      <w:r>
        <w:rPr>
          <w:rFonts w:hint="eastAsia" w:ascii="仿宋_GB2312" w:hAnsi="仿宋_GB2312" w:eastAsia="仿宋_GB2312"/>
          <w:b w:val="0"/>
          <w:i w:val="0"/>
          <w:color w:val="auto"/>
          <w:sz w:val="32"/>
          <w:shd w:val="clear" w:color="auto" w:fill="FFFFFF"/>
          <w:lang w:val="en-US" w:eastAsia="zh-CN"/>
        </w:rPr>
        <w:t>2021年财政安排巡察办专项财政资金75万元，全部来源于财政拨款，无其他资金投入。</w:t>
      </w:r>
    </w:p>
    <w:p>
      <w:pPr>
        <w:numPr>
          <w:numId w:val="0"/>
        </w:numPr>
        <w:wordWrap/>
        <w:adjustRightInd/>
        <w:snapToGrid/>
        <w:spacing w:before="0" w:after="0" w:line="620" w:lineRule="exact"/>
        <w:ind w:right="0" w:firstLine="640"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项目资金（只要是指财政资金）实际使用情况分析。</w:t>
      </w:r>
    </w:p>
    <w:p>
      <w:pPr>
        <w:numPr>
          <w:numId w:val="0"/>
        </w:numPr>
        <w:wordWrap/>
        <w:spacing w:before="0" w:after="0" w:line="620" w:lineRule="exact"/>
        <w:ind w:left="0" w:leftChars="0" w:right="0"/>
        <w:outlineLvl w:val="9"/>
        <w:rPr>
          <w:rFonts w:hint="eastAsia"/>
          <w:sz w:val="32"/>
          <w:szCs w:val="32"/>
        </w:rPr>
      </w:pPr>
      <w:r>
        <w:rPr>
          <w:rFonts w:hint="eastAsia" w:ascii="仿宋_GB2312" w:hAnsi="仿宋_GB2312" w:eastAsia="仿宋_GB2312"/>
          <w:b w:val="0"/>
          <w:i w:val="0"/>
          <w:color w:val="auto"/>
          <w:sz w:val="32"/>
          <w:shd w:val="clear" w:color="auto" w:fill="FFFFFF"/>
          <w:lang w:val="en-US" w:eastAsia="zh-CN"/>
        </w:rPr>
        <w:t xml:space="preserve">    2021年专项资金均为专款专用，主要用于巡察期间办公费、差旅费、住宿费、伙食补助费、租车费以及与巡察工作有关的各项费用支出。</w:t>
      </w:r>
    </w:p>
    <w:p>
      <w:pPr>
        <w:numPr>
          <w:numId w:val="0"/>
        </w:numPr>
        <w:wordWrap/>
        <w:adjustRightInd/>
        <w:snapToGrid/>
        <w:spacing w:before="0" w:after="0" w:line="620" w:lineRule="exact"/>
        <w:ind w:right="0" w:firstLine="640"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项目资金管理情况分析</w:t>
      </w:r>
    </w:p>
    <w:p>
      <w:pPr>
        <w:numPr>
          <w:numId w:val="0"/>
        </w:numPr>
        <w:wordWrap/>
        <w:spacing w:before="0" w:after="0" w:line="620" w:lineRule="exact"/>
        <w:ind w:left="0" w:leftChars="0" w:right="0"/>
        <w:outlineLvl w:val="9"/>
        <w:rPr>
          <w:rFonts w:hint="eastAsia" w:ascii="楷体_GB2312" w:hAnsi="楷体_GB2312" w:eastAsia="楷体_GB2312" w:cs="楷体_GB2312"/>
          <w:sz w:val="32"/>
          <w:szCs w:val="32"/>
        </w:rPr>
      </w:pPr>
      <w:r>
        <w:rPr>
          <w:rFonts w:hint="eastAsia" w:ascii="仿宋_GB2312" w:hAnsi="仿宋_GB2312" w:eastAsia="仿宋_GB2312"/>
          <w:b w:val="0"/>
          <w:i w:val="0"/>
          <w:color w:val="auto"/>
          <w:sz w:val="32"/>
          <w:shd w:val="clear" w:color="auto" w:fill="FFFFFF"/>
          <w:lang w:val="en-US" w:eastAsia="zh-CN"/>
        </w:rPr>
        <w:t xml:space="preserve">    严格执行项目管理制度和财政专项资金管理办法，制定相关制度规范经费支出审批及报账程序。严格执行项目预算批复，专项经费进行分类核算，各项资金全部实现国库集中支付、专款专用，不存在截留、挤占、挪用、虚列项目支出等情况。建立完善的内部控制制度，保证单位经济活动合法合规、资产安全和使用有效、财务信息真实完整。</w:t>
      </w:r>
    </w:p>
    <w:p>
      <w:pPr>
        <w:numPr>
          <w:numId w:val="0"/>
        </w:numPr>
        <w:wordWrap/>
        <w:adjustRightInd/>
        <w:snapToGrid/>
        <w:spacing w:before="0" w:after="0" w:line="620" w:lineRule="exact"/>
        <w:ind w:right="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项目组织实施情况</w:t>
      </w:r>
    </w:p>
    <w:p>
      <w:pPr>
        <w:numPr>
          <w:numId w:val="0"/>
        </w:numPr>
        <w:wordWrap/>
        <w:adjustRightInd/>
        <w:snapToGrid/>
        <w:spacing w:before="0" w:after="0" w:line="620" w:lineRule="exact"/>
        <w:ind w:right="0" w:firstLine="640" w:firstLineChars="200"/>
        <w:textAlignment w:val="auto"/>
        <w:outlineLvl w:val="9"/>
        <w:rPr>
          <w:rFonts w:hint="eastAsia"/>
          <w:sz w:val="32"/>
          <w:szCs w:val="32"/>
        </w:rPr>
      </w:pPr>
      <w:r>
        <w:rPr>
          <w:rFonts w:hint="eastAsia"/>
          <w:sz w:val="32"/>
          <w:szCs w:val="32"/>
          <w:lang w:val="en-US" w:eastAsia="zh-CN"/>
        </w:rPr>
        <w:t>1.</w:t>
      </w:r>
      <w:r>
        <w:rPr>
          <w:rFonts w:hint="eastAsia" w:ascii="楷体_GB2312" w:hAnsi="楷体_GB2312" w:eastAsia="楷体_GB2312" w:cs="楷体_GB2312"/>
          <w:b/>
          <w:bCs/>
          <w:sz w:val="32"/>
          <w:szCs w:val="32"/>
        </w:rPr>
        <w:t>项目组织情况分析</w:t>
      </w:r>
    </w:p>
    <w:p>
      <w:pPr>
        <w:widowControl w:val="0"/>
        <w:wordWrap/>
        <w:adjustRightInd/>
        <w:spacing w:before="0" w:after="0" w:line="620" w:lineRule="exact"/>
        <w:ind w:left="0" w:leftChars="0" w:right="0" w:firstLine="640" w:firstLineChars="200"/>
        <w:jc w:val="both"/>
        <w:textAlignment w:val="auto"/>
        <w:outlineLvl w:val="9"/>
        <w:rPr>
          <w:rFonts w:hint="eastAsia" w:ascii="仿宋_GB2312" w:hAnsi="仿宋_GB2312" w:eastAsia="仿宋_GB2312"/>
          <w:b w:val="0"/>
          <w:i w:val="0"/>
          <w:color w:val="auto"/>
          <w:sz w:val="32"/>
          <w:shd w:val="clear" w:color="auto" w:fill="FFFFFF"/>
          <w:lang w:val="en-US" w:eastAsia="zh-CN"/>
        </w:rPr>
      </w:pPr>
      <w:r>
        <w:rPr>
          <w:rFonts w:hint="eastAsia" w:ascii="仿宋_GB2312" w:hAnsi="仿宋_GB2312" w:eastAsia="仿宋_GB2312"/>
          <w:b w:val="0"/>
          <w:i w:val="0"/>
          <w:color w:val="auto"/>
          <w:sz w:val="32"/>
          <w:shd w:val="clear" w:color="auto" w:fill="FFFFFF"/>
          <w:lang w:val="en-US" w:eastAsia="zh-CN"/>
        </w:rPr>
        <w:t>2021年共开展3轮常规巡察，截至2021年，全面完成全县82个单位、112个村（社区）党组织的政治体检，顺利实现了十二届县委巡察全覆盖任务。同时根据市委巡察工作领导小组工作部署和县委工作要求，安排部署了两轮市县交叉巡察，圆满完成了市委交给的巡察工作任务。</w:t>
      </w:r>
    </w:p>
    <w:p>
      <w:pPr>
        <w:widowControl w:val="0"/>
        <w:wordWrap/>
        <w:adjustRightInd/>
        <w:spacing w:before="0" w:after="0" w:line="620" w:lineRule="exact"/>
        <w:ind w:left="0" w:leftChars="0" w:right="0" w:firstLine="640"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项目管理情况分析</w:t>
      </w:r>
    </w:p>
    <w:p>
      <w:pPr>
        <w:numPr>
          <w:numId w:val="0"/>
        </w:numPr>
        <w:wordWrap/>
        <w:adjustRightInd/>
        <w:snapToGrid/>
        <w:spacing w:before="0" w:after="0" w:line="620" w:lineRule="exact"/>
        <w:ind w:right="0"/>
        <w:textAlignment w:val="auto"/>
        <w:outlineLvl w:val="9"/>
        <w:rPr>
          <w:rFonts w:hint="eastAsia"/>
          <w:sz w:val="32"/>
          <w:szCs w:val="32"/>
        </w:rPr>
      </w:pPr>
      <w:r>
        <w:rPr>
          <w:rFonts w:hint="eastAsia" w:ascii="仿宋_GB2312" w:hAnsi="仿宋_GB2312" w:eastAsia="仿宋_GB2312"/>
          <w:b w:val="0"/>
          <w:i w:val="0"/>
          <w:color w:val="auto"/>
          <w:sz w:val="32"/>
          <w:shd w:val="clear" w:color="auto" w:fill="FFFFFF"/>
          <w:lang w:val="en-US" w:eastAsia="zh-CN"/>
        </w:rPr>
        <w:t xml:space="preserve">    根</w:t>
      </w:r>
      <w:r>
        <w:rPr>
          <w:rFonts w:hint="default" w:ascii="仿宋_GB2312" w:hAnsi="仿宋_GB2312" w:eastAsia="仿宋_GB2312"/>
          <w:b w:val="0"/>
          <w:i w:val="0"/>
          <w:color w:val="auto"/>
          <w:sz w:val="32"/>
          <w:shd w:val="clear" w:color="auto" w:fill="FFFFFF"/>
          <w:lang w:val="en-US" w:eastAsia="zh-CN"/>
        </w:rPr>
        <w:t>据财政对项目工作的具体要求，在年初召开会议，对此项工作做了具体安排和部署。结合实际情况，对项目进行调研评估，并在项目实施过程中，进行相关的指导和监督，保障资金得到合理有效的使用。</w:t>
      </w:r>
    </w:p>
    <w:p>
      <w:pPr>
        <w:numPr>
          <w:numId w:val="0"/>
        </w:numPr>
        <w:wordWrap/>
        <w:adjustRightInd/>
        <w:snapToGrid/>
        <w:spacing w:before="0" w:after="0" w:line="620" w:lineRule="exact"/>
        <w:ind w:right="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项目绩效情况</w:t>
      </w:r>
    </w:p>
    <w:p>
      <w:pPr>
        <w:numPr>
          <w:numId w:val="0"/>
        </w:numPr>
        <w:wordWrap/>
        <w:adjustRightInd/>
        <w:snapToGrid/>
        <w:spacing w:before="0" w:after="0" w:line="620" w:lineRule="exact"/>
        <w:ind w:right="0" w:firstLine="640" w:firstLineChars="200"/>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1.</w:t>
      </w:r>
      <w:r>
        <w:rPr>
          <w:rFonts w:hint="eastAsia" w:ascii="楷体_GB2312" w:hAnsi="楷体_GB2312" w:eastAsia="楷体_GB2312" w:cs="楷体_GB2312"/>
          <w:b/>
          <w:bCs/>
          <w:color w:val="auto"/>
          <w:sz w:val="32"/>
          <w:szCs w:val="32"/>
        </w:rPr>
        <w:t>项目的经济性分析</w:t>
      </w:r>
    </w:p>
    <w:p>
      <w:pPr>
        <w:numPr>
          <w:numId w:val="0"/>
        </w:numPr>
        <w:wordWrap/>
        <w:spacing w:before="0" w:after="0" w:line="620" w:lineRule="exact"/>
        <w:ind w:left="0" w:leftChars="0" w:right="0"/>
        <w:outlineLvl w:val="9"/>
        <w:rPr>
          <w:rFonts w:hint="eastAsia" w:ascii="仿宋_GB2312" w:hAnsi="仿宋_GB2312" w:eastAsia="仿宋_GB2312"/>
          <w:b w:val="0"/>
          <w:i w:val="0"/>
          <w:color w:val="auto"/>
          <w:sz w:val="32"/>
          <w:shd w:val="clear" w:color="auto" w:fill="FFFFFF"/>
          <w:lang w:val="en-US" w:eastAsia="zh-CN"/>
        </w:rPr>
      </w:pPr>
      <w:r>
        <w:rPr>
          <w:rFonts w:hint="eastAsia" w:eastAsia="仿宋_GB2312"/>
          <w:color w:val="auto"/>
          <w:sz w:val="32"/>
          <w:szCs w:val="32"/>
          <w:lang w:val="en-US" w:eastAsia="zh-CN"/>
        </w:rPr>
        <w:t xml:space="preserve">   按照年度计划完成工作任务。财政安排资金75万元，未超出预算范围内使用财政资金。</w:t>
      </w:r>
    </w:p>
    <w:p>
      <w:pPr>
        <w:numPr>
          <w:numId w:val="0"/>
        </w:numPr>
        <w:wordWrap/>
        <w:spacing w:before="0" w:after="0" w:line="620" w:lineRule="exact"/>
        <w:ind w:left="0" w:leftChars="0" w:right="0"/>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 xml:space="preserve">    2.项目的效率性和</w:t>
      </w:r>
      <w:r>
        <w:rPr>
          <w:rFonts w:hint="default" w:ascii="楷体_GB2312" w:hAnsi="楷体_GB2312" w:eastAsia="楷体_GB2312" w:cs="楷体_GB2312"/>
          <w:b/>
          <w:bCs/>
          <w:color w:val="auto"/>
          <w:sz w:val="32"/>
          <w:szCs w:val="32"/>
          <w:lang w:eastAsia="zh-CN"/>
        </w:rPr>
        <w:t>效益性分析。</w:t>
      </w:r>
    </w:p>
    <w:p>
      <w:pPr>
        <w:widowControl w:val="0"/>
        <w:wordWrap/>
        <w:adjustRightInd/>
        <w:spacing w:before="0" w:after="0" w:line="620" w:lineRule="exact"/>
        <w:ind w:left="0" w:leftChars="0" w:right="0" w:firstLine="640" w:firstLineChars="200"/>
        <w:jc w:val="both"/>
        <w:textAlignment w:val="auto"/>
        <w:outlineLvl w:val="9"/>
        <w:rPr>
          <w:rFonts w:hint="eastAsia" w:eastAsia="宋体"/>
          <w:sz w:val="32"/>
          <w:szCs w:val="32"/>
          <w:lang w:val="en-US" w:eastAsia="zh-CN"/>
        </w:rPr>
      </w:pPr>
      <w:r>
        <w:rPr>
          <w:rFonts w:hint="eastAsia" w:ascii="仿宋_GB2312" w:hAnsi="仿宋_GB2312" w:eastAsia="仿宋_GB2312"/>
          <w:b w:val="0"/>
          <w:i w:val="0"/>
          <w:color w:val="auto"/>
          <w:sz w:val="32"/>
          <w:shd w:val="clear" w:color="auto" w:fill="auto"/>
          <w:lang w:val="en-US" w:eastAsia="zh-CN"/>
        </w:rPr>
        <w:t>2021年共开展3轮常规巡察，截至2021年底，全面完成全县82个单位、112个村（社区）党组织的政治体检，顺利实现了十二届县委巡察全覆盖任务。同时</w:t>
      </w:r>
      <w:r>
        <w:rPr>
          <w:rFonts w:hint="eastAsia" w:ascii="仿宋_GB2312" w:hAnsi="仿宋_GB2312" w:eastAsia="仿宋_GB2312"/>
          <w:b w:val="0"/>
          <w:i w:val="0"/>
          <w:color w:val="auto"/>
          <w:sz w:val="32"/>
          <w:shd w:val="clear" w:color="auto" w:fill="FFFFFF"/>
          <w:lang w:val="en-US" w:eastAsia="zh-CN"/>
        </w:rPr>
        <w:t>根据市委巡察工作领导小组工作部署和县委工作要求，安排部署了两轮市县交叉巡察，圆满完成了市委交给的巡察工作任务。</w:t>
      </w:r>
    </w:p>
    <w:p>
      <w:pPr>
        <w:numPr>
          <w:numId w:val="0"/>
        </w:numPr>
        <w:wordWrap/>
        <w:spacing w:before="0" w:after="0" w:line="620" w:lineRule="exact"/>
        <w:ind w:left="0" w:leftChars="0" w:right="0"/>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 xml:space="preserve">    3.项目的可持续性分析</w:t>
      </w:r>
    </w:p>
    <w:p>
      <w:pPr>
        <w:wordWrap/>
        <w:spacing w:before="0" w:after="0" w:line="620" w:lineRule="exact"/>
        <w:ind w:left="0" w:leftChars="0" w:right="0" w:firstLine="640" w:firstLineChars="200"/>
        <w:outlineLvl w:val="9"/>
        <w:rPr>
          <w:rFonts w:hint="default" w:ascii="仿宋_GB2312" w:hAnsi="仿宋_GB2312" w:eastAsia="仿宋_GB2312"/>
          <w:b w:val="0"/>
          <w:i w:val="0"/>
          <w:color w:val="auto"/>
          <w:sz w:val="32"/>
          <w:shd w:val="clear" w:color="auto" w:fill="FFFFFF"/>
          <w:lang w:eastAsia="zh-CN"/>
        </w:rPr>
      </w:pPr>
      <w:r>
        <w:rPr>
          <w:rFonts w:hint="default" w:ascii="仿宋_GB2312" w:hAnsi="仿宋_GB2312" w:eastAsia="仿宋_GB2312"/>
          <w:b w:val="0"/>
          <w:i w:val="0"/>
          <w:color w:val="auto"/>
          <w:sz w:val="32"/>
          <w:shd w:val="clear" w:color="auto" w:fill="FFFFFF"/>
          <w:lang w:eastAsia="zh-CN"/>
        </w:rPr>
        <w:t>确保对巡察专项经费的保障，加大对巡察专项工作经费的投入力度，通过巡察及时发现和纠正被巡察党组织和党员干部中存在的违纪违规问题，切实维护党的纪律，及时发现和解决基层党组织和党员干部中存在的违纪违法现象，发挥利剑作用，增加威慑、遏制和治本效果，形成上下联动的巡视巡察新格局。</w:t>
      </w:r>
    </w:p>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_GBK">
    <w:panose1 w:val="02000000000000000000"/>
    <w:charset w:val="86"/>
    <w:family w:val="script"/>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10" w:usb3="00000000" w:csb0="0004009F" w:csb1="00000000"/>
  </w:font>
  <w:font w:name="Calibri Light">
    <w:altName w:val="Calibri"/>
    <w:panose1 w:val="020F0302020204030204"/>
    <w:charset w:val="00"/>
    <w:family w:val="auto"/>
    <w:pitch w:val="default"/>
    <w:sig w:usb0="A00002EF" w:usb1="4000207B" w:usb2="00000000" w:usb3="00000000" w:csb0="0000019F" w:csb1="00000000"/>
  </w:font>
  <w:font w:name="楷体">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1203766">
    <w:nsid w:val="626B5EB6"/>
    <w:multiLevelType w:val="singleLevel"/>
    <w:tmpl w:val="626B5EB6"/>
    <w:lvl w:ilvl="0" w:tentative="1">
      <w:start w:val="1"/>
      <w:numFmt w:val="chineseCounting"/>
      <w:suff w:val="nothing"/>
      <w:lvlText w:val="（%1）"/>
      <w:lvlJc w:val="left"/>
    </w:lvl>
  </w:abstractNum>
  <w:abstractNum w:abstractNumId="1651204052">
    <w:nsid w:val="626B5FD4"/>
    <w:multiLevelType w:val="singleLevel"/>
    <w:tmpl w:val="626B5FD4"/>
    <w:lvl w:ilvl="0" w:tentative="1">
      <w:start w:val="2"/>
      <w:numFmt w:val="chineseCounting"/>
      <w:suff w:val="nothing"/>
      <w:lvlText w:val="（%1）"/>
      <w:lvlJc w:val="left"/>
    </w:lvl>
  </w:abstractNum>
  <w:abstractNum w:abstractNumId="1651220332">
    <w:nsid w:val="626B9F6C"/>
    <w:multiLevelType w:val="singleLevel"/>
    <w:tmpl w:val="626B9F6C"/>
    <w:lvl w:ilvl="0" w:tentative="1">
      <w:start w:val="4"/>
      <w:numFmt w:val="chineseCounting"/>
      <w:suff w:val="nothing"/>
      <w:lvlText w:val="%1、"/>
      <w:lvlJc w:val="left"/>
    </w:lvl>
  </w:abstractNum>
  <w:abstractNum w:abstractNumId="1651220994">
    <w:nsid w:val="626BA202"/>
    <w:multiLevelType w:val="singleLevel"/>
    <w:tmpl w:val="626BA202"/>
    <w:lvl w:ilvl="0" w:tentative="1">
      <w:start w:val="1"/>
      <w:numFmt w:val="decimal"/>
      <w:suff w:val="nothing"/>
      <w:lvlText w:val="%1."/>
      <w:lvlJc w:val="left"/>
    </w:lvl>
  </w:abstractNum>
  <w:abstractNum w:abstractNumId="1651220931">
    <w:nsid w:val="626BA1C3"/>
    <w:multiLevelType w:val="singleLevel"/>
    <w:tmpl w:val="626BA1C3"/>
    <w:lvl w:ilvl="0" w:tentative="1">
      <w:start w:val="9"/>
      <w:numFmt w:val="chineseCounting"/>
      <w:suff w:val="nothing"/>
      <w:lvlText w:val="%1、"/>
      <w:lvlJc w:val="left"/>
    </w:lvl>
  </w:abstractNum>
  <w:abstractNum w:abstractNumId="1651220878">
    <w:nsid w:val="626BA18E"/>
    <w:multiLevelType w:val="singleLevel"/>
    <w:tmpl w:val="626BA18E"/>
    <w:lvl w:ilvl="0" w:tentative="1">
      <w:start w:val="8"/>
      <w:numFmt w:val="chineseCounting"/>
      <w:suff w:val="nothing"/>
      <w:lvlText w:val="%1、"/>
      <w:lvlJc w:val="left"/>
    </w:lvl>
  </w:abstractNum>
  <w:abstractNum w:abstractNumId="1651220360">
    <w:nsid w:val="626B9F88"/>
    <w:multiLevelType w:val="singleLevel"/>
    <w:tmpl w:val="626B9F88"/>
    <w:lvl w:ilvl="0" w:tentative="1">
      <w:start w:val="5"/>
      <w:numFmt w:val="chineseCounting"/>
      <w:suff w:val="nothing"/>
      <w:lvlText w:val="%1、"/>
      <w:lvlJc w:val="left"/>
    </w:lvl>
  </w:abstractNum>
  <w:abstractNum w:abstractNumId="1651220309">
    <w:nsid w:val="626B9F55"/>
    <w:multiLevelType w:val="singleLevel"/>
    <w:tmpl w:val="626B9F55"/>
    <w:lvl w:ilvl="0" w:tentative="1">
      <w:start w:val="3"/>
      <w:numFmt w:val="chineseCounting"/>
      <w:suff w:val="nothing"/>
      <w:lvlText w:val="%1、"/>
      <w:lvlJc w:val="left"/>
    </w:lvl>
  </w:abstractNum>
  <w:num w:numId="1">
    <w:abstractNumId w:val="1651203766"/>
  </w:num>
  <w:num w:numId="2">
    <w:abstractNumId w:val="1651204052"/>
  </w:num>
  <w:num w:numId="3">
    <w:abstractNumId w:val="1651220309"/>
  </w:num>
  <w:num w:numId="4">
    <w:abstractNumId w:val="1651220332"/>
  </w:num>
  <w:num w:numId="5">
    <w:abstractNumId w:val="1651220360"/>
  </w:num>
  <w:num w:numId="6">
    <w:abstractNumId w:val="1651220878"/>
  </w:num>
  <w:num w:numId="7">
    <w:abstractNumId w:val="1651220994"/>
  </w:num>
  <w:num w:numId="8">
    <w:abstractNumId w:val="16512209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footer"/>
    <w:basedOn w:val="1"/>
    <w:semiHidden/>
    <w:unhideWhenUsed/>
    <w:uiPriority w:val="0"/>
    <w:pPr>
      <w:tabs>
        <w:tab w:val="center" w:pos="4153"/>
        <w:tab w:val="right" w:pos="8306"/>
      </w:tabs>
      <w:snapToGrid w:val="0"/>
      <w:jc w:val="left"/>
    </w:pPr>
    <w:rPr>
      <w:sz w:val="18"/>
    </w:rPr>
  </w:style>
  <w:style w:type="paragraph" w:styleId="3">
    <w:name w:val="header"/>
    <w:basedOn w:val="1"/>
    <w:semiHidden/>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2022-09-27T08:40:20Z</dcterms:created>
  <cp:lastModifiedBy>Administrator</cp:lastModifiedBy>
  <dcterms:modified xsi:type="dcterms:W3CDTF">2022-09-27T08:43:37Z</dcterms:modified>
  <dc:title>2021年度县委巡察办部门（单位）整体支出绩效自评报告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